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9BAC18">
      <w:pPr>
        <w:bidi w:val="0"/>
        <w:ind w:left="0" w:leftChars="0" w:firstLine="0" w:firstLineChars="0"/>
        <w:jc w:val="center"/>
        <w:rPr>
          <w:rFonts w:hint="default" w:ascii="方正小标宋_GBK" w:hAnsi="方正小标宋_GBK" w:eastAsia="方正小标宋_GBK" w:cs="方正小标宋_GBK"/>
          <w:color w:val="auto"/>
          <w:sz w:val="72"/>
          <w:szCs w:val="72"/>
          <w:lang w:val="en-US" w:eastAsia="zh-CN"/>
        </w:rPr>
      </w:pPr>
    </w:p>
    <w:p w14:paraId="7EC825D4">
      <w:pPr>
        <w:bidi w:val="0"/>
        <w:ind w:left="0" w:leftChars="0" w:firstLine="0" w:firstLineChars="0"/>
        <w:jc w:val="center"/>
        <w:rPr>
          <w:rFonts w:hint="eastAsia" w:ascii="方正小标宋_GBK" w:hAnsi="方正小标宋_GBK" w:eastAsia="方正小标宋_GBK" w:cs="方正小标宋_GBK"/>
          <w:color w:val="auto"/>
          <w:sz w:val="72"/>
          <w:szCs w:val="72"/>
        </w:rPr>
      </w:pPr>
      <w:r>
        <w:rPr>
          <w:rFonts w:hint="eastAsia" w:ascii="方正小标宋_GBK" w:hAnsi="方正小标宋_GBK" w:eastAsia="方正小标宋_GBK" w:cs="方正小标宋_GBK"/>
          <w:color w:val="auto"/>
          <w:sz w:val="72"/>
          <w:szCs w:val="72"/>
        </w:rPr>
        <w:t>建设项目环境影响报告表</w:t>
      </w:r>
    </w:p>
    <w:p w14:paraId="20B667F8">
      <w:pPr>
        <w:keepNext w:val="0"/>
        <w:keepLines w:val="0"/>
        <w:pageBreakBefore w:val="0"/>
        <w:widowControl w:val="0"/>
        <w:kinsoku/>
        <w:wordWrap w:val="0"/>
        <w:overflowPunct/>
        <w:topLinePunct w:val="0"/>
        <w:autoSpaceDE/>
        <w:autoSpaceDN/>
        <w:bidi w:val="0"/>
        <w:adjustRightInd w:val="0"/>
        <w:snapToGrid w:val="0"/>
        <w:ind w:firstLine="0" w:firstLineChars="0"/>
        <w:jc w:val="center"/>
        <w:textAlignment w:val="auto"/>
        <w:rPr>
          <w:rFonts w:eastAsia="楷体"/>
          <w:bCs/>
          <w:color w:val="auto"/>
          <w:sz w:val="48"/>
          <w:szCs w:val="48"/>
        </w:rPr>
      </w:pPr>
      <w:r>
        <w:rPr>
          <w:rFonts w:eastAsia="楷体"/>
          <w:bCs/>
          <w:color w:val="auto"/>
          <w:sz w:val="48"/>
          <w:szCs w:val="48"/>
        </w:rPr>
        <w:t>（污染影响类）</w:t>
      </w:r>
    </w:p>
    <w:p w14:paraId="7E5FBAB2">
      <w:pPr>
        <w:bidi w:val="0"/>
        <w:rPr>
          <w:color w:val="auto"/>
        </w:rPr>
      </w:pPr>
    </w:p>
    <w:p w14:paraId="5DC1E16B">
      <w:pPr>
        <w:bidi w:val="0"/>
        <w:rPr>
          <w:color w:val="auto"/>
        </w:rPr>
      </w:pPr>
    </w:p>
    <w:p w14:paraId="0E411714">
      <w:pPr>
        <w:jc w:val="both"/>
        <w:rPr>
          <w:rFonts w:eastAsia="仿宋"/>
          <w:color w:val="auto"/>
          <w:sz w:val="52"/>
          <w:szCs w:val="52"/>
        </w:rPr>
      </w:pPr>
    </w:p>
    <w:p w14:paraId="0755F050">
      <w:pPr>
        <w:ind w:firstLine="1040"/>
        <w:rPr>
          <w:rFonts w:eastAsia="仿宋"/>
          <w:color w:val="auto"/>
          <w:sz w:val="44"/>
          <w:szCs w:val="44"/>
        </w:rPr>
      </w:pPr>
    </w:p>
    <w:p w14:paraId="1E0C45AF">
      <w:pPr>
        <w:ind w:firstLine="1040"/>
        <w:rPr>
          <w:rFonts w:eastAsia="仿宋"/>
          <w:color w:val="auto"/>
          <w:sz w:val="44"/>
          <w:szCs w:val="44"/>
        </w:rPr>
      </w:pPr>
    </w:p>
    <w:p w14:paraId="5D729B23">
      <w:pPr>
        <w:ind w:firstLine="1040"/>
        <w:rPr>
          <w:rFonts w:eastAsia="仿宋"/>
          <w:color w:val="auto"/>
          <w:sz w:val="44"/>
          <w:szCs w:val="44"/>
        </w:rPr>
      </w:pPr>
    </w:p>
    <w:tbl>
      <w:tblPr>
        <w:tblStyle w:val="19"/>
        <w:tblW w:w="7799" w:type="dxa"/>
        <w:jc w:val="center"/>
        <w:tblLayout w:type="fixed"/>
        <w:tblCellMar>
          <w:top w:w="0" w:type="dxa"/>
          <w:left w:w="108" w:type="dxa"/>
          <w:bottom w:w="0" w:type="dxa"/>
          <w:right w:w="108" w:type="dxa"/>
        </w:tblCellMar>
      </w:tblPr>
      <w:tblGrid>
        <w:gridCol w:w="2348"/>
        <w:gridCol w:w="5451"/>
      </w:tblGrid>
      <w:tr w14:paraId="4DD67946">
        <w:tblPrEx>
          <w:tblCellMar>
            <w:top w:w="0" w:type="dxa"/>
            <w:left w:w="108" w:type="dxa"/>
            <w:bottom w:w="0" w:type="dxa"/>
            <w:right w:w="108" w:type="dxa"/>
          </w:tblCellMar>
        </w:tblPrEx>
        <w:trPr>
          <w:trHeight w:val="698" w:hRule="atLeast"/>
          <w:jc w:val="center"/>
        </w:trPr>
        <w:tc>
          <w:tcPr>
            <w:tcW w:w="2348" w:type="dxa"/>
            <w:noWrap w:val="0"/>
            <w:vAlign w:val="center"/>
          </w:tcPr>
          <w:p w14:paraId="71DD8082">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eastAsia="仿宋"/>
                <w:color w:val="auto"/>
                <w:sz w:val="36"/>
                <w:szCs w:val="36"/>
              </w:rPr>
            </w:pPr>
            <w:bookmarkStart w:id="0" w:name="_Hlk57884087"/>
            <w:r>
              <w:rPr>
                <w:rFonts w:hint="default" w:eastAsia="仿宋"/>
                <w:color w:val="auto"/>
                <w:sz w:val="36"/>
                <w:szCs w:val="36"/>
              </w:rPr>
              <w:t>项目名称：</w:t>
            </w:r>
          </w:p>
        </w:tc>
        <w:tc>
          <w:tcPr>
            <w:tcW w:w="5451" w:type="dxa"/>
            <w:tcBorders>
              <w:bottom w:val="single" w:color="auto" w:sz="4" w:space="0"/>
            </w:tcBorders>
            <w:noWrap w:val="0"/>
            <w:vAlign w:val="center"/>
          </w:tcPr>
          <w:p w14:paraId="54664ED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eastAsia="仿宋"/>
                <w:color w:val="auto"/>
                <w:sz w:val="36"/>
                <w:szCs w:val="36"/>
              </w:rPr>
            </w:pPr>
            <w:r>
              <w:rPr>
                <w:rFonts w:hint="eastAsia" w:eastAsia="仿宋" w:cs="Times New Roman"/>
                <w:color w:val="auto"/>
                <w:sz w:val="36"/>
                <w:szCs w:val="36"/>
                <w:highlight w:val="none"/>
                <w:lang w:val="en-US" w:eastAsia="zh-CN"/>
              </w:rPr>
              <w:t>谢家集经济开发区新能源拆解基地项目</w:t>
            </w:r>
          </w:p>
        </w:tc>
      </w:tr>
      <w:tr w14:paraId="60BAEAFE">
        <w:tblPrEx>
          <w:tblCellMar>
            <w:top w:w="0" w:type="dxa"/>
            <w:left w:w="108" w:type="dxa"/>
            <w:bottom w:w="0" w:type="dxa"/>
            <w:right w:w="108" w:type="dxa"/>
          </w:tblCellMar>
        </w:tblPrEx>
        <w:trPr>
          <w:trHeight w:val="698" w:hRule="atLeast"/>
          <w:jc w:val="center"/>
        </w:trPr>
        <w:tc>
          <w:tcPr>
            <w:tcW w:w="2348" w:type="dxa"/>
            <w:noWrap w:val="0"/>
            <w:vAlign w:val="center"/>
          </w:tcPr>
          <w:p w14:paraId="72829205">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eastAsia="仿宋"/>
                <w:color w:val="auto"/>
                <w:sz w:val="36"/>
                <w:szCs w:val="36"/>
              </w:rPr>
            </w:pPr>
            <w:r>
              <w:rPr>
                <w:rFonts w:hint="default" w:eastAsia="仿宋"/>
                <w:color w:val="auto"/>
                <w:sz w:val="36"/>
                <w:szCs w:val="36"/>
              </w:rPr>
              <w:t>建设单位：</w:t>
            </w:r>
          </w:p>
        </w:tc>
        <w:tc>
          <w:tcPr>
            <w:tcW w:w="5451" w:type="dxa"/>
            <w:tcBorders>
              <w:top w:val="single" w:color="auto" w:sz="4" w:space="0"/>
              <w:bottom w:val="single" w:color="auto" w:sz="4" w:space="0"/>
            </w:tcBorders>
            <w:noWrap w:val="0"/>
            <w:vAlign w:val="center"/>
          </w:tcPr>
          <w:p w14:paraId="4DA85FE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eastAsia="仿宋"/>
                <w:color w:val="auto"/>
                <w:sz w:val="36"/>
                <w:szCs w:val="36"/>
              </w:rPr>
            </w:pPr>
            <w:r>
              <w:rPr>
                <w:rFonts w:hint="eastAsia" w:eastAsia="仿宋" w:cs="Times New Roman"/>
                <w:color w:val="auto"/>
                <w:sz w:val="36"/>
                <w:szCs w:val="36"/>
                <w:lang w:val="en-US" w:eastAsia="zh-CN"/>
              </w:rPr>
              <w:t>淮南市奇锐再生资源有限公司</w:t>
            </w:r>
          </w:p>
        </w:tc>
      </w:tr>
      <w:tr w14:paraId="792849CC">
        <w:tblPrEx>
          <w:tblCellMar>
            <w:top w:w="0" w:type="dxa"/>
            <w:left w:w="108" w:type="dxa"/>
            <w:bottom w:w="0" w:type="dxa"/>
            <w:right w:w="108" w:type="dxa"/>
          </w:tblCellMar>
        </w:tblPrEx>
        <w:trPr>
          <w:trHeight w:val="698" w:hRule="atLeast"/>
          <w:jc w:val="center"/>
        </w:trPr>
        <w:tc>
          <w:tcPr>
            <w:tcW w:w="2348" w:type="dxa"/>
            <w:noWrap w:val="0"/>
            <w:vAlign w:val="center"/>
          </w:tcPr>
          <w:p w14:paraId="07D5EB6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firstLine="0" w:firstLineChars="0"/>
              <w:jc w:val="center"/>
              <w:textAlignment w:val="auto"/>
              <w:rPr>
                <w:rFonts w:hint="default" w:eastAsia="仿宋"/>
                <w:color w:val="auto"/>
                <w:sz w:val="36"/>
                <w:szCs w:val="36"/>
              </w:rPr>
            </w:pPr>
            <w:r>
              <w:rPr>
                <w:rFonts w:hint="default" w:eastAsia="仿宋"/>
                <w:color w:val="auto"/>
                <w:sz w:val="36"/>
                <w:szCs w:val="36"/>
              </w:rPr>
              <w:t>编制日期：</w:t>
            </w:r>
          </w:p>
        </w:tc>
        <w:tc>
          <w:tcPr>
            <w:tcW w:w="5451" w:type="dxa"/>
            <w:tcBorders>
              <w:top w:val="single" w:color="auto" w:sz="4" w:space="0"/>
              <w:bottom w:val="single" w:color="auto" w:sz="4" w:space="0"/>
            </w:tcBorders>
            <w:noWrap w:val="0"/>
            <w:vAlign w:val="center"/>
          </w:tcPr>
          <w:p w14:paraId="6EB16329">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default" w:eastAsia="仿宋"/>
                <w:color w:val="auto"/>
                <w:sz w:val="36"/>
                <w:szCs w:val="36"/>
              </w:rPr>
            </w:pPr>
            <w:r>
              <w:rPr>
                <w:rFonts w:hint="eastAsia" w:eastAsia="仿宋"/>
                <w:color w:val="auto"/>
                <w:sz w:val="36"/>
                <w:szCs w:val="36"/>
                <w:lang w:val="en-US" w:eastAsia="zh-CN"/>
              </w:rPr>
              <w:t>2026年6月</w:t>
            </w:r>
          </w:p>
        </w:tc>
      </w:tr>
    </w:tbl>
    <w:p w14:paraId="19548842">
      <w:pPr>
        <w:adjustRightInd w:val="0"/>
        <w:snapToGrid w:val="0"/>
        <w:spacing w:line="288" w:lineRule="auto"/>
        <w:ind w:firstLine="1040"/>
        <w:rPr>
          <w:rFonts w:eastAsia="仿宋"/>
          <w:color w:val="auto"/>
          <w:sz w:val="36"/>
          <w:szCs w:val="36"/>
          <w:u w:val="single"/>
        </w:rPr>
      </w:pPr>
    </w:p>
    <w:p w14:paraId="45464158">
      <w:pPr>
        <w:rPr>
          <w:rFonts w:eastAsia="仿宋"/>
          <w:color w:val="auto"/>
          <w:sz w:val="36"/>
          <w:szCs w:val="36"/>
        </w:rPr>
      </w:pPr>
    </w:p>
    <w:p w14:paraId="2DAEA716">
      <w:pPr>
        <w:pStyle w:val="12"/>
        <w:ind w:firstLine="723"/>
        <w:rPr>
          <w:rFonts w:eastAsia="仿宋"/>
          <w:color w:val="auto"/>
          <w:sz w:val="36"/>
          <w:szCs w:val="36"/>
        </w:rPr>
      </w:pPr>
    </w:p>
    <w:bookmarkEnd w:id="0"/>
    <w:p w14:paraId="1B59218C">
      <w:pPr>
        <w:ind w:left="0" w:leftChars="0" w:firstLine="0" w:firstLineChars="0"/>
        <w:jc w:val="center"/>
        <w:rPr>
          <w:color w:val="auto"/>
        </w:rPr>
      </w:pPr>
      <w:r>
        <w:rPr>
          <w:rFonts w:eastAsia="楷体"/>
          <w:color w:val="auto"/>
          <w:sz w:val="36"/>
          <w:szCs w:val="36"/>
        </w:rPr>
        <w:t>中华人民共和国生态环境部制</w:t>
      </w:r>
    </w:p>
    <w:p w14:paraId="3C043DE6">
      <w:pPr>
        <w:pStyle w:val="2"/>
        <w:ind w:firstLine="0" w:firstLineChars="0"/>
        <w:rPr>
          <w:rFonts w:hint="eastAsia"/>
          <w:color w:val="auto"/>
          <w:highlight w:val="none"/>
        </w:rPr>
        <w:sectPr>
          <w:headerReference r:id="rId9" w:type="first"/>
          <w:footerReference r:id="rId12" w:type="first"/>
          <w:headerReference r:id="rId7" w:type="default"/>
          <w:footerReference r:id="rId10" w:type="default"/>
          <w:headerReference r:id="rId8" w:type="even"/>
          <w:footerReference r:id="rId11" w:type="even"/>
          <w:pgSz w:w="11906" w:h="16838"/>
          <w:pgMar w:top="1417" w:right="1417" w:bottom="1417" w:left="1417" w:header="737" w:footer="850" w:gutter="0"/>
          <w:pgBorders>
            <w:top w:val="none" w:sz="0" w:space="0"/>
            <w:left w:val="none" w:sz="0" w:space="0"/>
            <w:bottom w:val="none" w:sz="0" w:space="0"/>
            <w:right w:val="none" w:sz="0" w:space="0"/>
          </w:pgBorders>
          <w:pgNumType w:fmt="decimal" w:start="1"/>
          <w:cols w:space="720" w:num="1"/>
          <w:docGrid w:type="lines" w:linePitch="312" w:charSpace="0"/>
        </w:sectPr>
      </w:pPr>
    </w:p>
    <w:sdt>
      <w:sdtPr>
        <w:rPr>
          <w:rFonts w:ascii="宋体" w:hAnsi="宋体" w:eastAsia="宋体" w:cs="Times New Roman"/>
          <w:kern w:val="2"/>
          <w:sz w:val="36"/>
          <w:szCs w:val="36"/>
          <w:lang w:val="en-US" w:eastAsia="zh-CN" w:bidi="ar-SA"/>
        </w:rPr>
        <w:id w:val="147483442"/>
        <w15:color w:val="DBDBDB"/>
        <w:docPartObj>
          <w:docPartGallery w:val="Table of Contents"/>
          <w:docPartUnique/>
        </w:docPartObj>
      </w:sdtPr>
      <w:sdtEndPr>
        <w:rPr>
          <w:rFonts w:hint="eastAsia" w:ascii="Times New Roman" w:hAnsi="Times New Roman" w:eastAsia="宋体" w:cs="Times New Roman"/>
          <w:kern w:val="2"/>
          <w:sz w:val="24"/>
          <w:szCs w:val="24"/>
          <w:lang w:val="en-US" w:eastAsia="zh-CN" w:bidi="ar-SA"/>
        </w:rPr>
      </w:sdtEndPr>
      <w:sdtContent>
        <w:p w14:paraId="39826BA2">
          <w:pPr>
            <w:spacing w:before="0" w:beforeLines="0" w:after="0" w:afterLines="0" w:line="240" w:lineRule="auto"/>
            <w:ind w:left="0" w:leftChars="0" w:right="0" w:rightChars="0" w:firstLine="0" w:firstLineChars="0"/>
            <w:jc w:val="center"/>
            <w:rPr>
              <w:sz w:val="36"/>
              <w:szCs w:val="36"/>
            </w:rPr>
          </w:pPr>
          <w:r>
            <w:rPr>
              <w:rFonts w:ascii="宋体" w:hAnsi="宋体" w:eastAsia="宋体"/>
              <w:sz w:val="36"/>
              <w:szCs w:val="36"/>
            </w:rPr>
            <w:t>目录</w:t>
          </w:r>
        </w:p>
        <w:p w14:paraId="774AA839">
          <w:pPr>
            <w:pStyle w:val="15"/>
            <w:tabs>
              <w:tab w:val="right" w:leader="dot" w:pos="9072"/>
            </w:tabs>
          </w:pPr>
          <w:r>
            <w:rPr>
              <w:rFonts w:hint="eastAsia"/>
            </w:rPr>
            <w:fldChar w:fldCharType="begin"/>
          </w:r>
          <w:r>
            <w:rPr>
              <w:rFonts w:hint="eastAsia"/>
            </w:rPr>
            <w:instrText xml:space="preserve">TOC \o "1-1" \h \u </w:instrText>
          </w:r>
          <w:r>
            <w:rPr>
              <w:rFonts w:hint="eastAsia"/>
            </w:rPr>
            <w:fldChar w:fldCharType="separate"/>
          </w:r>
          <w:r>
            <w:rPr>
              <w:rFonts w:hint="eastAsia"/>
            </w:rPr>
            <w:fldChar w:fldCharType="begin"/>
          </w:r>
          <w:r>
            <w:rPr>
              <w:rFonts w:hint="eastAsia"/>
            </w:rPr>
            <w:instrText xml:space="preserve"> HYPERLINK \l _Toc19377 </w:instrText>
          </w:r>
          <w:r>
            <w:rPr>
              <w:rFonts w:hint="eastAsia"/>
            </w:rPr>
            <w:fldChar w:fldCharType="separate"/>
          </w:r>
          <w:r>
            <w:rPr>
              <w:rFonts w:hint="eastAsia"/>
              <w:highlight w:val="none"/>
            </w:rPr>
            <w:t>一</w:t>
          </w:r>
          <w:r>
            <w:rPr>
              <w:highlight w:val="none"/>
            </w:rPr>
            <w:t>、建设项目基本情况</w:t>
          </w:r>
          <w:r>
            <w:tab/>
          </w:r>
          <w:r>
            <w:fldChar w:fldCharType="begin"/>
          </w:r>
          <w:r>
            <w:instrText xml:space="preserve"> PAGEREF _Toc19377 \h </w:instrText>
          </w:r>
          <w:r>
            <w:fldChar w:fldCharType="separate"/>
          </w:r>
          <w:r>
            <w:t>1</w:t>
          </w:r>
          <w:r>
            <w:fldChar w:fldCharType="end"/>
          </w:r>
          <w:r>
            <w:rPr>
              <w:rFonts w:hint="eastAsia"/>
            </w:rPr>
            <w:fldChar w:fldCharType="end"/>
          </w:r>
        </w:p>
        <w:p w14:paraId="0880B7F0">
          <w:pPr>
            <w:pStyle w:val="15"/>
            <w:tabs>
              <w:tab w:val="right" w:leader="dot" w:pos="9072"/>
            </w:tabs>
          </w:pPr>
          <w:r>
            <w:rPr>
              <w:rFonts w:hint="eastAsia"/>
            </w:rPr>
            <w:fldChar w:fldCharType="begin"/>
          </w:r>
          <w:r>
            <w:rPr>
              <w:rFonts w:hint="eastAsia"/>
            </w:rPr>
            <w:instrText xml:space="preserve"> HYPERLINK \l _Toc23815 </w:instrText>
          </w:r>
          <w:r>
            <w:rPr>
              <w:rFonts w:hint="eastAsia"/>
            </w:rPr>
            <w:fldChar w:fldCharType="separate"/>
          </w:r>
          <w:r>
            <w:rPr>
              <w:rFonts w:hint="eastAsia"/>
              <w:highlight w:val="none"/>
            </w:rPr>
            <w:t>二</w:t>
          </w:r>
          <w:r>
            <w:rPr>
              <w:highlight w:val="none"/>
            </w:rPr>
            <w:t>、</w:t>
          </w:r>
          <w:r>
            <w:rPr>
              <w:rFonts w:hint="eastAsia"/>
              <w:highlight w:val="none"/>
            </w:rPr>
            <w:t>建设项目工程分析</w:t>
          </w:r>
          <w:r>
            <w:tab/>
          </w:r>
          <w:r>
            <w:fldChar w:fldCharType="begin"/>
          </w:r>
          <w:r>
            <w:instrText xml:space="preserve"> PAGEREF _Toc23815 \h </w:instrText>
          </w:r>
          <w:r>
            <w:fldChar w:fldCharType="separate"/>
          </w:r>
          <w:r>
            <w:t>34</w:t>
          </w:r>
          <w:r>
            <w:fldChar w:fldCharType="end"/>
          </w:r>
          <w:r>
            <w:rPr>
              <w:rFonts w:hint="eastAsia"/>
            </w:rPr>
            <w:fldChar w:fldCharType="end"/>
          </w:r>
        </w:p>
        <w:p w14:paraId="212A3B64">
          <w:pPr>
            <w:pStyle w:val="15"/>
            <w:tabs>
              <w:tab w:val="right" w:leader="dot" w:pos="9072"/>
            </w:tabs>
          </w:pPr>
          <w:r>
            <w:rPr>
              <w:rFonts w:hint="eastAsia"/>
            </w:rPr>
            <w:fldChar w:fldCharType="begin"/>
          </w:r>
          <w:r>
            <w:rPr>
              <w:rFonts w:hint="eastAsia"/>
            </w:rPr>
            <w:instrText xml:space="preserve"> HYPERLINK \l _Toc1382 </w:instrText>
          </w:r>
          <w:r>
            <w:rPr>
              <w:rFonts w:hint="eastAsia"/>
            </w:rPr>
            <w:fldChar w:fldCharType="separate"/>
          </w:r>
          <w:r>
            <w:rPr>
              <w:rFonts w:hint="eastAsia"/>
              <w:highlight w:val="none"/>
            </w:rPr>
            <w:t>三</w:t>
          </w:r>
          <w:r>
            <w:rPr>
              <w:highlight w:val="none"/>
            </w:rPr>
            <w:t>、</w:t>
          </w:r>
          <w:r>
            <w:rPr>
              <w:rFonts w:hint="eastAsia"/>
              <w:highlight w:val="none"/>
            </w:rPr>
            <w:t>区域环境质量现状、环境保护目标及评价标准</w:t>
          </w:r>
          <w:r>
            <w:tab/>
          </w:r>
          <w:r>
            <w:fldChar w:fldCharType="begin"/>
          </w:r>
          <w:r>
            <w:instrText xml:space="preserve"> PAGEREF _Toc1382 \h </w:instrText>
          </w:r>
          <w:r>
            <w:fldChar w:fldCharType="separate"/>
          </w:r>
          <w:r>
            <w:t>50</w:t>
          </w:r>
          <w:r>
            <w:fldChar w:fldCharType="end"/>
          </w:r>
          <w:r>
            <w:rPr>
              <w:rFonts w:hint="eastAsia"/>
            </w:rPr>
            <w:fldChar w:fldCharType="end"/>
          </w:r>
        </w:p>
        <w:p w14:paraId="3E930546">
          <w:pPr>
            <w:pStyle w:val="15"/>
            <w:tabs>
              <w:tab w:val="right" w:leader="dot" w:pos="9072"/>
            </w:tabs>
          </w:pPr>
          <w:r>
            <w:rPr>
              <w:rFonts w:hint="eastAsia"/>
            </w:rPr>
            <w:fldChar w:fldCharType="begin"/>
          </w:r>
          <w:r>
            <w:rPr>
              <w:rFonts w:hint="eastAsia"/>
            </w:rPr>
            <w:instrText xml:space="preserve"> HYPERLINK \l _Toc27217 </w:instrText>
          </w:r>
          <w:r>
            <w:rPr>
              <w:rFonts w:hint="eastAsia"/>
            </w:rPr>
            <w:fldChar w:fldCharType="separate"/>
          </w:r>
          <w:r>
            <w:rPr>
              <w:rFonts w:hint="eastAsia"/>
            </w:rPr>
            <w:t>四</w:t>
          </w:r>
          <w:r>
            <w:t>、</w:t>
          </w:r>
          <w:r>
            <w:rPr>
              <w:rFonts w:hint="eastAsia"/>
            </w:rPr>
            <w:t>主要环境影响和保护措施</w:t>
          </w:r>
          <w:r>
            <w:tab/>
          </w:r>
          <w:r>
            <w:fldChar w:fldCharType="begin"/>
          </w:r>
          <w:r>
            <w:instrText xml:space="preserve"> PAGEREF _Toc27217 \h </w:instrText>
          </w:r>
          <w:r>
            <w:fldChar w:fldCharType="separate"/>
          </w:r>
          <w:r>
            <w:t>57</w:t>
          </w:r>
          <w:r>
            <w:fldChar w:fldCharType="end"/>
          </w:r>
          <w:r>
            <w:rPr>
              <w:rFonts w:hint="eastAsia"/>
            </w:rPr>
            <w:fldChar w:fldCharType="end"/>
          </w:r>
        </w:p>
        <w:p w14:paraId="1EFF7678">
          <w:pPr>
            <w:pStyle w:val="15"/>
            <w:tabs>
              <w:tab w:val="right" w:leader="dot" w:pos="9072"/>
            </w:tabs>
          </w:pPr>
          <w:r>
            <w:rPr>
              <w:rFonts w:hint="eastAsia"/>
            </w:rPr>
            <w:fldChar w:fldCharType="begin"/>
          </w:r>
          <w:r>
            <w:rPr>
              <w:rFonts w:hint="eastAsia"/>
            </w:rPr>
            <w:instrText xml:space="preserve"> HYPERLINK \l _Toc2028 </w:instrText>
          </w:r>
          <w:r>
            <w:rPr>
              <w:rFonts w:hint="eastAsia"/>
            </w:rPr>
            <w:fldChar w:fldCharType="separate"/>
          </w:r>
          <w:r>
            <w:rPr>
              <w:rFonts w:hint="eastAsia"/>
              <w:highlight w:val="none"/>
            </w:rPr>
            <w:t>五</w:t>
          </w:r>
          <w:r>
            <w:rPr>
              <w:highlight w:val="none"/>
            </w:rPr>
            <w:t>、</w:t>
          </w:r>
          <w:r>
            <w:rPr>
              <w:rFonts w:hint="eastAsia"/>
              <w:highlight w:val="none"/>
            </w:rPr>
            <w:t>环境保护措施监督检查清单</w:t>
          </w:r>
          <w:r>
            <w:tab/>
          </w:r>
          <w:r>
            <w:fldChar w:fldCharType="begin"/>
          </w:r>
          <w:r>
            <w:instrText xml:space="preserve"> PAGEREF _Toc2028 \h </w:instrText>
          </w:r>
          <w:r>
            <w:fldChar w:fldCharType="separate"/>
          </w:r>
          <w:r>
            <w:t>88</w:t>
          </w:r>
          <w:r>
            <w:fldChar w:fldCharType="end"/>
          </w:r>
          <w:r>
            <w:rPr>
              <w:rFonts w:hint="eastAsia"/>
            </w:rPr>
            <w:fldChar w:fldCharType="end"/>
          </w:r>
        </w:p>
        <w:p w14:paraId="6CFD9312">
          <w:pPr>
            <w:pStyle w:val="15"/>
            <w:tabs>
              <w:tab w:val="right" w:leader="dot" w:pos="9072"/>
            </w:tabs>
          </w:pPr>
          <w:r>
            <w:rPr>
              <w:rFonts w:hint="eastAsia"/>
            </w:rPr>
            <w:fldChar w:fldCharType="begin"/>
          </w:r>
          <w:r>
            <w:rPr>
              <w:rFonts w:hint="eastAsia"/>
            </w:rPr>
            <w:instrText xml:space="preserve"> HYPERLINK \l _Toc22200 </w:instrText>
          </w:r>
          <w:r>
            <w:rPr>
              <w:rFonts w:hint="eastAsia"/>
            </w:rPr>
            <w:fldChar w:fldCharType="separate"/>
          </w:r>
          <w:r>
            <w:rPr>
              <w:rFonts w:hint="eastAsia"/>
              <w:highlight w:val="none"/>
            </w:rPr>
            <w:t>六</w:t>
          </w:r>
          <w:r>
            <w:rPr>
              <w:highlight w:val="none"/>
            </w:rPr>
            <w:t>、</w:t>
          </w:r>
          <w:r>
            <w:rPr>
              <w:rFonts w:hint="eastAsia"/>
              <w:highlight w:val="none"/>
            </w:rPr>
            <w:t>结论</w:t>
          </w:r>
          <w:r>
            <w:rPr>
              <w:highlight w:val="none"/>
            </w:rPr>
            <w:t>与建议</w:t>
          </w:r>
          <w:r>
            <w:tab/>
          </w:r>
          <w:r>
            <w:fldChar w:fldCharType="begin"/>
          </w:r>
          <w:r>
            <w:instrText xml:space="preserve"> PAGEREF _Toc22200 \h </w:instrText>
          </w:r>
          <w:r>
            <w:fldChar w:fldCharType="separate"/>
          </w:r>
          <w:r>
            <w:t>90</w:t>
          </w:r>
          <w:r>
            <w:fldChar w:fldCharType="end"/>
          </w:r>
          <w:r>
            <w:rPr>
              <w:rFonts w:hint="eastAsia"/>
            </w:rPr>
            <w:fldChar w:fldCharType="end"/>
          </w:r>
        </w:p>
        <w:p w14:paraId="7CCAB070">
          <w:pPr>
            <w:pStyle w:val="15"/>
            <w:tabs>
              <w:tab w:val="right" w:leader="dot" w:pos="9072"/>
            </w:tabs>
          </w:pPr>
          <w:r>
            <w:rPr>
              <w:rFonts w:hint="eastAsia"/>
            </w:rPr>
            <w:fldChar w:fldCharType="begin"/>
          </w:r>
          <w:r>
            <w:rPr>
              <w:rFonts w:hint="eastAsia"/>
            </w:rPr>
            <w:instrText xml:space="preserve"> HYPERLINK \l _Toc3436 </w:instrText>
          </w:r>
          <w:r>
            <w:rPr>
              <w:rFonts w:hint="eastAsia"/>
            </w:rPr>
            <w:fldChar w:fldCharType="separate"/>
          </w:r>
          <w:r>
            <w:rPr>
              <w:rFonts w:hint="eastAsia" w:ascii="黑体" w:hAnsi="黑体" w:eastAsia="黑体"/>
              <w:snapToGrid w:val="0"/>
              <w:szCs w:val="32"/>
            </w:rPr>
            <w:t>附表</w:t>
          </w:r>
          <w:r>
            <w:tab/>
          </w:r>
          <w:r>
            <w:fldChar w:fldCharType="begin"/>
          </w:r>
          <w:r>
            <w:instrText xml:space="preserve"> PAGEREF _Toc3436 \h </w:instrText>
          </w:r>
          <w:r>
            <w:fldChar w:fldCharType="separate"/>
          </w:r>
          <w:r>
            <w:t>91</w:t>
          </w:r>
          <w:r>
            <w:fldChar w:fldCharType="end"/>
          </w:r>
          <w:r>
            <w:rPr>
              <w:rFonts w:hint="eastAsia"/>
            </w:rPr>
            <w:fldChar w:fldCharType="end"/>
          </w:r>
        </w:p>
        <w:p w14:paraId="2C487888">
          <w:pPr>
            <w:pStyle w:val="15"/>
            <w:tabs>
              <w:tab w:val="right" w:leader="dot" w:pos="9072"/>
            </w:tabs>
          </w:pPr>
          <w:r>
            <w:rPr>
              <w:rFonts w:hint="eastAsia"/>
            </w:rPr>
            <w:fldChar w:fldCharType="begin"/>
          </w:r>
          <w:r>
            <w:rPr>
              <w:rFonts w:hint="eastAsia"/>
            </w:rPr>
            <w:instrText xml:space="preserve"> HYPERLINK \l _Toc29242 </w:instrText>
          </w:r>
          <w:r>
            <w:rPr>
              <w:rFonts w:hint="eastAsia"/>
            </w:rPr>
            <w:fldChar w:fldCharType="separate"/>
          </w:r>
          <w:r>
            <w:rPr>
              <w:rFonts w:hint="eastAsia"/>
              <w:szCs w:val="36"/>
            </w:rPr>
            <w:t>建设项目污染物排放量汇总表</w:t>
          </w:r>
          <w:r>
            <w:tab/>
          </w:r>
          <w:r>
            <w:fldChar w:fldCharType="begin"/>
          </w:r>
          <w:r>
            <w:instrText xml:space="preserve"> PAGEREF _Toc29242 \h </w:instrText>
          </w:r>
          <w:r>
            <w:fldChar w:fldCharType="separate"/>
          </w:r>
          <w:r>
            <w:t>91</w:t>
          </w:r>
          <w:r>
            <w:fldChar w:fldCharType="end"/>
          </w:r>
          <w:r>
            <w:rPr>
              <w:rFonts w:hint="eastAsia"/>
            </w:rPr>
            <w:fldChar w:fldCharType="end"/>
          </w:r>
        </w:p>
        <w:p w14:paraId="5629730D">
          <w:pPr>
            <w:rPr>
              <w:rFonts w:hint="eastAsia" w:ascii="Times New Roman" w:hAnsi="Times New Roman" w:eastAsia="宋体" w:cs="Times New Roman"/>
              <w:kern w:val="2"/>
              <w:sz w:val="24"/>
              <w:szCs w:val="24"/>
              <w:lang w:val="en-US" w:eastAsia="zh-CN" w:bidi="ar-SA"/>
            </w:rPr>
          </w:pPr>
          <w:r>
            <w:rPr>
              <w:rFonts w:hint="eastAsia"/>
            </w:rPr>
            <w:fldChar w:fldCharType="end"/>
          </w:r>
        </w:p>
      </w:sdtContent>
    </w:sdt>
    <w:p w14:paraId="11829B3F">
      <w:pPr>
        <w:rPr>
          <w:rFonts w:hint="default" w:cs="Times New Roman"/>
          <w:b/>
          <w:bCs/>
          <w:kern w:val="2"/>
          <w:sz w:val="24"/>
          <w:szCs w:val="24"/>
          <w:lang w:val="en-US" w:eastAsia="zh-CN" w:bidi="ar-SA"/>
        </w:rPr>
      </w:pPr>
      <w:r>
        <w:rPr>
          <w:rFonts w:hint="eastAsia" w:cs="Times New Roman"/>
          <w:b/>
          <w:bCs/>
          <w:kern w:val="2"/>
          <w:sz w:val="24"/>
          <w:szCs w:val="24"/>
          <w:lang w:val="en-US" w:eastAsia="zh-CN" w:bidi="ar-SA"/>
        </w:rPr>
        <w:t>附件</w:t>
      </w:r>
    </w:p>
    <w:p w14:paraId="5E7AE12B">
      <w:pPr>
        <w:jc w:val="left"/>
        <w:rPr>
          <w:rFonts w:ascii="Times New Roman" w:hAnsi="Times New Roman"/>
          <w:sz w:val="24"/>
        </w:rPr>
      </w:pPr>
      <w:r>
        <w:rPr>
          <w:rFonts w:ascii="Times New Roman" w:hAnsi="Times New Roman"/>
          <w:sz w:val="24"/>
        </w:rPr>
        <w:t>附件</w:t>
      </w:r>
      <w:r>
        <w:rPr>
          <w:rFonts w:hint="eastAsia" w:ascii="Times New Roman" w:hAnsi="Times New Roman"/>
          <w:sz w:val="24"/>
        </w:rPr>
        <w:t>1</w:t>
      </w:r>
      <w:r>
        <w:rPr>
          <w:rFonts w:hint="eastAsia" w:ascii="Times New Roman" w:hAnsi="Times New Roman"/>
          <w:sz w:val="24"/>
          <w:lang w:val="en-US" w:eastAsia="zh-CN"/>
        </w:rPr>
        <w:t xml:space="preserve"> </w:t>
      </w:r>
      <w:r>
        <w:rPr>
          <w:rFonts w:hint="eastAsia" w:ascii="宋体" w:hAnsi="宋体" w:cs="Times New Roman"/>
          <w:sz w:val="24"/>
          <w:szCs w:val="32"/>
          <w:shd w:val="clear" w:color="auto" w:fill="auto"/>
        </w:rPr>
        <w:t>环评委托书</w:t>
      </w:r>
    </w:p>
    <w:p w14:paraId="20CE04D2">
      <w:pPr>
        <w:spacing w:line="360" w:lineRule="auto"/>
        <w:rPr>
          <w:rFonts w:hint="eastAsia" w:ascii="宋体" w:hAnsi="宋体" w:eastAsia="宋体" w:cs="宋体"/>
          <w:sz w:val="24"/>
          <w:lang w:eastAsia="zh-CN"/>
        </w:rPr>
      </w:pPr>
      <w:r>
        <w:rPr>
          <w:rFonts w:hint="eastAsia" w:ascii="宋体" w:hAnsi="宋体" w:eastAsia="宋体" w:cs="宋体"/>
          <w:sz w:val="24"/>
        </w:rPr>
        <w:t>附件</w:t>
      </w:r>
      <w:r>
        <w:rPr>
          <w:rFonts w:hint="eastAsia" w:ascii="宋体" w:hAnsi="宋体" w:eastAsia="宋体" w:cs="宋体"/>
          <w:sz w:val="24"/>
          <w:highlight w:val="none"/>
        </w:rPr>
        <w:t xml:space="preserve">2 </w:t>
      </w:r>
      <w:r>
        <w:rPr>
          <w:rFonts w:hint="eastAsia" w:ascii="宋体" w:hAnsi="宋体" w:eastAsia="宋体" w:cs="宋体"/>
          <w:sz w:val="24"/>
          <w:highlight w:val="none"/>
          <w:lang w:val="en-US" w:eastAsia="zh-CN"/>
        </w:rPr>
        <w:t>项目备</w:t>
      </w:r>
      <w:r>
        <w:rPr>
          <w:rFonts w:hint="eastAsia" w:ascii="宋体" w:hAnsi="宋体" w:eastAsia="宋体" w:cs="宋体"/>
          <w:sz w:val="24"/>
          <w:szCs w:val="32"/>
          <w:highlight w:val="none"/>
          <w:shd w:val="clear" w:color="auto" w:fill="auto"/>
          <w:lang w:val="en-US" w:eastAsia="zh-CN"/>
        </w:rPr>
        <w:t>案表</w:t>
      </w:r>
    </w:p>
    <w:p w14:paraId="36254C6C">
      <w:pPr>
        <w:spacing w:line="360" w:lineRule="auto"/>
        <w:rPr>
          <w:rFonts w:hint="eastAsia" w:ascii="宋体" w:hAnsi="宋体" w:eastAsia="宋体" w:cs="宋体"/>
          <w:sz w:val="24"/>
          <w:lang w:eastAsia="zh-CN"/>
        </w:rPr>
      </w:pPr>
      <w:r>
        <w:rPr>
          <w:rFonts w:hint="eastAsia" w:ascii="宋体" w:hAnsi="宋体" w:eastAsia="宋体" w:cs="宋体"/>
          <w:sz w:val="24"/>
        </w:rPr>
        <w:t>附件</w:t>
      </w:r>
      <w:r>
        <w:rPr>
          <w:rFonts w:hint="eastAsia" w:ascii="宋体" w:hAnsi="宋体" w:eastAsia="宋体" w:cs="宋体"/>
          <w:sz w:val="24"/>
          <w:lang w:val="en-US" w:eastAsia="zh-CN"/>
        </w:rPr>
        <w:t>3</w:t>
      </w:r>
      <w:r>
        <w:rPr>
          <w:rFonts w:hint="eastAsia" w:ascii="宋体" w:hAnsi="宋体" w:eastAsia="宋体" w:cs="宋体"/>
          <w:sz w:val="24"/>
        </w:rPr>
        <w:t xml:space="preserve"> </w:t>
      </w:r>
      <w:r>
        <w:rPr>
          <w:rFonts w:hint="eastAsia" w:ascii="宋体" w:hAnsi="宋体" w:eastAsia="宋体" w:cs="宋体"/>
          <w:sz w:val="24"/>
          <w:lang w:val="en-US" w:eastAsia="zh-CN"/>
        </w:rPr>
        <w:t>营业执照</w:t>
      </w:r>
    </w:p>
    <w:p w14:paraId="53924D26">
      <w:pPr>
        <w:rPr>
          <w:rFonts w:hint="eastAsia" w:ascii="Times New Roman" w:hAnsi="Times New Roman" w:eastAsia="宋体" w:cs="Times New Roman"/>
          <w:kern w:val="2"/>
          <w:sz w:val="24"/>
          <w:szCs w:val="24"/>
          <w:lang w:val="en-US" w:eastAsia="zh-CN" w:bidi="ar-SA"/>
        </w:rPr>
      </w:pPr>
      <w:r>
        <w:rPr>
          <w:rFonts w:hint="eastAsia"/>
          <w:color w:val="auto"/>
          <w:highlight w:val="none"/>
        </w:rPr>
        <w:t>附件4 环评真实性承诺函</w:t>
      </w:r>
    </w:p>
    <w:p w14:paraId="6E707742">
      <w:pPr>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 xml:space="preserve">附件5 </w:t>
      </w:r>
      <w:r>
        <w:rPr>
          <w:rFonts w:hint="eastAsia" w:ascii="Times New Roman" w:hAnsi="Times New Roman" w:eastAsia="宋体" w:cs="Times New Roman"/>
          <w:color w:val="auto"/>
          <w:highlight w:val="none"/>
          <w:lang w:val="en-US" w:eastAsia="zh-CN"/>
        </w:rPr>
        <w:t>关于印发《淮南高新技术产业开发区总体发展规划（2024-2035年）（主导产业变更）环境影响报告书》审查意见的函</w:t>
      </w:r>
    </w:p>
    <w:p w14:paraId="05A8531C">
      <w:pPr>
        <w:rPr>
          <w:rFonts w:hint="eastAsia"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附件</w:t>
      </w:r>
      <w:r>
        <w:rPr>
          <w:rFonts w:hint="eastAsia" w:cs="Times New Roman"/>
          <w:color w:val="auto"/>
          <w:kern w:val="2"/>
          <w:sz w:val="24"/>
          <w:szCs w:val="24"/>
          <w:highlight w:val="none"/>
          <w:lang w:val="en-US" w:eastAsia="zh-CN" w:bidi="ar-SA"/>
        </w:rPr>
        <w:t>6</w:t>
      </w:r>
      <w:r>
        <w:rPr>
          <w:rFonts w:hint="eastAsia" w:ascii="Times New Roman" w:hAnsi="Times New Roman" w:eastAsia="宋体" w:cs="Times New Roman"/>
          <w:color w:val="auto"/>
          <w:kern w:val="2"/>
          <w:sz w:val="24"/>
          <w:szCs w:val="24"/>
          <w:highlight w:val="none"/>
          <w:lang w:val="en-US" w:eastAsia="zh-CN" w:bidi="ar-SA"/>
        </w:rPr>
        <w:t xml:space="preserve"> </w:t>
      </w:r>
      <w:r>
        <w:rPr>
          <w:rFonts w:hint="eastAsia" w:cs="Times New Roman"/>
          <w:color w:val="auto"/>
          <w:kern w:val="2"/>
          <w:sz w:val="24"/>
          <w:szCs w:val="24"/>
          <w:highlight w:val="none"/>
          <w:lang w:val="en-US" w:eastAsia="zh-CN" w:bidi="ar-SA"/>
        </w:rPr>
        <w:t>厂房租赁协议及土地证</w:t>
      </w:r>
    </w:p>
    <w:p w14:paraId="39596285">
      <w:pPr>
        <w:bidi w:val="0"/>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附件7  污水接管证明</w:t>
      </w:r>
    </w:p>
    <w:p w14:paraId="6D267E04">
      <w:pPr>
        <w:rPr>
          <w:rFonts w:hint="eastAsia" w:ascii="Times New Roman" w:hAnsi="Times New Roman" w:eastAsia="宋体" w:cs="Times New Roman"/>
          <w:color w:val="000000" w:themeColor="text1"/>
          <w:sz w:val="24"/>
          <w:highlight w:val="none"/>
          <w14:textFill>
            <w14:solidFill>
              <w14:schemeClr w14:val="tx1"/>
            </w14:solidFill>
          </w14:textFill>
        </w:rPr>
      </w:pPr>
      <w:r>
        <w:rPr>
          <w:rFonts w:hint="eastAsia" w:ascii="Times New Roman" w:hAnsi="Times New Roman" w:eastAsia="宋体" w:cs="Times New Roman"/>
          <w:color w:val="000000" w:themeColor="text1"/>
          <w:sz w:val="24"/>
          <w:highlight w:val="none"/>
          <w:lang w:val="en-US" w:eastAsia="zh-CN"/>
          <w14:textFill>
            <w14:solidFill>
              <w14:schemeClr w14:val="tx1"/>
            </w14:solidFill>
          </w14:textFill>
        </w:rPr>
        <w:t>附件</w:t>
      </w:r>
      <w:r>
        <w:rPr>
          <w:rFonts w:hint="eastAsia" w:ascii="Times New Roman" w:hAnsi="Times New Roman" w:cs="Times New Roman"/>
          <w:color w:val="000000" w:themeColor="text1"/>
          <w:sz w:val="24"/>
          <w:highlight w:val="none"/>
          <w:lang w:val="en-US" w:eastAsia="zh-CN"/>
          <w14:textFill>
            <w14:solidFill>
              <w14:schemeClr w14:val="tx1"/>
            </w14:solidFill>
          </w14:textFill>
        </w:rPr>
        <w:t>8</w:t>
      </w:r>
      <w:r>
        <w:rPr>
          <w:rFonts w:hint="eastAsia"/>
          <w:lang w:val="en-US" w:eastAsia="zh-CN"/>
        </w:rPr>
        <w:t xml:space="preserve"> </w:t>
      </w:r>
      <w:r>
        <w:rPr>
          <w:rFonts w:hint="eastAsia" w:ascii="Times New Roman" w:hAnsi="Times New Roman" w:eastAsia="宋体" w:cs="Times New Roman"/>
          <w:color w:val="000000" w:themeColor="text1"/>
          <w:sz w:val="24"/>
          <w:highlight w:val="none"/>
          <w14:textFill>
            <w14:solidFill>
              <w14:schemeClr w14:val="tx1"/>
            </w14:solidFill>
          </w14:textFill>
        </w:rPr>
        <w:t>建设项目排污许可申请与填报信息表</w:t>
      </w:r>
    </w:p>
    <w:p w14:paraId="4BA5C011">
      <w:pPr>
        <w:rPr>
          <w:rFonts w:hint="eastAsia"/>
          <w:lang w:val="en-US" w:eastAsia="zh-CN"/>
        </w:rPr>
      </w:pPr>
      <w:r>
        <w:rPr>
          <w:rFonts w:hint="eastAsia"/>
          <w:lang w:val="en-US" w:eastAsia="zh-CN"/>
        </w:rPr>
        <w:t>附件9 建设项目排污许可申请与填报附图</w:t>
      </w:r>
    </w:p>
    <w:p w14:paraId="0CFC698F">
      <w:pPr>
        <w:rPr>
          <w:rFonts w:hint="eastAsia" w:ascii="Times New Roman" w:hAnsi="Times New Roman" w:eastAsia="宋体" w:cs="Times New Roman"/>
          <w:b/>
          <w:bCs/>
          <w:color w:val="000000" w:themeColor="text1"/>
          <w:sz w:val="24"/>
          <w:highlight w:val="none"/>
          <w:lang w:val="en-US" w:eastAsia="zh-CN"/>
          <w14:textFill>
            <w14:solidFill>
              <w14:schemeClr w14:val="tx1"/>
            </w14:solidFill>
          </w14:textFill>
        </w:rPr>
      </w:pPr>
      <w:r>
        <w:rPr>
          <w:rFonts w:hint="eastAsia" w:ascii="Times New Roman" w:hAnsi="Times New Roman" w:eastAsia="宋体" w:cs="Times New Roman"/>
          <w:b/>
          <w:bCs/>
          <w:color w:val="000000" w:themeColor="text1"/>
          <w:sz w:val="24"/>
          <w:highlight w:val="none"/>
          <w:lang w:val="en-US" w:eastAsia="zh-CN"/>
          <w14:textFill>
            <w14:solidFill>
              <w14:schemeClr w14:val="tx1"/>
            </w14:solidFill>
          </w14:textFill>
        </w:rPr>
        <w:t>附图</w:t>
      </w:r>
    </w:p>
    <w:p w14:paraId="460D7812">
      <w:pPr>
        <w:rPr>
          <w:rFonts w:hint="eastAsia" w:ascii="Times New Roman" w:hAnsi="Times New Roman"/>
          <w:sz w:val="24"/>
        </w:rPr>
      </w:pPr>
      <w:r>
        <w:rPr>
          <w:rFonts w:ascii="Times New Roman" w:hAnsi="Times New Roman"/>
          <w:sz w:val="24"/>
        </w:rPr>
        <w:t>附图</w:t>
      </w:r>
      <w:r>
        <w:rPr>
          <w:rFonts w:hint="eastAsia"/>
          <w:sz w:val="24"/>
          <w:lang w:val="en-US" w:eastAsia="zh-CN"/>
        </w:rPr>
        <w:t>1</w:t>
      </w:r>
      <w:r>
        <w:rPr>
          <w:rFonts w:hint="eastAsia" w:ascii="Times New Roman" w:hAnsi="Times New Roman"/>
          <w:sz w:val="24"/>
        </w:rPr>
        <w:t xml:space="preserve"> 项目地理位置图</w:t>
      </w:r>
    </w:p>
    <w:p w14:paraId="4059E740">
      <w:pPr>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 xml:space="preserve">附图2 </w:t>
      </w:r>
      <w:r>
        <w:rPr>
          <w:rFonts w:hint="eastAsia"/>
          <w:lang w:val="en-US" w:eastAsia="zh-CN"/>
        </w:rPr>
        <w:t>项目在生态环境分区管控单元的点位图</w:t>
      </w:r>
    </w:p>
    <w:p w14:paraId="64CABD0B">
      <w:pPr>
        <w:rPr>
          <w:rFonts w:hint="default" w:ascii="Times New Roman" w:hAnsi="Times New Roman" w:eastAsia="宋体" w:cs="Times New Roman"/>
          <w:sz w:val="24"/>
          <w:lang w:val="en-US" w:eastAsia="zh-CN"/>
        </w:rPr>
      </w:pPr>
      <w:r>
        <w:rPr>
          <w:rFonts w:hint="eastAsia" w:ascii="Times New Roman" w:hAnsi="Times New Roman" w:eastAsia="宋体" w:cs="Times New Roman"/>
          <w:sz w:val="24"/>
        </w:rPr>
        <w:t>附图</w:t>
      </w:r>
      <w:r>
        <w:rPr>
          <w:rFonts w:hint="eastAsia" w:ascii="Times New Roman" w:hAnsi="Times New Roman" w:eastAsia="宋体" w:cs="Times New Roman"/>
          <w:sz w:val="24"/>
          <w:lang w:val="en-US" w:eastAsia="zh-CN"/>
        </w:rPr>
        <w:t>3 项目周边环境图-大气环境评价范围</w:t>
      </w:r>
    </w:p>
    <w:p w14:paraId="29A0C46F">
      <w:pPr>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 xml:space="preserve">附图4 </w:t>
      </w:r>
      <w:r>
        <w:rPr>
          <w:rFonts w:hint="eastAsia"/>
          <w:sz w:val="24"/>
          <w:highlight w:val="none"/>
          <w:lang w:val="en-US" w:eastAsia="zh-CN"/>
        </w:rPr>
        <w:t>厂区</w:t>
      </w:r>
      <w:r>
        <w:rPr>
          <w:rFonts w:hint="eastAsia"/>
          <w:sz w:val="24"/>
          <w:lang w:val="en-US" w:eastAsia="zh-CN"/>
        </w:rPr>
        <w:t>总</w:t>
      </w:r>
      <w:r>
        <w:rPr>
          <w:rFonts w:hint="eastAsia" w:ascii="Times New Roman" w:hAnsi="Times New Roman"/>
          <w:sz w:val="24"/>
        </w:rPr>
        <w:t>平面布置图</w:t>
      </w:r>
    </w:p>
    <w:p w14:paraId="1BAA7A87">
      <w:pPr>
        <w:rPr>
          <w:rFonts w:hint="eastAsia" w:ascii="Times New Roman" w:hAnsi="Times New Roman"/>
          <w:sz w:val="24"/>
          <w:lang w:val="en-US" w:eastAsia="zh-CN"/>
        </w:rPr>
      </w:pPr>
      <w:r>
        <w:rPr>
          <w:rFonts w:ascii="Times New Roman" w:hAnsi="Times New Roman"/>
          <w:sz w:val="24"/>
        </w:rPr>
        <w:t>附图</w:t>
      </w:r>
      <w:r>
        <w:rPr>
          <w:rFonts w:hint="eastAsia" w:ascii="Times New Roman" w:hAnsi="Times New Roman"/>
          <w:sz w:val="24"/>
          <w:lang w:val="en-US" w:eastAsia="zh-CN"/>
        </w:rPr>
        <w:t>5</w:t>
      </w:r>
      <w:r>
        <w:rPr>
          <w:rFonts w:hint="eastAsia" w:ascii="Times New Roman" w:hAnsi="Times New Roman"/>
          <w:sz w:val="24"/>
        </w:rPr>
        <w:t xml:space="preserve"> 项目</w:t>
      </w:r>
      <w:r>
        <w:rPr>
          <w:rFonts w:hint="eastAsia" w:ascii="Times New Roman" w:hAnsi="Times New Roman"/>
          <w:sz w:val="24"/>
          <w:lang w:val="en-US" w:eastAsia="zh-CN"/>
        </w:rPr>
        <w:t>与淮南市祥瑞木业有限责任公司相对位置图</w:t>
      </w:r>
    </w:p>
    <w:p w14:paraId="704B2747">
      <w:pPr>
        <w:rPr>
          <w:rFonts w:ascii="Times New Roman" w:hAnsi="Times New Roman"/>
          <w:sz w:val="24"/>
        </w:rPr>
      </w:pPr>
      <w:r>
        <w:rPr>
          <w:rFonts w:ascii="Times New Roman" w:hAnsi="Times New Roman"/>
          <w:sz w:val="24"/>
        </w:rPr>
        <w:t>附图</w:t>
      </w:r>
      <w:r>
        <w:rPr>
          <w:rFonts w:hint="eastAsia" w:ascii="Times New Roman" w:hAnsi="Times New Roman"/>
          <w:sz w:val="24"/>
          <w:lang w:val="en-US" w:eastAsia="zh-CN"/>
        </w:rPr>
        <w:t>6</w:t>
      </w:r>
      <w:r>
        <w:rPr>
          <w:rFonts w:hint="eastAsia" w:ascii="Times New Roman" w:hAnsi="Times New Roman"/>
          <w:sz w:val="24"/>
        </w:rPr>
        <w:t xml:space="preserve"> </w:t>
      </w:r>
      <w:r>
        <w:rPr>
          <w:rFonts w:hint="eastAsia" w:ascii="Times New Roman" w:hAnsi="Times New Roman"/>
          <w:sz w:val="24"/>
          <w:lang w:val="en-US" w:eastAsia="zh-CN"/>
        </w:rPr>
        <w:t>厂区雨污管网图</w:t>
      </w:r>
    </w:p>
    <w:p w14:paraId="4218E5F4">
      <w:pPr>
        <w:rPr>
          <w:rFonts w:hint="default" w:ascii="Times New Roman" w:hAnsi="Times New Roman"/>
          <w:sz w:val="24"/>
          <w:lang w:val="en-US" w:eastAsia="zh-CN"/>
        </w:rPr>
      </w:pPr>
      <w:r>
        <w:rPr>
          <w:rFonts w:hint="eastAsia" w:ascii="Times New Roman" w:hAnsi="Times New Roman"/>
          <w:sz w:val="24"/>
          <w:lang w:val="en-US" w:eastAsia="zh-CN"/>
        </w:rPr>
        <w:t>附图7  危废间分区图</w:t>
      </w:r>
    </w:p>
    <w:p w14:paraId="17658493">
      <w:pPr>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附图</w:t>
      </w:r>
      <w:r>
        <w:rPr>
          <w:rFonts w:hint="eastAsia" w:cs="Times New Roman"/>
          <w:sz w:val="24"/>
          <w:lang w:val="en-US" w:eastAsia="zh-CN"/>
        </w:rPr>
        <w:t>8</w:t>
      </w:r>
      <w:r>
        <w:rPr>
          <w:rFonts w:hint="eastAsia" w:ascii="Times New Roman" w:hAnsi="Times New Roman" w:eastAsia="宋体" w:cs="Times New Roman"/>
          <w:sz w:val="24"/>
          <w:lang w:val="en-US" w:eastAsia="zh-CN"/>
        </w:rPr>
        <w:t xml:space="preserve"> 项目与淮南高新技术产业开发区总体发展规划（2024-2035年）功能布局规划图相对位置图</w:t>
      </w:r>
    </w:p>
    <w:p w14:paraId="496AC32C">
      <w:pPr>
        <w:rPr>
          <w:rFonts w:hint="default"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附图</w:t>
      </w:r>
      <w:r>
        <w:rPr>
          <w:rFonts w:hint="eastAsia" w:cs="Times New Roman"/>
          <w:sz w:val="24"/>
          <w:lang w:val="en-US" w:eastAsia="zh-CN"/>
        </w:rPr>
        <w:t>9</w:t>
      </w:r>
      <w:r>
        <w:rPr>
          <w:rFonts w:hint="eastAsia" w:ascii="Times New Roman" w:hAnsi="Times New Roman" w:eastAsia="宋体" w:cs="Times New Roman"/>
          <w:sz w:val="24"/>
          <w:lang w:val="en-US" w:eastAsia="zh-CN"/>
        </w:rPr>
        <w:t xml:space="preserve"> 淮南市中心城区声环境功能区划</w:t>
      </w:r>
    </w:p>
    <w:p w14:paraId="4519EFFD">
      <w:pPr>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附图10 《淮南市国土空间总体规划（2021-2035年）》与本项目相对位置图</w:t>
      </w:r>
    </w:p>
    <w:p w14:paraId="5A63C4B2">
      <w:pPr>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附图11 项目与淮南高新技术产业开发区总体发展规划（2024-2035年）用地布局规划图相对位置图</w:t>
      </w:r>
    </w:p>
    <w:p w14:paraId="4D6FBC04">
      <w:pPr>
        <w:rPr>
          <w:rFonts w:hint="default" w:ascii="Times New Roman" w:hAnsi="Times New Roman" w:eastAsia="宋体" w:cs="Times New Roman"/>
          <w:sz w:val="24"/>
          <w:lang w:val="en-US" w:eastAsia="zh-CN"/>
        </w:rPr>
      </w:pPr>
    </w:p>
    <w:p w14:paraId="6295ADD1">
      <w:pPr>
        <w:rPr>
          <w:rFonts w:hint="eastAsia" w:ascii="Times New Roman" w:hAnsi="Times New Roman" w:eastAsia="宋体" w:cs="Times New Roman"/>
          <w:sz w:val="24"/>
          <w:lang w:val="en-US" w:eastAsia="zh-CN"/>
        </w:rPr>
        <w:sectPr>
          <w:pgSz w:w="11906" w:h="16838"/>
          <w:pgMar w:top="1417" w:right="1417" w:bottom="1417" w:left="1417" w:header="737" w:footer="850" w:gutter="0"/>
          <w:pgBorders>
            <w:top w:val="none" w:sz="0" w:space="0"/>
            <w:left w:val="none" w:sz="0" w:space="0"/>
            <w:bottom w:val="none" w:sz="0" w:space="0"/>
            <w:right w:val="none" w:sz="0" w:space="0"/>
          </w:pgBorders>
          <w:pgNumType w:fmt="decimal" w:start="1"/>
          <w:cols w:space="720" w:num="1"/>
          <w:docGrid w:type="lines" w:linePitch="312" w:charSpace="0"/>
        </w:sectPr>
      </w:pPr>
    </w:p>
    <w:p w14:paraId="03EAEDB5">
      <w:pPr>
        <w:pStyle w:val="2"/>
        <w:ind w:firstLine="0" w:firstLineChars="0"/>
        <w:rPr>
          <w:color w:val="auto"/>
          <w:highlight w:val="none"/>
        </w:rPr>
      </w:pPr>
      <w:bookmarkStart w:id="1" w:name="_Toc19377"/>
      <w:r>
        <w:rPr>
          <w:rFonts w:hint="eastAsia"/>
          <w:color w:val="auto"/>
          <w:highlight w:val="none"/>
        </w:rPr>
        <w:t>一</w:t>
      </w:r>
      <w:r>
        <w:rPr>
          <w:color w:val="auto"/>
          <w:highlight w:val="none"/>
        </w:rPr>
        <w:t>、建设项目基本情况</w:t>
      </w:r>
      <w:bookmarkEnd w:id="1"/>
    </w:p>
    <w:tbl>
      <w:tblPr>
        <w:tblStyle w:val="19"/>
        <w:tblW w:w="90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3"/>
        <w:gridCol w:w="2577"/>
        <w:gridCol w:w="1926"/>
        <w:gridCol w:w="3328"/>
      </w:tblGrid>
      <w:tr w14:paraId="46AC0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193" w:type="dxa"/>
            <w:tcBorders>
              <w:tl2br w:val="nil"/>
              <w:tr2bl w:val="nil"/>
            </w:tcBorders>
            <w:vAlign w:val="center"/>
          </w:tcPr>
          <w:p w14:paraId="60EA3DD2">
            <w:pPr>
              <w:keepNext w:val="0"/>
              <w:keepLines w:val="0"/>
              <w:suppressLineNumbers w:val="0"/>
              <w:spacing w:before="0" w:beforeAutospacing="0" w:after="0" w:afterAutospacing="0" w:line="240" w:lineRule="auto"/>
              <w:ind w:left="0" w:right="0" w:firstLine="0" w:firstLineChars="0"/>
              <w:jc w:val="center"/>
              <w:rPr>
                <w:rFonts w:hint="default"/>
                <w:color w:val="auto"/>
                <w:highlight w:val="none"/>
              </w:rPr>
            </w:pPr>
            <w:r>
              <w:rPr>
                <w:rFonts w:hint="eastAsia"/>
                <w:color w:val="auto"/>
                <w:highlight w:val="none"/>
              </w:rPr>
              <w:t>项目名称</w:t>
            </w:r>
          </w:p>
        </w:tc>
        <w:tc>
          <w:tcPr>
            <w:tcW w:w="7831" w:type="dxa"/>
            <w:gridSpan w:val="3"/>
            <w:tcBorders>
              <w:tl2br w:val="nil"/>
              <w:tr2bl w:val="nil"/>
            </w:tcBorders>
            <w:vAlign w:val="center"/>
          </w:tcPr>
          <w:p w14:paraId="3A8CA323">
            <w:pPr>
              <w:keepNext w:val="0"/>
              <w:keepLines w:val="0"/>
              <w:suppressLineNumbers w:val="0"/>
              <w:spacing w:before="0" w:beforeAutospacing="0" w:after="0" w:afterAutospacing="0" w:line="240" w:lineRule="auto"/>
              <w:ind w:left="0" w:right="0" w:firstLine="0" w:firstLineChars="0"/>
              <w:jc w:val="center"/>
              <w:rPr>
                <w:rFonts w:hint="default"/>
                <w:color w:val="auto"/>
                <w:highlight w:val="none"/>
              </w:rPr>
            </w:pPr>
            <w:r>
              <w:rPr>
                <w:rFonts w:hint="eastAsia"/>
                <w:color w:val="auto"/>
                <w:highlight w:val="none"/>
                <w:lang w:eastAsia="zh-CN"/>
              </w:rPr>
              <w:t>谢家集经济开发区新能源拆解基地项目</w:t>
            </w:r>
          </w:p>
        </w:tc>
      </w:tr>
      <w:tr w14:paraId="66DEE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193" w:type="dxa"/>
            <w:tcBorders>
              <w:tl2br w:val="nil"/>
              <w:tr2bl w:val="nil"/>
            </w:tcBorders>
            <w:vAlign w:val="center"/>
          </w:tcPr>
          <w:p w14:paraId="6D3F5CF0">
            <w:pPr>
              <w:keepNext w:val="0"/>
              <w:keepLines w:val="0"/>
              <w:suppressLineNumbers w:val="0"/>
              <w:spacing w:before="0" w:beforeAutospacing="0" w:after="0" w:afterAutospacing="0" w:line="240" w:lineRule="auto"/>
              <w:ind w:left="0" w:right="0" w:firstLine="0" w:firstLineChars="0"/>
              <w:jc w:val="center"/>
              <w:rPr>
                <w:rFonts w:hint="default"/>
                <w:color w:val="auto"/>
                <w:highlight w:val="none"/>
              </w:rPr>
            </w:pPr>
            <w:r>
              <w:rPr>
                <w:rFonts w:hint="eastAsia"/>
                <w:color w:val="auto"/>
                <w:highlight w:val="none"/>
              </w:rPr>
              <w:t>项目代码</w:t>
            </w:r>
          </w:p>
        </w:tc>
        <w:tc>
          <w:tcPr>
            <w:tcW w:w="7831" w:type="dxa"/>
            <w:gridSpan w:val="3"/>
            <w:tcBorders>
              <w:tl2br w:val="nil"/>
              <w:tr2bl w:val="nil"/>
            </w:tcBorders>
            <w:vAlign w:val="center"/>
          </w:tcPr>
          <w:p w14:paraId="015BB878">
            <w:pPr>
              <w:keepNext w:val="0"/>
              <w:keepLines w:val="0"/>
              <w:widowControl/>
              <w:suppressLineNumbers w:val="0"/>
              <w:spacing w:before="0" w:beforeAutospacing="0" w:after="0" w:afterAutospacing="0" w:line="240" w:lineRule="auto"/>
              <w:ind w:left="0" w:right="0" w:firstLine="480"/>
              <w:jc w:val="center"/>
              <w:rPr>
                <w:rFonts w:hint="default" w:eastAsia="宋体"/>
                <w:color w:val="auto"/>
                <w:highlight w:val="none"/>
                <w:lang w:val="en-US" w:eastAsia="zh-CN"/>
              </w:rPr>
            </w:pPr>
            <w:r>
              <w:rPr>
                <w:rFonts w:hint="eastAsia"/>
                <w:color w:val="auto"/>
                <w:highlight w:val="none"/>
                <w:lang w:val="en-US" w:eastAsia="zh-CN"/>
              </w:rPr>
              <w:t>2604-340404-04-01-528750</w:t>
            </w:r>
          </w:p>
        </w:tc>
      </w:tr>
      <w:tr w14:paraId="003BB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193" w:type="dxa"/>
            <w:tcBorders>
              <w:tl2br w:val="nil"/>
              <w:tr2bl w:val="nil"/>
            </w:tcBorders>
            <w:vAlign w:val="center"/>
          </w:tcPr>
          <w:p w14:paraId="50988647">
            <w:pPr>
              <w:keepNext w:val="0"/>
              <w:keepLines w:val="0"/>
              <w:suppressLineNumbers w:val="0"/>
              <w:spacing w:before="0" w:beforeAutospacing="0" w:after="0" w:afterAutospacing="0" w:line="240" w:lineRule="auto"/>
              <w:ind w:left="0" w:right="0" w:firstLine="0" w:firstLineChars="0"/>
              <w:jc w:val="center"/>
              <w:rPr>
                <w:rFonts w:hint="default"/>
                <w:color w:val="auto"/>
                <w:highlight w:val="none"/>
              </w:rPr>
            </w:pPr>
            <w:r>
              <w:rPr>
                <w:rFonts w:hint="eastAsia"/>
                <w:color w:val="auto"/>
                <w:highlight w:val="none"/>
              </w:rPr>
              <w:t>建设单位联系人</w:t>
            </w:r>
          </w:p>
        </w:tc>
        <w:tc>
          <w:tcPr>
            <w:tcW w:w="2577" w:type="dxa"/>
            <w:tcBorders>
              <w:tl2br w:val="nil"/>
              <w:tr2bl w:val="nil"/>
            </w:tcBorders>
            <w:vAlign w:val="center"/>
          </w:tcPr>
          <w:p w14:paraId="0CFDDBB9">
            <w:pPr>
              <w:keepNext w:val="0"/>
              <w:keepLines w:val="0"/>
              <w:suppressLineNumbers w:val="0"/>
              <w:spacing w:before="0" w:beforeAutospacing="0" w:after="0" w:afterAutospacing="0" w:line="240" w:lineRule="auto"/>
              <w:ind w:left="0" w:right="0" w:firstLine="0" w:firstLineChars="0"/>
              <w:jc w:val="center"/>
              <w:rPr>
                <w:rFonts w:hint="default" w:eastAsia="宋体"/>
                <w:color w:val="auto"/>
                <w:highlight w:val="none"/>
                <w:lang w:val="en-US" w:eastAsia="zh-CN"/>
              </w:rPr>
            </w:pPr>
            <w:r>
              <w:rPr>
                <w:rFonts w:hint="eastAsia"/>
                <w:color w:val="auto"/>
                <w:highlight w:val="none"/>
                <w:lang w:val="en-US" w:eastAsia="zh-CN"/>
              </w:rPr>
              <w:t>王琦</w:t>
            </w:r>
          </w:p>
        </w:tc>
        <w:tc>
          <w:tcPr>
            <w:tcW w:w="1926" w:type="dxa"/>
            <w:tcBorders>
              <w:tl2br w:val="nil"/>
              <w:tr2bl w:val="nil"/>
            </w:tcBorders>
            <w:vAlign w:val="center"/>
          </w:tcPr>
          <w:p w14:paraId="680160CB">
            <w:pPr>
              <w:keepNext w:val="0"/>
              <w:keepLines w:val="0"/>
              <w:suppressLineNumbers w:val="0"/>
              <w:spacing w:before="0" w:beforeAutospacing="0" w:after="0" w:afterAutospacing="0" w:line="240" w:lineRule="auto"/>
              <w:ind w:left="0" w:right="0" w:firstLine="0" w:firstLineChars="0"/>
              <w:jc w:val="center"/>
              <w:rPr>
                <w:rFonts w:hint="default"/>
                <w:color w:val="auto"/>
                <w:highlight w:val="none"/>
              </w:rPr>
            </w:pPr>
            <w:r>
              <w:rPr>
                <w:rFonts w:hint="eastAsia"/>
                <w:color w:val="auto"/>
                <w:highlight w:val="none"/>
              </w:rPr>
              <w:t>联系方式</w:t>
            </w:r>
          </w:p>
        </w:tc>
        <w:tc>
          <w:tcPr>
            <w:tcW w:w="3328" w:type="dxa"/>
            <w:tcBorders>
              <w:tl2br w:val="nil"/>
              <w:tr2bl w:val="nil"/>
            </w:tcBorders>
            <w:vAlign w:val="center"/>
          </w:tcPr>
          <w:p w14:paraId="10444F5B">
            <w:pPr>
              <w:keepNext w:val="0"/>
              <w:keepLines w:val="0"/>
              <w:suppressLineNumbers w:val="0"/>
              <w:spacing w:before="0" w:beforeAutospacing="0" w:after="0" w:afterAutospacing="0" w:line="240" w:lineRule="auto"/>
              <w:ind w:left="0" w:right="0" w:firstLine="0" w:firstLineChars="0"/>
              <w:jc w:val="center"/>
              <w:rPr>
                <w:rFonts w:hint="default" w:eastAsia="宋体"/>
                <w:color w:val="auto"/>
                <w:highlight w:val="none"/>
                <w:lang w:val="en-US" w:eastAsia="zh-CN"/>
              </w:rPr>
            </w:pPr>
            <w:r>
              <w:rPr>
                <w:rFonts w:hint="default" w:eastAsia="宋体"/>
                <w:color w:val="auto"/>
                <w:highlight w:val="none"/>
                <w:lang w:val="en-US" w:eastAsia="zh-CN"/>
              </w:rPr>
              <w:t>13605542629</w:t>
            </w:r>
          </w:p>
        </w:tc>
      </w:tr>
      <w:tr w14:paraId="4C65C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193" w:type="dxa"/>
            <w:tcBorders>
              <w:tl2br w:val="nil"/>
              <w:tr2bl w:val="nil"/>
            </w:tcBorders>
            <w:vAlign w:val="center"/>
          </w:tcPr>
          <w:p w14:paraId="39D156DA">
            <w:pPr>
              <w:keepNext w:val="0"/>
              <w:keepLines w:val="0"/>
              <w:suppressLineNumbers w:val="0"/>
              <w:spacing w:before="0" w:beforeAutospacing="0" w:after="0" w:afterAutospacing="0" w:line="240" w:lineRule="auto"/>
              <w:ind w:left="0" w:right="0" w:firstLine="0" w:firstLineChars="0"/>
              <w:jc w:val="center"/>
              <w:rPr>
                <w:rFonts w:hint="default"/>
                <w:color w:val="auto"/>
                <w:highlight w:val="none"/>
              </w:rPr>
            </w:pPr>
            <w:r>
              <w:rPr>
                <w:rFonts w:hint="eastAsia"/>
                <w:color w:val="auto"/>
                <w:highlight w:val="none"/>
              </w:rPr>
              <w:t>建设地点</w:t>
            </w:r>
          </w:p>
        </w:tc>
        <w:tc>
          <w:tcPr>
            <w:tcW w:w="7831" w:type="dxa"/>
            <w:gridSpan w:val="3"/>
            <w:tcBorders>
              <w:tl2br w:val="nil"/>
              <w:tr2bl w:val="nil"/>
            </w:tcBorders>
            <w:vAlign w:val="center"/>
          </w:tcPr>
          <w:p w14:paraId="7BBA1513">
            <w:pPr>
              <w:keepNext w:val="0"/>
              <w:keepLines w:val="0"/>
              <w:suppressLineNumbers w:val="0"/>
              <w:spacing w:before="0" w:beforeAutospacing="0" w:after="0" w:afterAutospacing="0" w:line="240" w:lineRule="auto"/>
              <w:ind w:left="0" w:right="0" w:firstLine="0" w:firstLineChars="0"/>
              <w:jc w:val="center"/>
              <w:rPr>
                <w:rFonts w:hint="default"/>
                <w:color w:val="auto"/>
                <w:highlight w:val="none"/>
              </w:rPr>
            </w:pPr>
            <w:r>
              <w:rPr>
                <w:rFonts w:hint="eastAsia" w:eastAsiaTheme="minorEastAsia"/>
                <w:color w:val="auto"/>
                <w:szCs w:val="21"/>
                <w:lang w:val="en-US" w:eastAsia="zh-CN"/>
              </w:rPr>
              <w:t>安徽省淮南市谢家集经济开发区祥瑞木业院内</w:t>
            </w:r>
          </w:p>
        </w:tc>
      </w:tr>
      <w:tr w14:paraId="39614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193" w:type="dxa"/>
            <w:tcBorders>
              <w:tl2br w:val="nil"/>
              <w:tr2bl w:val="nil"/>
            </w:tcBorders>
            <w:vAlign w:val="center"/>
          </w:tcPr>
          <w:p w14:paraId="646C7CCF">
            <w:pPr>
              <w:keepNext w:val="0"/>
              <w:keepLines w:val="0"/>
              <w:suppressLineNumbers w:val="0"/>
              <w:spacing w:before="0" w:beforeAutospacing="0" w:after="0" w:afterAutospacing="0" w:line="240" w:lineRule="auto"/>
              <w:ind w:left="0" w:right="0" w:firstLine="0" w:firstLineChars="0"/>
              <w:jc w:val="center"/>
              <w:rPr>
                <w:rFonts w:hint="default"/>
                <w:color w:val="auto"/>
                <w:highlight w:val="none"/>
              </w:rPr>
            </w:pPr>
            <w:r>
              <w:rPr>
                <w:rFonts w:hint="eastAsia"/>
                <w:color w:val="auto"/>
                <w:highlight w:val="none"/>
              </w:rPr>
              <w:t>地理坐标</w:t>
            </w:r>
          </w:p>
        </w:tc>
        <w:tc>
          <w:tcPr>
            <w:tcW w:w="7831" w:type="dxa"/>
            <w:gridSpan w:val="3"/>
            <w:tcBorders>
              <w:tl2br w:val="nil"/>
              <w:tr2bl w:val="nil"/>
            </w:tcBorders>
            <w:vAlign w:val="center"/>
          </w:tcPr>
          <w:p w14:paraId="2076B7BD">
            <w:pPr>
              <w:keepNext w:val="0"/>
              <w:keepLines w:val="0"/>
              <w:suppressLineNumbers w:val="0"/>
              <w:spacing w:before="0" w:beforeAutospacing="0" w:after="0" w:afterAutospacing="0" w:line="240" w:lineRule="auto"/>
              <w:ind w:left="0" w:right="0" w:firstLine="0" w:firstLineChars="0"/>
              <w:jc w:val="center"/>
              <w:rPr>
                <w:rFonts w:hint="default"/>
                <w:color w:val="auto"/>
                <w:highlight w:val="none"/>
                <w:lang w:val="en-US"/>
              </w:rPr>
            </w:pPr>
            <w:r>
              <w:rPr>
                <w:rFonts w:hint="eastAsia"/>
                <w:color w:val="auto"/>
                <w:highlight w:val="none"/>
                <w:lang w:val="en-US" w:eastAsia="zh-CN"/>
              </w:rPr>
              <w:t>经度：</w:t>
            </w:r>
            <w:r>
              <w:rPr>
                <w:rFonts w:hint="default"/>
                <w:color w:val="auto"/>
                <w:highlight w:val="none"/>
                <w:lang w:val="en-US" w:eastAsia="zh-CN"/>
              </w:rPr>
              <w:t>116</w:t>
            </w:r>
            <w:r>
              <w:rPr>
                <w:rFonts w:hint="eastAsia"/>
                <w:color w:val="auto"/>
                <w:highlight w:val="none"/>
                <w:lang w:val="en-US" w:eastAsia="zh-CN"/>
              </w:rPr>
              <w:t>度</w:t>
            </w:r>
            <w:r>
              <w:rPr>
                <w:rFonts w:hint="default"/>
                <w:color w:val="auto"/>
                <w:highlight w:val="none"/>
                <w:lang w:val="en-US" w:eastAsia="zh-CN"/>
              </w:rPr>
              <w:t>53</w:t>
            </w:r>
            <w:r>
              <w:rPr>
                <w:rFonts w:hint="eastAsia"/>
                <w:color w:val="auto"/>
                <w:highlight w:val="none"/>
                <w:lang w:val="en-US" w:eastAsia="zh-CN"/>
              </w:rPr>
              <w:t>分28.780秒</w:t>
            </w:r>
            <w:r>
              <w:rPr>
                <w:rFonts w:hint="eastAsia"/>
                <w:color w:val="auto"/>
                <w:highlight w:val="none"/>
              </w:rPr>
              <w:t>，</w:t>
            </w:r>
            <w:r>
              <w:rPr>
                <w:rFonts w:hint="eastAsia"/>
                <w:color w:val="auto"/>
                <w:highlight w:val="none"/>
                <w:lang w:val="en-US" w:eastAsia="zh-CN"/>
              </w:rPr>
              <w:t>纬度：</w:t>
            </w:r>
            <w:r>
              <w:rPr>
                <w:rFonts w:hint="default"/>
                <w:color w:val="auto"/>
                <w:highlight w:val="none"/>
                <w:lang w:val="en-US" w:eastAsia="zh-CN"/>
              </w:rPr>
              <w:t>32</w:t>
            </w:r>
            <w:r>
              <w:rPr>
                <w:rFonts w:hint="eastAsia"/>
                <w:color w:val="auto"/>
                <w:highlight w:val="none"/>
                <w:lang w:val="en-US" w:eastAsia="zh-CN"/>
              </w:rPr>
              <w:t>度</w:t>
            </w:r>
            <w:r>
              <w:rPr>
                <w:rFonts w:hint="default"/>
                <w:color w:val="auto"/>
                <w:highlight w:val="none"/>
                <w:lang w:val="en-US" w:eastAsia="zh-CN"/>
              </w:rPr>
              <w:t>33</w:t>
            </w:r>
            <w:r>
              <w:rPr>
                <w:rFonts w:hint="eastAsia"/>
                <w:color w:val="auto"/>
                <w:highlight w:val="none"/>
                <w:lang w:val="en-US" w:eastAsia="zh-CN"/>
              </w:rPr>
              <w:t>分45.625秒</w:t>
            </w:r>
          </w:p>
        </w:tc>
      </w:tr>
      <w:tr w14:paraId="4994A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193" w:type="dxa"/>
            <w:tcBorders>
              <w:tl2br w:val="nil"/>
              <w:tr2bl w:val="nil"/>
            </w:tcBorders>
            <w:vAlign w:val="center"/>
          </w:tcPr>
          <w:p w14:paraId="3BA9B53D">
            <w:pPr>
              <w:keepNext w:val="0"/>
              <w:keepLines w:val="0"/>
              <w:suppressLineNumbers w:val="0"/>
              <w:bidi w:val="0"/>
              <w:spacing w:before="0" w:beforeAutospacing="0" w:after="0" w:afterAutospacing="0" w:line="240" w:lineRule="auto"/>
              <w:ind w:left="0" w:leftChars="0" w:right="0" w:firstLine="0" w:firstLineChars="0"/>
              <w:rPr>
                <w:rFonts w:hint="default" w:ascii="Times New Roman" w:hAnsi="Times New Roman" w:eastAsia="宋体" w:cs="Times New Roman"/>
                <w:b w:val="0"/>
                <w:bCs w:val="0"/>
                <w:color w:val="auto"/>
                <w:kern w:val="2"/>
                <w:sz w:val="24"/>
                <w:szCs w:val="24"/>
                <w:lang w:val="en-US" w:eastAsia="zh-CN" w:bidi="ar-SA"/>
              </w:rPr>
            </w:pPr>
            <w:r>
              <w:rPr>
                <w:rFonts w:hint="eastAsia" w:ascii="Times New Roman" w:hAnsi="Times New Roman" w:eastAsia="宋体" w:cs="Times New Roman"/>
                <w:b w:val="0"/>
                <w:bCs w:val="0"/>
                <w:color w:val="auto"/>
                <w:kern w:val="2"/>
                <w:sz w:val="24"/>
                <w:szCs w:val="24"/>
                <w:lang w:val="en-US" w:eastAsia="zh-CN" w:bidi="ar-SA"/>
              </w:rPr>
              <w:t>国民经济行业类别</w:t>
            </w:r>
          </w:p>
        </w:tc>
        <w:tc>
          <w:tcPr>
            <w:tcW w:w="2577" w:type="dxa"/>
            <w:tcBorders>
              <w:tl2br w:val="nil"/>
              <w:tr2bl w:val="nil"/>
            </w:tcBorders>
            <w:vAlign w:val="center"/>
          </w:tcPr>
          <w:p w14:paraId="30C1E2C7">
            <w:pPr>
              <w:keepNext w:val="0"/>
              <w:keepLines w:val="0"/>
              <w:suppressLineNumbers w:val="0"/>
              <w:bidi w:val="0"/>
              <w:spacing w:before="0" w:beforeAutospacing="0" w:after="0" w:afterAutospacing="0" w:line="240" w:lineRule="auto"/>
              <w:ind w:left="0" w:leftChars="0" w:right="0" w:firstLine="0" w:firstLineChars="0"/>
              <w:rPr>
                <w:rFonts w:hint="default" w:ascii="Times New Roman" w:hAnsi="Times New Roman" w:eastAsia="宋体" w:cs="Times New Roman"/>
                <w:b w:val="0"/>
                <w:bCs w:val="0"/>
                <w:color w:val="auto"/>
                <w:kern w:val="2"/>
                <w:sz w:val="24"/>
                <w:szCs w:val="24"/>
                <w:lang w:val="en-US" w:eastAsia="zh-CN" w:bidi="ar-SA"/>
              </w:rPr>
            </w:pPr>
            <w:r>
              <w:rPr>
                <w:rFonts w:hint="default" w:ascii="Times New Roman" w:hAnsi="Times New Roman"/>
                <w:b w:val="0"/>
                <w:bCs w:val="0"/>
                <w:color w:val="auto"/>
                <w:u w:val="none"/>
                <w:lang w:val="en-US" w:eastAsia="zh-CN"/>
              </w:rPr>
              <w:t xml:space="preserve">C4210 </w:t>
            </w:r>
            <w:r>
              <w:rPr>
                <w:rFonts w:hint="eastAsia" w:ascii="Times New Roman" w:hAnsi="Times New Roman"/>
                <w:b w:val="0"/>
                <w:bCs w:val="0"/>
                <w:color w:val="auto"/>
                <w:u w:val="none"/>
                <w:lang w:val="en-US" w:eastAsia="zh-CN"/>
              </w:rPr>
              <w:t>金属废料和碎屑加工处理</w:t>
            </w:r>
            <w:r>
              <w:rPr>
                <w:rFonts w:hint="eastAsia"/>
                <w:b w:val="0"/>
                <w:bCs w:val="0"/>
                <w:color w:val="auto"/>
                <w:u w:val="none"/>
                <w:lang w:val="en-US" w:eastAsia="zh-CN"/>
              </w:rPr>
              <w:t>、</w:t>
            </w:r>
            <w:r>
              <w:rPr>
                <w:rFonts w:hint="default" w:ascii="Times New Roman" w:hAnsi="Times New Roman"/>
                <w:b w:val="0"/>
                <w:bCs w:val="0"/>
                <w:color w:val="auto"/>
                <w:u w:val="none"/>
                <w:lang w:val="en-US" w:eastAsia="zh-CN"/>
              </w:rPr>
              <w:t xml:space="preserve">C4220 </w:t>
            </w:r>
            <w:r>
              <w:rPr>
                <w:rFonts w:hint="eastAsia" w:ascii="Times New Roman" w:hAnsi="Times New Roman"/>
                <w:b w:val="0"/>
                <w:bCs w:val="0"/>
                <w:color w:val="auto"/>
                <w:u w:val="none"/>
                <w:lang w:val="en-US" w:eastAsia="zh-CN"/>
              </w:rPr>
              <w:t>非金属废料和碎屑加工处理</w:t>
            </w:r>
          </w:p>
        </w:tc>
        <w:tc>
          <w:tcPr>
            <w:tcW w:w="1926" w:type="dxa"/>
            <w:tcBorders>
              <w:tl2br w:val="nil"/>
              <w:tr2bl w:val="nil"/>
            </w:tcBorders>
            <w:vAlign w:val="center"/>
          </w:tcPr>
          <w:p w14:paraId="4EECCD59">
            <w:pPr>
              <w:keepNext w:val="0"/>
              <w:keepLines w:val="0"/>
              <w:suppressLineNumbers w:val="0"/>
              <w:bidi w:val="0"/>
              <w:spacing w:before="0" w:beforeAutospacing="0" w:after="0" w:afterAutospacing="0" w:line="240" w:lineRule="auto"/>
              <w:ind w:left="0" w:leftChars="0" w:right="0" w:firstLine="0" w:firstLineChars="0"/>
              <w:jc w:val="center"/>
              <w:rPr>
                <w:rFonts w:hint="eastAsia" w:ascii="Times New Roman" w:hAnsi="Times New Roman" w:eastAsia="宋体" w:cs="Times New Roman"/>
                <w:b w:val="0"/>
                <w:bCs w:val="0"/>
                <w:color w:val="auto"/>
                <w:kern w:val="2"/>
                <w:sz w:val="24"/>
                <w:szCs w:val="24"/>
                <w:lang w:val="en-US" w:eastAsia="zh-CN" w:bidi="ar-SA"/>
              </w:rPr>
            </w:pPr>
            <w:r>
              <w:rPr>
                <w:rFonts w:hint="eastAsia" w:ascii="Times New Roman" w:hAnsi="Times New Roman" w:eastAsia="宋体" w:cs="Times New Roman"/>
                <w:b w:val="0"/>
                <w:bCs w:val="0"/>
                <w:color w:val="auto"/>
                <w:kern w:val="2"/>
                <w:sz w:val="24"/>
                <w:szCs w:val="24"/>
                <w:lang w:val="en-US" w:eastAsia="zh-CN" w:bidi="ar-SA"/>
              </w:rPr>
              <w:t>建设项目</w:t>
            </w:r>
          </w:p>
          <w:p w14:paraId="1D1B95FA">
            <w:pPr>
              <w:keepNext w:val="0"/>
              <w:keepLines w:val="0"/>
              <w:suppressLineNumbers w:val="0"/>
              <w:bidi w:val="0"/>
              <w:spacing w:before="0" w:beforeAutospacing="0" w:after="0" w:afterAutospacing="0" w:line="240" w:lineRule="auto"/>
              <w:ind w:left="0" w:leftChars="0" w:right="0" w:firstLine="0" w:firstLineChars="0"/>
              <w:jc w:val="center"/>
              <w:rPr>
                <w:rFonts w:hint="default" w:ascii="Times New Roman" w:hAnsi="Times New Roman" w:eastAsia="宋体" w:cs="Times New Roman"/>
                <w:b w:val="0"/>
                <w:bCs w:val="0"/>
                <w:color w:val="auto"/>
                <w:kern w:val="2"/>
                <w:sz w:val="24"/>
                <w:szCs w:val="24"/>
                <w:lang w:val="en-US" w:eastAsia="zh-CN" w:bidi="ar-SA"/>
              </w:rPr>
            </w:pPr>
            <w:r>
              <w:rPr>
                <w:rFonts w:hint="eastAsia" w:ascii="Times New Roman" w:hAnsi="Times New Roman" w:eastAsia="宋体" w:cs="Times New Roman"/>
                <w:b w:val="0"/>
                <w:bCs w:val="0"/>
                <w:color w:val="auto"/>
                <w:kern w:val="2"/>
                <w:sz w:val="24"/>
                <w:szCs w:val="24"/>
                <w:lang w:val="en-US" w:eastAsia="zh-CN" w:bidi="ar-SA"/>
              </w:rPr>
              <w:t>行业类别</w:t>
            </w:r>
          </w:p>
        </w:tc>
        <w:tc>
          <w:tcPr>
            <w:tcW w:w="3328" w:type="dxa"/>
            <w:tcBorders>
              <w:tl2br w:val="nil"/>
              <w:tr2bl w:val="nil"/>
            </w:tcBorders>
            <w:vAlign w:val="center"/>
          </w:tcPr>
          <w:p w14:paraId="43112E6F">
            <w:pPr>
              <w:keepNext w:val="0"/>
              <w:keepLines w:val="0"/>
              <w:suppressLineNumbers w:val="0"/>
              <w:bidi w:val="0"/>
              <w:spacing w:before="0" w:beforeAutospacing="0" w:after="0" w:afterAutospacing="0" w:line="240" w:lineRule="auto"/>
              <w:ind w:left="0" w:leftChars="0" w:right="0" w:firstLine="0" w:firstLineChars="0"/>
              <w:rPr>
                <w:rFonts w:hint="default" w:ascii="Times New Roman" w:hAnsi="Times New Roman" w:eastAsia="宋体" w:cs="Times New Roman"/>
                <w:b w:val="0"/>
                <w:bCs w:val="0"/>
                <w:color w:val="auto"/>
                <w:kern w:val="2"/>
                <w:sz w:val="24"/>
                <w:szCs w:val="24"/>
                <w:lang w:val="en-US" w:eastAsia="zh-CN" w:bidi="ar-SA"/>
              </w:rPr>
            </w:pPr>
            <w:r>
              <w:rPr>
                <w:rFonts w:hint="default" w:ascii="Times New Roman" w:hAnsi="Times New Roman" w:eastAsia="宋体" w:cs="Times New Roman"/>
                <w:b w:val="0"/>
                <w:bCs w:val="0"/>
                <w:color w:val="auto"/>
                <w:kern w:val="2"/>
                <w:sz w:val="24"/>
                <w:szCs w:val="24"/>
                <w:lang w:val="en-US" w:eastAsia="zh-CN" w:bidi="ar-SA"/>
              </w:rPr>
              <w:t>三十九、废弃资源综合利用业</w:t>
            </w:r>
          </w:p>
          <w:p w14:paraId="5636B093">
            <w:pPr>
              <w:keepNext w:val="0"/>
              <w:keepLines w:val="0"/>
              <w:suppressLineNumbers w:val="0"/>
              <w:bidi w:val="0"/>
              <w:spacing w:before="0" w:beforeAutospacing="0" w:after="0" w:afterAutospacing="0" w:line="240" w:lineRule="auto"/>
              <w:ind w:left="0" w:leftChars="0" w:right="0" w:firstLine="0" w:firstLineChars="0"/>
              <w:rPr>
                <w:rFonts w:hint="default" w:ascii="Times New Roman" w:hAnsi="Times New Roman" w:eastAsia="宋体" w:cs="Times New Roman"/>
                <w:b w:val="0"/>
                <w:bCs w:val="0"/>
                <w:color w:val="auto"/>
                <w:kern w:val="2"/>
                <w:sz w:val="24"/>
                <w:szCs w:val="24"/>
                <w:lang w:val="en-US" w:eastAsia="zh-CN" w:bidi="ar-SA"/>
              </w:rPr>
            </w:pPr>
            <w:r>
              <w:rPr>
                <w:rFonts w:hint="default" w:ascii="Times New Roman" w:hAnsi="Times New Roman" w:eastAsia="宋体" w:cs="Times New Roman"/>
                <w:b w:val="0"/>
                <w:bCs w:val="0"/>
                <w:color w:val="auto"/>
                <w:kern w:val="2"/>
                <w:sz w:val="24"/>
                <w:szCs w:val="24"/>
                <w:lang w:val="en-US" w:eastAsia="zh-CN" w:bidi="ar-SA"/>
              </w:rPr>
              <w:t>42</w:t>
            </w:r>
            <w:r>
              <w:rPr>
                <w:rFonts w:hint="eastAsia" w:ascii="Times New Roman" w:hAnsi="Times New Roman" w:eastAsia="宋体" w:cs="Times New Roman"/>
                <w:b w:val="0"/>
                <w:bCs w:val="0"/>
                <w:color w:val="auto"/>
                <w:kern w:val="2"/>
                <w:sz w:val="24"/>
                <w:szCs w:val="24"/>
                <w:lang w:val="en-US" w:eastAsia="zh-CN" w:bidi="ar-SA"/>
              </w:rPr>
              <w:t xml:space="preserve">  </w:t>
            </w:r>
            <w:r>
              <w:rPr>
                <w:rFonts w:hint="default" w:ascii="Times New Roman" w:hAnsi="Times New Roman" w:eastAsia="宋体" w:cs="Times New Roman"/>
                <w:b w:val="0"/>
                <w:bCs w:val="0"/>
                <w:color w:val="auto"/>
                <w:kern w:val="2"/>
                <w:sz w:val="24"/>
                <w:szCs w:val="24"/>
                <w:lang w:val="en-US" w:eastAsia="zh-CN" w:bidi="ar-SA"/>
              </w:rPr>
              <w:t>85非金属废料和</w:t>
            </w:r>
            <w:r>
              <w:rPr>
                <w:rFonts w:hint="eastAsia" w:ascii="Times New Roman" w:hAnsi="Times New Roman" w:eastAsia="宋体" w:cs="Times New Roman"/>
                <w:b w:val="0"/>
                <w:bCs w:val="0"/>
                <w:color w:val="auto"/>
                <w:kern w:val="2"/>
                <w:sz w:val="24"/>
                <w:szCs w:val="24"/>
                <w:lang w:val="en-US" w:eastAsia="zh-CN" w:bidi="ar-SA"/>
              </w:rPr>
              <w:t>碎屑</w:t>
            </w:r>
            <w:r>
              <w:rPr>
                <w:rFonts w:hint="default" w:ascii="Times New Roman" w:hAnsi="Times New Roman" w:eastAsia="宋体" w:cs="Times New Roman"/>
                <w:b w:val="0"/>
                <w:bCs w:val="0"/>
                <w:color w:val="auto"/>
                <w:kern w:val="2"/>
                <w:sz w:val="24"/>
                <w:szCs w:val="24"/>
                <w:lang w:val="en-US" w:eastAsia="zh-CN" w:bidi="ar-SA"/>
              </w:rPr>
              <w:t>加工处理422</w:t>
            </w:r>
          </w:p>
        </w:tc>
      </w:tr>
      <w:tr w14:paraId="112E1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193" w:type="dxa"/>
            <w:tcBorders>
              <w:tl2br w:val="nil"/>
              <w:tr2bl w:val="nil"/>
            </w:tcBorders>
            <w:vAlign w:val="center"/>
          </w:tcPr>
          <w:p w14:paraId="66B267DC">
            <w:pPr>
              <w:keepNext w:val="0"/>
              <w:keepLines w:val="0"/>
              <w:suppressLineNumbers w:val="0"/>
              <w:spacing w:before="0" w:beforeAutospacing="0" w:after="0" w:afterAutospacing="0" w:line="240" w:lineRule="auto"/>
              <w:ind w:left="0" w:right="0" w:firstLine="0" w:firstLineChars="0"/>
              <w:jc w:val="center"/>
              <w:rPr>
                <w:rFonts w:hint="default"/>
                <w:color w:val="auto"/>
                <w:highlight w:val="none"/>
              </w:rPr>
            </w:pPr>
            <w:r>
              <w:rPr>
                <w:rFonts w:hint="eastAsia"/>
                <w:color w:val="auto"/>
                <w:highlight w:val="none"/>
              </w:rPr>
              <w:t>建设性质</w:t>
            </w:r>
          </w:p>
        </w:tc>
        <w:tc>
          <w:tcPr>
            <w:tcW w:w="2577" w:type="dxa"/>
            <w:tcBorders>
              <w:tl2br w:val="nil"/>
              <w:tr2bl w:val="nil"/>
            </w:tcBorders>
            <w:vAlign w:val="center"/>
          </w:tcPr>
          <w:p w14:paraId="67C472C4">
            <w:pPr>
              <w:keepNext w:val="0"/>
              <w:keepLines w:val="0"/>
              <w:suppressLineNumbers w:val="0"/>
              <w:spacing w:before="0" w:beforeAutospacing="0" w:after="0" w:afterAutospacing="0" w:line="240" w:lineRule="auto"/>
              <w:ind w:left="0" w:right="0" w:firstLine="0" w:firstLineChars="0"/>
              <w:rPr>
                <w:rFonts w:hint="default"/>
                <w:color w:val="auto"/>
                <w:highlight w:val="none"/>
              </w:rPr>
            </w:pPr>
            <w:r>
              <w:rPr>
                <w:rFonts w:hint="eastAsia"/>
                <w:color w:val="auto"/>
                <w:highlight w:val="none"/>
                <w:lang w:eastAsia="zh-CN"/>
              </w:rPr>
              <w:t>☑</w:t>
            </w:r>
            <w:r>
              <w:rPr>
                <w:rFonts w:hint="eastAsia"/>
                <w:color w:val="auto"/>
                <w:highlight w:val="none"/>
              </w:rPr>
              <w:t>新建（迁建）</w:t>
            </w:r>
          </w:p>
          <w:p w14:paraId="08D732DD">
            <w:pPr>
              <w:keepNext w:val="0"/>
              <w:keepLines w:val="0"/>
              <w:suppressLineNumbers w:val="0"/>
              <w:spacing w:before="0" w:beforeAutospacing="0" w:after="0" w:afterAutospacing="0" w:line="240" w:lineRule="auto"/>
              <w:ind w:left="0" w:right="0" w:firstLine="0" w:firstLineChars="0"/>
              <w:rPr>
                <w:rFonts w:hint="default"/>
                <w:color w:val="auto"/>
                <w:highlight w:val="none"/>
              </w:rPr>
            </w:pPr>
            <w:r>
              <w:rPr>
                <w:rFonts w:hint="eastAsia"/>
                <w:color w:val="auto"/>
                <w:highlight w:val="none"/>
              </w:rPr>
              <w:t>□改建</w:t>
            </w:r>
          </w:p>
          <w:p w14:paraId="2F1FB422">
            <w:pPr>
              <w:keepNext w:val="0"/>
              <w:keepLines w:val="0"/>
              <w:suppressLineNumbers w:val="0"/>
              <w:spacing w:before="0" w:beforeAutospacing="0" w:after="0" w:afterAutospacing="0" w:line="240" w:lineRule="auto"/>
              <w:ind w:left="0" w:right="0" w:firstLine="0" w:firstLineChars="0"/>
              <w:rPr>
                <w:rFonts w:hint="default"/>
                <w:color w:val="auto"/>
                <w:highlight w:val="none"/>
              </w:rPr>
            </w:pPr>
            <w:r>
              <w:rPr>
                <w:rFonts w:hint="eastAsia"/>
                <w:color w:val="auto"/>
                <w:highlight w:val="none"/>
                <w:lang w:eastAsia="zh-CN"/>
              </w:rPr>
              <w:t>□</w:t>
            </w:r>
            <w:r>
              <w:rPr>
                <w:rFonts w:hint="eastAsia"/>
                <w:color w:val="auto"/>
                <w:highlight w:val="none"/>
              </w:rPr>
              <w:t>扩建</w:t>
            </w:r>
          </w:p>
          <w:p w14:paraId="11567C78">
            <w:pPr>
              <w:keepNext w:val="0"/>
              <w:keepLines w:val="0"/>
              <w:suppressLineNumbers w:val="0"/>
              <w:spacing w:before="0" w:beforeAutospacing="0" w:after="0" w:afterAutospacing="0" w:line="240" w:lineRule="auto"/>
              <w:ind w:left="0" w:right="0" w:firstLine="0" w:firstLineChars="0"/>
              <w:rPr>
                <w:rFonts w:hint="default"/>
                <w:color w:val="auto"/>
                <w:highlight w:val="none"/>
              </w:rPr>
            </w:pPr>
            <w:r>
              <w:rPr>
                <w:rFonts w:hint="eastAsia"/>
                <w:color w:val="auto"/>
                <w:highlight w:val="none"/>
                <w:lang w:eastAsia="zh-CN"/>
              </w:rPr>
              <w:t>□</w:t>
            </w:r>
            <w:r>
              <w:rPr>
                <w:rFonts w:hint="eastAsia"/>
                <w:color w:val="auto"/>
                <w:highlight w:val="none"/>
              </w:rPr>
              <w:t>技术改造</w:t>
            </w:r>
          </w:p>
        </w:tc>
        <w:tc>
          <w:tcPr>
            <w:tcW w:w="1926" w:type="dxa"/>
            <w:tcBorders>
              <w:tl2br w:val="nil"/>
              <w:tr2bl w:val="nil"/>
            </w:tcBorders>
            <w:vAlign w:val="center"/>
          </w:tcPr>
          <w:p w14:paraId="2F39B615">
            <w:pPr>
              <w:keepNext w:val="0"/>
              <w:keepLines w:val="0"/>
              <w:suppressLineNumbers w:val="0"/>
              <w:spacing w:before="0" w:beforeAutospacing="0" w:after="0" w:afterAutospacing="0" w:line="240" w:lineRule="auto"/>
              <w:ind w:left="0" w:right="0" w:firstLine="0" w:firstLineChars="0"/>
              <w:jc w:val="center"/>
              <w:rPr>
                <w:rFonts w:hint="default"/>
                <w:color w:val="auto"/>
                <w:highlight w:val="none"/>
              </w:rPr>
            </w:pPr>
            <w:r>
              <w:rPr>
                <w:rFonts w:hint="eastAsia"/>
                <w:color w:val="auto"/>
                <w:highlight w:val="none"/>
              </w:rPr>
              <w:t>建设项目申报情形</w:t>
            </w:r>
          </w:p>
        </w:tc>
        <w:tc>
          <w:tcPr>
            <w:tcW w:w="3328" w:type="dxa"/>
            <w:tcBorders>
              <w:tl2br w:val="nil"/>
              <w:tr2bl w:val="nil"/>
            </w:tcBorders>
            <w:vAlign w:val="center"/>
          </w:tcPr>
          <w:p w14:paraId="5E1A840C">
            <w:pPr>
              <w:keepNext w:val="0"/>
              <w:keepLines w:val="0"/>
              <w:suppressLineNumbers w:val="0"/>
              <w:spacing w:before="82" w:beforeAutospacing="0" w:after="0" w:afterAutospacing="0" w:line="240" w:lineRule="auto"/>
              <w:ind w:left="0" w:right="0" w:firstLine="0" w:firstLineChars="0"/>
              <w:rPr>
                <w:rFonts w:hint="default" w:ascii="宋体" w:hAnsi="宋体"/>
                <w:color w:val="auto"/>
                <w:highlight w:val="none"/>
              </w:rPr>
            </w:pPr>
            <w:r>
              <w:rPr>
                <w:rFonts w:hint="eastAsia"/>
                <w:color w:val="auto"/>
                <w:highlight w:val="none"/>
              </w:rPr>
              <w:t>☑</w:t>
            </w:r>
            <w:r>
              <w:rPr>
                <w:rFonts w:hint="eastAsia" w:ascii="宋体" w:hAnsi="宋体"/>
                <w:color w:val="auto"/>
                <w:highlight w:val="none"/>
              </w:rPr>
              <w:t>首次申报项目</w:t>
            </w:r>
          </w:p>
          <w:p w14:paraId="4ADB873B">
            <w:pPr>
              <w:keepNext w:val="0"/>
              <w:keepLines w:val="0"/>
              <w:suppressLineNumbers w:val="0"/>
              <w:spacing w:before="5" w:beforeAutospacing="0" w:after="0" w:afterAutospacing="0" w:line="240" w:lineRule="auto"/>
              <w:ind w:left="247" w:leftChars="3" w:right="0" w:hanging="240" w:hangingChars="100"/>
              <w:rPr>
                <w:rFonts w:hint="default" w:ascii="宋体" w:hAnsi="宋体"/>
                <w:color w:val="auto"/>
                <w:highlight w:val="none"/>
              </w:rPr>
            </w:pPr>
            <w:r>
              <w:rPr>
                <w:rFonts w:hint="eastAsia"/>
                <w:color w:val="auto"/>
                <w:highlight w:val="none"/>
              </w:rPr>
              <w:t>□</w:t>
            </w:r>
            <w:r>
              <w:rPr>
                <w:rFonts w:hint="eastAsia" w:ascii="宋体" w:hAnsi="宋体"/>
                <w:color w:val="auto"/>
                <w:highlight w:val="none"/>
              </w:rPr>
              <w:t>不予批准后再次申报项目</w:t>
            </w:r>
          </w:p>
          <w:p w14:paraId="16EEA6A8">
            <w:pPr>
              <w:keepNext w:val="0"/>
              <w:keepLines w:val="0"/>
              <w:suppressLineNumbers w:val="0"/>
              <w:tabs>
                <w:tab w:val="left" w:pos="198"/>
              </w:tabs>
              <w:spacing w:before="2" w:beforeAutospacing="0" w:after="0" w:afterAutospacing="0" w:line="240" w:lineRule="auto"/>
              <w:ind w:left="0" w:right="0" w:firstLine="0" w:firstLineChars="0"/>
              <w:rPr>
                <w:rFonts w:hint="default" w:ascii="宋体" w:hAnsi="宋体"/>
                <w:color w:val="auto"/>
                <w:highlight w:val="none"/>
              </w:rPr>
            </w:pPr>
            <w:r>
              <w:rPr>
                <w:rFonts w:hint="eastAsia"/>
                <w:color w:val="auto"/>
                <w:highlight w:val="none"/>
              </w:rPr>
              <w:t>□</w:t>
            </w:r>
            <w:r>
              <w:rPr>
                <w:rFonts w:hint="eastAsia" w:ascii="宋体" w:hAnsi="宋体"/>
                <w:color w:val="auto"/>
                <w:spacing w:val="-3"/>
                <w:highlight w:val="none"/>
              </w:rPr>
              <w:t>超五年重新审核项目</w:t>
            </w:r>
          </w:p>
          <w:p w14:paraId="3F8C118E">
            <w:pPr>
              <w:keepNext w:val="0"/>
              <w:keepLines w:val="0"/>
              <w:suppressLineNumbers w:val="0"/>
              <w:spacing w:before="5" w:beforeAutospacing="0" w:after="0" w:afterAutospacing="0" w:line="240" w:lineRule="auto"/>
              <w:ind w:left="0" w:right="0" w:firstLine="0" w:firstLineChars="0"/>
              <w:rPr>
                <w:rFonts w:hint="default" w:ascii="宋体" w:hAnsi="宋体"/>
                <w:color w:val="auto"/>
                <w:highlight w:val="none"/>
              </w:rPr>
            </w:pPr>
            <w:r>
              <w:rPr>
                <w:rFonts w:hint="eastAsia"/>
                <w:color w:val="auto"/>
                <w:highlight w:val="none"/>
              </w:rPr>
              <w:t>□</w:t>
            </w:r>
            <w:r>
              <w:rPr>
                <w:rFonts w:hint="eastAsia" w:ascii="宋体" w:hAnsi="宋体"/>
                <w:color w:val="auto"/>
                <w:highlight w:val="none"/>
              </w:rPr>
              <w:t>重大变动重新报批项目</w:t>
            </w:r>
          </w:p>
        </w:tc>
      </w:tr>
      <w:tr w14:paraId="6F2E9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193" w:type="dxa"/>
            <w:tcBorders>
              <w:tl2br w:val="nil"/>
              <w:tr2bl w:val="nil"/>
            </w:tcBorders>
            <w:vAlign w:val="center"/>
          </w:tcPr>
          <w:p w14:paraId="78CAF587">
            <w:pPr>
              <w:keepNext w:val="0"/>
              <w:keepLines w:val="0"/>
              <w:suppressLineNumbers w:val="0"/>
              <w:spacing w:before="0" w:beforeAutospacing="0" w:after="0" w:afterAutospacing="0" w:line="240" w:lineRule="auto"/>
              <w:ind w:left="0" w:right="0" w:firstLine="0" w:firstLineChars="0"/>
              <w:jc w:val="center"/>
              <w:rPr>
                <w:rFonts w:hint="default"/>
                <w:color w:val="auto"/>
                <w:highlight w:val="none"/>
              </w:rPr>
            </w:pPr>
            <w:r>
              <w:rPr>
                <w:rFonts w:hint="eastAsia"/>
                <w:color w:val="auto"/>
                <w:highlight w:val="none"/>
              </w:rPr>
              <w:t>项目审批（核准/备案）部门</w:t>
            </w:r>
          </w:p>
        </w:tc>
        <w:tc>
          <w:tcPr>
            <w:tcW w:w="2577" w:type="dxa"/>
            <w:tcBorders>
              <w:tl2br w:val="nil"/>
              <w:tr2bl w:val="nil"/>
            </w:tcBorders>
            <w:vAlign w:val="center"/>
          </w:tcPr>
          <w:p w14:paraId="5D6F8C9F">
            <w:pPr>
              <w:keepNext w:val="0"/>
              <w:keepLines w:val="0"/>
              <w:suppressLineNumbers w:val="0"/>
              <w:spacing w:before="0" w:beforeAutospacing="0" w:after="0" w:afterAutospacing="0" w:line="240" w:lineRule="auto"/>
              <w:ind w:left="0" w:right="0" w:firstLine="0" w:firstLineChars="0"/>
              <w:jc w:val="center"/>
              <w:rPr>
                <w:rFonts w:hint="default"/>
                <w:color w:val="auto"/>
                <w:highlight w:val="none"/>
              </w:rPr>
            </w:pPr>
            <w:r>
              <w:rPr>
                <w:rFonts w:hint="eastAsia" w:ascii="Times New Roman" w:hAnsi="Times New Roman" w:eastAsia="宋体"/>
                <w:color w:val="auto"/>
                <w:sz w:val="24"/>
              </w:rPr>
              <w:t>淮南</w:t>
            </w:r>
            <w:r>
              <w:rPr>
                <w:rFonts w:hint="eastAsia" w:ascii="Times New Roman" w:hAnsi="Times New Roman" w:eastAsia="宋体"/>
                <w:color w:val="auto"/>
                <w:sz w:val="24"/>
                <w:lang w:val="en-US" w:eastAsia="zh-CN"/>
              </w:rPr>
              <w:t>市</w:t>
            </w:r>
            <w:r>
              <w:rPr>
                <w:rFonts w:hint="eastAsia" w:ascii="Times New Roman" w:hAnsi="Times New Roman" w:eastAsia="宋体"/>
                <w:color w:val="auto"/>
                <w:sz w:val="24"/>
              </w:rPr>
              <w:t>谢家集区发展和改革委员会</w:t>
            </w:r>
          </w:p>
        </w:tc>
        <w:tc>
          <w:tcPr>
            <w:tcW w:w="1926" w:type="dxa"/>
            <w:tcBorders>
              <w:tl2br w:val="nil"/>
              <w:tr2bl w:val="nil"/>
            </w:tcBorders>
            <w:vAlign w:val="center"/>
          </w:tcPr>
          <w:p w14:paraId="120AEA2D">
            <w:pPr>
              <w:keepNext w:val="0"/>
              <w:keepLines w:val="0"/>
              <w:suppressLineNumbers w:val="0"/>
              <w:spacing w:before="0" w:beforeAutospacing="0" w:after="0" w:afterAutospacing="0" w:line="240" w:lineRule="auto"/>
              <w:ind w:left="0" w:right="0" w:firstLine="0" w:firstLineChars="0"/>
              <w:jc w:val="center"/>
              <w:rPr>
                <w:rFonts w:hint="default"/>
                <w:color w:val="auto"/>
                <w:highlight w:val="none"/>
              </w:rPr>
            </w:pPr>
            <w:r>
              <w:rPr>
                <w:rFonts w:hint="eastAsia"/>
                <w:color w:val="auto"/>
                <w:highlight w:val="none"/>
              </w:rPr>
              <w:t>项目审批（核准/备案）文号</w:t>
            </w:r>
          </w:p>
        </w:tc>
        <w:tc>
          <w:tcPr>
            <w:tcW w:w="3328" w:type="dxa"/>
            <w:tcBorders>
              <w:tl2br w:val="nil"/>
              <w:tr2bl w:val="nil"/>
            </w:tcBorders>
            <w:vAlign w:val="center"/>
          </w:tcPr>
          <w:p w14:paraId="71028A42">
            <w:pPr>
              <w:keepNext w:val="0"/>
              <w:keepLines w:val="0"/>
              <w:suppressLineNumbers w:val="0"/>
              <w:spacing w:before="0" w:beforeAutospacing="0" w:after="0" w:afterAutospacing="0" w:line="240" w:lineRule="auto"/>
              <w:ind w:left="0" w:right="0" w:firstLine="0" w:firstLineChars="0"/>
              <w:jc w:val="center"/>
              <w:rPr>
                <w:rFonts w:hint="eastAsia" w:eastAsia="宋体"/>
                <w:color w:val="auto"/>
                <w:highlight w:val="none"/>
                <w:lang w:eastAsia="zh-CN"/>
              </w:rPr>
            </w:pPr>
            <w:r>
              <w:rPr>
                <w:rFonts w:hint="eastAsia"/>
                <w:color w:val="auto"/>
                <w:highlight w:val="none"/>
                <w:lang w:val="en-US" w:eastAsia="zh-CN"/>
              </w:rPr>
              <w:t>/</w:t>
            </w:r>
          </w:p>
        </w:tc>
      </w:tr>
      <w:tr w14:paraId="25470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193" w:type="dxa"/>
            <w:tcBorders>
              <w:tl2br w:val="nil"/>
              <w:tr2bl w:val="nil"/>
            </w:tcBorders>
            <w:vAlign w:val="center"/>
          </w:tcPr>
          <w:p w14:paraId="4BBE44C9">
            <w:pPr>
              <w:keepNext w:val="0"/>
              <w:keepLines w:val="0"/>
              <w:suppressLineNumbers w:val="0"/>
              <w:spacing w:before="0" w:beforeAutospacing="0" w:after="0" w:afterAutospacing="0" w:line="240" w:lineRule="auto"/>
              <w:ind w:left="0" w:right="0" w:firstLine="0" w:firstLineChars="0"/>
              <w:jc w:val="center"/>
              <w:rPr>
                <w:rFonts w:hint="default"/>
                <w:color w:val="auto"/>
                <w:highlight w:val="none"/>
              </w:rPr>
            </w:pPr>
            <w:r>
              <w:rPr>
                <w:rFonts w:hint="eastAsia"/>
                <w:color w:val="auto"/>
                <w:highlight w:val="none"/>
              </w:rPr>
              <w:t>总投资</w:t>
            </w:r>
          </w:p>
          <w:p w14:paraId="0B066F9E">
            <w:pPr>
              <w:keepNext w:val="0"/>
              <w:keepLines w:val="0"/>
              <w:suppressLineNumbers w:val="0"/>
              <w:spacing w:before="0" w:beforeAutospacing="0" w:after="0" w:afterAutospacing="0" w:line="240" w:lineRule="auto"/>
              <w:ind w:left="0" w:right="0" w:firstLine="0" w:firstLineChars="0"/>
              <w:jc w:val="center"/>
              <w:rPr>
                <w:rFonts w:hint="default"/>
                <w:color w:val="auto"/>
                <w:highlight w:val="none"/>
              </w:rPr>
            </w:pPr>
            <w:r>
              <w:rPr>
                <w:rFonts w:hint="eastAsia"/>
                <w:color w:val="auto"/>
                <w:highlight w:val="none"/>
              </w:rPr>
              <w:t>（万元）</w:t>
            </w:r>
          </w:p>
        </w:tc>
        <w:tc>
          <w:tcPr>
            <w:tcW w:w="2577" w:type="dxa"/>
            <w:tcBorders>
              <w:tl2br w:val="nil"/>
              <w:tr2bl w:val="nil"/>
            </w:tcBorders>
            <w:shd w:val="clear" w:color="auto" w:fill="auto"/>
            <w:vAlign w:val="center"/>
          </w:tcPr>
          <w:p w14:paraId="2F4486C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4"/>
                <w:szCs w:val="24"/>
                <w:highlight w:val="none"/>
                <w:lang w:val="en-US" w:eastAsia="zh-CN" w:bidi="ar-SA"/>
              </w:rPr>
            </w:pPr>
            <w:r>
              <w:rPr>
                <w:rFonts w:hint="eastAsia"/>
                <w:color w:val="auto"/>
                <w:highlight w:val="none"/>
                <w:lang w:val="en-US" w:eastAsia="zh-CN"/>
              </w:rPr>
              <w:t>500</w:t>
            </w:r>
          </w:p>
        </w:tc>
        <w:tc>
          <w:tcPr>
            <w:tcW w:w="1926" w:type="dxa"/>
            <w:tcBorders>
              <w:tl2br w:val="nil"/>
              <w:tr2bl w:val="nil"/>
            </w:tcBorders>
            <w:shd w:val="clear" w:color="auto" w:fill="auto"/>
            <w:vAlign w:val="center"/>
          </w:tcPr>
          <w:p w14:paraId="7C53E052">
            <w:pPr>
              <w:keepNext w:val="0"/>
              <w:keepLines w:val="0"/>
              <w:suppressLineNumbers w:val="0"/>
              <w:spacing w:before="0" w:beforeAutospacing="0" w:after="0" w:afterAutospacing="0" w:line="240" w:lineRule="auto"/>
              <w:ind w:left="0" w:right="0" w:firstLine="0" w:firstLineChars="0"/>
              <w:jc w:val="center"/>
              <w:rPr>
                <w:rFonts w:hint="default"/>
                <w:color w:val="auto"/>
              </w:rPr>
            </w:pPr>
            <w:r>
              <w:rPr>
                <w:rFonts w:hint="eastAsia"/>
                <w:color w:val="auto"/>
              </w:rPr>
              <w:t>环保投资</w:t>
            </w:r>
          </w:p>
          <w:p w14:paraId="4726A5B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4"/>
                <w:szCs w:val="24"/>
                <w:lang w:val="en-US" w:eastAsia="zh-CN" w:bidi="ar-SA"/>
              </w:rPr>
            </w:pPr>
            <w:r>
              <w:rPr>
                <w:rFonts w:hint="eastAsia"/>
                <w:color w:val="auto"/>
              </w:rPr>
              <w:t>（万元）</w:t>
            </w:r>
          </w:p>
        </w:tc>
        <w:tc>
          <w:tcPr>
            <w:tcW w:w="3328" w:type="dxa"/>
            <w:tcBorders>
              <w:tl2br w:val="nil"/>
              <w:tr2bl w:val="nil"/>
            </w:tcBorders>
            <w:shd w:val="clear" w:color="auto" w:fill="auto"/>
            <w:vAlign w:val="center"/>
          </w:tcPr>
          <w:p w14:paraId="27E46A1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4"/>
                <w:szCs w:val="24"/>
                <w:lang w:val="en-US" w:eastAsia="zh-CN" w:bidi="ar-SA"/>
              </w:rPr>
            </w:pPr>
            <w:r>
              <w:rPr>
                <w:rFonts w:hint="eastAsia"/>
                <w:color w:val="auto"/>
                <w:highlight w:val="none"/>
                <w:lang w:val="en-US" w:eastAsia="zh-CN"/>
              </w:rPr>
              <w:t>20</w:t>
            </w:r>
          </w:p>
        </w:tc>
      </w:tr>
      <w:tr w14:paraId="5DC6A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193" w:type="dxa"/>
            <w:tcBorders>
              <w:tl2br w:val="nil"/>
              <w:tr2bl w:val="nil"/>
            </w:tcBorders>
            <w:vAlign w:val="center"/>
          </w:tcPr>
          <w:p w14:paraId="7D29206C">
            <w:pPr>
              <w:keepNext w:val="0"/>
              <w:keepLines w:val="0"/>
              <w:suppressLineNumbers w:val="0"/>
              <w:spacing w:before="0" w:beforeAutospacing="0" w:after="0" w:afterAutospacing="0" w:line="240" w:lineRule="auto"/>
              <w:ind w:left="0" w:right="0" w:firstLine="0" w:firstLineChars="0"/>
              <w:jc w:val="center"/>
              <w:rPr>
                <w:rFonts w:hint="default"/>
                <w:color w:val="auto"/>
                <w:highlight w:val="none"/>
              </w:rPr>
            </w:pPr>
            <w:r>
              <w:rPr>
                <w:rFonts w:hint="eastAsia"/>
                <w:color w:val="auto"/>
                <w:highlight w:val="none"/>
              </w:rPr>
              <w:t>环保投资占比（%）</w:t>
            </w:r>
          </w:p>
        </w:tc>
        <w:tc>
          <w:tcPr>
            <w:tcW w:w="2577" w:type="dxa"/>
            <w:tcBorders>
              <w:tl2br w:val="nil"/>
              <w:tr2bl w:val="nil"/>
            </w:tcBorders>
            <w:shd w:val="clear" w:color="auto" w:fill="auto"/>
            <w:vAlign w:val="center"/>
          </w:tcPr>
          <w:p w14:paraId="3C2B046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4"/>
                <w:szCs w:val="24"/>
                <w:highlight w:val="none"/>
                <w:lang w:val="en-US" w:eastAsia="zh-CN" w:bidi="ar-SA"/>
              </w:rPr>
            </w:pPr>
            <w:r>
              <w:rPr>
                <w:rFonts w:hint="eastAsia"/>
                <w:color w:val="auto"/>
                <w:highlight w:val="none"/>
                <w:lang w:val="en-US" w:eastAsia="zh-CN"/>
              </w:rPr>
              <w:t>4</w:t>
            </w:r>
          </w:p>
        </w:tc>
        <w:tc>
          <w:tcPr>
            <w:tcW w:w="1926" w:type="dxa"/>
            <w:tcBorders>
              <w:tl2br w:val="nil"/>
              <w:tr2bl w:val="nil"/>
            </w:tcBorders>
            <w:shd w:val="clear" w:color="auto" w:fill="auto"/>
            <w:vAlign w:val="center"/>
          </w:tcPr>
          <w:p w14:paraId="60294A1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4"/>
                <w:szCs w:val="24"/>
                <w:lang w:val="en-US" w:eastAsia="zh-CN" w:bidi="ar-SA"/>
              </w:rPr>
            </w:pPr>
            <w:r>
              <w:rPr>
                <w:rFonts w:hint="eastAsia"/>
                <w:color w:val="auto"/>
              </w:rPr>
              <w:t>施工工期</w:t>
            </w:r>
          </w:p>
        </w:tc>
        <w:tc>
          <w:tcPr>
            <w:tcW w:w="3328" w:type="dxa"/>
            <w:tcBorders>
              <w:tl2br w:val="nil"/>
              <w:tr2bl w:val="nil"/>
            </w:tcBorders>
            <w:shd w:val="clear" w:color="auto" w:fill="auto"/>
            <w:vAlign w:val="center"/>
          </w:tcPr>
          <w:p w14:paraId="32A38323">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cs="Times New Roman"/>
                <w:color w:val="auto"/>
                <w:kern w:val="2"/>
                <w:sz w:val="24"/>
                <w:szCs w:val="24"/>
                <w:lang w:val="en-US" w:eastAsia="zh-CN" w:bidi="ar-SA"/>
              </w:rPr>
            </w:pPr>
            <w:r>
              <w:rPr>
                <w:rFonts w:hint="eastAsia"/>
                <w:color w:val="auto"/>
                <w:lang w:val="en-US" w:eastAsia="zh-CN"/>
              </w:rPr>
              <w:t>3</w:t>
            </w:r>
            <w:r>
              <w:rPr>
                <w:rFonts w:hint="eastAsia"/>
                <w:color w:val="auto"/>
              </w:rPr>
              <w:t>个月</w:t>
            </w:r>
          </w:p>
        </w:tc>
      </w:tr>
      <w:tr w14:paraId="1EC1C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193" w:type="dxa"/>
            <w:tcBorders>
              <w:tl2br w:val="nil"/>
              <w:tr2bl w:val="nil"/>
            </w:tcBorders>
            <w:vAlign w:val="center"/>
          </w:tcPr>
          <w:p w14:paraId="7A8C26FE">
            <w:pPr>
              <w:keepNext w:val="0"/>
              <w:keepLines w:val="0"/>
              <w:suppressLineNumbers w:val="0"/>
              <w:spacing w:before="0" w:beforeAutospacing="0" w:after="0" w:afterAutospacing="0" w:line="240" w:lineRule="auto"/>
              <w:ind w:left="0" w:right="0" w:firstLine="0" w:firstLineChars="0"/>
              <w:jc w:val="center"/>
              <w:rPr>
                <w:rFonts w:hint="default"/>
                <w:color w:val="auto"/>
                <w:highlight w:val="none"/>
              </w:rPr>
            </w:pPr>
            <w:r>
              <w:rPr>
                <w:rFonts w:hint="eastAsia"/>
                <w:color w:val="auto"/>
                <w:highlight w:val="none"/>
              </w:rPr>
              <w:t>是否开工建设</w:t>
            </w:r>
          </w:p>
        </w:tc>
        <w:tc>
          <w:tcPr>
            <w:tcW w:w="2577" w:type="dxa"/>
            <w:tcBorders>
              <w:tl2br w:val="nil"/>
              <w:tr2bl w:val="nil"/>
            </w:tcBorders>
            <w:vAlign w:val="center"/>
          </w:tcPr>
          <w:p w14:paraId="4798A333">
            <w:pPr>
              <w:keepNext w:val="0"/>
              <w:keepLines w:val="0"/>
              <w:suppressLineNumbers w:val="0"/>
              <w:spacing w:before="0" w:beforeAutospacing="0" w:after="0" w:afterAutospacing="0" w:line="240" w:lineRule="auto"/>
              <w:ind w:left="0" w:right="0" w:firstLine="0" w:firstLineChars="0"/>
              <w:rPr>
                <w:rFonts w:hint="default"/>
                <w:color w:val="auto"/>
                <w:highlight w:val="none"/>
              </w:rPr>
            </w:pPr>
            <w:r>
              <w:rPr>
                <w:rFonts w:hint="eastAsia"/>
                <w:color w:val="auto"/>
                <w:highlight w:val="none"/>
              </w:rPr>
              <w:t>☑否</w:t>
            </w:r>
          </w:p>
          <w:p w14:paraId="0DDE64BE">
            <w:pPr>
              <w:keepNext w:val="0"/>
              <w:keepLines w:val="0"/>
              <w:suppressLineNumbers w:val="0"/>
              <w:spacing w:before="31" w:beforeLines="10" w:beforeAutospacing="0" w:after="0" w:afterAutospacing="1" w:line="240" w:lineRule="auto"/>
              <w:ind w:left="0" w:right="0" w:firstLine="0" w:firstLineChars="0"/>
              <w:jc w:val="both"/>
              <w:rPr>
                <w:rFonts w:hint="default" w:ascii="宋体" w:hAnsi="宋体" w:cs="宋体"/>
                <w:color w:val="auto"/>
                <w:highlight w:val="none"/>
              </w:rPr>
            </w:pPr>
            <w:r>
              <w:rPr>
                <w:rFonts w:hint="eastAsia"/>
                <w:color w:val="auto"/>
                <w:highlight w:val="none"/>
              </w:rPr>
              <w:t>□</w:t>
            </w:r>
            <w:r>
              <w:rPr>
                <w:rFonts w:hint="eastAsia" w:ascii="宋体" w:hAnsi="宋体"/>
                <w:color w:val="auto"/>
                <w:highlight w:val="none"/>
              </w:rPr>
              <w:t>是</w:t>
            </w:r>
          </w:p>
        </w:tc>
        <w:tc>
          <w:tcPr>
            <w:tcW w:w="1926" w:type="dxa"/>
            <w:tcBorders>
              <w:tl2br w:val="nil"/>
              <w:tr2bl w:val="nil"/>
            </w:tcBorders>
            <w:vAlign w:val="center"/>
          </w:tcPr>
          <w:p w14:paraId="6F6DD335">
            <w:pPr>
              <w:keepNext w:val="0"/>
              <w:keepLines w:val="0"/>
              <w:suppressLineNumbers w:val="0"/>
              <w:spacing w:before="78" w:beforeAutospacing="0" w:after="0" w:afterAutospacing="0" w:line="240" w:lineRule="auto"/>
              <w:ind w:left="0" w:right="160" w:firstLine="0" w:firstLineChars="0"/>
              <w:jc w:val="center"/>
              <w:rPr>
                <w:rFonts w:hint="default"/>
                <w:color w:val="auto"/>
                <w:highlight w:val="none"/>
              </w:rPr>
            </w:pPr>
            <w:r>
              <w:rPr>
                <w:rFonts w:hint="eastAsia"/>
                <w:color w:val="auto"/>
                <w:highlight w:val="none"/>
              </w:rPr>
              <w:t>用地面积（</w:t>
            </w:r>
            <w:r>
              <w:rPr>
                <w:rFonts w:hint="eastAsia"/>
                <w:color w:val="auto"/>
                <w:highlight w:val="none"/>
                <w:lang w:eastAsia="zh-CN"/>
              </w:rPr>
              <w:t>㎡</w:t>
            </w:r>
            <w:r>
              <w:rPr>
                <w:rFonts w:hint="eastAsia"/>
                <w:color w:val="auto"/>
                <w:highlight w:val="none"/>
              </w:rPr>
              <w:t>）</w:t>
            </w:r>
          </w:p>
        </w:tc>
        <w:tc>
          <w:tcPr>
            <w:tcW w:w="3328" w:type="dxa"/>
            <w:tcBorders>
              <w:tl2br w:val="nil"/>
              <w:tr2bl w:val="nil"/>
            </w:tcBorders>
            <w:vAlign w:val="center"/>
          </w:tcPr>
          <w:p w14:paraId="613D5E25">
            <w:pPr>
              <w:keepNext w:val="0"/>
              <w:keepLines w:val="0"/>
              <w:pageBreakBefore w:val="0"/>
              <w:widowControl w:val="0"/>
              <w:suppressLineNumbers w:val="0"/>
              <w:kinsoku/>
              <w:wordWrap w:val="0"/>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default" w:eastAsia="宋体"/>
                <w:color w:val="auto"/>
                <w:highlight w:val="none"/>
                <w:lang w:val="en-US" w:eastAsia="zh-CN"/>
              </w:rPr>
            </w:pPr>
            <w:r>
              <w:rPr>
                <w:rFonts w:hint="eastAsia"/>
                <w:color w:val="auto"/>
                <w:highlight w:val="none"/>
                <w:lang w:val="en-US" w:eastAsia="zh-CN"/>
              </w:rPr>
              <w:t>1900</w:t>
            </w:r>
          </w:p>
        </w:tc>
      </w:tr>
      <w:tr w14:paraId="3835D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193" w:type="dxa"/>
            <w:tcBorders>
              <w:tl2br w:val="nil"/>
              <w:tr2bl w:val="nil"/>
            </w:tcBorders>
            <w:vAlign w:val="center"/>
          </w:tcPr>
          <w:p w14:paraId="192C5390">
            <w:pPr>
              <w:keepNext w:val="0"/>
              <w:keepLines w:val="0"/>
              <w:suppressLineNumbers w:val="0"/>
              <w:spacing w:before="0" w:beforeAutospacing="0" w:after="0" w:afterAutospacing="0" w:line="240" w:lineRule="auto"/>
              <w:ind w:left="0" w:right="0" w:firstLine="0" w:firstLineChars="0"/>
              <w:jc w:val="center"/>
              <w:rPr>
                <w:rFonts w:hint="default"/>
                <w:color w:val="auto"/>
                <w:highlight w:val="none"/>
              </w:rPr>
            </w:pPr>
            <w:r>
              <w:rPr>
                <w:rFonts w:hint="eastAsia"/>
                <w:color w:val="auto"/>
                <w:highlight w:val="none"/>
              </w:rPr>
              <w:t>专项评价设置情况</w:t>
            </w:r>
          </w:p>
        </w:tc>
        <w:tc>
          <w:tcPr>
            <w:tcW w:w="7831" w:type="dxa"/>
            <w:gridSpan w:val="3"/>
            <w:tcBorders>
              <w:tl2br w:val="nil"/>
              <w:tr2bl w:val="nil"/>
            </w:tcBorders>
            <w:vAlign w:val="center"/>
          </w:tcPr>
          <w:p w14:paraId="4766E15B">
            <w:pPr>
              <w:keepNext w:val="0"/>
              <w:keepLines w:val="0"/>
              <w:pageBreakBefore w:val="0"/>
              <w:widowControl w:val="0"/>
              <w:suppressLineNumbers w:val="0"/>
              <w:kinsoku/>
              <w:wordWrap w:val="0"/>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eastAsia"/>
                <w:color w:val="auto"/>
                <w:lang w:val="en-US" w:eastAsia="zh-CN"/>
              </w:rPr>
            </w:pPr>
            <w:r>
              <w:rPr>
                <w:rFonts w:hint="eastAsia"/>
                <w:color w:val="auto"/>
              </w:rPr>
              <w:t>根据《建设项目环境影响报告表编制技术指南</w:t>
            </w:r>
            <w:r>
              <w:rPr>
                <w:rFonts w:hint="eastAsia"/>
                <w:color w:val="auto"/>
                <w:lang w:eastAsia="zh-CN"/>
              </w:rPr>
              <w:t>（</w:t>
            </w:r>
            <w:r>
              <w:rPr>
                <w:rFonts w:hint="eastAsia"/>
                <w:color w:val="auto"/>
              </w:rPr>
              <w:t>污染影响类</w:t>
            </w:r>
            <w:r>
              <w:rPr>
                <w:rFonts w:hint="eastAsia"/>
                <w:color w:val="auto"/>
                <w:lang w:eastAsia="zh-CN"/>
              </w:rPr>
              <w:t>）（</w:t>
            </w:r>
            <w:r>
              <w:rPr>
                <w:rFonts w:hint="eastAsia"/>
                <w:color w:val="auto"/>
              </w:rPr>
              <w:t>试行</w:t>
            </w:r>
            <w:r>
              <w:rPr>
                <w:rFonts w:hint="eastAsia"/>
                <w:color w:val="auto"/>
                <w:lang w:eastAsia="zh-CN"/>
              </w:rPr>
              <w:t>）</w:t>
            </w:r>
            <w:r>
              <w:rPr>
                <w:rFonts w:hint="eastAsia"/>
                <w:color w:val="auto"/>
              </w:rPr>
              <w:t>》</w:t>
            </w:r>
            <w:r>
              <w:rPr>
                <w:rFonts w:hint="eastAsia"/>
                <w:color w:val="auto"/>
                <w:lang w:val="en-US" w:eastAsia="zh-CN"/>
              </w:rPr>
              <w:t>要求</w:t>
            </w:r>
            <w:r>
              <w:rPr>
                <w:rFonts w:hint="eastAsia"/>
                <w:color w:val="auto"/>
              </w:rPr>
              <w:t>可知，本项目</w:t>
            </w:r>
            <w:r>
              <w:rPr>
                <w:rFonts w:hint="eastAsia"/>
                <w:color w:val="auto"/>
                <w:lang w:val="en-US" w:eastAsia="zh-CN"/>
              </w:rPr>
              <w:t>不需</w:t>
            </w:r>
            <w:r>
              <w:rPr>
                <w:rFonts w:hint="eastAsia"/>
                <w:color w:val="auto"/>
                <w:lang w:eastAsia="zh-CN"/>
              </w:rPr>
              <w:t>设置</w:t>
            </w:r>
            <w:r>
              <w:rPr>
                <w:rFonts w:hint="eastAsia"/>
                <w:color w:val="auto"/>
              </w:rPr>
              <w:t>专项</w:t>
            </w:r>
            <w:r>
              <w:rPr>
                <w:rFonts w:hint="eastAsia"/>
                <w:color w:val="auto"/>
                <w:lang w:val="en-US" w:eastAsia="zh-CN"/>
              </w:rPr>
              <w:t>评价</w:t>
            </w:r>
            <w:r>
              <w:rPr>
                <w:rFonts w:hint="eastAsia"/>
                <w:color w:val="auto"/>
              </w:rPr>
              <w:t>，具体判定见</w:t>
            </w:r>
            <w:r>
              <w:rPr>
                <w:rFonts w:hint="eastAsia"/>
                <w:color w:val="auto"/>
                <w:lang w:val="en-US" w:eastAsia="zh-CN"/>
              </w:rPr>
              <w:t>下表。</w:t>
            </w:r>
          </w:p>
          <w:p w14:paraId="0AF7ED9F">
            <w:pPr>
              <w:pStyle w:val="43"/>
              <w:keepNext w:val="0"/>
              <w:keepLines w:val="0"/>
              <w:suppressLineNumbers w:val="0"/>
              <w:bidi w:val="0"/>
              <w:spacing w:before="0" w:beforeAutospacing="0" w:after="0" w:afterAutospacing="0"/>
              <w:ind w:left="0" w:right="0"/>
              <w:rPr>
                <w:rFonts w:hint="eastAsia"/>
                <w:color w:val="auto"/>
                <w:lang w:val="en-US" w:eastAsia="zh-CN"/>
              </w:rPr>
            </w:pPr>
            <w:r>
              <w:rPr>
                <w:rFonts w:hint="eastAsia"/>
                <w:color w:val="auto"/>
                <w:lang w:val="en-US" w:eastAsia="zh-CN"/>
              </w:rPr>
              <w:t>表1-1  专项评价设置原则表</w:t>
            </w:r>
          </w:p>
          <w:tbl>
            <w:tblPr>
              <w:tblStyle w:val="2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44"/>
              <w:gridCol w:w="3249"/>
              <w:gridCol w:w="3209"/>
            </w:tblGrid>
            <w:tr w14:paraId="01470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2" w:type="pct"/>
                  <w:vAlign w:val="center"/>
                </w:tcPr>
                <w:p w14:paraId="3313B92F">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0" w:leftChars="0" w:right="0" w:rightChars="0"/>
                    <w:jc w:val="center"/>
                    <w:textAlignment w:val="bottom"/>
                    <w:rPr>
                      <w:rFonts w:hint="default"/>
                      <w:b/>
                      <w:bCs/>
                      <w:color w:val="auto"/>
                      <w:lang w:val="en-US" w:eastAsia="zh-CN"/>
                    </w:rPr>
                  </w:pPr>
                  <w:r>
                    <w:rPr>
                      <w:rFonts w:hint="eastAsia"/>
                      <w:b/>
                      <w:bCs/>
                      <w:color w:val="auto"/>
                      <w:lang w:val="en-US" w:eastAsia="zh-CN"/>
                    </w:rPr>
                    <w:t>专项评价的类别</w:t>
                  </w:r>
                </w:p>
              </w:tc>
              <w:tc>
                <w:tcPr>
                  <w:tcW w:w="2136" w:type="pct"/>
                  <w:vAlign w:val="center"/>
                </w:tcPr>
                <w:p w14:paraId="1E7295D3">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0" w:leftChars="0" w:right="0" w:rightChars="0"/>
                    <w:jc w:val="center"/>
                    <w:textAlignment w:val="bottom"/>
                    <w:rPr>
                      <w:rFonts w:hint="default"/>
                      <w:b/>
                      <w:bCs/>
                      <w:color w:val="auto"/>
                      <w:lang w:val="en-US" w:eastAsia="zh-CN"/>
                    </w:rPr>
                  </w:pPr>
                  <w:r>
                    <w:rPr>
                      <w:rFonts w:hint="eastAsia"/>
                      <w:b/>
                      <w:bCs/>
                      <w:color w:val="auto"/>
                      <w:lang w:val="en-US" w:eastAsia="zh-CN"/>
                    </w:rPr>
                    <w:t>设置原则</w:t>
                  </w:r>
                </w:p>
              </w:tc>
              <w:tc>
                <w:tcPr>
                  <w:tcW w:w="2110" w:type="pct"/>
                  <w:vAlign w:val="center"/>
                </w:tcPr>
                <w:p w14:paraId="5D1B4572">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0" w:leftChars="0" w:right="0" w:rightChars="0"/>
                    <w:jc w:val="center"/>
                    <w:textAlignment w:val="bottom"/>
                    <w:rPr>
                      <w:rFonts w:hint="default"/>
                      <w:b/>
                      <w:bCs/>
                      <w:color w:val="auto"/>
                      <w:lang w:val="en-US" w:eastAsia="zh-CN"/>
                    </w:rPr>
                  </w:pPr>
                  <w:r>
                    <w:rPr>
                      <w:rFonts w:hint="eastAsia"/>
                      <w:b/>
                      <w:bCs/>
                      <w:color w:val="auto"/>
                      <w:lang w:val="en-US" w:eastAsia="zh-CN"/>
                    </w:rPr>
                    <w:t>本项目情况</w:t>
                  </w:r>
                </w:p>
              </w:tc>
            </w:tr>
            <w:tr w14:paraId="7AE1C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2" w:type="pct"/>
                  <w:vAlign w:val="center"/>
                </w:tcPr>
                <w:p w14:paraId="62F88067">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0" w:leftChars="0" w:right="0" w:rightChars="0"/>
                    <w:jc w:val="center"/>
                    <w:textAlignment w:val="bottom"/>
                    <w:rPr>
                      <w:rFonts w:hint="eastAsia"/>
                      <w:color w:val="auto"/>
                      <w:lang w:val="en-US" w:eastAsia="zh-CN"/>
                    </w:rPr>
                  </w:pPr>
                  <w:r>
                    <w:rPr>
                      <w:rFonts w:hint="eastAsia"/>
                      <w:color w:val="auto"/>
                      <w:lang w:val="en-US" w:eastAsia="zh-CN"/>
                    </w:rPr>
                    <w:t>大气</w:t>
                  </w:r>
                </w:p>
              </w:tc>
              <w:tc>
                <w:tcPr>
                  <w:tcW w:w="2136" w:type="pct"/>
                  <w:vAlign w:val="center"/>
                </w:tcPr>
                <w:p w14:paraId="7E05700B">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0" w:leftChars="0" w:right="0" w:rightChars="0"/>
                    <w:jc w:val="center"/>
                    <w:textAlignment w:val="bottom"/>
                    <w:rPr>
                      <w:rFonts w:hint="default"/>
                      <w:color w:val="auto"/>
                      <w:lang w:val="en-US"/>
                    </w:rPr>
                  </w:pPr>
                  <w:r>
                    <w:rPr>
                      <w:rFonts w:hint="default"/>
                      <w:color w:val="auto"/>
                      <w:lang w:val="en-US"/>
                    </w:rPr>
                    <w:t>排放废气含有毒有害污染物</w:t>
                  </w:r>
                  <w:r>
                    <w:rPr>
                      <w:rFonts w:hint="default"/>
                      <w:color w:val="auto"/>
                      <w:vertAlign w:val="superscript"/>
                      <w:lang w:val="en-US"/>
                    </w:rPr>
                    <w:t>1</w:t>
                  </w:r>
                  <w:r>
                    <w:rPr>
                      <w:rFonts w:hint="default"/>
                      <w:color w:val="auto"/>
                      <w:lang w:val="en-US"/>
                    </w:rPr>
                    <w:t>、二噁英、苯并[a]芘、</w:t>
                  </w:r>
                  <w:r>
                    <w:rPr>
                      <w:rFonts w:hint="eastAsia"/>
                      <w:color w:val="auto"/>
                      <w:lang w:val="en-US" w:eastAsia="zh-CN"/>
                    </w:rPr>
                    <w:t>氰</w:t>
                  </w:r>
                  <w:r>
                    <w:rPr>
                      <w:rFonts w:hint="default"/>
                      <w:color w:val="auto"/>
                      <w:lang w:val="en-US"/>
                    </w:rPr>
                    <w:t>化物、氯气且厂界外500米范围内有环境空气保护目标的建设项目</w:t>
                  </w:r>
                </w:p>
              </w:tc>
              <w:tc>
                <w:tcPr>
                  <w:tcW w:w="2110" w:type="pct"/>
                  <w:vAlign w:val="center"/>
                </w:tcPr>
                <w:p w14:paraId="22BFA4FA">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0" w:leftChars="0" w:right="0" w:rightChars="0"/>
                    <w:jc w:val="center"/>
                    <w:textAlignment w:val="bottom"/>
                    <w:rPr>
                      <w:rFonts w:hint="default"/>
                      <w:color w:val="auto"/>
                      <w:lang w:val="en-US"/>
                    </w:rPr>
                  </w:pPr>
                  <w:r>
                    <w:rPr>
                      <w:rFonts w:hint="default"/>
                      <w:color w:val="auto"/>
                      <w:lang w:val="en-US"/>
                    </w:rPr>
                    <w:t>项目生产过程</w:t>
                  </w:r>
                  <w:r>
                    <w:rPr>
                      <w:rFonts w:hint="eastAsia"/>
                      <w:color w:val="auto"/>
                      <w:lang w:val="en-US" w:eastAsia="zh-CN"/>
                    </w:rPr>
                    <w:t>不产生左列有毒有害大气污染物</w:t>
                  </w:r>
                  <w:r>
                    <w:rPr>
                      <w:rFonts w:hint="default"/>
                      <w:color w:val="auto"/>
                      <w:lang w:val="en-US"/>
                    </w:rPr>
                    <w:t>，无需进行大气专项评价</w:t>
                  </w:r>
                </w:p>
              </w:tc>
            </w:tr>
            <w:tr w14:paraId="4E309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2" w:type="pct"/>
                  <w:vAlign w:val="center"/>
                </w:tcPr>
                <w:p w14:paraId="029C9287">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0" w:leftChars="0" w:right="0" w:rightChars="0"/>
                    <w:jc w:val="center"/>
                    <w:textAlignment w:val="bottom"/>
                    <w:rPr>
                      <w:rFonts w:hint="default"/>
                      <w:color w:val="auto"/>
                      <w:lang w:val="en-US" w:eastAsia="zh-CN"/>
                    </w:rPr>
                  </w:pPr>
                  <w:r>
                    <w:rPr>
                      <w:rFonts w:hint="eastAsia"/>
                      <w:color w:val="auto"/>
                      <w:lang w:val="en-US" w:eastAsia="zh-CN"/>
                    </w:rPr>
                    <w:t>地表水</w:t>
                  </w:r>
                </w:p>
              </w:tc>
              <w:tc>
                <w:tcPr>
                  <w:tcW w:w="2136" w:type="pct"/>
                  <w:vAlign w:val="center"/>
                </w:tcPr>
                <w:p w14:paraId="41EE99E0">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0" w:leftChars="0" w:right="0" w:rightChars="0"/>
                    <w:jc w:val="center"/>
                    <w:textAlignment w:val="bottom"/>
                    <w:rPr>
                      <w:rFonts w:hint="default"/>
                      <w:color w:val="auto"/>
                      <w:lang w:val="en-US"/>
                    </w:rPr>
                  </w:pPr>
                  <w:r>
                    <w:rPr>
                      <w:rFonts w:hint="default"/>
                      <w:color w:val="auto"/>
                      <w:lang w:val="en-US"/>
                    </w:rPr>
                    <w:t>新增工业废水直排建设项目</w:t>
                  </w:r>
                  <w:r>
                    <w:rPr>
                      <w:rFonts w:hint="eastAsia"/>
                      <w:color w:val="auto"/>
                      <w:lang w:val="en-US" w:eastAsia="zh-CN"/>
                    </w:rPr>
                    <w:t>（</w:t>
                  </w:r>
                  <w:r>
                    <w:rPr>
                      <w:rFonts w:hint="default"/>
                      <w:color w:val="auto"/>
                      <w:lang w:val="en-US"/>
                    </w:rPr>
                    <w:t>槽罐车外送污水处理厂的除外</w:t>
                  </w:r>
                  <w:r>
                    <w:rPr>
                      <w:rFonts w:hint="eastAsia"/>
                      <w:color w:val="auto"/>
                      <w:lang w:val="en-US" w:eastAsia="zh-CN"/>
                    </w:rPr>
                    <w:t>）；</w:t>
                  </w:r>
                  <w:r>
                    <w:rPr>
                      <w:rFonts w:hint="default"/>
                      <w:color w:val="auto"/>
                      <w:lang w:val="en-US"/>
                    </w:rPr>
                    <w:t>新增废水直排的污水集中处理厂</w:t>
                  </w:r>
                </w:p>
              </w:tc>
              <w:tc>
                <w:tcPr>
                  <w:tcW w:w="2110" w:type="pct"/>
                  <w:vAlign w:val="center"/>
                </w:tcPr>
                <w:p w14:paraId="09DD66D7">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0" w:leftChars="0" w:right="0" w:rightChars="0"/>
                    <w:jc w:val="center"/>
                    <w:textAlignment w:val="bottom"/>
                    <w:rPr>
                      <w:rFonts w:hint="default"/>
                      <w:color w:val="auto"/>
                      <w:lang w:val="en-US"/>
                    </w:rPr>
                  </w:pPr>
                  <w:r>
                    <w:rPr>
                      <w:rFonts w:hint="default"/>
                      <w:color w:val="auto"/>
                      <w:lang w:val="en-US"/>
                    </w:rPr>
                    <w:t>项目</w:t>
                  </w:r>
                  <w:r>
                    <w:rPr>
                      <w:rFonts w:hint="eastAsia"/>
                      <w:color w:val="auto"/>
                      <w:lang w:val="en-US" w:eastAsia="zh-CN"/>
                    </w:rPr>
                    <w:t>无生产废水排放，</w:t>
                  </w:r>
                  <w:r>
                    <w:rPr>
                      <w:rFonts w:hint="default"/>
                      <w:color w:val="auto"/>
                      <w:lang w:val="en-US"/>
                    </w:rPr>
                    <w:t>生活污水经化粪池处理后排入市政污水管网，未直接外排，无需进行地表水专项评价</w:t>
                  </w:r>
                </w:p>
              </w:tc>
            </w:tr>
            <w:tr w14:paraId="1A244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2" w:type="pct"/>
                  <w:vAlign w:val="center"/>
                </w:tcPr>
                <w:p w14:paraId="00110E18">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0" w:leftChars="0" w:right="0" w:rightChars="0"/>
                    <w:jc w:val="center"/>
                    <w:textAlignment w:val="bottom"/>
                    <w:rPr>
                      <w:rFonts w:hint="default"/>
                      <w:color w:val="auto"/>
                      <w:lang w:val="en-US" w:eastAsia="zh-CN"/>
                    </w:rPr>
                  </w:pPr>
                  <w:r>
                    <w:rPr>
                      <w:rFonts w:hint="eastAsia"/>
                      <w:color w:val="auto"/>
                      <w:lang w:val="en-US" w:eastAsia="zh-CN"/>
                    </w:rPr>
                    <w:t>环境风险</w:t>
                  </w:r>
                </w:p>
              </w:tc>
              <w:tc>
                <w:tcPr>
                  <w:tcW w:w="2136" w:type="pct"/>
                  <w:vAlign w:val="center"/>
                </w:tcPr>
                <w:p w14:paraId="06A0417D">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0" w:leftChars="0" w:right="0" w:rightChars="0"/>
                    <w:jc w:val="center"/>
                    <w:textAlignment w:val="bottom"/>
                    <w:rPr>
                      <w:rFonts w:hint="default"/>
                      <w:color w:val="auto"/>
                      <w:lang w:val="en-US"/>
                    </w:rPr>
                  </w:pPr>
                  <w:r>
                    <w:rPr>
                      <w:rFonts w:hint="default"/>
                      <w:color w:val="auto"/>
                      <w:lang w:val="en-US"/>
                    </w:rPr>
                    <w:t>有毒有害和易燃易爆危险物质存储量超过临界量的建设项目</w:t>
                  </w:r>
                </w:p>
              </w:tc>
              <w:tc>
                <w:tcPr>
                  <w:tcW w:w="2110" w:type="pct"/>
                  <w:vAlign w:val="center"/>
                </w:tcPr>
                <w:p w14:paraId="3B903638">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0" w:leftChars="0" w:right="0" w:rightChars="0"/>
                    <w:jc w:val="center"/>
                    <w:textAlignment w:val="bottom"/>
                    <w:rPr>
                      <w:rFonts w:hint="default" w:eastAsia="宋体"/>
                      <w:color w:val="auto"/>
                      <w:lang w:val="en-US" w:eastAsia="zh-CN"/>
                    </w:rPr>
                  </w:pPr>
                  <w:r>
                    <w:rPr>
                      <w:rFonts w:hint="default"/>
                      <w:color w:val="auto"/>
                      <w:lang w:val="en-US"/>
                    </w:rPr>
                    <w:t>项目危险物质存储量未超过临界量，</w:t>
                  </w:r>
                  <w:r>
                    <w:rPr>
                      <w:rFonts w:hint="eastAsia"/>
                      <w:color w:val="auto"/>
                      <w:lang w:val="en-US" w:eastAsia="zh-CN"/>
                    </w:rPr>
                    <w:t>不需进行环境风险评价专章</w:t>
                  </w:r>
                </w:p>
              </w:tc>
            </w:tr>
            <w:tr w14:paraId="7772E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2" w:type="pct"/>
                  <w:vAlign w:val="center"/>
                </w:tcPr>
                <w:p w14:paraId="4C8D6DE3">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0" w:leftChars="0" w:right="0" w:rightChars="0"/>
                    <w:jc w:val="center"/>
                    <w:textAlignment w:val="bottom"/>
                    <w:rPr>
                      <w:rFonts w:hint="default"/>
                      <w:color w:val="auto"/>
                      <w:lang w:val="en-US" w:eastAsia="zh-CN"/>
                    </w:rPr>
                  </w:pPr>
                  <w:r>
                    <w:rPr>
                      <w:rFonts w:hint="eastAsia"/>
                      <w:color w:val="auto"/>
                      <w:lang w:val="en-US" w:eastAsia="zh-CN"/>
                    </w:rPr>
                    <w:t>生态</w:t>
                  </w:r>
                </w:p>
              </w:tc>
              <w:tc>
                <w:tcPr>
                  <w:tcW w:w="2136" w:type="pct"/>
                  <w:vAlign w:val="center"/>
                </w:tcPr>
                <w:p w14:paraId="0EF00C59">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0" w:leftChars="0" w:right="0" w:rightChars="0"/>
                    <w:jc w:val="center"/>
                    <w:textAlignment w:val="bottom"/>
                    <w:rPr>
                      <w:rFonts w:hint="default"/>
                      <w:color w:val="auto"/>
                      <w:lang w:val="en-US"/>
                    </w:rPr>
                  </w:pPr>
                  <w:r>
                    <w:rPr>
                      <w:rFonts w:hint="default"/>
                      <w:color w:val="auto"/>
                      <w:lang w:val="en-US"/>
                    </w:rPr>
                    <w:t>取水口下游500米范围内有重要水生生物</w:t>
                  </w:r>
                  <w:r>
                    <w:rPr>
                      <w:rFonts w:hint="eastAsia"/>
                      <w:color w:val="auto"/>
                      <w:lang w:val="en-US" w:eastAsia="zh-CN"/>
                    </w:rPr>
                    <w:t>的自然</w:t>
                  </w:r>
                  <w:r>
                    <w:rPr>
                      <w:rFonts w:hint="default"/>
                      <w:color w:val="auto"/>
                      <w:lang w:val="en-US"/>
                    </w:rPr>
                    <w:t>产卵场、索饵场、越冬场和洄游通道的新增河道取水的污染类建设项目</w:t>
                  </w:r>
                </w:p>
              </w:tc>
              <w:tc>
                <w:tcPr>
                  <w:tcW w:w="2110" w:type="pct"/>
                  <w:vAlign w:val="center"/>
                </w:tcPr>
                <w:p w14:paraId="0CF7DD03">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0" w:leftChars="0" w:right="0" w:rightChars="0"/>
                    <w:jc w:val="center"/>
                    <w:textAlignment w:val="bottom"/>
                    <w:rPr>
                      <w:rFonts w:hint="default"/>
                      <w:color w:val="auto"/>
                      <w:lang w:val="en-US"/>
                    </w:rPr>
                  </w:pPr>
                  <w:r>
                    <w:rPr>
                      <w:rFonts w:hint="default"/>
                      <w:color w:val="auto"/>
                      <w:lang w:val="en-US"/>
                    </w:rPr>
                    <w:t>项目不</w:t>
                  </w:r>
                  <w:r>
                    <w:rPr>
                      <w:rFonts w:hint="eastAsia"/>
                      <w:color w:val="auto"/>
                      <w:lang w:val="en-US" w:eastAsia="zh-CN"/>
                    </w:rPr>
                    <w:t>设取水口，</w:t>
                  </w:r>
                  <w:r>
                    <w:rPr>
                      <w:rFonts w:hint="default"/>
                      <w:color w:val="auto"/>
                      <w:lang w:val="en-US"/>
                    </w:rPr>
                    <w:t>无需进行生态专项评价</w:t>
                  </w:r>
                </w:p>
              </w:tc>
            </w:tr>
            <w:tr w14:paraId="7D7F77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752" w:type="pct"/>
                  <w:vAlign w:val="center"/>
                </w:tcPr>
                <w:p w14:paraId="5925CBDD">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0" w:leftChars="0" w:right="0" w:rightChars="0"/>
                    <w:jc w:val="center"/>
                    <w:textAlignment w:val="bottom"/>
                    <w:rPr>
                      <w:rFonts w:hint="default"/>
                      <w:color w:val="auto"/>
                      <w:lang w:val="en-US" w:eastAsia="zh-CN"/>
                    </w:rPr>
                  </w:pPr>
                  <w:r>
                    <w:rPr>
                      <w:rFonts w:hint="eastAsia"/>
                      <w:color w:val="auto"/>
                      <w:lang w:val="en-US" w:eastAsia="zh-CN"/>
                    </w:rPr>
                    <w:t>海洋</w:t>
                  </w:r>
                </w:p>
              </w:tc>
              <w:tc>
                <w:tcPr>
                  <w:tcW w:w="2136" w:type="pct"/>
                  <w:vAlign w:val="center"/>
                </w:tcPr>
                <w:p w14:paraId="1D751AA5">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0" w:leftChars="0" w:right="0" w:rightChars="0"/>
                    <w:jc w:val="center"/>
                    <w:textAlignment w:val="bottom"/>
                    <w:rPr>
                      <w:rFonts w:hint="default"/>
                      <w:color w:val="auto"/>
                      <w:lang w:val="en-US"/>
                    </w:rPr>
                  </w:pPr>
                  <w:r>
                    <w:rPr>
                      <w:rFonts w:hint="default"/>
                      <w:color w:val="auto"/>
                      <w:lang w:val="en-US"/>
                    </w:rPr>
                    <w:t>直接向海排放污染物的海洋工程建设项目</w:t>
                  </w:r>
                </w:p>
              </w:tc>
              <w:tc>
                <w:tcPr>
                  <w:tcW w:w="2110" w:type="pct"/>
                  <w:vAlign w:val="center"/>
                </w:tcPr>
                <w:p w14:paraId="64156DFD">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0" w:leftChars="0" w:right="0" w:rightChars="0"/>
                    <w:jc w:val="center"/>
                    <w:textAlignment w:val="bottom"/>
                    <w:rPr>
                      <w:rFonts w:hint="default"/>
                      <w:color w:val="auto"/>
                      <w:lang w:val="en-US"/>
                    </w:rPr>
                  </w:pPr>
                  <w:r>
                    <w:rPr>
                      <w:rFonts w:hint="default"/>
                      <w:color w:val="auto"/>
                      <w:lang w:val="en-US"/>
                    </w:rPr>
                    <w:t>项目生活污水经化粪池处理后排入市政污水管网，未直接向海排放污染物，无需进行海洋专项评价</w:t>
                  </w:r>
                </w:p>
              </w:tc>
            </w:tr>
          </w:tbl>
          <w:p w14:paraId="023EB76F">
            <w:pPr>
              <w:keepNext w:val="0"/>
              <w:keepLines w:val="0"/>
              <w:suppressLineNumbers w:val="0"/>
              <w:spacing w:before="1" w:beforeAutospacing="0" w:after="0" w:afterAutospacing="0" w:line="240" w:lineRule="auto"/>
              <w:ind w:left="0" w:right="0" w:firstLine="0" w:firstLineChars="0"/>
              <w:jc w:val="center"/>
              <w:rPr>
                <w:rFonts w:hint="default"/>
                <w:color w:val="auto"/>
                <w:highlight w:val="none"/>
              </w:rPr>
            </w:pPr>
          </w:p>
        </w:tc>
      </w:tr>
      <w:tr w14:paraId="28EDF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jc w:val="center"/>
        </w:trPr>
        <w:tc>
          <w:tcPr>
            <w:tcW w:w="1193" w:type="dxa"/>
            <w:tcBorders>
              <w:tl2br w:val="nil"/>
              <w:tr2bl w:val="nil"/>
            </w:tcBorders>
            <w:vAlign w:val="center"/>
          </w:tcPr>
          <w:p w14:paraId="39F0421D">
            <w:pPr>
              <w:keepNext w:val="0"/>
              <w:keepLines w:val="0"/>
              <w:suppressLineNumbers w:val="0"/>
              <w:spacing w:before="0" w:beforeAutospacing="0" w:after="0" w:afterAutospacing="0"/>
              <w:ind w:left="0" w:right="0" w:firstLine="0" w:firstLineChars="0"/>
              <w:jc w:val="center"/>
              <w:rPr>
                <w:rFonts w:hint="default"/>
                <w:color w:val="auto"/>
                <w:highlight w:val="none"/>
              </w:rPr>
            </w:pPr>
            <w:r>
              <w:rPr>
                <w:rFonts w:hint="eastAsia"/>
                <w:color w:val="auto"/>
                <w:highlight w:val="none"/>
              </w:rPr>
              <w:t>规划情况</w:t>
            </w:r>
          </w:p>
        </w:tc>
        <w:tc>
          <w:tcPr>
            <w:tcW w:w="7831" w:type="dxa"/>
            <w:gridSpan w:val="3"/>
            <w:tcBorders>
              <w:tl2br w:val="nil"/>
              <w:tr2bl w:val="nil"/>
            </w:tcBorders>
            <w:vAlign w:val="center"/>
          </w:tcPr>
          <w:p w14:paraId="4E71ACEB">
            <w:pPr>
              <w:keepNext w:val="0"/>
              <w:keepLines w:val="0"/>
              <w:pageBreakBefore w:val="0"/>
              <w:widowControl w:val="0"/>
              <w:suppressLineNumbers w:val="0"/>
              <w:kinsoku/>
              <w:wordWrap w:val="0"/>
              <w:overflowPunct/>
              <w:topLinePunct w:val="0"/>
              <w:autoSpaceDE/>
              <w:autoSpaceDN/>
              <w:bidi w:val="0"/>
              <w:adjustRightInd/>
              <w:snapToGrid/>
              <w:spacing w:before="0" w:beforeAutospacing="0" w:after="0" w:afterAutospacing="0"/>
              <w:ind w:left="0" w:right="0" w:firstLine="0" w:firstLineChars="0"/>
              <w:textAlignment w:val="auto"/>
              <w:rPr>
                <w:rFonts w:hint="default"/>
                <w:color w:val="auto"/>
                <w:highlight w:val="none"/>
              </w:rPr>
            </w:pPr>
            <w:r>
              <w:rPr>
                <w:rFonts w:hint="default"/>
                <w:color w:val="auto"/>
                <w:kern w:val="0"/>
              </w:rPr>
              <w:t>规划名称：</w:t>
            </w:r>
            <w:r>
              <w:rPr>
                <w:rFonts w:hint="eastAsia"/>
                <w:color w:val="auto"/>
                <w:lang w:val="en-US" w:eastAsia="zh-CN"/>
              </w:rPr>
              <w:t>《淮南高新技术产业开发区总体发展规划（2024-2035年）（主导产业变更）》</w:t>
            </w:r>
          </w:p>
        </w:tc>
      </w:tr>
      <w:tr w14:paraId="6DFCB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3" w:type="dxa"/>
            <w:tcBorders>
              <w:tl2br w:val="nil"/>
              <w:tr2bl w:val="nil"/>
            </w:tcBorders>
            <w:vAlign w:val="center"/>
          </w:tcPr>
          <w:p w14:paraId="6B4865CB">
            <w:pPr>
              <w:keepNext w:val="0"/>
              <w:keepLines w:val="0"/>
              <w:suppressLineNumbers w:val="0"/>
              <w:spacing w:before="0" w:beforeAutospacing="0" w:after="0" w:afterAutospacing="0"/>
              <w:ind w:left="0" w:right="0" w:firstLine="0" w:firstLineChars="0"/>
              <w:jc w:val="center"/>
              <w:rPr>
                <w:rFonts w:hint="default"/>
                <w:color w:val="auto"/>
                <w:highlight w:val="none"/>
              </w:rPr>
            </w:pPr>
            <w:r>
              <w:rPr>
                <w:rFonts w:hint="default"/>
                <w:color w:val="auto"/>
                <w:highlight w:val="none"/>
              </w:rPr>
              <w:t>规划环境影响评价情况</w:t>
            </w:r>
          </w:p>
        </w:tc>
        <w:tc>
          <w:tcPr>
            <w:tcW w:w="7831" w:type="dxa"/>
            <w:gridSpan w:val="3"/>
            <w:tcBorders>
              <w:tl2br w:val="nil"/>
              <w:tr2bl w:val="nil"/>
            </w:tcBorders>
            <w:vAlign w:val="center"/>
          </w:tcPr>
          <w:p w14:paraId="0E3823E4">
            <w:pPr>
              <w:keepNext w:val="0"/>
              <w:keepLines w:val="0"/>
              <w:suppressLineNumbers w:val="0"/>
              <w:bidi w:val="0"/>
              <w:spacing w:before="0" w:beforeAutospacing="0" w:after="0" w:afterAutospacing="0"/>
              <w:ind w:left="0" w:leftChars="0" w:right="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规划环评名称：《淮南高新技术产业开发区总体发展规划</w:t>
            </w:r>
            <w:r>
              <w:rPr>
                <w:rFonts w:hint="eastAsia" w:cs="Times New Roman"/>
                <w:color w:val="auto"/>
                <w:lang w:val="en-US" w:eastAsia="zh-CN"/>
              </w:rPr>
              <w:t>（</w:t>
            </w:r>
            <w:r>
              <w:rPr>
                <w:rFonts w:hint="eastAsia" w:ascii="Times New Roman" w:hAnsi="Times New Roman" w:eastAsia="宋体" w:cs="Times New Roman"/>
                <w:color w:val="auto"/>
                <w:lang w:val="en-US" w:eastAsia="zh-CN"/>
              </w:rPr>
              <w:t>2024-2035年</w:t>
            </w:r>
            <w:r>
              <w:rPr>
                <w:rFonts w:hint="eastAsia" w:cs="Times New Roman"/>
                <w:color w:val="auto"/>
                <w:lang w:val="en-US" w:eastAsia="zh-CN"/>
              </w:rPr>
              <w:t>）（</w:t>
            </w:r>
            <w:r>
              <w:rPr>
                <w:rFonts w:hint="eastAsia" w:ascii="Times New Roman" w:hAnsi="Times New Roman" w:eastAsia="宋体" w:cs="Times New Roman"/>
                <w:color w:val="auto"/>
                <w:lang w:val="en-US" w:eastAsia="zh-CN"/>
              </w:rPr>
              <w:t>主导产业变更</w:t>
            </w:r>
            <w:r>
              <w:rPr>
                <w:rFonts w:hint="eastAsia" w:cs="Times New Roman"/>
                <w:color w:val="auto"/>
                <w:lang w:val="en-US" w:eastAsia="zh-CN"/>
              </w:rPr>
              <w:t>）</w:t>
            </w:r>
            <w:r>
              <w:rPr>
                <w:rFonts w:hint="eastAsia" w:ascii="Times New Roman" w:hAnsi="Times New Roman" w:eastAsia="宋体" w:cs="Times New Roman"/>
                <w:color w:val="auto"/>
                <w:lang w:val="en-US" w:eastAsia="zh-CN"/>
              </w:rPr>
              <w:t xml:space="preserve">环境影响报告》 </w:t>
            </w:r>
          </w:p>
          <w:p w14:paraId="43628A5D">
            <w:pPr>
              <w:keepNext w:val="0"/>
              <w:keepLines w:val="0"/>
              <w:suppressLineNumbers w:val="0"/>
              <w:bidi w:val="0"/>
              <w:spacing w:before="0" w:beforeAutospacing="0" w:after="0" w:afterAutospacing="0"/>
              <w:ind w:left="0" w:leftChars="0" w:right="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 xml:space="preserve">审批机关：淮南市生态环境局 </w:t>
            </w:r>
          </w:p>
          <w:p w14:paraId="008ADE71">
            <w:pPr>
              <w:keepNext w:val="0"/>
              <w:keepLines w:val="0"/>
              <w:suppressLineNumbers w:val="0"/>
              <w:bidi w:val="0"/>
              <w:spacing w:before="0" w:beforeAutospacing="0" w:after="0" w:afterAutospacing="0"/>
              <w:ind w:left="0" w:leftChars="0" w:right="0" w:firstLine="0" w:firstLineChars="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审批文件名称：关于印发《淮南高新技术产业开发区总体发展规划</w:t>
            </w:r>
            <w:r>
              <w:rPr>
                <w:rFonts w:hint="eastAsia" w:cs="Times New Roman"/>
                <w:color w:val="auto"/>
                <w:lang w:val="en-US" w:eastAsia="zh-CN"/>
              </w:rPr>
              <w:t>（</w:t>
            </w:r>
            <w:r>
              <w:rPr>
                <w:rFonts w:hint="eastAsia" w:ascii="Times New Roman" w:hAnsi="Times New Roman" w:eastAsia="宋体" w:cs="Times New Roman"/>
                <w:color w:val="auto"/>
                <w:lang w:val="en-US" w:eastAsia="zh-CN"/>
              </w:rPr>
              <w:t>2024-2035年</w:t>
            </w:r>
            <w:r>
              <w:rPr>
                <w:rFonts w:hint="eastAsia" w:cs="Times New Roman"/>
                <w:color w:val="auto"/>
                <w:lang w:val="en-US" w:eastAsia="zh-CN"/>
              </w:rPr>
              <w:t>）（</w:t>
            </w:r>
            <w:r>
              <w:rPr>
                <w:rFonts w:hint="eastAsia" w:ascii="Times New Roman" w:hAnsi="Times New Roman" w:eastAsia="宋体" w:cs="Times New Roman"/>
                <w:color w:val="auto"/>
                <w:lang w:val="en-US" w:eastAsia="zh-CN"/>
              </w:rPr>
              <w:t>主导产业变更</w:t>
            </w:r>
            <w:r>
              <w:rPr>
                <w:rFonts w:hint="eastAsia" w:cs="Times New Roman"/>
                <w:color w:val="auto"/>
                <w:lang w:val="en-US" w:eastAsia="zh-CN"/>
              </w:rPr>
              <w:t>）</w:t>
            </w:r>
            <w:r>
              <w:rPr>
                <w:rFonts w:hint="eastAsia" w:ascii="Times New Roman" w:hAnsi="Times New Roman" w:eastAsia="宋体" w:cs="Times New Roman"/>
                <w:color w:val="auto"/>
                <w:lang w:val="en-US" w:eastAsia="zh-CN"/>
              </w:rPr>
              <w:t xml:space="preserve">环境影响报告书》审查意见的函 </w:t>
            </w:r>
          </w:p>
          <w:p w14:paraId="11616441">
            <w:pPr>
              <w:keepNext w:val="0"/>
              <w:keepLines w:val="0"/>
              <w:pageBreakBefore w:val="0"/>
              <w:widowControl w:val="0"/>
              <w:suppressLineNumbers w:val="0"/>
              <w:kinsoku/>
              <w:wordWrap w:val="0"/>
              <w:overflowPunct/>
              <w:topLinePunct w:val="0"/>
              <w:autoSpaceDE/>
              <w:autoSpaceDN/>
              <w:bidi w:val="0"/>
              <w:adjustRightInd/>
              <w:snapToGrid/>
              <w:spacing w:before="0" w:beforeAutospacing="0" w:after="0" w:afterAutospacing="0"/>
              <w:ind w:left="0" w:right="0" w:firstLine="0" w:firstLineChars="0"/>
              <w:textAlignment w:val="auto"/>
              <w:rPr>
                <w:rFonts w:hint="default"/>
                <w:color w:val="auto"/>
                <w:highlight w:val="none"/>
              </w:rPr>
            </w:pPr>
            <w:r>
              <w:rPr>
                <w:rFonts w:hint="eastAsia" w:ascii="Times New Roman" w:hAnsi="Times New Roman" w:eastAsia="宋体" w:cs="Times New Roman"/>
                <w:color w:val="auto"/>
                <w:lang w:val="en-US" w:eastAsia="zh-CN"/>
              </w:rPr>
              <w:t>审批文号：淮环函〔2024〕43 号</w:t>
            </w:r>
          </w:p>
        </w:tc>
      </w:tr>
      <w:tr w14:paraId="44EC3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3" w:type="dxa"/>
            <w:tcBorders>
              <w:tl2br w:val="nil"/>
              <w:tr2bl w:val="nil"/>
            </w:tcBorders>
            <w:vAlign w:val="center"/>
          </w:tcPr>
          <w:p w14:paraId="09559538">
            <w:pPr>
              <w:keepNext w:val="0"/>
              <w:keepLines w:val="0"/>
              <w:suppressLineNumbers w:val="0"/>
              <w:spacing w:before="0" w:beforeAutospacing="0" w:after="0" w:afterAutospacing="0"/>
              <w:ind w:left="0" w:right="0" w:firstLine="0" w:firstLineChars="0"/>
              <w:jc w:val="center"/>
              <w:rPr>
                <w:rFonts w:hint="default"/>
                <w:color w:val="0000FF"/>
                <w:highlight w:val="none"/>
              </w:rPr>
            </w:pPr>
            <w:r>
              <w:rPr>
                <w:rFonts w:hint="eastAsia"/>
                <w:color w:val="auto"/>
                <w:highlight w:val="none"/>
              </w:rPr>
              <w:t>规划</w:t>
            </w:r>
            <w:r>
              <w:rPr>
                <w:rFonts w:hint="eastAsia"/>
                <w:color w:val="auto"/>
                <w:highlight w:val="none"/>
                <w:lang w:val="en-US" w:eastAsia="zh-CN"/>
              </w:rPr>
              <w:t>及</w:t>
            </w:r>
            <w:r>
              <w:rPr>
                <w:rFonts w:hint="eastAsia"/>
                <w:color w:val="auto"/>
                <w:highlight w:val="none"/>
              </w:rPr>
              <w:t>环境影响评价</w:t>
            </w:r>
            <w:r>
              <w:rPr>
                <w:rFonts w:hint="eastAsia"/>
                <w:color w:val="auto"/>
                <w:highlight w:val="none"/>
                <w:lang w:val="en-US" w:eastAsia="zh-CN"/>
              </w:rPr>
              <w:t>符合性分析</w:t>
            </w:r>
          </w:p>
        </w:tc>
        <w:tc>
          <w:tcPr>
            <w:tcW w:w="7831" w:type="dxa"/>
            <w:gridSpan w:val="3"/>
            <w:tcBorders>
              <w:tl2br w:val="nil"/>
              <w:tr2bl w:val="nil"/>
            </w:tcBorders>
            <w:vAlign w:val="center"/>
          </w:tcPr>
          <w:p w14:paraId="1E40BC60">
            <w:pPr>
              <w:keepNext w:val="0"/>
              <w:keepLines w:val="0"/>
              <w:suppressLineNumbers w:val="0"/>
              <w:bidi w:val="0"/>
              <w:spacing w:before="0" w:beforeAutospacing="0" w:after="0" w:afterAutospacing="0"/>
              <w:ind w:left="0" w:right="0"/>
              <w:rPr>
                <w:rFonts w:hint="eastAsia"/>
                <w:color w:val="auto"/>
                <w:lang w:val="en-US" w:eastAsia="zh-CN"/>
              </w:rPr>
            </w:pPr>
            <w:r>
              <w:rPr>
                <w:rFonts w:hint="eastAsia"/>
                <w:color w:val="auto"/>
                <w:lang w:val="en-US" w:eastAsia="zh-CN"/>
              </w:rPr>
              <w:t>2024年5月11日，淮南市发展和改革委员会、淮南市科学技术局、淮南市工业和信息化局、淮南市工业和信息化局、淮南市生态环境局、淮南市水利局、淮南市商务局、淮南市应急管理局、淮南市统计局联合发布《</w:t>
            </w:r>
            <w:r>
              <w:rPr>
                <w:rFonts w:hint="default"/>
                <w:color w:val="auto"/>
              </w:rPr>
              <w:t>关于印发</w:t>
            </w:r>
            <w:r>
              <w:rPr>
                <w:rFonts w:hint="eastAsia"/>
                <w:color w:val="auto"/>
                <w:lang w:eastAsia="zh-CN"/>
              </w:rPr>
              <w:t>〈</w:t>
            </w:r>
            <w:r>
              <w:rPr>
                <w:rFonts w:hint="default"/>
                <w:color w:val="auto"/>
              </w:rPr>
              <w:t>淮南市省级以上开发区主导产业变更实施细则</w:t>
            </w:r>
            <w:r>
              <w:rPr>
                <w:rFonts w:hint="eastAsia"/>
                <w:color w:val="auto"/>
                <w:lang w:eastAsia="zh-CN"/>
              </w:rPr>
              <w:t>〉</w:t>
            </w:r>
            <w:r>
              <w:rPr>
                <w:rFonts w:hint="default"/>
                <w:color w:val="auto"/>
              </w:rPr>
              <w:t>的通知</w:t>
            </w:r>
            <w:r>
              <w:rPr>
                <w:rFonts w:hint="eastAsia"/>
                <w:color w:val="auto"/>
                <w:lang w:eastAsia="zh-CN"/>
              </w:rPr>
              <w:t>》（</w:t>
            </w:r>
            <w:r>
              <w:rPr>
                <w:rFonts w:hint="default"/>
                <w:color w:val="auto"/>
              </w:rPr>
              <w:t>皖发改地区</w:t>
            </w:r>
            <w:r>
              <w:rPr>
                <w:rFonts w:hint="eastAsia"/>
                <w:color w:val="auto"/>
              </w:rPr>
              <w:t>〔</w:t>
            </w:r>
            <w:r>
              <w:rPr>
                <w:rFonts w:hint="default"/>
                <w:color w:val="auto"/>
              </w:rPr>
              <w:t>202</w:t>
            </w:r>
            <w:r>
              <w:rPr>
                <w:rFonts w:hint="eastAsia"/>
                <w:color w:val="auto"/>
                <w:lang w:val="en-US" w:eastAsia="zh-CN"/>
              </w:rPr>
              <w:t>4</w:t>
            </w:r>
            <w:r>
              <w:rPr>
                <w:rFonts w:hint="eastAsia"/>
                <w:color w:val="auto"/>
              </w:rPr>
              <w:t>〕</w:t>
            </w:r>
            <w:r>
              <w:rPr>
                <w:rFonts w:hint="eastAsia"/>
                <w:color w:val="auto"/>
                <w:lang w:val="en-US" w:eastAsia="zh-CN"/>
              </w:rPr>
              <w:t>5</w:t>
            </w:r>
            <w:r>
              <w:rPr>
                <w:rFonts w:hint="default"/>
                <w:color w:val="auto"/>
              </w:rPr>
              <w:t>号</w:t>
            </w:r>
            <w:r>
              <w:rPr>
                <w:rFonts w:hint="eastAsia"/>
                <w:color w:val="auto"/>
                <w:lang w:eastAsia="zh-CN"/>
              </w:rPr>
              <w:t>），</w:t>
            </w:r>
            <w:r>
              <w:rPr>
                <w:rFonts w:hint="eastAsia"/>
                <w:color w:val="auto"/>
                <w:lang w:val="en-US" w:eastAsia="zh-CN"/>
              </w:rPr>
              <w:t>根据“第二章 变更原则 第二条”：主导产业应符合国民经济和社会发展规划、全省开发区相关规划、各开发区制定的深化开发区管理制度改革推动开发区高质量发展实施方案（“一区一策”）、生态环境分区管控要求、区域用水总量管控等相关水资源管理要求和各开发区发展实际。</w:t>
            </w:r>
            <w:r>
              <w:rPr>
                <w:rFonts w:hint="eastAsia"/>
                <w:color w:val="auto"/>
              </w:rPr>
              <w:t>淮南高新区当前重点发展的主导产业与《中国开发区审核公告目录》（2018年版）中确定的装备制造、数据信息、生物医药三大主导产业已不相符合，且高新区在生物医药领域企业集聚度较低，创新平台数量少，暂未达到“成链成群”的产业规模，原定主导产业无法有效支撑高新区高质量发展，主导产业亟需根据高新区产业发展实际情况进行变更</w:t>
            </w:r>
            <w:r>
              <w:rPr>
                <w:rFonts w:hint="eastAsia"/>
                <w:color w:val="auto"/>
                <w:lang w:eastAsia="zh-CN"/>
              </w:rPr>
              <w:t>；</w:t>
            </w:r>
            <w:r>
              <w:rPr>
                <w:rFonts w:hint="eastAsia"/>
                <w:color w:val="auto"/>
                <w:lang w:val="en-US" w:eastAsia="zh-CN"/>
              </w:rPr>
              <w:t>此外，</w:t>
            </w:r>
            <w:r>
              <w:rPr>
                <w:rFonts w:hint="eastAsia"/>
                <w:color w:val="auto"/>
              </w:rPr>
              <w:t>淮南高新区汽车制造、新型显示、大数据等新兴产业发展取得长足进步，已逐步成为高新区经济增长新动能。</w:t>
            </w:r>
            <w:r>
              <w:rPr>
                <w:rFonts w:hint="default"/>
                <w:color w:val="auto"/>
                <w:lang w:val="en-US" w:eastAsia="zh-CN"/>
              </w:rPr>
              <w:t>综上有必要对开发区主导产业实施变更。</w:t>
            </w:r>
            <w:r>
              <w:rPr>
                <w:rFonts w:hint="eastAsia"/>
                <w:color w:val="auto"/>
                <w:lang w:val="en-US" w:eastAsia="zh-CN"/>
              </w:rPr>
              <w:t>2024年10月29日，淮南市生态环境局以淮环函〔2</w:t>
            </w:r>
            <w:r>
              <w:rPr>
                <w:rFonts w:hint="default"/>
                <w:color w:val="auto"/>
                <w:lang w:val="en-US" w:eastAsia="zh-CN"/>
              </w:rPr>
              <w:t>0</w:t>
            </w:r>
            <w:r>
              <w:rPr>
                <w:rFonts w:hint="eastAsia"/>
                <w:color w:val="auto"/>
                <w:lang w:val="en-US" w:eastAsia="zh-CN"/>
              </w:rPr>
              <w:t>24〕4号对《淮南高新技术产业开发区总体发展规划（2024-2035年）（主导产业变更）环境影响报告》做出审核，其主导产业为汽车制造、新型显示、煤炭清洁利用。</w:t>
            </w:r>
          </w:p>
          <w:p w14:paraId="10E66ADA">
            <w:pPr>
              <w:keepNext w:val="0"/>
              <w:keepLines w:val="0"/>
              <w:suppressLineNumbers w:val="0"/>
              <w:bidi w:val="0"/>
              <w:spacing w:before="0" w:beforeAutospacing="0" w:after="0" w:afterAutospacing="0"/>
              <w:ind w:left="0" w:right="0"/>
              <w:rPr>
                <w:rFonts w:hint="default"/>
                <w:b/>
                <w:bCs/>
                <w:color w:val="auto"/>
                <w:lang w:val="en-US" w:eastAsia="zh-CN"/>
              </w:rPr>
            </w:pPr>
            <w:r>
              <w:rPr>
                <w:rFonts w:hint="eastAsia"/>
                <w:b/>
                <w:bCs/>
                <w:color w:val="auto"/>
                <w:lang w:val="en-US" w:eastAsia="zh-CN"/>
              </w:rPr>
              <w:t>1、</w:t>
            </w:r>
            <w:r>
              <w:rPr>
                <w:rFonts w:hint="eastAsia"/>
                <w:b/>
                <w:bCs/>
                <w:color w:val="auto"/>
              </w:rPr>
              <w:t>规划</w:t>
            </w:r>
            <w:r>
              <w:rPr>
                <w:rFonts w:hint="eastAsia"/>
                <w:b/>
                <w:bCs/>
                <w:color w:val="auto"/>
                <w:lang w:val="en-US" w:eastAsia="zh-CN"/>
              </w:rPr>
              <w:t>范围与用地性质符合性分析</w:t>
            </w:r>
          </w:p>
          <w:p w14:paraId="709E5705">
            <w:pPr>
              <w:keepNext w:val="0"/>
              <w:keepLines w:val="0"/>
              <w:suppressLineNumbers w:val="0"/>
              <w:bidi w:val="0"/>
              <w:spacing w:before="0" w:beforeAutospacing="0" w:after="0" w:afterAutospacing="0"/>
              <w:ind w:left="0" w:right="0"/>
              <w:rPr>
                <w:rFonts w:hint="default"/>
                <w:color w:val="auto"/>
                <w:lang w:val="en-US" w:eastAsia="zh-CN"/>
              </w:rPr>
            </w:pPr>
            <w:r>
              <w:rPr>
                <w:rFonts w:hint="eastAsia"/>
                <w:lang w:val="en-US" w:eastAsia="zh-CN"/>
              </w:rPr>
              <w:t>根据《淮南高新技术产业开发区总体发展规划（2024-2035年）》中确定的园区四至范围为：区块一东至淮河大道，南至泰丰大街，西至高压走廊，北至春申大街，面积为5.15平方公里；区块二东至李园路，南至102省道，西至新河排洪渠，北至规划南纬一路，面积为0.49平方公里。本项目位于区块二范围内，选址为工业用地。项目租赁现有已建厂房，根据厂房租赁协议（附件6）及土地证（证书编号淮国用2016第040009号），可知租赁厂房为淮南市祥瑞木业有限责任公司所有，用地性质为工业用地，因此，本项目符合《淮南高新技术产业开发区总体发展规划（2024-2035年）（主导产业变更）》土地利用规划。</w:t>
            </w:r>
            <w:commentRangeStart w:id="0"/>
            <w:commentRangeStart w:id="1"/>
            <w:r>
              <w:rPr>
                <w:rFonts w:hint="default"/>
              </w:rPr>
              <w:commentReference w:id="0"/>
            </w:r>
            <w:commentRangeEnd w:id="0"/>
            <w:commentRangeEnd w:id="1"/>
            <w:r>
              <w:rPr>
                <w:rFonts w:hint="default"/>
              </w:rPr>
              <w:commentReference w:id="1"/>
            </w:r>
          </w:p>
          <w:p w14:paraId="16DFBA10">
            <w:pPr>
              <w:keepNext w:val="0"/>
              <w:keepLines w:val="0"/>
              <w:suppressLineNumbers w:val="0"/>
              <w:spacing w:before="0" w:beforeAutospacing="0" w:after="0" w:afterAutospacing="0"/>
              <w:ind w:left="480" w:leftChars="200" w:right="0" w:firstLine="0" w:firstLineChars="0"/>
              <w:rPr>
                <w:rFonts w:hint="default" w:eastAsia="宋体"/>
                <w:b/>
                <w:bCs/>
                <w:color w:val="auto"/>
                <w:lang w:val="en-US" w:eastAsia="zh-CN"/>
              </w:rPr>
            </w:pPr>
            <w:r>
              <w:rPr>
                <w:rFonts w:hint="eastAsia"/>
                <w:b/>
                <w:bCs/>
                <w:color w:val="auto"/>
                <w:lang w:val="en-US" w:eastAsia="zh-CN"/>
              </w:rPr>
              <w:t>2、产业定位与功能分区符合性分析</w:t>
            </w:r>
          </w:p>
          <w:p w14:paraId="73E3FF06">
            <w:pPr>
              <w:keepNext w:val="0"/>
              <w:keepLines w:val="0"/>
              <w:suppressLineNumbers w:val="0"/>
              <w:spacing w:before="0" w:beforeAutospacing="0" w:after="0" w:afterAutospacing="0"/>
              <w:ind w:left="0" w:right="0" w:firstLine="480"/>
              <w:rPr>
                <w:rFonts w:hint="eastAsia"/>
                <w:color w:val="0000FF"/>
              </w:rPr>
            </w:pPr>
            <w:r>
              <w:rPr>
                <w:rFonts w:hint="eastAsia"/>
                <w:color w:val="auto"/>
              </w:rPr>
              <w:t>根据</w:t>
            </w:r>
            <w:r>
              <w:rPr>
                <w:rFonts w:hint="eastAsia"/>
                <w:color w:val="auto"/>
                <w:lang w:val="en-US" w:eastAsia="zh-CN"/>
              </w:rPr>
              <w:t>《淮南高新技术产业开发区总体发展规划（2024-2035年）（主导产业变更）》</w:t>
            </w:r>
            <w:r>
              <w:rPr>
                <w:rFonts w:hint="eastAsia"/>
                <w:color w:val="auto"/>
              </w:rPr>
              <w:t>，可知</w:t>
            </w:r>
            <w:r>
              <w:rPr>
                <w:rFonts w:hint="eastAsia"/>
                <w:color w:val="auto"/>
                <w:lang w:val="en-US" w:eastAsia="zh-CN"/>
              </w:rPr>
              <w:t>主导产业为汽车制造、新型显示、煤炭清洁利用</w:t>
            </w:r>
            <w:r>
              <w:rPr>
                <w:rFonts w:hint="default"/>
                <w:color w:val="auto"/>
              </w:rPr>
              <w:t>。</w:t>
            </w:r>
            <w:r>
              <w:rPr>
                <w:rFonts w:hint="eastAsia"/>
                <w:color w:val="auto"/>
              </w:rPr>
              <w:t>本项目位</w:t>
            </w:r>
            <w:r>
              <w:rPr>
                <w:rFonts w:hint="eastAsia"/>
                <w:color w:val="auto"/>
                <w:highlight w:val="none"/>
              </w:rPr>
              <w:t>于</w:t>
            </w:r>
            <w:r>
              <w:rPr>
                <w:rFonts w:hint="eastAsia"/>
                <w:color w:val="auto"/>
                <w:highlight w:val="none"/>
                <w:lang w:val="en-US" w:eastAsia="zh-CN"/>
              </w:rPr>
              <w:t>区块2煤炭清洁利用产业园内</w:t>
            </w:r>
            <w:r>
              <w:rPr>
                <w:rFonts w:hint="eastAsia"/>
                <w:color w:val="auto"/>
                <w:highlight w:val="none"/>
              </w:rPr>
              <w:t>（</w:t>
            </w:r>
            <w:r>
              <w:rPr>
                <w:rFonts w:hint="eastAsia"/>
                <w:color w:val="auto"/>
                <w:highlight w:val="none"/>
                <w:lang w:val="en-US" w:eastAsia="zh-CN"/>
              </w:rPr>
              <w:t>功能</w:t>
            </w:r>
            <w:r>
              <w:rPr>
                <w:rFonts w:hint="eastAsia"/>
                <w:color w:val="auto"/>
                <w:highlight w:val="none"/>
              </w:rPr>
              <w:t>布局规划图见附图</w:t>
            </w:r>
            <w:r>
              <w:rPr>
                <w:rFonts w:hint="eastAsia"/>
                <w:color w:val="auto"/>
                <w:highlight w:val="none"/>
                <w:lang w:val="en-US" w:eastAsia="zh-CN"/>
              </w:rPr>
              <w:t>9</w:t>
            </w:r>
            <w:r>
              <w:rPr>
                <w:rFonts w:hint="eastAsia"/>
                <w:color w:val="auto"/>
                <w:highlight w:val="none"/>
              </w:rPr>
              <w:t>），</w:t>
            </w:r>
            <w:r>
              <w:rPr>
                <w:rFonts w:hint="eastAsia"/>
                <w:color w:val="auto"/>
                <w:highlight w:val="none"/>
                <w:lang w:val="en-US" w:eastAsia="zh-CN"/>
              </w:rPr>
              <w:t>本项目对废旧电动自行车进行拆解，属于</w:t>
            </w:r>
            <w:r>
              <w:rPr>
                <w:rFonts w:hint="default"/>
                <w:color w:val="auto"/>
              </w:rPr>
              <w:t>《产业结构调整指导目录》（20</w:t>
            </w:r>
            <w:r>
              <w:rPr>
                <w:rFonts w:hint="eastAsia"/>
                <w:color w:val="auto"/>
                <w:lang w:val="en-US" w:eastAsia="zh-CN"/>
              </w:rPr>
              <w:t>24</w:t>
            </w:r>
            <w:r>
              <w:rPr>
                <w:rFonts w:hint="default"/>
                <w:color w:val="auto"/>
              </w:rPr>
              <w:t>年本）</w:t>
            </w:r>
            <w:r>
              <w:rPr>
                <w:rFonts w:hint="eastAsia"/>
                <w:color w:val="auto"/>
                <w:lang w:val="en-US" w:eastAsia="zh-CN"/>
              </w:rPr>
              <w:t>中</w:t>
            </w:r>
            <w:r>
              <w:rPr>
                <w:rFonts w:hint="default"/>
                <w:color w:val="auto"/>
              </w:rPr>
              <w:t>鼓励类</w:t>
            </w:r>
            <w:r>
              <w:rPr>
                <w:rFonts w:hint="eastAsia"/>
                <w:color w:val="auto"/>
                <w:lang w:eastAsia="zh-CN"/>
              </w:rPr>
              <w:t>（</w:t>
            </w:r>
            <w:r>
              <w:rPr>
                <w:rFonts w:hint="default"/>
                <w:color w:val="auto"/>
              </w:rPr>
              <w:t>四十二、环境保护与资源节约综合利用废弃物循环利用</w:t>
            </w:r>
            <w:r>
              <w:rPr>
                <w:rFonts w:hint="eastAsia"/>
                <w:color w:val="auto"/>
                <w:lang w:eastAsia="zh-CN"/>
              </w:rPr>
              <w:t>），</w:t>
            </w:r>
            <w:r>
              <w:rPr>
                <w:rFonts w:hint="eastAsia"/>
                <w:color w:val="auto"/>
                <w:lang w:val="en-US" w:eastAsia="zh-CN"/>
              </w:rPr>
              <w:t>为园区优先进入类，</w:t>
            </w:r>
            <w:r>
              <w:rPr>
                <w:rFonts w:hint="eastAsia"/>
                <w:color w:val="auto"/>
              </w:rPr>
              <w:t>因此项目的建设符合园区</w:t>
            </w:r>
            <w:r>
              <w:rPr>
                <w:rFonts w:hint="eastAsia"/>
                <w:color w:val="auto"/>
                <w:lang w:val="en-US" w:eastAsia="zh-CN"/>
              </w:rPr>
              <w:t>产业及功能定位</w:t>
            </w:r>
            <w:r>
              <w:rPr>
                <w:rFonts w:hint="eastAsia"/>
                <w:color w:val="auto"/>
              </w:rPr>
              <w:t>。</w:t>
            </w:r>
          </w:p>
          <w:p w14:paraId="5C75ED53">
            <w:pPr>
              <w:pStyle w:val="47"/>
              <w:keepNext w:val="0"/>
              <w:keepLines w:val="0"/>
              <w:suppressLineNumbers w:val="0"/>
              <w:bidi w:val="0"/>
              <w:spacing w:before="0" w:beforeAutospacing="0" w:after="0" w:afterAutospacing="0"/>
              <w:ind w:left="0" w:right="0"/>
              <w:rPr>
                <w:rFonts w:hint="eastAsia"/>
                <w:color w:val="auto"/>
                <w:lang w:val="en-US" w:eastAsia="zh-CN"/>
              </w:rPr>
            </w:pPr>
            <w:r>
              <w:rPr>
                <w:rFonts w:hint="eastAsia"/>
                <w:color w:val="auto"/>
                <w:lang w:val="en-US" w:eastAsia="zh-CN"/>
              </w:rPr>
              <w:t>表1-2  高新区产业准入清单</w:t>
            </w:r>
          </w:p>
          <w:tbl>
            <w:tblPr>
              <w:tblStyle w:val="19"/>
              <w:tblW w:w="76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55"/>
              <w:gridCol w:w="621"/>
              <w:gridCol w:w="615"/>
              <w:gridCol w:w="941"/>
              <w:gridCol w:w="1236"/>
              <w:gridCol w:w="2412"/>
              <w:gridCol w:w="1226"/>
            </w:tblGrid>
            <w:tr w14:paraId="124B6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5" w:type="dxa"/>
                  <w:noWrap/>
                  <w:vAlign w:val="center"/>
                </w:tcPr>
                <w:p w14:paraId="5FF42E09">
                  <w:pPr>
                    <w:pStyle w:val="61"/>
                    <w:keepNext w:val="0"/>
                    <w:keepLines w:val="0"/>
                    <w:suppressLineNumbers w:val="0"/>
                    <w:bidi w:val="0"/>
                    <w:spacing w:before="0" w:beforeAutospacing="0" w:after="0" w:afterAutospacing="0"/>
                    <w:ind w:left="0" w:right="0"/>
                    <w:jc w:val="center"/>
                    <w:rPr>
                      <w:rFonts w:hint="default"/>
                      <w:b/>
                      <w:bCs/>
                      <w:color w:val="auto"/>
                    </w:rPr>
                  </w:pPr>
                  <w:r>
                    <w:rPr>
                      <w:rFonts w:hint="default"/>
                      <w:b/>
                      <w:bCs/>
                      <w:color w:val="auto"/>
                    </w:rPr>
                    <w:t>清单类型</w:t>
                  </w:r>
                </w:p>
              </w:tc>
              <w:tc>
                <w:tcPr>
                  <w:tcW w:w="621" w:type="dxa"/>
                  <w:noWrap/>
                  <w:vAlign w:val="center"/>
                </w:tcPr>
                <w:p w14:paraId="57A5C686">
                  <w:pPr>
                    <w:pStyle w:val="61"/>
                    <w:keepNext w:val="0"/>
                    <w:keepLines w:val="0"/>
                    <w:suppressLineNumbers w:val="0"/>
                    <w:bidi w:val="0"/>
                    <w:spacing w:before="0" w:beforeAutospacing="0" w:after="0" w:afterAutospacing="0"/>
                    <w:ind w:left="0" w:right="0"/>
                    <w:jc w:val="center"/>
                    <w:rPr>
                      <w:rFonts w:hint="default"/>
                      <w:b/>
                      <w:bCs/>
                      <w:color w:val="auto"/>
                    </w:rPr>
                  </w:pPr>
                  <w:r>
                    <w:rPr>
                      <w:rFonts w:hint="default"/>
                      <w:b/>
                      <w:bCs/>
                      <w:color w:val="auto"/>
                    </w:rPr>
                    <w:t>管控类别</w:t>
                  </w:r>
                </w:p>
              </w:tc>
              <w:tc>
                <w:tcPr>
                  <w:tcW w:w="615" w:type="dxa"/>
                  <w:noWrap w:val="0"/>
                  <w:vAlign w:val="center"/>
                </w:tcPr>
                <w:p w14:paraId="346FFE60">
                  <w:pPr>
                    <w:pStyle w:val="61"/>
                    <w:keepNext w:val="0"/>
                    <w:keepLines w:val="0"/>
                    <w:suppressLineNumbers w:val="0"/>
                    <w:bidi w:val="0"/>
                    <w:spacing w:before="0" w:beforeAutospacing="0" w:after="0" w:afterAutospacing="0"/>
                    <w:ind w:left="0" w:right="0"/>
                    <w:jc w:val="center"/>
                    <w:rPr>
                      <w:rFonts w:hint="default"/>
                      <w:b/>
                      <w:bCs/>
                      <w:color w:val="auto"/>
                    </w:rPr>
                  </w:pPr>
                  <w:r>
                    <w:rPr>
                      <w:rFonts w:hint="default"/>
                      <w:b/>
                      <w:bCs/>
                      <w:color w:val="auto"/>
                    </w:rPr>
                    <w:t>主导产业</w:t>
                  </w:r>
                </w:p>
              </w:tc>
              <w:tc>
                <w:tcPr>
                  <w:tcW w:w="941" w:type="dxa"/>
                  <w:noWrap w:val="0"/>
                  <w:vAlign w:val="center"/>
                </w:tcPr>
                <w:p w14:paraId="3E975438">
                  <w:pPr>
                    <w:pStyle w:val="61"/>
                    <w:keepNext w:val="0"/>
                    <w:keepLines w:val="0"/>
                    <w:suppressLineNumbers w:val="0"/>
                    <w:bidi w:val="0"/>
                    <w:spacing w:before="0" w:beforeAutospacing="0" w:after="0" w:afterAutospacing="0"/>
                    <w:ind w:left="0" w:right="0"/>
                    <w:jc w:val="center"/>
                    <w:rPr>
                      <w:rFonts w:hint="default"/>
                      <w:b/>
                      <w:bCs/>
                      <w:color w:val="auto"/>
                    </w:rPr>
                  </w:pPr>
                  <w:r>
                    <w:rPr>
                      <w:rFonts w:hint="default"/>
                      <w:b/>
                      <w:bCs/>
                      <w:color w:val="auto"/>
                    </w:rPr>
                    <w:t>区块</w:t>
                  </w:r>
                </w:p>
              </w:tc>
              <w:tc>
                <w:tcPr>
                  <w:tcW w:w="3648" w:type="dxa"/>
                  <w:gridSpan w:val="2"/>
                  <w:noWrap w:val="0"/>
                  <w:vAlign w:val="center"/>
                </w:tcPr>
                <w:p w14:paraId="44D46F2C">
                  <w:pPr>
                    <w:pStyle w:val="61"/>
                    <w:keepNext w:val="0"/>
                    <w:keepLines w:val="0"/>
                    <w:suppressLineNumbers w:val="0"/>
                    <w:bidi w:val="0"/>
                    <w:spacing w:before="0" w:beforeAutospacing="0" w:after="0" w:afterAutospacing="0"/>
                    <w:ind w:left="0" w:right="0"/>
                    <w:jc w:val="center"/>
                    <w:rPr>
                      <w:rFonts w:hint="default"/>
                      <w:b/>
                      <w:bCs/>
                      <w:color w:val="auto"/>
                    </w:rPr>
                  </w:pPr>
                  <w:r>
                    <w:rPr>
                      <w:rFonts w:hint="default"/>
                      <w:b/>
                      <w:bCs/>
                      <w:color w:val="auto"/>
                    </w:rPr>
                    <w:t>行业类别</w:t>
                  </w:r>
                </w:p>
              </w:tc>
              <w:tc>
                <w:tcPr>
                  <w:tcW w:w="1226" w:type="dxa"/>
                  <w:noWrap w:val="0"/>
                  <w:vAlign w:val="center"/>
                </w:tcPr>
                <w:p w14:paraId="186C02C5">
                  <w:pPr>
                    <w:pStyle w:val="61"/>
                    <w:keepNext w:val="0"/>
                    <w:keepLines w:val="0"/>
                    <w:suppressLineNumbers w:val="0"/>
                    <w:bidi w:val="0"/>
                    <w:spacing w:before="0" w:beforeAutospacing="0" w:after="0" w:afterAutospacing="0"/>
                    <w:ind w:left="0" w:right="0"/>
                    <w:jc w:val="center"/>
                    <w:rPr>
                      <w:rFonts w:hint="eastAsia"/>
                      <w:b/>
                      <w:bCs/>
                      <w:color w:val="auto"/>
                      <w:lang w:val="en-US" w:eastAsia="zh-CN"/>
                    </w:rPr>
                  </w:pPr>
                  <w:r>
                    <w:rPr>
                      <w:rFonts w:hint="eastAsia"/>
                      <w:b/>
                      <w:bCs/>
                      <w:color w:val="auto"/>
                      <w:lang w:val="en-US" w:eastAsia="zh-CN"/>
                    </w:rPr>
                    <w:t>本项目</w:t>
                  </w:r>
                </w:p>
              </w:tc>
            </w:tr>
            <w:tr w14:paraId="48D8C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5" w:type="dxa"/>
                  <w:vMerge w:val="restart"/>
                  <w:noWrap/>
                  <w:vAlign w:val="center"/>
                </w:tcPr>
                <w:p w14:paraId="0AC6D2E6">
                  <w:pPr>
                    <w:pStyle w:val="61"/>
                    <w:keepNext w:val="0"/>
                    <w:keepLines w:val="0"/>
                    <w:suppressLineNumbers w:val="0"/>
                    <w:bidi w:val="0"/>
                    <w:spacing w:before="0" w:beforeAutospacing="0" w:after="0" w:afterAutospacing="0"/>
                    <w:ind w:left="0" w:right="0"/>
                    <w:jc w:val="center"/>
                    <w:rPr>
                      <w:rFonts w:hint="default"/>
                      <w:color w:val="auto"/>
                    </w:rPr>
                  </w:pPr>
                  <w:r>
                    <w:rPr>
                      <w:rFonts w:hint="default"/>
                      <w:color w:val="auto"/>
                    </w:rPr>
                    <w:t>产业准入要求</w:t>
                  </w:r>
                </w:p>
              </w:tc>
              <w:tc>
                <w:tcPr>
                  <w:tcW w:w="621" w:type="dxa"/>
                  <w:vMerge w:val="restart"/>
                  <w:noWrap/>
                  <w:vAlign w:val="center"/>
                </w:tcPr>
                <w:p w14:paraId="4C0B3B36">
                  <w:pPr>
                    <w:pStyle w:val="61"/>
                    <w:keepNext w:val="0"/>
                    <w:keepLines w:val="0"/>
                    <w:suppressLineNumbers w:val="0"/>
                    <w:bidi w:val="0"/>
                    <w:spacing w:before="0" w:beforeAutospacing="0" w:after="0" w:afterAutospacing="0"/>
                    <w:ind w:left="0" w:right="0"/>
                    <w:jc w:val="center"/>
                    <w:rPr>
                      <w:rFonts w:hint="default"/>
                      <w:color w:val="auto"/>
                      <w:lang w:val="en-US" w:eastAsia="zh-CN"/>
                    </w:rPr>
                  </w:pPr>
                  <w:r>
                    <w:rPr>
                      <w:rFonts w:hint="eastAsia"/>
                      <w:color w:val="auto"/>
                      <w:lang w:val="en-US" w:eastAsia="zh-CN"/>
                    </w:rPr>
                    <w:t>产业定位</w:t>
                  </w:r>
                </w:p>
              </w:tc>
              <w:tc>
                <w:tcPr>
                  <w:tcW w:w="615" w:type="dxa"/>
                  <w:noWrap w:val="0"/>
                  <w:vAlign w:val="center"/>
                </w:tcPr>
                <w:p w14:paraId="7865A3DD">
                  <w:pPr>
                    <w:pStyle w:val="61"/>
                    <w:keepNext w:val="0"/>
                    <w:keepLines w:val="0"/>
                    <w:suppressLineNumbers w:val="0"/>
                    <w:bidi w:val="0"/>
                    <w:spacing w:before="0" w:beforeAutospacing="0" w:after="0" w:afterAutospacing="0"/>
                    <w:ind w:left="0" w:right="0"/>
                    <w:jc w:val="center"/>
                    <w:rPr>
                      <w:rFonts w:hint="default"/>
                      <w:color w:val="auto"/>
                    </w:rPr>
                  </w:pPr>
                  <w:r>
                    <w:rPr>
                      <w:rFonts w:hint="eastAsia"/>
                      <w:color w:val="auto"/>
                    </w:rPr>
                    <w:t>汽车制造</w:t>
                  </w:r>
                </w:p>
              </w:tc>
              <w:tc>
                <w:tcPr>
                  <w:tcW w:w="941" w:type="dxa"/>
                  <w:noWrap w:val="0"/>
                  <w:vAlign w:val="center"/>
                </w:tcPr>
                <w:p w14:paraId="4B6CB06A">
                  <w:pPr>
                    <w:pStyle w:val="61"/>
                    <w:keepNext w:val="0"/>
                    <w:keepLines w:val="0"/>
                    <w:suppressLineNumbers w:val="0"/>
                    <w:bidi w:val="0"/>
                    <w:spacing w:before="0" w:beforeAutospacing="0" w:after="0" w:afterAutospacing="0"/>
                    <w:ind w:left="0" w:right="0"/>
                    <w:jc w:val="center"/>
                    <w:rPr>
                      <w:rFonts w:hint="default"/>
                      <w:color w:val="auto"/>
                    </w:rPr>
                  </w:pPr>
                  <w:r>
                    <w:rPr>
                      <w:rFonts w:hint="eastAsia"/>
                      <w:color w:val="auto"/>
                    </w:rPr>
                    <w:t>区块一西北部</w:t>
                  </w:r>
                </w:p>
              </w:tc>
              <w:tc>
                <w:tcPr>
                  <w:tcW w:w="1236" w:type="dxa"/>
                  <w:noWrap w:val="0"/>
                  <w:vAlign w:val="center"/>
                </w:tcPr>
                <w:p w14:paraId="20CDE6BC">
                  <w:pPr>
                    <w:pStyle w:val="61"/>
                    <w:keepNext w:val="0"/>
                    <w:keepLines w:val="0"/>
                    <w:suppressLineNumbers w:val="0"/>
                    <w:bidi w:val="0"/>
                    <w:spacing w:before="0" w:beforeAutospacing="0" w:after="0" w:afterAutospacing="0"/>
                    <w:ind w:left="0" w:right="0"/>
                    <w:jc w:val="center"/>
                    <w:rPr>
                      <w:rFonts w:hint="default"/>
                      <w:color w:val="auto"/>
                    </w:rPr>
                  </w:pPr>
                  <w:r>
                    <w:rPr>
                      <w:rFonts w:hint="eastAsia"/>
                      <w:color w:val="auto"/>
                    </w:rPr>
                    <w:t>36汽车制造业</w:t>
                  </w:r>
                </w:p>
              </w:tc>
              <w:tc>
                <w:tcPr>
                  <w:tcW w:w="2412" w:type="dxa"/>
                  <w:noWrap w:val="0"/>
                  <w:vAlign w:val="center"/>
                </w:tcPr>
                <w:p w14:paraId="6F8750D2">
                  <w:pPr>
                    <w:pStyle w:val="61"/>
                    <w:keepNext w:val="0"/>
                    <w:keepLines w:val="0"/>
                    <w:suppressLineNumbers w:val="0"/>
                    <w:bidi w:val="0"/>
                    <w:spacing w:before="0" w:beforeAutospacing="0" w:after="0" w:afterAutospacing="0"/>
                    <w:ind w:left="0" w:right="0"/>
                    <w:jc w:val="center"/>
                    <w:rPr>
                      <w:rFonts w:hint="default"/>
                      <w:color w:val="auto"/>
                    </w:rPr>
                  </w:pPr>
                  <w:r>
                    <w:rPr>
                      <w:rFonts w:hint="eastAsia"/>
                      <w:color w:val="auto"/>
                    </w:rPr>
                    <w:t>361汽车整车制造、366汽车车身、挂车制造、367汽车零部件及配件制造</w:t>
                  </w:r>
                </w:p>
              </w:tc>
              <w:tc>
                <w:tcPr>
                  <w:tcW w:w="1226" w:type="dxa"/>
                  <w:vMerge w:val="restart"/>
                  <w:noWrap w:val="0"/>
                  <w:vAlign w:val="center"/>
                </w:tcPr>
                <w:p w14:paraId="7A54D3F4">
                  <w:pPr>
                    <w:pStyle w:val="61"/>
                    <w:keepNext w:val="0"/>
                    <w:keepLines w:val="0"/>
                    <w:suppressLineNumbers w:val="0"/>
                    <w:bidi w:val="0"/>
                    <w:spacing w:before="0" w:beforeAutospacing="0" w:after="0" w:afterAutospacing="0"/>
                    <w:ind w:left="0" w:right="0"/>
                    <w:jc w:val="center"/>
                    <w:rPr>
                      <w:rFonts w:hint="default"/>
                      <w:color w:val="auto"/>
                      <w:lang w:val="en-US" w:eastAsia="zh-CN"/>
                    </w:rPr>
                  </w:pPr>
                  <w:r>
                    <w:rPr>
                      <w:rFonts w:hint="eastAsia"/>
                      <w:color w:val="auto"/>
                      <w:lang w:val="en-US" w:eastAsia="zh-CN"/>
                    </w:rPr>
                    <w:t>项目位于区块二范围内，</w:t>
                  </w:r>
                  <w:r>
                    <w:rPr>
                      <w:rFonts w:hint="eastAsia" w:ascii="Times New Roman" w:hAnsi="Times New Roman" w:eastAsia="宋体" w:cs="Times New Roman"/>
                      <w:color w:val="auto"/>
                      <w:lang w:val="en-US" w:eastAsia="zh-CN"/>
                    </w:rPr>
                    <w:t>为</w:t>
                  </w:r>
                  <w:r>
                    <w:rPr>
                      <w:rFonts w:hint="default" w:ascii="Times New Roman" w:hAnsi="Times New Roman"/>
                      <w:b w:val="0"/>
                      <w:bCs w:val="0"/>
                      <w:color w:val="auto"/>
                      <w:u w:val="none"/>
                      <w:lang w:val="en-US" w:eastAsia="zh-CN"/>
                    </w:rPr>
                    <w:t xml:space="preserve">C4210 </w:t>
                  </w:r>
                  <w:r>
                    <w:rPr>
                      <w:rFonts w:hint="eastAsia" w:ascii="Times New Roman" w:hAnsi="Times New Roman"/>
                      <w:b w:val="0"/>
                      <w:bCs w:val="0"/>
                      <w:color w:val="auto"/>
                      <w:u w:val="none"/>
                      <w:lang w:val="en-US" w:eastAsia="zh-CN"/>
                    </w:rPr>
                    <w:t>金属废料和碎屑加工处理</w:t>
                  </w:r>
                  <w:r>
                    <w:rPr>
                      <w:rFonts w:hint="eastAsia"/>
                      <w:b w:val="0"/>
                      <w:bCs w:val="0"/>
                      <w:color w:val="auto"/>
                      <w:u w:val="none"/>
                      <w:lang w:val="en-US" w:eastAsia="zh-CN"/>
                    </w:rPr>
                    <w:t>、</w:t>
                  </w:r>
                  <w:r>
                    <w:rPr>
                      <w:rFonts w:hint="default" w:ascii="Times New Roman" w:hAnsi="Times New Roman"/>
                      <w:b w:val="0"/>
                      <w:bCs w:val="0"/>
                      <w:color w:val="auto"/>
                      <w:u w:val="none"/>
                      <w:lang w:val="en-US" w:eastAsia="zh-CN"/>
                    </w:rPr>
                    <w:t xml:space="preserve">C4220 </w:t>
                  </w:r>
                  <w:r>
                    <w:rPr>
                      <w:rFonts w:hint="eastAsia" w:ascii="Times New Roman" w:hAnsi="Times New Roman"/>
                      <w:b w:val="0"/>
                      <w:bCs w:val="0"/>
                      <w:color w:val="auto"/>
                      <w:u w:val="none"/>
                      <w:lang w:val="en-US" w:eastAsia="zh-CN"/>
                    </w:rPr>
                    <w:t>非金属废料和碎屑加工处理</w:t>
                  </w:r>
                  <w:r>
                    <w:rPr>
                      <w:rFonts w:hint="eastAsia" w:ascii="Times New Roman" w:hAnsi="Times New Roman" w:eastAsia="宋体" w:cs="Times New Roman"/>
                      <w:color w:val="auto"/>
                      <w:lang w:val="en-US" w:eastAsia="zh-CN"/>
                    </w:rPr>
                    <w:t>，</w:t>
                  </w:r>
                  <w:r>
                    <w:rPr>
                      <w:rFonts w:hint="eastAsia" w:cs="Times New Roman"/>
                      <w:color w:val="auto"/>
                      <w:lang w:val="en-US" w:eastAsia="zh-CN"/>
                    </w:rPr>
                    <w:t>属于</w:t>
                  </w:r>
                  <w:r>
                    <w:rPr>
                      <w:rFonts w:hint="eastAsia"/>
                      <w:color w:val="auto"/>
                      <w:sz w:val="21"/>
                      <w:szCs w:val="21"/>
                    </w:rPr>
                    <w:t>《产业结构调整指导目录（</w:t>
                  </w:r>
                  <w:r>
                    <w:rPr>
                      <w:rFonts w:hint="eastAsia"/>
                      <w:color w:val="auto"/>
                      <w:sz w:val="21"/>
                      <w:szCs w:val="21"/>
                      <w:lang w:val="en-US" w:eastAsia="zh-CN"/>
                    </w:rPr>
                    <w:t>2024</w:t>
                  </w:r>
                  <w:r>
                    <w:rPr>
                      <w:rFonts w:hint="eastAsia"/>
                      <w:color w:val="auto"/>
                      <w:sz w:val="21"/>
                      <w:szCs w:val="21"/>
                    </w:rPr>
                    <w:t>年本）》</w:t>
                  </w:r>
                  <w:r>
                    <w:rPr>
                      <w:rFonts w:hint="eastAsia"/>
                      <w:color w:val="auto"/>
                      <w:sz w:val="21"/>
                      <w:szCs w:val="21"/>
                      <w:lang w:val="en-US" w:eastAsia="zh-CN"/>
                    </w:rPr>
                    <w:t>鼓励类，</w:t>
                  </w:r>
                  <w:r>
                    <w:rPr>
                      <w:rFonts w:hint="eastAsia"/>
                      <w:color w:val="auto"/>
                      <w:lang w:val="en-US" w:eastAsia="zh-CN"/>
                    </w:rPr>
                    <w:t>为园区优先引入类项目</w:t>
                  </w:r>
                </w:p>
              </w:tc>
            </w:tr>
            <w:tr w14:paraId="0B89C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69" w:hRule="atLeast"/>
                <w:jc w:val="center"/>
              </w:trPr>
              <w:tc>
                <w:tcPr>
                  <w:tcW w:w="555" w:type="dxa"/>
                  <w:vMerge w:val="continue"/>
                  <w:noWrap w:val="0"/>
                  <w:vAlign w:val="center"/>
                </w:tcPr>
                <w:p w14:paraId="259444CB">
                  <w:pPr>
                    <w:pStyle w:val="61"/>
                    <w:keepNext w:val="0"/>
                    <w:keepLines w:val="0"/>
                    <w:suppressLineNumbers w:val="0"/>
                    <w:bidi w:val="0"/>
                    <w:spacing w:before="0" w:beforeAutospacing="0" w:after="0" w:afterAutospacing="0"/>
                    <w:ind w:left="0" w:right="0"/>
                    <w:jc w:val="center"/>
                    <w:rPr>
                      <w:rFonts w:hint="default"/>
                      <w:color w:val="auto"/>
                    </w:rPr>
                  </w:pPr>
                </w:p>
              </w:tc>
              <w:tc>
                <w:tcPr>
                  <w:tcW w:w="621" w:type="dxa"/>
                  <w:vMerge w:val="continue"/>
                  <w:noWrap w:val="0"/>
                  <w:vAlign w:val="center"/>
                </w:tcPr>
                <w:p w14:paraId="2D24B039">
                  <w:pPr>
                    <w:pStyle w:val="61"/>
                    <w:keepNext w:val="0"/>
                    <w:keepLines w:val="0"/>
                    <w:suppressLineNumbers w:val="0"/>
                    <w:bidi w:val="0"/>
                    <w:spacing w:before="0" w:beforeAutospacing="0" w:after="0" w:afterAutospacing="0"/>
                    <w:ind w:left="0" w:right="0"/>
                    <w:jc w:val="center"/>
                    <w:rPr>
                      <w:rFonts w:hint="default"/>
                      <w:color w:val="auto"/>
                    </w:rPr>
                  </w:pPr>
                </w:p>
              </w:tc>
              <w:tc>
                <w:tcPr>
                  <w:tcW w:w="615" w:type="dxa"/>
                  <w:noWrap w:val="0"/>
                  <w:vAlign w:val="center"/>
                </w:tcPr>
                <w:p w14:paraId="780C27B1">
                  <w:pPr>
                    <w:pStyle w:val="61"/>
                    <w:keepNext w:val="0"/>
                    <w:keepLines w:val="0"/>
                    <w:suppressLineNumbers w:val="0"/>
                    <w:bidi w:val="0"/>
                    <w:spacing w:before="0" w:beforeAutospacing="0" w:after="0" w:afterAutospacing="0"/>
                    <w:ind w:left="0" w:right="0"/>
                    <w:jc w:val="center"/>
                    <w:rPr>
                      <w:rFonts w:hint="default"/>
                      <w:color w:val="auto"/>
                    </w:rPr>
                  </w:pPr>
                  <w:r>
                    <w:rPr>
                      <w:rFonts w:hint="eastAsia"/>
                      <w:color w:val="auto"/>
                    </w:rPr>
                    <w:t>新兴显示</w:t>
                  </w:r>
                </w:p>
              </w:tc>
              <w:tc>
                <w:tcPr>
                  <w:tcW w:w="941" w:type="dxa"/>
                  <w:noWrap w:val="0"/>
                  <w:vAlign w:val="center"/>
                </w:tcPr>
                <w:p w14:paraId="70975C7F">
                  <w:pPr>
                    <w:pStyle w:val="61"/>
                    <w:keepNext w:val="0"/>
                    <w:keepLines w:val="0"/>
                    <w:suppressLineNumbers w:val="0"/>
                    <w:bidi w:val="0"/>
                    <w:spacing w:before="0" w:beforeAutospacing="0" w:after="0" w:afterAutospacing="0"/>
                    <w:ind w:left="0" w:right="0"/>
                    <w:jc w:val="center"/>
                    <w:rPr>
                      <w:rFonts w:hint="default"/>
                      <w:color w:val="auto"/>
                    </w:rPr>
                  </w:pPr>
                  <w:r>
                    <w:rPr>
                      <w:rFonts w:hint="eastAsia"/>
                      <w:color w:val="auto"/>
                    </w:rPr>
                    <w:t>区块一北部</w:t>
                  </w:r>
                </w:p>
              </w:tc>
              <w:tc>
                <w:tcPr>
                  <w:tcW w:w="1236" w:type="dxa"/>
                  <w:noWrap w:val="0"/>
                  <w:vAlign w:val="center"/>
                </w:tcPr>
                <w:p w14:paraId="5642A49F">
                  <w:pPr>
                    <w:pStyle w:val="61"/>
                    <w:keepNext w:val="0"/>
                    <w:keepLines w:val="0"/>
                    <w:suppressLineNumbers w:val="0"/>
                    <w:bidi w:val="0"/>
                    <w:spacing w:before="0" w:beforeAutospacing="0" w:after="0" w:afterAutospacing="0"/>
                    <w:ind w:left="0" w:right="0"/>
                    <w:jc w:val="center"/>
                    <w:rPr>
                      <w:rFonts w:hint="default"/>
                      <w:color w:val="auto"/>
                    </w:rPr>
                  </w:pPr>
                  <w:r>
                    <w:rPr>
                      <w:rFonts w:hint="eastAsia"/>
                      <w:color w:val="auto"/>
                    </w:rPr>
                    <w:t>39计算机、通信和其他电子设备制造业</w:t>
                  </w:r>
                </w:p>
              </w:tc>
              <w:tc>
                <w:tcPr>
                  <w:tcW w:w="2412" w:type="dxa"/>
                  <w:noWrap w:val="0"/>
                  <w:vAlign w:val="center"/>
                </w:tcPr>
                <w:p w14:paraId="75D8B321">
                  <w:pPr>
                    <w:pStyle w:val="61"/>
                    <w:keepNext w:val="0"/>
                    <w:keepLines w:val="0"/>
                    <w:suppressLineNumbers w:val="0"/>
                    <w:bidi w:val="0"/>
                    <w:spacing w:before="0" w:beforeAutospacing="0" w:after="0" w:afterAutospacing="0"/>
                    <w:ind w:left="0" w:right="0"/>
                    <w:jc w:val="center"/>
                    <w:rPr>
                      <w:rFonts w:hint="default"/>
                      <w:color w:val="auto"/>
                    </w:rPr>
                  </w:pPr>
                  <w:r>
                    <w:rPr>
                      <w:rFonts w:hint="eastAsia"/>
                      <w:color w:val="auto"/>
                    </w:rPr>
                    <w:t>391计算机制造、396智能消费设备制造、397电子器件制造</w:t>
                  </w:r>
                </w:p>
              </w:tc>
              <w:tc>
                <w:tcPr>
                  <w:tcW w:w="1226" w:type="dxa"/>
                  <w:vMerge w:val="continue"/>
                  <w:noWrap w:val="0"/>
                  <w:vAlign w:val="center"/>
                </w:tcPr>
                <w:p w14:paraId="619F801B">
                  <w:pPr>
                    <w:pStyle w:val="61"/>
                    <w:keepNext w:val="0"/>
                    <w:keepLines w:val="0"/>
                    <w:suppressLineNumbers w:val="0"/>
                    <w:bidi w:val="0"/>
                    <w:spacing w:before="0" w:beforeAutospacing="0" w:after="0" w:afterAutospacing="0"/>
                    <w:ind w:left="0" w:right="0"/>
                    <w:jc w:val="center"/>
                    <w:rPr>
                      <w:rFonts w:hint="eastAsia"/>
                      <w:color w:val="auto"/>
                    </w:rPr>
                  </w:pPr>
                </w:p>
              </w:tc>
            </w:tr>
            <w:tr w14:paraId="1CB85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5" w:type="dxa"/>
                  <w:vMerge w:val="continue"/>
                  <w:noWrap w:val="0"/>
                  <w:vAlign w:val="center"/>
                </w:tcPr>
                <w:p w14:paraId="654D9CDF">
                  <w:pPr>
                    <w:pStyle w:val="61"/>
                    <w:keepNext w:val="0"/>
                    <w:keepLines w:val="0"/>
                    <w:suppressLineNumbers w:val="0"/>
                    <w:bidi w:val="0"/>
                    <w:spacing w:before="0" w:beforeAutospacing="0" w:after="0" w:afterAutospacing="0"/>
                    <w:ind w:left="0" w:right="0"/>
                    <w:jc w:val="center"/>
                    <w:rPr>
                      <w:rFonts w:hint="default"/>
                      <w:color w:val="auto"/>
                    </w:rPr>
                  </w:pPr>
                </w:p>
              </w:tc>
              <w:tc>
                <w:tcPr>
                  <w:tcW w:w="621" w:type="dxa"/>
                  <w:vMerge w:val="continue"/>
                  <w:noWrap w:val="0"/>
                  <w:vAlign w:val="center"/>
                </w:tcPr>
                <w:p w14:paraId="34EC3A61">
                  <w:pPr>
                    <w:pStyle w:val="61"/>
                    <w:keepNext w:val="0"/>
                    <w:keepLines w:val="0"/>
                    <w:suppressLineNumbers w:val="0"/>
                    <w:bidi w:val="0"/>
                    <w:spacing w:before="0" w:beforeAutospacing="0" w:after="0" w:afterAutospacing="0"/>
                    <w:ind w:left="0" w:right="0"/>
                    <w:jc w:val="center"/>
                    <w:rPr>
                      <w:rFonts w:hint="default"/>
                      <w:color w:val="auto"/>
                    </w:rPr>
                  </w:pPr>
                </w:p>
              </w:tc>
              <w:tc>
                <w:tcPr>
                  <w:tcW w:w="615" w:type="dxa"/>
                  <w:vMerge w:val="restart"/>
                  <w:noWrap w:val="0"/>
                  <w:vAlign w:val="center"/>
                </w:tcPr>
                <w:p w14:paraId="38293AE8">
                  <w:pPr>
                    <w:pStyle w:val="61"/>
                    <w:keepNext w:val="0"/>
                    <w:keepLines w:val="0"/>
                    <w:suppressLineNumbers w:val="0"/>
                    <w:bidi w:val="0"/>
                    <w:spacing w:before="0" w:beforeAutospacing="0" w:after="0" w:afterAutospacing="0"/>
                    <w:ind w:left="0" w:right="0"/>
                    <w:jc w:val="center"/>
                    <w:rPr>
                      <w:rFonts w:hint="default"/>
                      <w:color w:val="auto"/>
                    </w:rPr>
                  </w:pPr>
                  <w:r>
                    <w:rPr>
                      <w:rFonts w:hint="eastAsia"/>
                      <w:color w:val="auto"/>
                    </w:rPr>
                    <w:t>煤炭清洁利用</w:t>
                  </w:r>
                </w:p>
              </w:tc>
              <w:tc>
                <w:tcPr>
                  <w:tcW w:w="941" w:type="dxa"/>
                  <w:noWrap w:val="0"/>
                  <w:vAlign w:val="center"/>
                </w:tcPr>
                <w:p w14:paraId="2FC5BA01">
                  <w:pPr>
                    <w:pStyle w:val="61"/>
                    <w:keepNext w:val="0"/>
                    <w:keepLines w:val="0"/>
                    <w:suppressLineNumbers w:val="0"/>
                    <w:bidi w:val="0"/>
                    <w:spacing w:before="0" w:beforeAutospacing="0" w:after="0" w:afterAutospacing="0"/>
                    <w:ind w:left="0" w:right="0"/>
                    <w:jc w:val="center"/>
                    <w:rPr>
                      <w:rFonts w:hint="default"/>
                      <w:color w:val="auto"/>
                    </w:rPr>
                  </w:pPr>
                  <w:r>
                    <w:rPr>
                      <w:rFonts w:hint="eastAsia"/>
                      <w:color w:val="auto"/>
                    </w:rPr>
                    <w:t>区块一东北部</w:t>
                  </w:r>
                </w:p>
              </w:tc>
              <w:tc>
                <w:tcPr>
                  <w:tcW w:w="1236" w:type="dxa"/>
                  <w:vMerge w:val="restart"/>
                  <w:noWrap w:val="0"/>
                  <w:vAlign w:val="center"/>
                </w:tcPr>
                <w:p w14:paraId="785248A3">
                  <w:pPr>
                    <w:pStyle w:val="61"/>
                    <w:keepNext w:val="0"/>
                    <w:keepLines w:val="0"/>
                    <w:suppressLineNumbers w:val="0"/>
                    <w:bidi w:val="0"/>
                    <w:spacing w:before="0" w:beforeAutospacing="0" w:after="0" w:afterAutospacing="0"/>
                    <w:ind w:left="0" w:right="0"/>
                    <w:jc w:val="center"/>
                    <w:rPr>
                      <w:rFonts w:hint="eastAsia"/>
                      <w:color w:val="auto"/>
                      <w:lang w:val="en-US" w:eastAsia="zh-CN"/>
                    </w:rPr>
                  </w:pPr>
                  <w:r>
                    <w:rPr>
                      <w:rFonts w:hint="eastAsia"/>
                      <w:color w:val="auto"/>
                    </w:rPr>
                    <w:t>06煤炭开采和洗选业</w:t>
                  </w:r>
                  <w:r>
                    <w:rPr>
                      <w:rFonts w:hint="eastAsia"/>
                      <w:color w:val="auto"/>
                      <w:lang w:val="en-US" w:eastAsia="zh-CN"/>
                    </w:rPr>
                    <w:t>*</w:t>
                  </w:r>
                </w:p>
              </w:tc>
              <w:tc>
                <w:tcPr>
                  <w:tcW w:w="2412" w:type="dxa"/>
                  <w:vMerge w:val="restart"/>
                  <w:noWrap w:val="0"/>
                  <w:vAlign w:val="center"/>
                </w:tcPr>
                <w:p w14:paraId="7DE3C08D">
                  <w:pPr>
                    <w:pStyle w:val="61"/>
                    <w:keepNext w:val="0"/>
                    <w:keepLines w:val="0"/>
                    <w:suppressLineNumbers w:val="0"/>
                    <w:bidi w:val="0"/>
                    <w:spacing w:before="0" w:beforeAutospacing="0" w:after="0" w:afterAutospacing="0"/>
                    <w:ind w:left="0" w:right="0"/>
                    <w:jc w:val="center"/>
                    <w:rPr>
                      <w:rFonts w:hint="default"/>
                      <w:color w:val="auto"/>
                      <w:lang w:val="en-US" w:eastAsia="zh-CN"/>
                    </w:rPr>
                  </w:pPr>
                  <w:r>
                    <w:rPr>
                      <w:rFonts w:hint="eastAsia"/>
                      <w:color w:val="auto"/>
                      <w:lang w:val="en-US" w:eastAsia="zh-CN"/>
                    </w:rPr>
                    <w:t>/</w:t>
                  </w:r>
                </w:p>
              </w:tc>
              <w:tc>
                <w:tcPr>
                  <w:tcW w:w="1226" w:type="dxa"/>
                  <w:vMerge w:val="continue"/>
                  <w:noWrap w:val="0"/>
                  <w:vAlign w:val="center"/>
                </w:tcPr>
                <w:p w14:paraId="3ACCCA85">
                  <w:pPr>
                    <w:pStyle w:val="61"/>
                    <w:keepNext w:val="0"/>
                    <w:keepLines w:val="0"/>
                    <w:suppressLineNumbers w:val="0"/>
                    <w:bidi w:val="0"/>
                    <w:spacing w:before="0" w:beforeAutospacing="0" w:after="0" w:afterAutospacing="0"/>
                    <w:ind w:left="0" w:right="0"/>
                    <w:jc w:val="center"/>
                    <w:rPr>
                      <w:rFonts w:hint="eastAsia"/>
                      <w:color w:val="auto"/>
                      <w:lang w:val="en-US" w:eastAsia="zh-CN"/>
                    </w:rPr>
                  </w:pPr>
                </w:p>
              </w:tc>
            </w:tr>
            <w:tr w14:paraId="2DEBE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5" w:type="dxa"/>
                  <w:vMerge w:val="continue"/>
                  <w:noWrap w:val="0"/>
                  <w:vAlign w:val="center"/>
                </w:tcPr>
                <w:p w14:paraId="68CD0BDC">
                  <w:pPr>
                    <w:pStyle w:val="61"/>
                    <w:keepNext w:val="0"/>
                    <w:keepLines w:val="0"/>
                    <w:suppressLineNumbers w:val="0"/>
                    <w:bidi w:val="0"/>
                    <w:spacing w:before="0" w:beforeAutospacing="0" w:after="0" w:afterAutospacing="0"/>
                    <w:ind w:left="0" w:right="0"/>
                    <w:jc w:val="center"/>
                    <w:rPr>
                      <w:rFonts w:hint="default"/>
                      <w:color w:val="auto"/>
                    </w:rPr>
                  </w:pPr>
                </w:p>
              </w:tc>
              <w:tc>
                <w:tcPr>
                  <w:tcW w:w="621" w:type="dxa"/>
                  <w:vMerge w:val="continue"/>
                  <w:noWrap w:val="0"/>
                  <w:vAlign w:val="center"/>
                </w:tcPr>
                <w:p w14:paraId="03730B77">
                  <w:pPr>
                    <w:pStyle w:val="61"/>
                    <w:keepNext w:val="0"/>
                    <w:keepLines w:val="0"/>
                    <w:suppressLineNumbers w:val="0"/>
                    <w:bidi w:val="0"/>
                    <w:spacing w:before="0" w:beforeAutospacing="0" w:after="0" w:afterAutospacing="0"/>
                    <w:ind w:left="0" w:right="0"/>
                    <w:jc w:val="center"/>
                    <w:rPr>
                      <w:rFonts w:hint="default"/>
                      <w:color w:val="auto"/>
                    </w:rPr>
                  </w:pPr>
                </w:p>
              </w:tc>
              <w:tc>
                <w:tcPr>
                  <w:tcW w:w="615" w:type="dxa"/>
                  <w:vMerge w:val="continue"/>
                  <w:noWrap w:val="0"/>
                  <w:vAlign w:val="center"/>
                </w:tcPr>
                <w:p w14:paraId="582501F0">
                  <w:pPr>
                    <w:pStyle w:val="61"/>
                    <w:keepNext w:val="0"/>
                    <w:keepLines w:val="0"/>
                    <w:suppressLineNumbers w:val="0"/>
                    <w:bidi w:val="0"/>
                    <w:spacing w:before="0" w:beforeAutospacing="0" w:after="0" w:afterAutospacing="0"/>
                    <w:ind w:left="0" w:right="0"/>
                    <w:jc w:val="center"/>
                    <w:rPr>
                      <w:rFonts w:hint="default"/>
                      <w:color w:val="auto"/>
                    </w:rPr>
                  </w:pPr>
                </w:p>
              </w:tc>
              <w:tc>
                <w:tcPr>
                  <w:tcW w:w="941" w:type="dxa"/>
                  <w:noWrap w:val="0"/>
                  <w:vAlign w:val="center"/>
                </w:tcPr>
                <w:p w14:paraId="07025468">
                  <w:pPr>
                    <w:pStyle w:val="61"/>
                    <w:keepNext w:val="0"/>
                    <w:keepLines w:val="0"/>
                    <w:suppressLineNumbers w:val="0"/>
                    <w:bidi w:val="0"/>
                    <w:spacing w:before="0" w:beforeAutospacing="0" w:after="0" w:afterAutospacing="0"/>
                    <w:ind w:left="0" w:right="0"/>
                    <w:jc w:val="center"/>
                    <w:rPr>
                      <w:rFonts w:hint="default"/>
                      <w:color w:val="auto"/>
                    </w:rPr>
                  </w:pPr>
                  <w:r>
                    <w:rPr>
                      <w:rFonts w:hint="eastAsia"/>
                      <w:color w:val="auto"/>
                    </w:rPr>
                    <w:t>区块二</w:t>
                  </w:r>
                </w:p>
              </w:tc>
              <w:tc>
                <w:tcPr>
                  <w:tcW w:w="1236" w:type="dxa"/>
                  <w:vMerge w:val="continue"/>
                  <w:noWrap w:val="0"/>
                  <w:vAlign w:val="center"/>
                </w:tcPr>
                <w:p w14:paraId="79D193E9">
                  <w:pPr>
                    <w:pStyle w:val="61"/>
                    <w:keepNext w:val="0"/>
                    <w:keepLines w:val="0"/>
                    <w:suppressLineNumbers w:val="0"/>
                    <w:bidi w:val="0"/>
                    <w:spacing w:before="0" w:beforeAutospacing="0" w:after="0" w:afterAutospacing="0"/>
                    <w:ind w:left="0" w:right="0"/>
                    <w:jc w:val="center"/>
                    <w:rPr>
                      <w:rFonts w:hint="default"/>
                      <w:color w:val="auto"/>
                    </w:rPr>
                  </w:pPr>
                </w:p>
              </w:tc>
              <w:tc>
                <w:tcPr>
                  <w:tcW w:w="2412" w:type="dxa"/>
                  <w:vMerge w:val="continue"/>
                  <w:noWrap w:val="0"/>
                  <w:vAlign w:val="center"/>
                </w:tcPr>
                <w:p w14:paraId="12181CBC">
                  <w:pPr>
                    <w:pStyle w:val="61"/>
                    <w:keepNext w:val="0"/>
                    <w:keepLines w:val="0"/>
                    <w:suppressLineNumbers w:val="0"/>
                    <w:bidi w:val="0"/>
                    <w:spacing w:before="0" w:beforeAutospacing="0" w:after="0" w:afterAutospacing="0"/>
                    <w:ind w:left="0" w:right="0"/>
                    <w:jc w:val="center"/>
                    <w:rPr>
                      <w:rFonts w:hint="eastAsia"/>
                      <w:color w:val="auto"/>
                      <w:lang w:val="en-US" w:eastAsia="zh-CN"/>
                    </w:rPr>
                  </w:pPr>
                </w:p>
              </w:tc>
              <w:tc>
                <w:tcPr>
                  <w:tcW w:w="1226" w:type="dxa"/>
                  <w:vMerge w:val="continue"/>
                  <w:noWrap w:val="0"/>
                  <w:vAlign w:val="center"/>
                </w:tcPr>
                <w:p w14:paraId="1AE421BF">
                  <w:pPr>
                    <w:pStyle w:val="61"/>
                    <w:keepNext w:val="0"/>
                    <w:keepLines w:val="0"/>
                    <w:suppressLineNumbers w:val="0"/>
                    <w:bidi w:val="0"/>
                    <w:spacing w:before="0" w:beforeAutospacing="0" w:after="0" w:afterAutospacing="0"/>
                    <w:ind w:left="0" w:right="0"/>
                    <w:jc w:val="center"/>
                    <w:rPr>
                      <w:rFonts w:hint="eastAsia"/>
                      <w:color w:val="auto"/>
                      <w:lang w:val="en-US" w:eastAsia="zh-CN"/>
                    </w:rPr>
                  </w:pPr>
                </w:p>
              </w:tc>
            </w:tr>
            <w:tr w14:paraId="40E32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5" w:type="dxa"/>
                  <w:vMerge w:val="continue"/>
                  <w:noWrap w:val="0"/>
                  <w:vAlign w:val="center"/>
                </w:tcPr>
                <w:p w14:paraId="2B19AC37">
                  <w:pPr>
                    <w:pStyle w:val="61"/>
                    <w:keepNext w:val="0"/>
                    <w:keepLines w:val="0"/>
                    <w:suppressLineNumbers w:val="0"/>
                    <w:bidi w:val="0"/>
                    <w:spacing w:before="0" w:beforeAutospacing="0" w:after="0" w:afterAutospacing="0"/>
                    <w:ind w:left="0" w:right="0"/>
                    <w:jc w:val="center"/>
                    <w:rPr>
                      <w:rFonts w:hint="default"/>
                      <w:color w:val="auto"/>
                    </w:rPr>
                  </w:pPr>
                </w:p>
              </w:tc>
              <w:tc>
                <w:tcPr>
                  <w:tcW w:w="621" w:type="dxa"/>
                  <w:vMerge w:val="restart"/>
                  <w:shd w:val="clear" w:color="auto" w:fill="auto"/>
                  <w:noWrap w:val="0"/>
                  <w:vAlign w:val="center"/>
                </w:tcPr>
                <w:p w14:paraId="5581AEB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color w:val="auto"/>
                    </w:rPr>
                  </w:pPr>
                  <w:r>
                    <w:rPr>
                      <w:rFonts w:hint="eastAsia"/>
                      <w:color w:val="auto"/>
                      <w:sz w:val="21"/>
                      <w:szCs w:val="21"/>
                      <w:lang w:val="en-US" w:eastAsia="zh-CN"/>
                    </w:rPr>
                    <w:t>优先进入类</w:t>
                  </w:r>
                </w:p>
              </w:tc>
              <w:tc>
                <w:tcPr>
                  <w:tcW w:w="5204" w:type="dxa"/>
                  <w:gridSpan w:val="4"/>
                  <w:shd w:val="clear" w:color="auto" w:fill="auto"/>
                  <w:noWrap w:val="0"/>
                  <w:vAlign w:val="center"/>
                </w:tcPr>
                <w:p w14:paraId="2F67FDEA">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符合产业定位且属于国家发展和改革委《产业结构调整指导目录（</w:t>
                  </w:r>
                  <w:r>
                    <w:rPr>
                      <w:rFonts w:hint="eastAsia"/>
                      <w:color w:val="auto"/>
                      <w:sz w:val="21"/>
                      <w:szCs w:val="21"/>
                      <w:lang w:val="en-US" w:eastAsia="zh-CN"/>
                    </w:rPr>
                    <w:t>2024</w:t>
                  </w:r>
                  <w:r>
                    <w:rPr>
                      <w:rFonts w:hint="eastAsia"/>
                      <w:color w:val="auto"/>
                      <w:sz w:val="21"/>
                      <w:szCs w:val="21"/>
                    </w:rPr>
                    <w:t>年本）》、《鼓励外商投资产业目录》（20</w:t>
                  </w:r>
                  <w:r>
                    <w:rPr>
                      <w:rFonts w:hint="eastAsia"/>
                      <w:color w:val="auto"/>
                      <w:sz w:val="21"/>
                      <w:szCs w:val="21"/>
                      <w:lang w:val="en-US" w:eastAsia="zh-CN"/>
                    </w:rPr>
                    <w:t>22</w:t>
                  </w:r>
                  <w:r>
                    <w:rPr>
                      <w:rFonts w:hint="eastAsia"/>
                      <w:color w:val="auto"/>
                      <w:sz w:val="21"/>
                      <w:szCs w:val="21"/>
                    </w:rPr>
                    <w:t>年版）、《产业转移指导目录》（2018年版）</w:t>
                  </w:r>
                  <w:r>
                    <w:rPr>
                      <w:rFonts w:hint="eastAsia"/>
                      <w:color w:val="auto"/>
                      <w:sz w:val="21"/>
                      <w:szCs w:val="21"/>
                      <w:lang w:eastAsia="zh-CN"/>
                    </w:rPr>
                    <w:t>、</w:t>
                  </w:r>
                  <w:r>
                    <w:rPr>
                      <w:rFonts w:hint="eastAsia"/>
                      <w:color w:val="auto"/>
                      <w:sz w:val="21"/>
                      <w:szCs w:val="21"/>
                    </w:rPr>
                    <w:t>《战略性新兴产业重点产品和服务指导目录（2016版）》等产业政策文件中属于鼓励类和重点发展中的产品、工艺和技术。</w:t>
                  </w:r>
                </w:p>
              </w:tc>
              <w:tc>
                <w:tcPr>
                  <w:tcW w:w="1226" w:type="dxa"/>
                  <w:vMerge w:val="continue"/>
                  <w:noWrap w:val="0"/>
                  <w:vAlign w:val="center"/>
                </w:tcPr>
                <w:p w14:paraId="5D15D389">
                  <w:pPr>
                    <w:pStyle w:val="61"/>
                    <w:keepNext w:val="0"/>
                    <w:keepLines w:val="0"/>
                    <w:suppressLineNumbers w:val="0"/>
                    <w:bidi w:val="0"/>
                    <w:spacing w:before="0" w:beforeAutospacing="0" w:after="0" w:afterAutospacing="0"/>
                    <w:ind w:left="0" w:right="0"/>
                    <w:jc w:val="center"/>
                    <w:rPr>
                      <w:rFonts w:hint="eastAsia"/>
                      <w:color w:val="auto"/>
                      <w:lang w:val="en-US" w:eastAsia="zh-CN"/>
                    </w:rPr>
                  </w:pPr>
                </w:p>
              </w:tc>
            </w:tr>
            <w:tr w14:paraId="604BB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5" w:type="dxa"/>
                  <w:vMerge w:val="continue"/>
                  <w:noWrap w:val="0"/>
                  <w:vAlign w:val="center"/>
                </w:tcPr>
                <w:p w14:paraId="79CCFA98">
                  <w:pPr>
                    <w:pStyle w:val="61"/>
                    <w:keepNext w:val="0"/>
                    <w:keepLines w:val="0"/>
                    <w:suppressLineNumbers w:val="0"/>
                    <w:bidi w:val="0"/>
                    <w:spacing w:before="0" w:beforeAutospacing="0" w:after="0" w:afterAutospacing="0"/>
                    <w:ind w:left="0" w:right="0"/>
                    <w:jc w:val="center"/>
                    <w:rPr>
                      <w:rFonts w:hint="default"/>
                      <w:color w:val="auto"/>
                    </w:rPr>
                  </w:pPr>
                </w:p>
              </w:tc>
              <w:tc>
                <w:tcPr>
                  <w:tcW w:w="621" w:type="dxa"/>
                  <w:vMerge w:val="continue"/>
                  <w:noWrap w:val="0"/>
                  <w:vAlign w:val="center"/>
                </w:tcPr>
                <w:p w14:paraId="5DA3041E">
                  <w:pPr>
                    <w:pStyle w:val="61"/>
                    <w:keepNext w:val="0"/>
                    <w:keepLines w:val="0"/>
                    <w:suppressLineNumbers w:val="0"/>
                    <w:bidi w:val="0"/>
                    <w:spacing w:before="0" w:beforeAutospacing="0" w:after="0" w:afterAutospacing="0"/>
                    <w:ind w:left="0" w:right="0"/>
                    <w:jc w:val="center"/>
                    <w:rPr>
                      <w:rFonts w:hint="default"/>
                      <w:color w:val="auto"/>
                    </w:rPr>
                  </w:pPr>
                </w:p>
              </w:tc>
              <w:tc>
                <w:tcPr>
                  <w:tcW w:w="5204" w:type="dxa"/>
                  <w:gridSpan w:val="4"/>
                  <w:shd w:val="clear" w:color="auto" w:fill="auto"/>
                  <w:noWrap w:val="0"/>
                  <w:vAlign w:val="center"/>
                </w:tcPr>
                <w:p w14:paraId="4056806B">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eastAsia" w:ascii="Times New Roman" w:hAnsi="Times New Roman" w:eastAsia="宋体" w:cs="Times New Roman"/>
                      <w:color w:val="auto"/>
                      <w:kern w:val="2"/>
                      <w:sz w:val="21"/>
                      <w:szCs w:val="21"/>
                      <w:lang w:val="en-US" w:eastAsia="zh-CN" w:bidi="ar-SA"/>
                    </w:rPr>
                  </w:pPr>
                  <w:r>
                    <w:rPr>
                      <w:rFonts w:hint="eastAsia"/>
                      <w:color w:val="auto"/>
                      <w:sz w:val="21"/>
                      <w:szCs w:val="21"/>
                    </w:rPr>
                    <w:t>鼓励依托产业定位发展上下游关联度强、技术水平高、绿色安全环保的企业和项目，进一步补链、延链、强链。</w:t>
                  </w:r>
                </w:p>
              </w:tc>
              <w:tc>
                <w:tcPr>
                  <w:tcW w:w="1226" w:type="dxa"/>
                  <w:vMerge w:val="continue"/>
                  <w:noWrap w:val="0"/>
                  <w:vAlign w:val="center"/>
                </w:tcPr>
                <w:p w14:paraId="7C8BAF76">
                  <w:pPr>
                    <w:pStyle w:val="61"/>
                    <w:keepNext w:val="0"/>
                    <w:keepLines w:val="0"/>
                    <w:suppressLineNumbers w:val="0"/>
                    <w:bidi w:val="0"/>
                    <w:spacing w:before="0" w:beforeAutospacing="0" w:after="0" w:afterAutospacing="0"/>
                    <w:ind w:left="0" w:right="0"/>
                    <w:jc w:val="center"/>
                    <w:rPr>
                      <w:rFonts w:hint="eastAsia"/>
                      <w:color w:val="auto"/>
                      <w:lang w:val="en-US" w:eastAsia="zh-CN"/>
                    </w:rPr>
                  </w:pPr>
                </w:p>
              </w:tc>
            </w:tr>
            <w:tr w14:paraId="6EA19F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5" w:type="dxa"/>
                  <w:vMerge w:val="continue"/>
                  <w:noWrap w:val="0"/>
                  <w:vAlign w:val="center"/>
                </w:tcPr>
                <w:p w14:paraId="38E8A278">
                  <w:pPr>
                    <w:pStyle w:val="61"/>
                    <w:keepNext w:val="0"/>
                    <w:keepLines w:val="0"/>
                    <w:suppressLineNumbers w:val="0"/>
                    <w:bidi w:val="0"/>
                    <w:spacing w:before="0" w:beforeAutospacing="0" w:after="0" w:afterAutospacing="0"/>
                    <w:ind w:left="0" w:right="0"/>
                    <w:jc w:val="center"/>
                    <w:rPr>
                      <w:rFonts w:hint="default"/>
                      <w:color w:val="auto"/>
                    </w:rPr>
                  </w:pPr>
                </w:p>
              </w:tc>
              <w:tc>
                <w:tcPr>
                  <w:tcW w:w="621" w:type="dxa"/>
                  <w:shd w:val="clear" w:color="auto" w:fill="auto"/>
                  <w:noWrap w:val="0"/>
                  <w:vAlign w:val="center"/>
                </w:tcPr>
                <w:p w14:paraId="67DD7BB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color w:val="auto"/>
                      <w:kern w:val="2"/>
                      <w:sz w:val="21"/>
                      <w:szCs w:val="21"/>
                      <w:lang w:val="en-US" w:eastAsia="zh-CN" w:bidi="ar-SA"/>
                    </w:rPr>
                  </w:pPr>
                  <w:r>
                    <w:rPr>
                      <w:rFonts w:hint="default"/>
                      <w:color w:val="auto"/>
                      <w:sz w:val="21"/>
                      <w:szCs w:val="21"/>
                    </w:rPr>
                    <w:t>有条件进入类</w:t>
                  </w:r>
                </w:p>
              </w:tc>
              <w:tc>
                <w:tcPr>
                  <w:tcW w:w="5204" w:type="dxa"/>
                  <w:gridSpan w:val="4"/>
                  <w:shd w:val="clear" w:color="auto" w:fill="auto"/>
                  <w:noWrap w:val="0"/>
                  <w:vAlign w:val="center"/>
                </w:tcPr>
                <w:p w14:paraId="20C98CA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eastAsia" w:ascii="Times New Roman" w:hAnsi="Times New Roman" w:eastAsia="宋体" w:cs="Times New Roman"/>
                      <w:color w:val="auto"/>
                      <w:kern w:val="2"/>
                      <w:sz w:val="21"/>
                      <w:szCs w:val="21"/>
                      <w:lang w:val="en-US" w:eastAsia="zh-CN" w:bidi="ar-SA"/>
                    </w:rPr>
                  </w:pPr>
                  <w:r>
                    <w:rPr>
                      <w:rFonts w:hint="default"/>
                      <w:color w:val="auto"/>
                      <w:sz w:val="21"/>
                      <w:szCs w:val="21"/>
                      <w:lang w:val="en-US" w:eastAsia="zh-CN"/>
                    </w:rPr>
                    <w:t>与主导产业链配套的其他相关产业，且经过充分的环境影响论证</w:t>
                  </w:r>
                  <w:r>
                    <w:rPr>
                      <w:rFonts w:hint="eastAsia"/>
                      <w:color w:val="auto"/>
                      <w:sz w:val="21"/>
                      <w:szCs w:val="21"/>
                      <w:lang w:val="en-US" w:eastAsia="zh-CN"/>
                    </w:rPr>
                    <w:t>。</w:t>
                  </w:r>
                </w:p>
              </w:tc>
              <w:tc>
                <w:tcPr>
                  <w:tcW w:w="1226" w:type="dxa"/>
                  <w:vMerge w:val="continue"/>
                  <w:noWrap w:val="0"/>
                  <w:vAlign w:val="center"/>
                </w:tcPr>
                <w:p w14:paraId="2214F40A">
                  <w:pPr>
                    <w:pStyle w:val="61"/>
                    <w:keepNext w:val="0"/>
                    <w:keepLines w:val="0"/>
                    <w:suppressLineNumbers w:val="0"/>
                    <w:bidi w:val="0"/>
                    <w:spacing w:before="0" w:beforeAutospacing="0" w:after="0" w:afterAutospacing="0"/>
                    <w:ind w:left="0" w:right="0"/>
                    <w:jc w:val="center"/>
                    <w:rPr>
                      <w:rFonts w:hint="eastAsia"/>
                      <w:color w:val="auto"/>
                      <w:lang w:val="en-US" w:eastAsia="zh-CN"/>
                    </w:rPr>
                  </w:pPr>
                </w:p>
              </w:tc>
            </w:tr>
            <w:tr w14:paraId="18900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5" w:type="dxa"/>
                  <w:vMerge w:val="continue"/>
                  <w:noWrap w:val="0"/>
                  <w:vAlign w:val="center"/>
                </w:tcPr>
                <w:p w14:paraId="552225AA">
                  <w:pPr>
                    <w:pStyle w:val="61"/>
                    <w:keepNext w:val="0"/>
                    <w:keepLines w:val="0"/>
                    <w:suppressLineNumbers w:val="0"/>
                    <w:bidi w:val="0"/>
                    <w:spacing w:before="0" w:beforeAutospacing="0" w:after="0" w:afterAutospacing="0"/>
                    <w:ind w:left="0" w:right="0"/>
                    <w:jc w:val="center"/>
                    <w:rPr>
                      <w:rFonts w:hint="default"/>
                      <w:color w:val="auto"/>
                    </w:rPr>
                  </w:pPr>
                </w:p>
              </w:tc>
              <w:tc>
                <w:tcPr>
                  <w:tcW w:w="621" w:type="dxa"/>
                  <w:vMerge w:val="restart"/>
                  <w:shd w:val="clear" w:color="auto" w:fill="auto"/>
                  <w:noWrap w:val="0"/>
                  <w:vAlign w:val="center"/>
                </w:tcPr>
                <w:p w14:paraId="0838902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color w:val="auto"/>
                      <w:kern w:val="2"/>
                      <w:sz w:val="21"/>
                      <w:szCs w:val="21"/>
                      <w:lang w:val="en-US" w:eastAsia="zh-CN" w:bidi="ar-SA"/>
                    </w:rPr>
                  </w:pPr>
                  <w:r>
                    <w:rPr>
                      <w:rFonts w:hint="default"/>
                      <w:color w:val="auto"/>
                      <w:sz w:val="21"/>
                      <w:szCs w:val="21"/>
                    </w:rPr>
                    <w:t>限制类</w:t>
                  </w:r>
                </w:p>
              </w:tc>
              <w:tc>
                <w:tcPr>
                  <w:tcW w:w="5204" w:type="dxa"/>
                  <w:gridSpan w:val="4"/>
                  <w:shd w:val="clear" w:color="auto" w:fill="auto"/>
                  <w:noWrap w:val="0"/>
                  <w:vAlign w:val="center"/>
                </w:tcPr>
                <w:p w14:paraId="57EE1B53">
                  <w:pPr>
                    <w:pStyle w:val="27"/>
                    <w:keepNext w:val="0"/>
                    <w:keepLines w:val="0"/>
                    <w:suppressLineNumbers w:val="0"/>
                    <w:bidi w:val="0"/>
                    <w:spacing w:before="0" w:beforeAutospacing="0" w:after="0" w:afterAutospacing="0"/>
                    <w:ind w:left="0" w:right="0" w:firstLine="0" w:firstLineChars="0"/>
                    <w:jc w:val="center"/>
                    <w:rPr>
                      <w:rFonts w:hint="eastAsia" w:ascii="Calibri" w:hAnsi="Calibri" w:eastAsia="宋体" w:cs="Times New Roman"/>
                      <w:color w:val="auto"/>
                      <w:kern w:val="2"/>
                      <w:sz w:val="21"/>
                      <w:szCs w:val="20"/>
                      <w:lang w:val="en-US" w:eastAsia="zh-CN" w:bidi="ar-SA"/>
                    </w:rPr>
                  </w:pPr>
                  <w:r>
                    <w:rPr>
                      <w:rFonts w:hint="eastAsia"/>
                      <w:color w:val="auto"/>
                    </w:rPr>
                    <w:t>《产业结构调整指导目录（</w:t>
                  </w:r>
                  <w:r>
                    <w:rPr>
                      <w:rFonts w:hint="eastAsia"/>
                      <w:color w:val="auto"/>
                      <w:lang w:val="en-US" w:eastAsia="zh-CN"/>
                    </w:rPr>
                    <w:t>2024</w:t>
                  </w:r>
                  <w:r>
                    <w:rPr>
                      <w:rFonts w:hint="eastAsia"/>
                      <w:color w:val="auto"/>
                    </w:rPr>
                    <w:t>年</w:t>
                  </w:r>
                  <w:r>
                    <w:rPr>
                      <w:rFonts w:hint="eastAsia"/>
                      <w:color w:val="auto"/>
                      <w:lang w:eastAsia="zh-CN"/>
                    </w:rPr>
                    <w:t>本</w:t>
                  </w:r>
                  <w:r>
                    <w:rPr>
                      <w:rFonts w:hint="eastAsia"/>
                      <w:color w:val="auto"/>
                    </w:rPr>
                    <w:t>）》中限制类项目</w:t>
                  </w:r>
                  <w:r>
                    <w:rPr>
                      <w:rFonts w:hint="eastAsia"/>
                      <w:color w:val="auto"/>
                      <w:lang w:eastAsia="zh-CN"/>
                    </w:rPr>
                    <w:t>；</w:t>
                  </w:r>
                </w:p>
              </w:tc>
              <w:tc>
                <w:tcPr>
                  <w:tcW w:w="1226" w:type="dxa"/>
                  <w:vMerge w:val="continue"/>
                  <w:noWrap w:val="0"/>
                  <w:vAlign w:val="center"/>
                </w:tcPr>
                <w:p w14:paraId="506E9D84">
                  <w:pPr>
                    <w:pStyle w:val="61"/>
                    <w:keepNext w:val="0"/>
                    <w:keepLines w:val="0"/>
                    <w:suppressLineNumbers w:val="0"/>
                    <w:bidi w:val="0"/>
                    <w:spacing w:before="0" w:beforeAutospacing="0" w:after="0" w:afterAutospacing="0"/>
                    <w:ind w:left="0" w:right="0"/>
                    <w:jc w:val="center"/>
                    <w:rPr>
                      <w:rFonts w:hint="eastAsia"/>
                      <w:color w:val="auto"/>
                      <w:lang w:val="en-US" w:eastAsia="zh-CN"/>
                    </w:rPr>
                  </w:pPr>
                </w:p>
              </w:tc>
            </w:tr>
            <w:tr w14:paraId="3D16E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5" w:type="dxa"/>
                  <w:vMerge w:val="continue"/>
                  <w:noWrap w:val="0"/>
                  <w:vAlign w:val="center"/>
                </w:tcPr>
                <w:p w14:paraId="6D5C0B81">
                  <w:pPr>
                    <w:pStyle w:val="61"/>
                    <w:keepNext w:val="0"/>
                    <w:keepLines w:val="0"/>
                    <w:suppressLineNumbers w:val="0"/>
                    <w:bidi w:val="0"/>
                    <w:spacing w:before="0" w:beforeAutospacing="0" w:after="0" w:afterAutospacing="0"/>
                    <w:ind w:left="0" w:right="0"/>
                    <w:jc w:val="center"/>
                    <w:rPr>
                      <w:rFonts w:hint="default"/>
                      <w:color w:val="auto"/>
                    </w:rPr>
                  </w:pPr>
                </w:p>
              </w:tc>
              <w:tc>
                <w:tcPr>
                  <w:tcW w:w="621" w:type="dxa"/>
                  <w:vMerge w:val="continue"/>
                  <w:noWrap w:val="0"/>
                  <w:vAlign w:val="center"/>
                </w:tcPr>
                <w:p w14:paraId="6847A0D2">
                  <w:pPr>
                    <w:pStyle w:val="61"/>
                    <w:keepNext w:val="0"/>
                    <w:keepLines w:val="0"/>
                    <w:suppressLineNumbers w:val="0"/>
                    <w:bidi w:val="0"/>
                    <w:spacing w:before="0" w:beforeAutospacing="0" w:after="0" w:afterAutospacing="0"/>
                    <w:ind w:left="0" w:right="0"/>
                    <w:jc w:val="center"/>
                    <w:rPr>
                      <w:rFonts w:hint="default"/>
                      <w:color w:val="auto"/>
                    </w:rPr>
                  </w:pPr>
                </w:p>
              </w:tc>
              <w:tc>
                <w:tcPr>
                  <w:tcW w:w="5204" w:type="dxa"/>
                  <w:gridSpan w:val="4"/>
                  <w:shd w:val="clear" w:color="auto" w:fill="auto"/>
                  <w:noWrap w:val="0"/>
                  <w:vAlign w:val="center"/>
                </w:tcPr>
                <w:p w14:paraId="64E59DD5">
                  <w:pPr>
                    <w:pStyle w:val="27"/>
                    <w:keepNext w:val="0"/>
                    <w:keepLines w:val="0"/>
                    <w:suppressLineNumbers w:val="0"/>
                    <w:bidi w:val="0"/>
                    <w:spacing w:before="0" w:beforeAutospacing="0" w:after="0" w:afterAutospacing="0"/>
                    <w:ind w:left="0" w:right="0" w:firstLine="0" w:firstLineChars="0"/>
                    <w:jc w:val="center"/>
                    <w:rPr>
                      <w:rFonts w:hint="eastAsia" w:ascii="Calibri" w:hAnsi="Calibri" w:eastAsia="宋体" w:cs="Times New Roman"/>
                      <w:color w:val="auto"/>
                      <w:kern w:val="2"/>
                      <w:sz w:val="21"/>
                      <w:szCs w:val="20"/>
                      <w:lang w:val="en-US" w:eastAsia="zh-CN" w:bidi="ar-SA"/>
                    </w:rPr>
                  </w:pPr>
                  <w:r>
                    <w:rPr>
                      <w:rFonts w:hint="eastAsia"/>
                      <w:color w:val="auto"/>
                    </w:rPr>
                    <w:t>限制发展能源、资源消耗量或排污量较大但效益相对较好的企业，主要为规划外非禁止类项目，具体项目引入需经充分环境影响论证</w:t>
                  </w:r>
                  <w:r>
                    <w:rPr>
                      <w:rFonts w:hint="eastAsia"/>
                      <w:color w:val="auto"/>
                      <w:lang w:eastAsia="zh-CN"/>
                    </w:rPr>
                    <w:t>；</w:t>
                  </w:r>
                </w:p>
              </w:tc>
              <w:tc>
                <w:tcPr>
                  <w:tcW w:w="1226" w:type="dxa"/>
                  <w:vMerge w:val="continue"/>
                  <w:noWrap w:val="0"/>
                  <w:vAlign w:val="center"/>
                </w:tcPr>
                <w:p w14:paraId="230E0DF7">
                  <w:pPr>
                    <w:pStyle w:val="61"/>
                    <w:keepNext w:val="0"/>
                    <w:keepLines w:val="0"/>
                    <w:suppressLineNumbers w:val="0"/>
                    <w:bidi w:val="0"/>
                    <w:spacing w:before="0" w:beforeAutospacing="0" w:after="0" w:afterAutospacing="0"/>
                    <w:ind w:left="0" w:right="0"/>
                    <w:jc w:val="center"/>
                    <w:rPr>
                      <w:rFonts w:hint="eastAsia"/>
                      <w:color w:val="auto"/>
                      <w:lang w:val="en-US" w:eastAsia="zh-CN"/>
                    </w:rPr>
                  </w:pPr>
                </w:p>
              </w:tc>
            </w:tr>
            <w:tr w14:paraId="47B7D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5" w:type="dxa"/>
                  <w:vMerge w:val="continue"/>
                  <w:noWrap w:val="0"/>
                  <w:vAlign w:val="center"/>
                </w:tcPr>
                <w:p w14:paraId="114454CB">
                  <w:pPr>
                    <w:pStyle w:val="61"/>
                    <w:keepNext w:val="0"/>
                    <w:keepLines w:val="0"/>
                    <w:suppressLineNumbers w:val="0"/>
                    <w:bidi w:val="0"/>
                    <w:spacing w:before="0" w:beforeAutospacing="0" w:after="0" w:afterAutospacing="0"/>
                    <w:ind w:left="0" w:right="0"/>
                    <w:jc w:val="center"/>
                    <w:rPr>
                      <w:rFonts w:hint="default"/>
                      <w:color w:val="auto"/>
                    </w:rPr>
                  </w:pPr>
                </w:p>
              </w:tc>
              <w:tc>
                <w:tcPr>
                  <w:tcW w:w="621" w:type="dxa"/>
                  <w:vMerge w:val="continue"/>
                  <w:noWrap w:val="0"/>
                  <w:vAlign w:val="center"/>
                </w:tcPr>
                <w:p w14:paraId="5CC64676">
                  <w:pPr>
                    <w:pStyle w:val="61"/>
                    <w:keepNext w:val="0"/>
                    <w:keepLines w:val="0"/>
                    <w:suppressLineNumbers w:val="0"/>
                    <w:bidi w:val="0"/>
                    <w:spacing w:before="0" w:beforeAutospacing="0" w:after="0" w:afterAutospacing="0"/>
                    <w:ind w:left="0" w:right="0"/>
                    <w:jc w:val="center"/>
                    <w:rPr>
                      <w:rFonts w:hint="default"/>
                      <w:color w:val="auto"/>
                    </w:rPr>
                  </w:pPr>
                </w:p>
              </w:tc>
              <w:tc>
                <w:tcPr>
                  <w:tcW w:w="5204" w:type="dxa"/>
                  <w:gridSpan w:val="4"/>
                  <w:shd w:val="clear" w:color="auto" w:fill="auto"/>
                  <w:noWrap w:val="0"/>
                  <w:vAlign w:val="center"/>
                </w:tcPr>
                <w:p w14:paraId="3D839843">
                  <w:pPr>
                    <w:pStyle w:val="27"/>
                    <w:keepNext w:val="0"/>
                    <w:keepLines w:val="0"/>
                    <w:suppressLineNumbers w:val="0"/>
                    <w:bidi w:val="0"/>
                    <w:spacing w:before="0" w:beforeAutospacing="0" w:after="0" w:afterAutospacing="0"/>
                    <w:ind w:left="0" w:right="0" w:firstLine="0" w:firstLineChars="0"/>
                    <w:jc w:val="center"/>
                    <w:rPr>
                      <w:rFonts w:hint="eastAsia" w:ascii="Calibri" w:hAnsi="Calibri" w:eastAsia="宋体" w:cs="Times New Roman"/>
                      <w:color w:val="auto"/>
                      <w:kern w:val="2"/>
                      <w:sz w:val="21"/>
                      <w:szCs w:val="20"/>
                      <w:lang w:val="en-US" w:eastAsia="zh-CN" w:bidi="ar-SA"/>
                    </w:rPr>
                  </w:pPr>
                  <w:r>
                    <w:rPr>
                      <w:rFonts w:hint="eastAsia"/>
                      <w:color w:val="auto"/>
                    </w:rPr>
                    <w:t>限制新增与主导产业无关的、污染物排放量大的产业项目；</w:t>
                  </w:r>
                </w:p>
              </w:tc>
              <w:tc>
                <w:tcPr>
                  <w:tcW w:w="1226" w:type="dxa"/>
                  <w:vMerge w:val="continue"/>
                  <w:noWrap w:val="0"/>
                  <w:vAlign w:val="center"/>
                </w:tcPr>
                <w:p w14:paraId="08F73F83">
                  <w:pPr>
                    <w:pStyle w:val="61"/>
                    <w:keepNext w:val="0"/>
                    <w:keepLines w:val="0"/>
                    <w:suppressLineNumbers w:val="0"/>
                    <w:bidi w:val="0"/>
                    <w:spacing w:before="0" w:beforeAutospacing="0" w:after="0" w:afterAutospacing="0"/>
                    <w:ind w:left="0" w:right="0"/>
                    <w:jc w:val="center"/>
                    <w:rPr>
                      <w:rFonts w:hint="eastAsia"/>
                      <w:color w:val="auto"/>
                      <w:lang w:val="en-US" w:eastAsia="zh-CN"/>
                    </w:rPr>
                  </w:pPr>
                </w:p>
              </w:tc>
            </w:tr>
            <w:tr w14:paraId="709D8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5" w:type="dxa"/>
                  <w:vMerge w:val="continue"/>
                  <w:noWrap w:val="0"/>
                  <w:vAlign w:val="center"/>
                </w:tcPr>
                <w:p w14:paraId="6FCF656B">
                  <w:pPr>
                    <w:pStyle w:val="61"/>
                    <w:keepNext w:val="0"/>
                    <w:keepLines w:val="0"/>
                    <w:suppressLineNumbers w:val="0"/>
                    <w:bidi w:val="0"/>
                    <w:spacing w:before="0" w:beforeAutospacing="0" w:after="0" w:afterAutospacing="0"/>
                    <w:ind w:left="0" w:right="0"/>
                    <w:jc w:val="center"/>
                    <w:rPr>
                      <w:rFonts w:hint="default"/>
                      <w:color w:val="auto"/>
                    </w:rPr>
                  </w:pPr>
                </w:p>
              </w:tc>
              <w:tc>
                <w:tcPr>
                  <w:tcW w:w="621" w:type="dxa"/>
                  <w:vMerge w:val="continue"/>
                  <w:noWrap w:val="0"/>
                  <w:vAlign w:val="center"/>
                </w:tcPr>
                <w:p w14:paraId="168F38D4">
                  <w:pPr>
                    <w:pStyle w:val="61"/>
                    <w:keepNext w:val="0"/>
                    <w:keepLines w:val="0"/>
                    <w:suppressLineNumbers w:val="0"/>
                    <w:bidi w:val="0"/>
                    <w:spacing w:before="0" w:beforeAutospacing="0" w:after="0" w:afterAutospacing="0"/>
                    <w:ind w:left="0" w:right="0"/>
                    <w:jc w:val="center"/>
                    <w:rPr>
                      <w:rFonts w:hint="default"/>
                      <w:color w:val="auto"/>
                    </w:rPr>
                  </w:pPr>
                </w:p>
              </w:tc>
              <w:tc>
                <w:tcPr>
                  <w:tcW w:w="5204" w:type="dxa"/>
                  <w:gridSpan w:val="4"/>
                  <w:shd w:val="clear" w:color="auto" w:fill="auto"/>
                  <w:noWrap w:val="0"/>
                  <w:vAlign w:val="center"/>
                </w:tcPr>
                <w:p w14:paraId="28A884CE">
                  <w:pPr>
                    <w:pStyle w:val="27"/>
                    <w:keepNext w:val="0"/>
                    <w:keepLines w:val="0"/>
                    <w:suppressLineNumbers w:val="0"/>
                    <w:bidi w:val="0"/>
                    <w:spacing w:before="0" w:beforeAutospacing="0" w:after="0" w:afterAutospacing="0"/>
                    <w:ind w:left="0" w:right="0" w:firstLine="0" w:firstLineChars="0"/>
                    <w:jc w:val="center"/>
                    <w:rPr>
                      <w:rFonts w:hint="eastAsia" w:ascii="Calibri" w:hAnsi="Calibri" w:eastAsia="宋体" w:cs="Times New Roman"/>
                      <w:color w:val="auto"/>
                      <w:kern w:val="2"/>
                      <w:sz w:val="21"/>
                      <w:szCs w:val="20"/>
                      <w:lang w:val="en-US" w:eastAsia="zh-CN" w:bidi="ar-SA"/>
                    </w:rPr>
                  </w:pPr>
                  <w:r>
                    <w:rPr>
                      <w:rFonts w:hint="eastAsia"/>
                      <w:color w:val="auto"/>
                      <w:lang w:eastAsia="zh-CN"/>
                    </w:rPr>
                    <w:t>与主导产业相关的“两高”类项目需按照</w:t>
                  </w:r>
                  <w:r>
                    <w:rPr>
                      <w:rFonts w:hint="default"/>
                      <w:color w:val="auto"/>
                      <w:sz w:val="21"/>
                      <w:szCs w:val="21"/>
                    </w:rPr>
                    <w:t>《生态环境部关于加强高耗能、高排放建设项目生态环境源头防控的指导意见》、《安徽省节能减排及应对气候变化工作领导小组关于进一步加强新上</w:t>
                  </w:r>
                  <w:r>
                    <w:rPr>
                      <w:rFonts w:hint="eastAsia"/>
                      <w:color w:val="auto"/>
                      <w:sz w:val="21"/>
                      <w:szCs w:val="21"/>
                    </w:rPr>
                    <w:t>“</w:t>
                  </w:r>
                  <w:r>
                    <w:rPr>
                      <w:rFonts w:hint="default"/>
                      <w:color w:val="auto"/>
                      <w:sz w:val="21"/>
                      <w:szCs w:val="21"/>
                    </w:rPr>
                    <w:t>两高</w:t>
                  </w:r>
                  <w:r>
                    <w:rPr>
                      <w:rFonts w:hint="eastAsia"/>
                      <w:color w:val="auto"/>
                      <w:sz w:val="21"/>
                      <w:szCs w:val="21"/>
                    </w:rPr>
                    <w:t>”</w:t>
                  </w:r>
                  <w:r>
                    <w:rPr>
                      <w:rFonts w:hint="default"/>
                      <w:color w:val="auto"/>
                      <w:sz w:val="21"/>
                      <w:szCs w:val="21"/>
                    </w:rPr>
                    <w:t>项目管理的通知》</w:t>
                  </w:r>
                  <w:r>
                    <w:rPr>
                      <w:rFonts w:hint="eastAsia"/>
                      <w:color w:val="auto"/>
                      <w:sz w:val="21"/>
                      <w:szCs w:val="21"/>
                      <w:lang w:val="en-US" w:eastAsia="zh-CN"/>
                    </w:rPr>
                    <w:t>等</w:t>
                  </w:r>
                  <w:r>
                    <w:rPr>
                      <w:rFonts w:hint="eastAsia"/>
                      <w:color w:val="auto"/>
                      <w:lang w:eastAsia="zh-CN"/>
                    </w:rPr>
                    <w:t>国家及安徽省相关政策要求严格控制引入，并经过环境影响充分论证；</w:t>
                  </w:r>
                </w:p>
              </w:tc>
              <w:tc>
                <w:tcPr>
                  <w:tcW w:w="1226" w:type="dxa"/>
                  <w:vMerge w:val="continue"/>
                  <w:noWrap w:val="0"/>
                  <w:vAlign w:val="center"/>
                </w:tcPr>
                <w:p w14:paraId="7E4208C8">
                  <w:pPr>
                    <w:pStyle w:val="61"/>
                    <w:keepNext w:val="0"/>
                    <w:keepLines w:val="0"/>
                    <w:suppressLineNumbers w:val="0"/>
                    <w:bidi w:val="0"/>
                    <w:spacing w:before="0" w:beforeAutospacing="0" w:after="0" w:afterAutospacing="0"/>
                    <w:ind w:left="0" w:right="0"/>
                    <w:jc w:val="center"/>
                    <w:rPr>
                      <w:rFonts w:hint="eastAsia"/>
                      <w:color w:val="auto"/>
                      <w:lang w:val="en-US" w:eastAsia="zh-CN"/>
                    </w:rPr>
                  </w:pPr>
                </w:p>
              </w:tc>
            </w:tr>
            <w:tr w14:paraId="77B8E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5" w:type="dxa"/>
                  <w:vMerge w:val="continue"/>
                  <w:noWrap w:val="0"/>
                  <w:vAlign w:val="center"/>
                </w:tcPr>
                <w:p w14:paraId="1C31915D">
                  <w:pPr>
                    <w:pStyle w:val="61"/>
                    <w:keepNext w:val="0"/>
                    <w:keepLines w:val="0"/>
                    <w:suppressLineNumbers w:val="0"/>
                    <w:bidi w:val="0"/>
                    <w:spacing w:before="0" w:beforeAutospacing="0" w:after="0" w:afterAutospacing="0"/>
                    <w:ind w:left="0" w:right="0"/>
                    <w:jc w:val="center"/>
                    <w:rPr>
                      <w:rFonts w:hint="default"/>
                      <w:color w:val="auto"/>
                    </w:rPr>
                  </w:pPr>
                </w:p>
              </w:tc>
              <w:tc>
                <w:tcPr>
                  <w:tcW w:w="621" w:type="dxa"/>
                  <w:vMerge w:val="continue"/>
                  <w:noWrap w:val="0"/>
                  <w:vAlign w:val="center"/>
                </w:tcPr>
                <w:p w14:paraId="2C358CDF">
                  <w:pPr>
                    <w:pStyle w:val="61"/>
                    <w:keepNext w:val="0"/>
                    <w:keepLines w:val="0"/>
                    <w:suppressLineNumbers w:val="0"/>
                    <w:bidi w:val="0"/>
                    <w:spacing w:before="0" w:beforeAutospacing="0" w:after="0" w:afterAutospacing="0"/>
                    <w:ind w:left="0" w:right="0"/>
                    <w:jc w:val="center"/>
                    <w:rPr>
                      <w:rFonts w:hint="default"/>
                      <w:color w:val="auto"/>
                    </w:rPr>
                  </w:pPr>
                </w:p>
              </w:tc>
              <w:tc>
                <w:tcPr>
                  <w:tcW w:w="5204" w:type="dxa"/>
                  <w:gridSpan w:val="4"/>
                  <w:shd w:val="clear" w:color="auto" w:fill="auto"/>
                  <w:noWrap w:val="0"/>
                  <w:vAlign w:val="center"/>
                </w:tcPr>
                <w:p w14:paraId="5CFB2207">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eastAsia" w:ascii="Times New Roman" w:hAnsi="Times New Roman" w:eastAsia="宋体" w:cs="Times New Roman"/>
                      <w:color w:val="auto"/>
                      <w:kern w:val="2"/>
                      <w:sz w:val="21"/>
                      <w:szCs w:val="21"/>
                      <w:lang w:val="en-US" w:eastAsia="zh-CN" w:bidi="ar-SA"/>
                    </w:rPr>
                  </w:pPr>
                  <w:r>
                    <w:rPr>
                      <w:rFonts w:hint="default"/>
                      <w:color w:val="auto"/>
                      <w:sz w:val="21"/>
                      <w:szCs w:val="21"/>
                    </w:rPr>
                    <w:t>严格限制在淮河流域新建印染、制革、电镀、</w:t>
                  </w:r>
                  <w:r>
                    <w:rPr>
                      <w:rFonts w:hint="eastAsia"/>
                      <w:color w:val="auto"/>
                      <w:sz w:val="21"/>
                      <w:szCs w:val="21"/>
                      <w:lang w:val="en-US" w:eastAsia="zh-CN"/>
                    </w:rPr>
                    <w:t>化工、</w:t>
                  </w:r>
                  <w:r>
                    <w:rPr>
                      <w:rFonts w:hint="default"/>
                      <w:color w:val="auto"/>
                      <w:sz w:val="21"/>
                      <w:szCs w:val="21"/>
                    </w:rPr>
                    <w:t>酿造等大中型项目或者其他污染严重的项目；建设该类项目的，应当事前征得省人民政府生态环境行政主管部门的同意，并按照规定办理有关手续</w:t>
                  </w:r>
                  <w:r>
                    <w:rPr>
                      <w:rFonts w:hint="eastAsia"/>
                      <w:color w:val="auto"/>
                      <w:sz w:val="21"/>
                      <w:szCs w:val="21"/>
                      <w:lang w:eastAsia="zh-CN"/>
                    </w:rPr>
                    <w:t>；</w:t>
                  </w:r>
                  <w:r>
                    <w:rPr>
                      <w:rFonts w:hint="eastAsia"/>
                      <w:color w:val="auto"/>
                      <w:sz w:val="21"/>
                      <w:szCs w:val="21"/>
                      <w:lang w:val="en-US" w:eastAsia="zh-CN"/>
                    </w:rPr>
                    <w:t>化工项目应符合《关于进一步规范化工项目建设管理的通知》（皖经信原材料〔2022〕73号）准入管理要求。</w:t>
                  </w:r>
                </w:p>
              </w:tc>
              <w:tc>
                <w:tcPr>
                  <w:tcW w:w="1226" w:type="dxa"/>
                  <w:vMerge w:val="continue"/>
                  <w:noWrap w:val="0"/>
                  <w:vAlign w:val="center"/>
                </w:tcPr>
                <w:p w14:paraId="07A2E3BC">
                  <w:pPr>
                    <w:pStyle w:val="61"/>
                    <w:keepNext w:val="0"/>
                    <w:keepLines w:val="0"/>
                    <w:suppressLineNumbers w:val="0"/>
                    <w:bidi w:val="0"/>
                    <w:spacing w:before="0" w:beforeAutospacing="0" w:after="0" w:afterAutospacing="0"/>
                    <w:ind w:left="0" w:right="0"/>
                    <w:jc w:val="center"/>
                    <w:rPr>
                      <w:rFonts w:hint="eastAsia"/>
                      <w:color w:val="auto"/>
                      <w:lang w:val="en-US" w:eastAsia="zh-CN"/>
                    </w:rPr>
                  </w:pPr>
                </w:p>
              </w:tc>
            </w:tr>
            <w:tr w14:paraId="0C849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5" w:type="dxa"/>
                  <w:vMerge w:val="continue"/>
                  <w:vAlign w:val="center"/>
                </w:tcPr>
                <w:p w14:paraId="20861A61">
                  <w:pPr>
                    <w:pStyle w:val="61"/>
                    <w:keepNext w:val="0"/>
                    <w:keepLines w:val="0"/>
                    <w:suppressLineNumbers w:val="0"/>
                    <w:bidi w:val="0"/>
                    <w:spacing w:before="0" w:beforeAutospacing="0" w:after="0" w:afterAutospacing="0"/>
                    <w:ind w:left="0" w:right="0"/>
                    <w:jc w:val="center"/>
                    <w:rPr>
                      <w:rFonts w:hint="default"/>
                      <w:color w:val="auto"/>
                    </w:rPr>
                  </w:pPr>
                </w:p>
              </w:tc>
              <w:tc>
                <w:tcPr>
                  <w:tcW w:w="0" w:type="auto"/>
                  <w:shd w:val="clear" w:color="auto" w:fill="auto"/>
                  <w:vAlign w:val="center"/>
                </w:tcPr>
                <w:p w14:paraId="6EAF6CE1">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ascii="Times New Roman" w:hAnsi="Times New Roman" w:eastAsia="宋体" w:cs="Times New Roman"/>
                      <w:color w:val="auto"/>
                      <w:kern w:val="2"/>
                      <w:sz w:val="21"/>
                      <w:szCs w:val="21"/>
                      <w:lang w:val="en-US" w:eastAsia="zh-CN" w:bidi="ar-SA"/>
                    </w:rPr>
                  </w:pPr>
                  <w:r>
                    <w:rPr>
                      <w:rFonts w:hint="default"/>
                      <w:color w:val="auto"/>
                      <w:sz w:val="21"/>
                      <w:szCs w:val="21"/>
                    </w:rPr>
                    <w:t>禁止类</w:t>
                  </w:r>
                </w:p>
              </w:tc>
              <w:tc>
                <w:tcPr>
                  <w:tcW w:w="5204" w:type="dxa"/>
                  <w:gridSpan w:val="4"/>
                  <w:shd w:val="clear" w:color="auto" w:fill="auto"/>
                  <w:vAlign w:val="center"/>
                </w:tcPr>
                <w:p w14:paraId="379D3635">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1）禁止引入《产业结构调整指导目录（2024年本）》《外商投资准入特别管理措施（负面清单）（2021年版）》《市场准入负面清单（2020年版）》和《国家长江经济带市场准入禁止限制目录》等相关产业政策中禁止或淘汰类项目、产品、工艺和设备；</w:t>
                  </w:r>
                </w:p>
                <w:p w14:paraId="53544465">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（2）禁止引入专门从事印染、制革、电镀等生产的项目，禁止引入与主导产业不相符的“两高”类项目；</w:t>
                  </w:r>
                </w:p>
                <w:p w14:paraId="60BEF637">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（3）禁止新建、扩建法律法规和相关政策明令禁止的落后产能项目；</w:t>
                  </w:r>
                </w:p>
                <w:p w14:paraId="663669CF">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（4）禁止新建、扩建不符合国家产能置换要求的严重过剩产能行业的项目；</w:t>
                  </w:r>
                </w:p>
                <w:p w14:paraId="09D9C9D2">
                  <w:pPr>
                    <w:pStyle w:val="46"/>
                    <w:keepNext w:val="0"/>
                    <w:keepLines w:val="0"/>
                    <w:suppressLineNumbers w:val="0"/>
                    <w:bidi w:val="0"/>
                    <w:spacing w:before="0" w:beforeAutospacing="0" w:after="0" w:afterAutospacing="0"/>
                    <w:jc w:val="center"/>
                    <w:rPr>
                      <w:rFonts w:hint="eastAsia" w:ascii="Calibri" w:hAnsi="Calibri" w:eastAsia="宋体" w:cs="Times New Roman"/>
                      <w:color w:val="auto"/>
                      <w:kern w:val="2"/>
                      <w:szCs w:val="21"/>
                      <w:lang w:val="en-US" w:eastAsia="zh-CN" w:bidi="ar-SA"/>
                    </w:rPr>
                  </w:pPr>
                  <w:r>
                    <w:rPr>
                      <w:rFonts w:hint="eastAsia"/>
                      <w:color w:val="auto"/>
                      <w:lang w:val="en-US" w:eastAsia="zh-CN"/>
                    </w:rPr>
                    <w:t>（5）区内部分紧邻居民点等环境敏感目标的工业用地，严格限制设计使用危险化学品的企业入驻。</w:t>
                  </w:r>
                </w:p>
              </w:tc>
              <w:tc>
                <w:tcPr>
                  <w:tcW w:w="1226" w:type="dxa"/>
                  <w:vMerge w:val="continue"/>
                  <w:vAlign w:val="center"/>
                </w:tcPr>
                <w:p w14:paraId="1CC28416">
                  <w:pPr>
                    <w:pStyle w:val="61"/>
                    <w:keepNext w:val="0"/>
                    <w:keepLines w:val="0"/>
                    <w:suppressLineNumbers w:val="0"/>
                    <w:bidi w:val="0"/>
                    <w:spacing w:before="0" w:beforeAutospacing="0" w:after="0" w:afterAutospacing="0"/>
                    <w:ind w:left="0" w:right="0"/>
                    <w:jc w:val="center"/>
                    <w:rPr>
                      <w:rFonts w:hint="eastAsia"/>
                      <w:color w:val="auto"/>
                      <w:lang w:val="en-US" w:eastAsia="zh-CN"/>
                    </w:rPr>
                  </w:pPr>
                </w:p>
              </w:tc>
            </w:tr>
          </w:tbl>
          <w:p w14:paraId="7DB566EF">
            <w:pPr>
              <w:keepNext w:val="0"/>
              <w:keepLines w:val="0"/>
              <w:numPr>
                <w:ilvl w:val="0"/>
                <w:numId w:val="0"/>
              </w:numPr>
              <w:suppressLineNumbers w:val="0"/>
              <w:bidi w:val="0"/>
              <w:spacing w:before="0" w:beforeAutospacing="0" w:after="0" w:afterAutospacing="0"/>
              <w:ind w:left="480" w:leftChars="200" w:right="0" w:rightChars="0"/>
              <w:rPr>
                <w:rFonts w:hint="eastAsia"/>
                <w:color w:val="auto"/>
                <w:lang w:val="en-US" w:eastAsia="zh-CN"/>
              </w:rPr>
            </w:pPr>
            <w:r>
              <w:rPr>
                <w:rFonts w:hint="eastAsia"/>
                <w:b/>
                <w:bCs/>
                <w:color w:val="auto"/>
                <w:lang w:val="en-US" w:eastAsia="zh-CN"/>
              </w:rPr>
              <w:t>3、与规划环评审查意见符合性分析</w:t>
            </w:r>
          </w:p>
          <w:p w14:paraId="43782CBF">
            <w:pPr>
              <w:pStyle w:val="50"/>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表1-3  与规划环评审查意见符合性分析</w:t>
            </w:r>
          </w:p>
          <w:tbl>
            <w:tblPr>
              <w:tblStyle w:val="1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425"/>
              <w:gridCol w:w="2180"/>
            </w:tblGrid>
            <w:tr w14:paraId="75042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566" w:type="pct"/>
                  <w:noWrap/>
                  <w:vAlign w:val="center"/>
                </w:tcPr>
                <w:p w14:paraId="0BA482C0">
                  <w:pPr>
                    <w:pStyle w:val="61"/>
                    <w:keepNext w:val="0"/>
                    <w:keepLines w:val="0"/>
                    <w:suppressLineNumbers w:val="0"/>
                    <w:bidi w:val="0"/>
                    <w:spacing w:before="0" w:beforeAutospacing="0" w:after="0" w:afterAutospacing="0"/>
                    <w:ind w:left="0" w:right="0"/>
                    <w:jc w:val="center"/>
                    <w:rPr>
                      <w:rFonts w:hint="default"/>
                      <w:b/>
                      <w:bCs/>
                      <w:color w:val="auto"/>
                    </w:rPr>
                  </w:pPr>
                  <w:r>
                    <w:rPr>
                      <w:rFonts w:hint="eastAsia"/>
                      <w:b/>
                      <w:bCs/>
                      <w:color w:val="auto"/>
                      <w:lang w:val="en-US" w:eastAsia="zh-CN"/>
                    </w:rPr>
                    <w:t>意见</w:t>
                  </w:r>
                  <w:r>
                    <w:rPr>
                      <w:rFonts w:hint="default"/>
                      <w:b/>
                      <w:bCs/>
                      <w:color w:val="auto"/>
                    </w:rPr>
                    <w:t>要求</w:t>
                  </w:r>
                </w:p>
              </w:tc>
              <w:tc>
                <w:tcPr>
                  <w:tcW w:w="1433" w:type="pct"/>
                  <w:noWrap/>
                  <w:vAlign w:val="center"/>
                </w:tcPr>
                <w:p w14:paraId="19A81E6A">
                  <w:pPr>
                    <w:pStyle w:val="61"/>
                    <w:keepNext w:val="0"/>
                    <w:keepLines w:val="0"/>
                    <w:suppressLineNumbers w:val="0"/>
                    <w:bidi w:val="0"/>
                    <w:spacing w:before="0" w:beforeAutospacing="0" w:after="0" w:afterAutospacing="0"/>
                    <w:ind w:left="0" w:right="0"/>
                    <w:jc w:val="center"/>
                    <w:rPr>
                      <w:rFonts w:hint="default"/>
                      <w:b/>
                      <w:bCs/>
                      <w:color w:val="auto"/>
                      <w:lang w:val="en-US" w:eastAsia="zh-CN"/>
                    </w:rPr>
                  </w:pPr>
                  <w:r>
                    <w:rPr>
                      <w:rFonts w:hint="eastAsia"/>
                      <w:b/>
                      <w:bCs/>
                      <w:color w:val="auto"/>
                      <w:lang w:val="en-US" w:eastAsia="zh-CN"/>
                    </w:rPr>
                    <w:t>本项目情况</w:t>
                  </w:r>
                </w:p>
              </w:tc>
            </w:tr>
            <w:tr w14:paraId="1ACB0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566" w:type="pct"/>
                  <w:noWrap/>
                  <w:vAlign w:val="center"/>
                </w:tcPr>
                <w:p w14:paraId="0666F782">
                  <w:pPr>
                    <w:pStyle w:val="61"/>
                    <w:keepNext w:val="0"/>
                    <w:keepLines w:val="0"/>
                    <w:suppressLineNumbers w:val="0"/>
                    <w:bidi w:val="0"/>
                    <w:spacing w:before="0" w:beforeAutospacing="0" w:after="0" w:afterAutospacing="0"/>
                    <w:ind w:left="0" w:right="0"/>
                    <w:jc w:val="center"/>
                    <w:rPr>
                      <w:rFonts w:hint="eastAsia"/>
                      <w:b w:val="0"/>
                      <w:bCs w:val="0"/>
                      <w:color w:val="auto"/>
                      <w:lang w:val="en-US" w:eastAsia="zh-CN"/>
                    </w:rPr>
                  </w:pPr>
                  <w:r>
                    <w:rPr>
                      <w:rFonts w:hint="eastAsia"/>
                      <w:b w:val="0"/>
                      <w:bCs w:val="0"/>
                      <w:color w:val="auto"/>
                      <w:lang w:val="en-US" w:eastAsia="zh-CN"/>
                    </w:rPr>
                    <w:t>（一）加强《规划》引领，坚持绿色协调发展</w:t>
                  </w:r>
                </w:p>
                <w:p w14:paraId="0E8C4EBC">
                  <w:pPr>
                    <w:pStyle w:val="61"/>
                    <w:keepNext w:val="0"/>
                    <w:keepLines w:val="0"/>
                    <w:suppressLineNumbers w:val="0"/>
                    <w:bidi w:val="0"/>
                    <w:spacing w:before="0" w:beforeAutospacing="0" w:after="0" w:afterAutospacing="0"/>
                    <w:ind w:left="0" w:right="0"/>
                    <w:jc w:val="center"/>
                    <w:rPr>
                      <w:rFonts w:hint="eastAsia"/>
                      <w:b/>
                      <w:bCs/>
                      <w:color w:val="auto"/>
                      <w:lang w:val="en-US" w:eastAsia="zh-CN"/>
                    </w:rPr>
                  </w:pPr>
                  <w:r>
                    <w:rPr>
                      <w:rFonts w:hint="eastAsia"/>
                      <w:b w:val="0"/>
                      <w:bCs w:val="0"/>
                      <w:color w:val="auto"/>
                      <w:lang w:val="en-US" w:eastAsia="zh-CN"/>
                    </w:rPr>
                    <w:t>《规划》应加强与区域生态环境分区管控的协调衔接。统筹推进开发区整体发展和生态保护，基于环境承载力合理控制开发利用强度和时序，进一步提高土地利用效率，协调好产业发展与区域环境保护的关系。统筹开发区减污降碳协同共治、资源集约节约及循环化利用、能源智慧高效利用、环境风险防控等重大事项，引导开发区高质量发展。落实开发区发展规划，结合区域生态环境承载力，确保产业发展与区域生态环境保护、人居环境质量保障相协调。</w:t>
                  </w:r>
                </w:p>
              </w:tc>
              <w:tc>
                <w:tcPr>
                  <w:tcW w:w="1433" w:type="pct"/>
                  <w:noWrap/>
                  <w:vAlign w:val="center"/>
                </w:tcPr>
                <w:p w14:paraId="6529351C">
                  <w:pPr>
                    <w:pStyle w:val="61"/>
                    <w:keepNext w:val="0"/>
                    <w:keepLines w:val="0"/>
                    <w:suppressLineNumbers w:val="0"/>
                    <w:bidi w:val="0"/>
                    <w:spacing w:before="0" w:beforeAutospacing="0" w:after="0" w:afterAutospacing="0"/>
                    <w:ind w:left="0" w:right="0"/>
                    <w:jc w:val="center"/>
                    <w:rPr>
                      <w:rFonts w:hint="default"/>
                      <w:b/>
                      <w:bCs/>
                      <w:color w:val="auto"/>
                      <w:lang w:val="en-US" w:eastAsia="zh-CN"/>
                    </w:rPr>
                  </w:pPr>
                  <w:r>
                    <w:rPr>
                      <w:rFonts w:hint="eastAsia"/>
                      <w:b w:val="0"/>
                      <w:bCs w:val="0"/>
                      <w:color w:val="auto"/>
                      <w:lang w:val="en-US" w:eastAsia="zh-CN"/>
                    </w:rPr>
                    <w:t>项目位于区块二内现有已建厂房内，符合园区规划</w:t>
                  </w:r>
                </w:p>
              </w:tc>
            </w:tr>
            <w:tr w14:paraId="19F35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566" w:type="pct"/>
                  <w:noWrap/>
                  <w:vAlign w:val="center"/>
                </w:tcPr>
                <w:p w14:paraId="5CD8D83C">
                  <w:pPr>
                    <w:pStyle w:val="61"/>
                    <w:keepNext w:val="0"/>
                    <w:keepLines w:val="0"/>
                    <w:suppressLineNumbers w:val="0"/>
                    <w:bidi w:val="0"/>
                    <w:spacing w:before="0" w:beforeAutospacing="0" w:after="0" w:afterAutospacing="0"/>
                    <w:ind w:left="0" w:right="0"/>
                    <w:jc w:val="center"/>
                    <w:rPr>
                      <w:rFonts w:hint="eastAsia"/>
                      <w:b w:val="0"/>
                      <w:bCs w:val="0"/>
                      <w:color w:val="auto"/>
                      <w:lang w:val="en-US" w:eastAsia="zh-CN"/>
                    </w:rPr>
                  </w:pPr>
                  <w:r>
                    <w:rPr>
                      <w:rFonts w:hint="eastAsia"/>
                      <w:b w:val="0"/>
                      <w:bCs w:val="0"/>
                      <w:color w:val="auto"/>
                      <w:lang w:val="en-US" w:eastAsia="zh-CN"/>
                    </w:rPr>
                    <w:t>（二）严守环境质量底线，保护区域生态环境质量</w:t>
                  </w:r>
                </w:p>
                <w:p w14:paraId="0B089F14">
                  <w:pPr>
                    <w:pStyle w:val="61"/>
                    <w:keepNext w:val="0"/>
                    <w:keepLines w:val="0"/>
                    <w:suppressLineNumbers w:val="0"/>
                    <w:bidi w:val="0"/>
                    <w:spacing w:before="0" w:beforeAutospacing="0" w:after="0" w:afterAutospacing="0"/>
                    <w:ind w:left="0" w:right="0"/>
                    <w:jc w:val="center"/>
                    <w:rPr>
                      <w:rFonts w:hint="eastAsia"/>
                      <w:b w:val="0"/>
                      <w:bCs w:val="0"/>
                      <w:color w:val="auto"/>
                      <w:lang w:val="en-US" w:eastAsia="zh-CN"/>
                    </w:rPr>
                  </w:pPr>
                  <w:r>
                    <w:rPr>
                      <w:rFonts w:hint="eastAsia"/>
                      <w:b w:val="0"/>
                      <w:bCs w:val="0"/>
                      <w:color w:val="auto"/>
                      <w:lang w:val="en-US" w:eastAsia="zh-CN"/>
                    </w:rPr>
                    <w:t>开发区应坚持生态优先、高效集约发展，以生态环境质量改善、防范环境风险为核心，明确开发区发展存在的制约因素根据国家和我省大气、水、土壤、固废污染防治相关要求，妥善解决区域生态环境问题，确保开发区建设项目污染物长期稳定达标排放，区域生态环境质量持续优化。</w:t>
                  </w:r>
                </w:p>
              </w:tc>
              <w:tc>
                <w:tcPr>
                  <w:tcW w:w="1433" w:type="pct"/>
                  <w:noWrap/>
                  <w:vAlign w:val="center"/>
                </w:tcPr>
                <w:p w14:paraId="37B55711">
                  <w:pPr>
                    <w:pStyle w:val="61"/>
                    <w:keepNext w:val="0"/>
                    <w:keepLines w:val="0"/>
                    <w:suppressLineNumbers w:val="0"/>
                    <w:bidi w:val="0"/>
                    <w:spacing w:before="0" w:beforeAutospacing="0" w:after="0" w:afterAutospacing="0"/>
                    <w:ind w:left="0" w:right="0"/>
                    <w:jc w:val="center"/>
                    <w:rPr>
                      <w:rFonts w:hint="default"/>
                      <w:b w:val="0"/>
                      <w:bCs w:val="0"/>
                      <w:color w:val="auto"/>
                      <w:lang w:val="en-US" w:eastAsia="zh-CN"/>
                    </w:rPr>
                  </w:pPr>
                  <w:r>
                    <w:rPr>
                      <w:rFonts w:hint="eastAsia"/>
                      <w:b w:val="0"/>
                      <w:bCs w:val="0"/>
                      <w:color w:val="auto"/>
                      <w:lang w:val="en-US" w:eastAsia="zh-CN"/>
                    </w:rPr>
                    <w:t>项目各污染物均能达标排放，满足规划要求</w:t>
                  </w:r>
                </w:p>
              </w:tc>
            </w:tr>
            <w:tr w14:paraId="21BF8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566" w:type="pct"/>
                  <w:noWrap/>
                  <w:vAlign w:val="center"/>
                </w:tcPr>
                <w:p w14:paraId="3043BE04">
                  <w:pPr>
                    <w:pStyle w:val="61"/>
                    <w:keepNext w:val="0"/>
                    <w:keepLines w:val="0"/>
                    <w:suppressLineNumbers w:val="0"/>
                    <w:bidi w:val="0"/>
                    <w:spacing w:before="0" w:beforeAutospacing="0" w:after="0" w:afterAutospacing="0"/>
                    <w:ind w:left="0" w:right="0"/>
                    <w:jc w:val="center"/>
                    <w:rPr>
                      <w:rFonts w:hint="eastAsia"/>
                      <w:b w:val="0"/>
                      <w:bCs w:val="0"/>
                      <w:color w:val="auto"/>
                      <w:lang w:val="en-US" w:eastAsia="zh-CN"/>
                    </w:rPr>
                  </w:pPr>
                  <w:r>
                    <w:rPr>
                      <w:rFonts w:hint="eastAsia"/>
                      <w:b w:val="0"/>
                      <w:bCs w:val="0"/>
                      <w:color w:val="auto"/>
                      <w:lang w:val="en-US" w:eastAsia="zh-CN"/>
                    </w:rPr>
                    <w:t>（三）优化产业布局，加强生态环境分区管控</w:t>
                  </w:r>
                </w:p>
                <w:p w14:paraId="33BB90D9">
                  <w:pPr>
                    <w:pStyle w:val="61"/>
                    <w:keepNext w:val="0"/>
                    <w:keepLines w:val="0"/>
                    <w:suppressLineNumbers w:val="0"/>
                    <w:bidi w:val="0"/>
                    <w:spacing w:before="0" w:beforeAutospacing="0" w:after="0" w:afterAutospacing="0"/>
                    <w:ind w:left="0" w:right="0"/>
                    <w:jc w:val="center"/>
                    <w:rPr>
                      <w:rFonts w:hint="eastAsia"/>
                      <w:b w:val="0"/>
                      <w:bCs w:val="0"/>
                      <w:color w:val="auto"/>
                      <w:lang w:val="en-US" w:eastAsia="zh-CN"/>
                    </w:rPr>
                  </w:pPr>
                  <w:r>
                    <w:rPr>
                      <w:rFonts w:hint="eastAsia"/>
                      <w:b w:val="0"/>
                      <w:bCs w:val="0"/>
                      <w:color w:val="auto"/>
                      <w:lang w:val="en-US" w:eastAsia="zh-CN"/>
                    </w:rPr>
                    <w:t>落实生态环境分区管控要求，结合省长江经济带发展负面清单管控要求及区域资源优势和环境制约因素等，进一步完善产业发展规划，优化功能分区和空间布局。合理规划区的环境保护空间，严禁不符合管控要求的各类开发建设活动，规划实施不得降低淮河、高塘湖、瓦埠湖等地表水体的环境质量</w:t>
                  </w:r>
                </w:p>
              </w:tc>
              <w:tc>
                <w:tcPr>
                  <w:tcW w:w="1433" w:type="pct"/>
                  <w:vMerge w:val="restart"/>
                  <w:noWrap/>
                  <w:vAlign w:val="center"/>
                </w:tcPr>
                <w:p w14:paraId="3F949C69">
                  <w:pPr>
                    <w:pStyle w:val="61"/>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right="0"/>
                    <w:jc w:val="center"/>
                    <w:textAlignment w:val="baseline"/>
                    <w:rPr>
                      <w:rFonts w:hint="default"/>
                      <w:b w:val="0"/>
                      <w:bCs w:val="0"/>
                      <w:color w:val="auto"/>
                      <w:lang w:val="en-US" w:eastAsia="zh-CN"/>
                    </w:rPr>
                  </w:pPr>
                  <w:r>
                    <w:rPr>
                      <w:rFonts w:hint="eastAsia"/>
                      <w:b w:val="0"/>
                      <w:bCs w:val="0"/>
                      <w:color w:val="auto"/>
                      <w:lang w:val="en-US" w:eastAsia="zh-CN"/>
                    </w:rPr>
                    <w:t>项目位于高新技术产业开发区区块二范围内，为重点管控单元，满足重点管控单元分区管控条件、长江经济带发展负面清单管控要求。项目生产废水经预处理后回用不外排，</w:t>
                  </w:r>
                  <w:r>
                    <w:rPr>
                      <w:rFonts w:hint="default"/>
                      <w:color w:val="auto"/>
                      <w:lang w:val="en-US"/>
                    </w:rPr>
                    <w:t>生活污水经化粪池处理后排入市政污水管网</w:t>
                  </w:r>
                  <w:r>
                    <w:rPr>
                      <w:rFonts w:hint="eastAsia"/>
                      <w:color w:val="auto"/>
                      <w:lang w:val="en-US" w:eastAsia="zh-CN"/>
                    </w:rPr>
                    <w:t>进入淮南首创八公山污水处理厂处理后达标排放</w:t>
                  </w:r>
                  <w:r>
                    <w:rPr>
                      <w:rFonts w:hint="eastAsia" w:cs="Times New Roman"/>
                      <w:color w:val="auto"/>
                      <w:lang w:val="en-US" w:eastAsia="zh-CN"/>
                    </w:rPr>
                    <w:t>，对地表水环境影响不大</w:t>
                  </w:r>
                </w:p>
              </w:tc>
            </w:tr>
            <w:tr w14:paraId="591A4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566" w:type="pct"/>
                  <w:noWrap/>
                  <w:vAlign w:val="center"/>
                </w:tcPr>
                <w:p w14:paraId="0D017372">
                  <w:pPr>
                    <w:pStyle w:val="61"/>
                    <w:keepNext w:val="0"/>
                    <w:keepLines w:val="0"/>
                    <w:suppressLineNumbers w:val="0"/>
                    <w:bidi w:val="0"/>
                    <w:spacing w:before="0" w:beforeAutospacing="0" w:after="0" w:afterAutospacing="0"/>
                    <w:ind w:left="0" w:right="0"/>
                    <w:jc w:val="center"/>
                    <w:rPr>
                      <w:rFonts w:hint="eastAsia"/>
                      <w:b w:val="0"/>
                      <w:bCs w:val="0"/>
                      <w:color w:val="auto"/>
                      <w:lang w:val="en-US" w:eastAsia="zh-CN"/>
                    </w:rPr>
                  </w:pPr>
                  <w:r>
                    <w:rPr>
                      <w:rFonts w:hint="eastAsia"/>
                      <w:b w:val="0"/>
                      <w:bCs w:val="0"/>
                      <w:color w:val="auto"/>
                      <w:lang w:val="en-US" w:eastAsia="zh-CN"/>
                    </w:rPr>
                    <w:t>（四）完善环保基础设施建设，强化环境污染防控根据开发时序和开发强度，进一步优化区域供水、排水、供气等规划，完善各项环保基础设施建设，结合区域环境质量现状，细化污染防治措施建设和运行管理要求，保障受纳水体的水环境功能、下游水环境保护目标及相关核断面水质稳定达标。</w:t>
                  </w:r>
                </w:p>
              </w:tc>
              <w:tc>
                <w:tcPr>
                  <w:tcW w:w="1433" w:type="pct"/>
                  <w:vMerge w:val="continue"/>
                  <w:noWrap/>
                  <w:vAlign w:val="center"/>
                </w:tcPr>
                <w:p w14:paraId="2A3CF147">
                  <w:pPr>
                    <w:pStyle w:val="61"/>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right="0"/>
                    <w:jc w:val="center"/>
                    <w:textAlignment w:val="baseline"/>
                    <w:rPr>
                      <w:rFonts w:hint="eastAsia"/>
                      <w:b w:val="0"/>
                      <w:bCs w:val="0"/>
                      <w:color w:val="auto"/>
                      <w:lang w:val="en-US" w:eastAsia="zh-CN"/>
                    </w:rPr>
                  </w:pPr>
                </w:p>
              </w:tc>
            </w:tr>
            <w:tr w14:paraId="2A0E2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566" w:type="pct"/>
                  <w:noWrap/>
                  <w:vAlign w:val="center"/>
                </w:tcPr>
                <w:p w14:paraId="102C2857">
                  <w:pPr>
                    <w:pStyle w:val="61"/>
                    <w:keepNext w:val="0"/>
                    <w:keepLines w:val="0"/>
                    <w:suppressLineNumbers w:val="0"/>
                    <w:bidi w:val="0"/>
                    <w:spacing w:before="0" w:beforeAutospacing="0" w:after="0" w:afterAutospacing="0"/>
                    <w:ind w:left="0" w:right="0"/>
                    <w:jc w:val="center"/>
                    <w:rPr>
                      <w:rFonts w:hint="eastAsia"/>
                      <w:b w:val="0"/>
                      <w:bCs w:val="0"/>
                      <w:color w:val="auto"/>
                      <w:lang w:val="en-US" w:eastAsia="zh-CN"/>
                    </w:rPr>
                  </w:pPr>
                  <w:r>
                    <w:rPr>
                      <w:rFonts w:hint="eastAsia"/>
                      <w:b w:val="0"/>
                      <w:bCs w:val="0"/>
                      <w:color w:val="auto"/>
                      <w:lang w:val="en-US" w:eastAsia="zh-CN"/>
                    </w:rPr>
                    <w:t>（五）细化生态环境准入清单，推动高质量发展</w:t>
                  </w:r>
                </w:p>
                <w:p w14:paraId="7FCBA358">
                  <w:pPr>
                    <w:pStyle w:val="61"/>
                    <w:keepNext w:val="0"/>
                    <w:keepLines w:val="0"/>
                    <w:suppressLineNumbers w:val="0"/>
                    <w:bidi w:val="0"/>
                    <w:spacing w:before="0" w:beforeAutospacing="0" w:after="0" w:afterAutospacing="0"/>
                    <w:ind w:left="0" w:right="0"/>
                    <w:jc w:val="center"/>
                    <w:rPr>
                      <w:rFonts w:hint="eastAsia"/>
                      <w:b w:val="0"/>
                      <w:bCs w:val="0"/>
                      <w:color w:val="auto"/>
                      <w:lang w:val="en-US" w:eastAsia="zh-CN"/>
                    </w:rPr>
                  </w:pPr>
                  <w:r>
                    <w:rPr>
                      <w:rFonts w:hint="eastAsia"/>
                      <w:b w:val="0"/>
                      <w:bCs w:val="0"/>
                      <w:color w:val="auto"/>
                      <w:lang w:val="en-US" w:eastAsia="zh-CN"/>
                    </w:rPr>
                    <w:t>根据国家和区域发展战略，结合区域生态环境质量现状、国土空间规划等，严格落实《报告书》生态环境准入要求。严格执行国家产业政策，坚决遏制“两高一低”项目盲目发展，严禁不符合淮河流域生态环境保护要求的项目入区。</w:t>
                  </w:r>
                </w:p>
              </w:tc>
              <w:tc>
                <w:tcPr>
                  <w:tcW w:w="1433" w:type="pct"/>
                  <w:noWrap/>
                  <w:vAlign w:val="center"/>
                </w:tcPr>
                <w:p w14:paraId="45C8F61C">
                  <w:pPr>
                    <w:pStyle w:val="61"/>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b w:val="0"/>
                      <w:bCs w:val="0"/>
                      <w:color w:val="auto"/>
                      <w:lang w:val="en-US" w:eastAsia="zh-CN"/>
                    </w:rPr>
                  </w:pPr>
                  <w:r>
                    <w:rPr>
                      <w:rFonts w:hint="eastAsia" w:cs="Times New Roman"/>
                      <w:color w:val="auto"/>
                      <w:lang w:val="en-US" w:eastAsia="zh-CN"/>
                    </w:rPr>
                    <w:t>项目</w:t>
                  </w:r>
                  <w:r>
                    <w:rPr>
                      <w:rFonts w:hint="eastAsia" w:ascii="Times New Roman" w:hAnsi="Times New Roman" w:eastAsia="宋体" w:cs="Times New Roman"/>
                      <w:color w:val="auto"/>
                      <w:lang w:val="en-US" w:eastAsia="zh-CN"/>
                    </w:rPr>
                    <w:t>为</w:t>
                  </w:r>
                  <w:r>
                    <w:rPr>
                      <w:rFonts w:hint="default" w:ascii="Times New Roman" w:hAnsi="Times New Roman"/>
                      <w:b w:val="0"/>
                      <w:bCs w:val="0"/>
                      <w:color w:val="auto"/>
                      <w:u w:val="none"/>
                      <w:lang w:val="en-US" w:eastAsia="zh-CN"/>
                    </w:rPr>
                    <w:t xml:space="preserve">C4210 </w:t>
                  </w:r>
                  <w:r>
                    <w:rPr>
                      <w:rFonts w:hint="eastAsia" w:ascii="Times New Roman" w:hAnsi="Times New Roman"/>
                      <w:b w:val="0"/>
                      <w:bCs w:val="0"/>
                      <w:color w:val="auto"/>
                      <w:u w:val="none"/>
                      <w:lang w:val="en-US" w:eastAsia="zh-CN"/>
                    </w:rPr>
                    <w:t>金属废料和碎屑加工处理</w:t>
                  </w:r>
                  <w:r>
                    <w:rPr>
                      <w:rFonts w:hint="eastAsia"/>
                      <w:b w:val="0"/>
                      <w:bCs w:val="0"/>
                      <w:color w:val="auto"/>
                      <w:u w:val="none"/>
                      <w:lang w:val="en-US" w:eastAsia="zh-CN"/>
                    </w:rPr>
                    <w:t>、</w:t>
                  </w:r>
                  <w:r>
                    <w:rPr>
                      <w:rFonts w:hint="default" w:ascii="Times New Roman" w:hAnsi="Times New Roman"/>
                      <w:b w:val="0"/>
                      <w:bCs w:val="0"/>
                      <w:color w:val="auto"/>
                      <w:u w:val="none"/>
                      <w:lang w:val="en-US" w:eastAsia="zh-CN"/>
                    </w:rPr>
                    <w:t xml:space="preserve">C4220 </w:t>
                  </w:r>
                  <w:r>
                    <w:rPr>
                      <w:rFonts w:hint="eastAsia" w:ascii="Times New Roman" w:hAnsi="Times New Roman"/>
                      <w:b w:val="0"/>
                      <w:bCs w:val="0"/>
                      <w:color w:val="auto"/>
                      <w:u w:val="none"/>
                      <w:lang w:val="en-US" w:eastAsia="zh-CN"/>
                    </w:rPr>
                    <w:t>非金属废料和碎屑加工处理</w:t>
                  </w:r>
                  <w:r>
                    <w:rPr>
                      <w:rFonts w:hint="eastAsia" w:ascii="Times New Roman" w:hAnsi="Times New Roman" w:eastAsia="宋体" w:cs="Times New Roman"/>
                      <w:color w:val="auto"/>
                      <w:lang w:val="en-US" w:eastAsia="zh-CN"/>
                    </w:rPr>
                    <w:t>，</w:t>
                  </w:r>
                  <w:r>
                    <w:rPr>
                      <w:rFonts w:hint="eastAsia" w:cs="Times New Roman"/>
                      <w:color w:val="auto"/>
                      <w:lang w:val="en-US" w:eastAsia="zh-CN"/>
                    </w:rPr>
                    <w:t>属于</w:t>
                  </w:r>
                  <w:r>
                    <w:rPr>
                      <w:rFonts w:hint="eastAsia"/>
                      <w:color w:val="auto"/>
                      <w:sz w:val="21"/>
                      <w:szCs w:val="21"/>
                    </w:rPr>
                    <w:t>《产业结构调整指导目录（</w:t>
                  </w:r>
                  <w:r>
                    <w:rPr>
                      <w:rFonts w:hint="eastAsia"/>
                      <w:color w:val="auto"/>
                      <w:sz w:val="21"/>
                      <w:szCs w:val="21"/>
                      <w:lang w:val="en-US" w:eastAsia="zh-CN"/>
                    </w:rPr>
                    <w:t>2024</w:t>
                  </w:r>
                  <w:r>
                    <w:rPr>
                      <w:rFonts w:hint="eastAsia"/>
                      <w:color w:val="auto"/>
                      <w:sz w:val="21"/>
                      <w:szCs w:val="21"/>
                    </w:rPr>
                    <w:t>年本）》</w:t>
                  </w:r>
                  <w:r>
                    <w:rPr>
                      <w:rFonts w:hint="eastAsia"/>
                      <w:color w:val="auto"/>
                      <w:highlight w:val="none"/>
                      <w:lang w:eastAsia="zh-CN"/>
                    </w:rPr>
                    <w:t>，</w:t>
                  </w:r>
                  <w:r>
                    <w:rPr>
                      <w:rFonts w:hint="default"/>
                      <w:color w:val="auto"/>
                      <w:highlight w:val="none"/>
                    </w:rPr>
                    <w:t>不属于</w:t>
                  </w:r>
                  <w:r>
                    <w:rPr>
                      <w:rFonts w:hint="eastAsia"/>
                      <w:color w:val="auto"/>
                      <w:highlight w:val="none"/>
                      <w:lang w:eastAsia="zh-CN"/>
                    </w:rPr>
                    <w:t>“两高”项目，</w:t>
                  </w:r>
                  <w:r>
                    <w:rPr>
                      <w:rFonts w:hint="eastAsia"/>
                      <w:color w:val="auto"/>
                      <w:lang w:val="en-US" w:eastAsia="zh-CN"/>
                    </w:rPr>
                    <w:t>满足生态环境准入要求。</w:t>
                  </w:r>
                </w:p>
              </w:tc>
            </w:tr>
            <w:tr w14:paraId="482D07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566" w:type="pct"/>
                  <w:noWrap/>
                  <w:vAlign w:val="center"/>
                </w:tcPr>
                <w:p w14:paraId="18D6DDB0">
                  <w:pPr>
                    <w:pStyle w:val="61"/>
                    <w:keepNext w:val="0"/>
                    <w:keepLines w:val="0"/>
                    <w:numPr>
                      <w:ilvl w:val="0"/>
                      <w:numId w:val="2"/>
                    </w:numPr>
                    <w:suppressLineNumbers w:val="0"/>
                    <w:bidi w:val="0"/>
                    <w:spacing w:before="0" w:beforeAutospacing="0" w:after="0" w:afterAutospacing="0"/>
                    <w:ind w:left="0" w:right="0"/>
                    <w:jc w:val="center"/>
                    <w:rPr>
                      <w:rFonts w:hint="eastAsia"/>
                      <w:b w:val="0"/>
                      <w:bCs w:val="0"/>
                      <w:color w:val="auto"/>
                      <w:lang w:val="en-US" w:eastAsia="zh-CN"/>
                    </w:rPr>
                  </w:pPr>
                  <w:r>
                    <w:rPr>
                      <w:rFonts w:hint="eastAsia"/>
                      <w:b w:val="0"/>
                      <w:bCs w:val="0"/>
                      <w:color w:val="auto"/>
                      <w:lang w:val="en-US" w:eastAsia="zh-CN"/>
                    </w:rPr>
                    <w:t>提升环境管理水平，加强生态环境风险防控</w:t>
                  </w:r>
                </w:p>
                <w:p w14:paraId="2F1AF3FA">
                  <w:pPr>
                    <w:pStyle w:val="61"/>
                    <w:keepNext w:val="0"/>
                    <w:keepLines w:val="0"/>
                    <w:numPr>
                      <w:ilvl w:val="0"/>
                      <w:numId w:val="0"/>
                    </w:numPr>
                    <w:suppressLineNumbers w:val="0"/>
                    <w:bidi w:val="0"/>
                    <w:spacing w:before="0" w:beforeAutospacing="0" w:after="0" w:afterAutospacing="0"/>
                    <w:ind w:left="0" w:leftChars="0" w:right="0" w:rightChars="0"/>
                    <w:jc w:val="center"/>
                    <w:rPr>
                      <w:rFonts w:hint="eastAsia"/>
                      <w:b w:val="0"/>
                      <w:bCs w:val="0"/>
                      <w:color w:val="auto"/>
                      <w:lang w:val="en-US" w:eastAsia="zh-CN"/>
                    </w:rPr>
                  </w:pPr>
                  <w:r>
                    <w:rPr>
                      <w:rFonts w:hint="eastAsia"/>
                      <w:b w:val="0"/>
                      <w:bCs w:val="0"/>
                      <w:color w:val="auto"/>
                      <w:lang w:val="en-US" w:eastAsia="zh-CN"/>
                    </w:rPr>
                    <w:t>着力提升开发区环境管理水平，统筹考虑区域内污染物排放、大气环境保护、水环境保护、环境风险防范、环境管理等要求，加强日常环境监管与监测。做好开发区重大环境风险源的识别与管控，落实环境风险防控措施，确保事故废水与外环境有效隔离、及时处置。在规划实施过程中，适时开展规划环境影响的跟踪评价。</w:t>
                  </w:r>
                </w:p>
              </w:tc>
              <w:tc>
                <w:tcPr>
                  <w:tcW w:w="1433" w:type="pct"/>
                  <w:noWrap/>
                  <w:vAlign w:val="center"/>
                </w:tcPr>
                <w:p w14:paraId="7A32C26A">
                  <w:pPr>
                    <w:pStyle w:val="61"/>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olor w:val="auto"/>
                      <w:highlight w:val="none"/>
                      <w:lang w:val="en-US" w:eastAsia="zh-CN"/>
                    </w:rPr>
                  </w:pPr>
                  <w:r>
                    <w:rPr>
                      <w:rFonts w:hint="eastAsia"/>
                      <w:color w:val="auto"/>
                      <w:highlight w:val="none"/>
                      <w:lang w:val="en-US" w:eastAsia="zh-CN"/>
                    </w:rPr>
                    <w:t>本项目</w:t>
                  </w:r>
                  <w:r>
                    <w:rPr>
                      <w:rFonts w:hint="default"/>
                      <w:color w:val="auto"/>
                      <w:lang w:val="en-US" w:eastAsia="zh-CN"/>
                    </w:rPr>
                    <w:t>实施过程中注重环境风险管控，</w:t>
                  </w:r>
                  <w:r>
                    <w:rPr>
                      <w:rFonts w:hint="eastAsia"/>
                      <w:color w:val="auto"/>
                      <w:lang w:val="en-US" w:eastAsia="zh-CN"/>
                    </w:rPr>
                    <w:t>配备应急物资、设备，开展应急培训，编制应急预案。</w:t>
                  </w:r>
                </w:p>
              </w:tc>
            </w:tr>
            <w:tr w14:paraId="52DC5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566" w:type="pct"/>
                  <w:noWrap/>
                  <w:vAlign w:val="center"/>
                </w:tcPr>
                <w:p w14:paraId="73172DD1">
                  <w:pPr>
                    <w:pStyle w:val="61"/>
                    <w:keepNext w:val="0"/>
                    <w:keepLines w:val="0"/>
                    <w:suppressLineNumbers w:val="0"/>
                    <w:bidi w:val="0"/>
                    <w:spacing w:before="0" w:beforeAutospacing="0" w:after="0" w:afterAutospacing="0"/>
                    <w:ind w:left="0" w:right="0"/>
                    <w:jc w:val="center"/>
                    <w:rPr>
                      <w:rFonts w:hint="default"/>
                      <w:color w:val="auto"/>
                    </w:rPr>
                  </w:pPr>
                  <w:r>
                    <w:rPr>
                      <w:rFonts w:hint="eastAsia"/>
                      <w:color w:val="auto"/>
                    </w:rPr>
                    <w:t>在高新区后期发展中西北角不得入驻高V0Cs污染项目</w:t>
                  </w:r>
                  <w:r>
                    <w:rPr>
                      <w:rFonts w:hint="eastAsia"/>
                      <w:color w:val="auto"/>
                      <w:lang w:eastAsia="zh-CN"/>
                    </w:rPr>
                    <w:t>；</w:t>
                  </w:r>
                  <w:r>
                    <w:rPr>
                      <w:rFonts w:hint="eastAsia"/>
                      <w:color w:val="auto"/>
                    </w:rPr>
                    <w:t>对工业用地和敏感点中间设置缓冲带，布置科研、服务或低污染项目，不得新建、改建、扩建可能造成土壤污染的建设项目、新建有色金属冶炼、焦化等行业企业</w:t>
                  </w:r>
                  <w:r>
                    <w:rPr>
                      <w:rFonts w:hint="eastAsia"/>
                      <w:color w:val="auto"/>
                      <w:lang w:eastAsia="zh-CN"/>
                    </w:rPr>
                    <w:t>；</w:t>
                  </w:r>
                </w:p>
              </w:tc>
              <w:tc>
                <w:tcPr>
                  <w:tcW w:w="1433" w:type="pct"/>
                  <w:noWrap/>
                  <w:vAlign w:val="center"/>
                </w:tcPr>
                <w:p w14:paraId="259DAA9D">
                  <w:pPr>
                    <w:pStyle w:val="61"/>
                    <w:keepNext w:val="0"/>
                    <w:keepLines w:val="0"/>
                    <w:suppressLineNumbers w:val="0"/>
                    <w:bidi w:val="0"/>
                    <w:spacing w:before="0" w:beforeAutospacing="0" w:after="0" w:afterAutospacing="0"/>
                    <w:ind w:left="0" w:right="0"/>
                    <w:jc w:val="center"/>
                    <w:rPr>
                      <w:rFonts w:hint="default" w:eastAsia="宋体"/>
                      <w:color w:val="auto"/>
                      <w:lang w:val="en-US" w:eastAsia="zh-CN"/>
                    </w:rPr>
                  </w:pPr>
                  <w:r>
                    <w:rPr>
                      <w:rFonts w:hint="eastAsia"/>
                      <w:color w:val="auto"/>
                    </w:rPr>
                    <w:t>本项目</w:t>
                  </w:r>
                  <w:r>
                    <w:rPr>
                      <w:rFonts w:hint="eastAsia"/>
                      <w:color w:val="auto"/>
                      <w:lang w:val="en-US" w:eastAsia="zh-CN"/>
                    </w:rPr>
                    <w:t>位于规划范围区块二范围内，为工业用地，本项目不属于有色</w:t>
                  </w:r>
                  <w:r>
                    <w:rPr>
                      <w:rFonts w:hint="eastAsia"/>
                      <w:color w:val="auto"/>
                    </w:rPr>
                    <w:t>金属冶炼、焦化等行业</w:t>
                  </w:r>
                </w:p>
              </w:tc>
            </w:tr>
          </w:tbl>
          <w:p w14:paraId="28F0BADF">
            <w:pPr>
              <w:keepNext w:val="0"/>
              <w:keepLines w:val="0"/>
              <w:suppressLineNumbers w:val="0"/>
              <w:bidi w:val="0"/>
              <w:spacing w:before="0" w:beforeAutospacing="0" w:after="0" w:afterAutospacing="0"/>
              <w:ind w:left="0" w:right="0"/>
              <w:rPr>
                <w:rFonts w:hint="eastAsia"/>
                <w:color w:val="0000FF"/>
              </w:rPr>
            </w:pPr>
            <w:r>
              <w:rPr>
                <w:rFonts w:hint="eastAsia"/>
                <w:color w:val="auto"/>
                <w:lang w:val="en-US" w:eastAsia="zh-CN"/>
              </w:rPr>
              <w:t>综上，本项目符合《淮南高新技术产业开发区总体发展规划（2024-2035年）（主导产业变更）》及规划环评审查意见相关要求。</w:t>
            </w:r>
          </w:p>
        </w:tc>
      </w:tr>
      <w:tr w14:paraId="7A27C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93" w:type="dxa"/>
            <w:tcBorders>
              <w:tl2br w:val="nil"/>
              <w:tr2bl w:val="nil"/>
            </w:tcBorders>
            <w:vAlign w:val="center"/>
          </w:tcPr>
          <w:p w14:paraId="711CD902">
            <w:pPr>
              <w:keepNext w:val="0"/>
              <w:keepLines w:val="0"/>
              <w:suppressLineNumbers w:val="0"/>
              <w:spacing w:before="0" w:beforeAutospacing="0" w:after="0" w:afterAutospacing="0"/>
              <w:ind w:left="0" w:right="0" w:firstLine="0" w:firstLineChars="0"/>
              <w:jc w:val="center"/>
              <w:rPr>
                <w:rFonts w:hint="default"/>
                <w:color w:val="0000FF"/>
                <w:highlight w:val="none"/>
              </w:rPr>
            </w:pPr>
            <w:r>
              <w:rPr>
                <w:rFonts w:hint="eastAsia"/>
                <w:color w:val="auto"/>
                <w:highlight w:val="none"/>
              </w:rPr>
              <w:t>其他符合性分析</w:t>
            </w:r>
          </w:p>
        </w:tc>
        <w:tc>
          <w:tcPr>
            <w:tcW w:w="7831" w:type="dxa"/>
            <w:gridSpan w:val="3"/>
            <w:tcBorders>
              <w:tl2br w:val="nil"/>
              <w:tr2bl w:val="nil"/>
            </w:tcBorders>
            <w:vAlign w:val="center"/>
          </w:tcPr>
          <w:p w14:paraId="4665A4EB">
            <w:pPr>
              <w:keepNext w:val="0"/>
              <w:keepLines w:val="0"/>
              <w:suppressLineNumbers w:val="0"/>
              <w:spacing w:before="0" w:beforeAutospacing="0" w:after="0" w:afterAutospacing="0" w:line="460" w:lineRule="exact"/>
              <w:ind w:left="0" w:right="0" w:firstLine="480"/>
              <w:rPr>
                <w:rFonts w:hint="default"/>
                <w:b/>
                <w:bCs/>
                <w:color w:val="auto"/>
                <w:highlight w:val="none"/>
              </w:rPr>
            </w:pPr>
            <w:r>
              <w:rPr>
                <w:rFonts w:hint="eastAsia"/>
                <w:b/>
                <w:bCs/>
                <w:color w:val="auto"/>
                <w:highlight w:val="none"/>
              </w:rPr>
              <w:t>1、</w:t>
            </w:r>
            <w:r>
              <w:rPr>
                <w:rFonts w:hint="default"/>
                <w:b/>
                <w:bCs/>
                <w:color w:val="auto"/>
                <w:highlight w:val="none"/>
              </w:rPr>
              <w:t>产业政策</w:t>
            </w:r>
            <w:r>
              <w:rPr>
                <w:rFonts w:hint="eastAsia"/>
                <w:b/>
                <w:bCs/>
                <w:color w:val="auto"/>
                <w:highlight w:val="none"/>
              </w:rPr>
              <w:t>相符性</w:t>
            </w:r>
            <w:r>
              <w:rPr>
                <w:rFonts w:hint="default"/>
                <w:b/>
                <w:bCs/>
                <w:color w:val="auto"/>
                <w:highlight w:val="none"/>
              </w:rPr>
              <w:t>分析</w:t>
            </w:r>
          </w:p>
          <w:p w14:paraId="139E4D3D">
            <w:pPr>
              <w:keepNext w:val="0"/>
              <w:keepLines w:val="0"/>
              <w:suppressLineNumbers w:val="0"/>
              <w:bidi w:val="0"/>
              <w:spacing w:before="0" w:beforeAutospacing="0" w:after="0" w:afterAutospacing="0"/>
              <w:ind w:left="0" w:right="0"/>
              <w:rPr>
                <w:rFonts w:hint="default"/>
              </w:rPr>
            </w:pPr>
            <w:bookmarkStart w:id="2" w:name="_Toc3477_WPSOffice_Level3"/>
            <w:bookmarkStart w:id="3" w:name="_Toc20178_WPSOffice_Level2"/>
            <w:r>
              <w:rPr>
                <w:rFonts w:hint="default"/>
              </w:rPr>
              <w:t>根据《国民经济行业分类》（GB/T 4754-2017），本项目</w:t>
            </w:r>
            <w:r>
              <w:rPr>
                <w:rFonts w:hint="eastAsia"/>
                <w:lang w:eastAsia="zh-CN"/>
              </w:rPr>
              <w:t>属于</w:t>
            </w:r>
            <w:r>
              <w:rPr>
                <w:rFonts w:hint="default"/>
                <w:lang w:val="en-US" w:eastAsia="zh-CN"/>
              </w:rPr>
              <w:t xml:space="preserve">C4210 </w:t>
            </w:r>
            <w:r>
              <w:rPr>
                <w:rFonts w:hint="eastAsia"/>
                <w:lang w:val="en-US" w:eastAsia="zh-CN"/>
              </w:rPr>
              <w:t>金属废料和碎屑加工处理、</w:t>
            </w:r>
            <w:r>
              <w:rPr>
                <w:rFonts w:hint="default"/>
                <w:lang w:val="en-US" w:eastAsia="zh-CN"/>
              </w:rPr>
              <w:t xml:space="preserve">C4220 </w:t>
            </w:r>
            <w:r>
              <w:rPr>
                <w:rFonts w:hint="eastAsia"/>
                <w:lang w:val="en-US" w:eastAsia="zh-CN"/>
              </w:rPr>
              <w:t>非金属废料和碎屑加工处理</w:t>
            </w:r>
            <w:r>
              <w:rPr>
                <w:rFonts w:hint="default"/>
              </w:rPr>
              <w:t>，</w:t>
            </w:r>
            <w:r>
              <w:rPr>
                <w:rFonts w:hint="eastAsia"/>
                <w:lang w:val="en-US" w:eastAsia="zh-CN"/>
              </w:rPr>
              <w:t>对照</w:t>
            </w:r>
            <w:r>
              <w:rPr>
                <w:rFonts w:hint="default"/>
              </w:rPr>
              <w:t>《产业结构调整指导目录》（20</w:t>
            </w:r>
            <w:r>
              <w:rPr>
                <w:rFonts w:hint="eastAsia"/>
                <w:lang w:val="en-US" w:eastAsia="zh-CN"/>
              </w:rPr>
              <w:t>24</w:t>
            </w:r>
            <w:r>
              <w:rPr>
                <w:rFonts w:hint="default"/>
              </w:rPr>
              <w:t>年本）</w:t>
            </w:r>
            <w:r>
              <w:rPr>
                <w:rFonts w:hint="eastAsia"/>
                <w:lang w:eastAsia="zh-CN"/>
              </w:rPr>
              <w:t>，</w:t>
            </w:r>
            <w:r>
              <w:rPr>
                <w:rFonts w:hint="default"/>
              </w:rPr>
              <w:t>项目属于其中鼓励类</w:t>
            </w:r>
            <w:r>
              <w:rPr>
                <w:rFonts w:hint="eastAsia"/>
                <w:lang w:eastAsia="zh-CN"/>
              </w:rPr>
              <w:t>（</w:t>
            </w:r>
            <w:r>
              <w:rPr>
                <w:rFonts w:hint="default"/>
              </w:rPr>
              <w:t>四十二、环境保护与资源节约综合利用废弃物循环利用</w:t>
            </w:r>
            <w:r>
              <w:rPr>
                <w:rFonts w:hint="eastAsia"/>
                <w:lang w:eastAsia="zh-CN"/>
              </w:rPr>
              <w:t>）</w:t>
            </w:r>
            <w:r>
              <w:rPr>
                <w:rFonts w:hint="default"/>
              </w:rPr>
              <w:t>。</w:t>
            </w:r>
            <w:r>
              <w:rPr>
                <w:rFonts w:hint="eastAsia"/>
                <w:lang w:val="en-US" w:eastAsia="zh-CN"/>
              </w:rPr>
              <w:t>2026年4月27日，谢家集区发展改革委对本项目予以备案，备案号为2604-340404-04-01-528750。</w:t>
            </w:r>
            <w:r>
              <w:rPr>
                <w:rFonts w:hint="default"/>
              </w:rPr>
              <w:t>因此，符合国家产业政策要求。</w:t>
            </w:r>
          </w:p>
          <w:bookmarkEnd w:id="2"/>
          <w:bookmarkEnd w:id="3"/>
          <w:p w14:paraId="0854DB75">
            <w:pPr>
              <w:keepNext w:val="0"/>
              <w:keepLines w:val="0"/>
              <w:suppressLineNumbers w:val="0"/>
              <w:bidi w:val="0"/>
              <w:spacing w:before="0" w:beforeAutospacing="0" w:after="0" w:afterAutospacing="0"/>
              <w:ind w:left="0" w:right="0"/>
              <w:rPr>
                <w:rFonts w:hint="default"/>
                <w:b/>
                <w:bCs/>
                <w:color w:val="auto"/>
              </w:rPr>
            </w:pPr>
            <w:r>
              <w:rPr>
                <w:rFonts w:hint="eastAsia"/>
                <w:b/>
                <w:bCs/>
                <w:color w:val="auto"/>
                <w:lang w:val="en-US" w:eastAsia="zh-CN"/>
              </w:rPr>
              <w:t>2、生态环境分区管控</w:t>
            </w:r>
            <w:r>
              <w:rPr>
                <w:rFonts w:hint="default"/>
                <w:b/>
                <w:bCs/>
                <w:color w:val="auto"/>
              </w:rPr>
              <w:t>相</w:t>
            </w:r>
            <w:commentRangeStart w:id="2"/>
            <w:commentRangeStart w:id="3"/>
            <w:r>
              <w:rPr>
                <w:rFonts w:hint="default"/>
                <w:b/>
                <w:bCs/>
                <w:color w:val="auto"/>
              </w:rPr>
              <w:t>符性</w:t>
            </w:r>
            <w:commentRangeEnd w:id="2"/>
            <w:r>
              <w:rPr>
                <w:rFonts w:hint="default"/>
              </w:rPr>
              <w:commentReference w:id="2"/>
            </w:r>
            <w:commentRangeEnd w:id="3"/>
            <w:r>
              <w:rPr>
                <w:rFonts w:hint="default"/>
              </w:rPr>
              <w:commentReference w:id="3"/>
            </w:r>
          </w:p>
          <w:p w14:paraId="6493EFE7">
            <w:pPr>
              <w:keepNext w:val="0"/>
              <w:keepLines w:val="0"/>
              <w:suppressLineNumbers w:val="0"/>
              <w:bidi w:val="0"/>
              <w:spacing w:before="0" w:beforeAutospacing="0" w:after="0" w:afterAutospacing="0"/>
              <w:ind w:left="0" w:right="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根据《生态环境分区管控管理暂行规定》（环环评〔2024〕41号）第十五条“（二）建设项目开展环评工作初期，应分析与生态环境分区管控要求的符合性，对不满足要求的，应进一步论证其生态环境可行性，优化调整项目建设内容或重新选址”。</w:t>
            </w:r>
          </w:p>
          <w:p w14:paraId="67D070AE">
            <w:pPr>
              <w:keepNext w:val="0"/>
              <w:keepLines w:val="0"/>
              <w:suppressLineNumbers w:val="0"/>
              <w:bidi w:val="0"/>
              <w:spacing w:before="0" w:beforeAutospacing="0" w:after="0" w:afterAutospacing="0"/>
              <w:ind w:left="0" w:right="0"/>
              <w:rPr>
                <w:rFonts w:hint="eastAsia"/>
                <w:color w:val="auto"/>
              </w:rPr>
            </w:pPr>
            <w:r>
              <w:rPr>
                <w:rFonts w:hint="eastAsia"/>
                <w:color w:val="auto"/>
                <w:lang w:val="en-US" w:eastAsia="zh-CN"/>
              </w:rPr>
              <w:t>经</w:t>
            </w:r>
            <w:r>
              <w:rPr>
                <w:rFonts w:hint="eastAsia"/>
                <w:color w:val="auto"/>
              </w:rPr>
              <w:t>安徽省</w:t>
            </w:r>
            <w:r>
              <w:rPr>
                <w:rFonts w:hint="eastAsia"/>
                <w:color w:val="auto"/>
                <w:lang w:eastAsia="zh-CN"/>
              </w:rPr>
              <w:t>“</w:t>
            </w:r>
            <w:r>
              <w:rPr>
                <w:rFonts w:hint="eastAsia"/>
                <w:color w:val="auto"/>
              </w:rPr>
              <w:t>三线一单</w:t>
            </w:r>
            <w:r>
              <w:rPr>
                <w:rFonts w:hint="eastAsia"/>
                <w:color w:val="auto"/>
                <w:lang w:eastAsia="zh-CN"/>
              </w:rPr>
              <w:t>”</w:t>
            </w:r>
            <w:r>
              <w:rPr>
                <w:rFonts w:hint="eastAsia"/>
                <w:color w:val="auto"/>
              </w:rPr>
              <w:t>公众服务平台查询，本项目所在区域环境管控单元编码为：ZH34040420031，与</w:t>
            </w:r>
            <w:r>
              <w:rPr>
                <w:rFonts w:hint="eastAsia"/>
                <w:color w:val="auto"/>
                <w:lang w:eastAsia="zh-CN"/>
              </w:rPr>
              <w:t>“</w:t>
            </w:r>
            <w:r>
              <w:rPr>
                <w:rFonts w:hint="eastAsia"/>
                <w:color w:val="auto"/>
              </w:rPr>
              <w:t>三线一单</w:t>
            </w:r>
            <w:r>
              <w:rPr>
                <w:rFonts w:hint="eastAsia"/>
                <w:color w:val="auto"/>
                <w:lang w:eastAsia="zh-CN"/>
              </w:rPr>
              <w:t>”</w:t>
            </w:r>
            <w:r>
              <w:rPr>
                <w:rFonts w:hint="eastAsia"/>
                <w:color w:val="auto"/>
              </w:rPr>
              <w:t>成果数据分析，与1个环境管控单元存在交叠，其中优先保护类0个，重点管控类1个，一般管控类0个。根据淮南市</w:t>
            </w:r>
            <w:r>
              <w:rPr>
                <w:rFonts w:hint="eastAsia"/>
                <w:color w:val="auto"/>
                <w:lang w:eastAsia="zh-CN"/>
              </w:rPr>
              <w:t>“</w:t>
            </w:r>
            <w:r>
              <w:rPr>
                <w:rFonts w:hint="eastAsia"/>
                <w:color w:val="auto"/>
              </w:rPr>
              <w:t>三线一单</w:t>
            </w:r>
            <w:r>
              <w:rPr>
                <w:rFonts w:hint="eastAsia"/>
                <w:color w:val="auto"/>
                <w:lang w:eastAsia="zh-CN"/>
              </w:rPr>
              <w:t>”</w:t>
            </w:r>
            <w:r>
              <w:rPr>
                <w:rFonts w:hint="eastAsia"/>
                <w:color w:val="auto"/>
              </w:rPr>
              <w:t>图集</w:t>
            </w:r>
            <w:r>
              <w:rPr>
                <w:rFonts w:hint="eastAsia"/>
                <w:color w:val="auto"/>
                <w:lang w:val="en-US" w:eastAsia="zh-CN"/>
              </w:rPr>
              <w:t>，对照</w:t>
            </w:r>
            <w:r>
              <w:rPr>
                <w:rFonts w:hint="eastAsia"/>
                <w:color w:val="auto"/>
              </w:rPr>
              <w:t>安徽</w:t>
            </w:r>
            <w:r>
              <w:rPr>
                <w:rFonts w:hint="eastAsia"/>
                <w:color w:val="auto"/>
                <w:lang w:eastAsia="zh-CN"/>
              </w:rPr>
              <w:t>“</w:t>
            </w:r>
            <w:r>
              <w:rPr>
                <w:rFonts w:hint="eastAsia"/>
                <w:color w:val="auto"/>
              </w:rPr>
              <w:t>三线一单</w:t>
            </w:r>
            <w:r>
              <w:rPr>
                <w:rFonts w:hint="eastAsia"/>
                <w:color w:val="auto"/>
                <w:lang w:eastAsia="zh-CN"/>
              </w:rPr>
              <w:t>”</w:t>
            </w:r>
            <w:r>
              <w:rPr>
                <w:rFonts w:hint="eastAsia"/>
                <w:color w:val="auto"/>
              </w:rPr>
              <w:t>管控要求查询报告</w:t>
            </w:r>
            <w:r>
              <w:rPr>
                <w:rFonts w:hint="eastAsia"/>
                <w:color w:val="auto"/>
                <w:lang w:val="en-US" w:eastAsia="zh-CN"/>
              </w:rPr>
              <w:t>内容要求</w:t>
            </w:r>
            <w:r>
              <w:rPr>
                <w:rFonts w:hint="eastAsia"/>
                <w:color w:val="auto"/>
              </w:rPr>
              <w:t>，本次环评筛选了与本项目有关的管控</w:t>
            </w:r>
            <w:r>
              <w:rPr>
                <w:rFonts w:hint="eastAsia"/>
                <w:color w:val="auto"/>
                <w:lang w:val="en-US" w:eastAsia="zh-CN"/>
              </w:rPr>
              <w:t>要求</w:t>
            </w:r>
            <w:r>
              <w:rPr>
                <w:rFonts w:hint="eastAsia"/>
                <w:color w:val="auto"/>
              </w:rPr>
              <w:t>单元生态环境准入清单进行分析，详见下表。</w:t>
            </w:r>
          </w:p>
          <w:p w14:paraId="566EE424">
            <w:pPr>
              <w:pStyle w:val="12"/>
              <w:keepNext w:val="0"/>
              <w:keepLines w:val="0"/>
              <w:suppressLineNumbers w:val="0"/>
              <w:spacing w:before="0" w:beforeAutospacing="0" w:after="0" w:afterAutospacing="0"/>
              <w:ind w:right="0"/>
              <w:rPr>
                <w:rFonts w:hint="eastAsia"/>
                <w:color w:val="auto"/>
              </w:rPr>
            </w:pPr>
          </w:p>
          <w:p w14:paraId="056C8A33">
            <w:pPr>
              <w:keepNext w:val="0"/>
              <w:keepLines w:val="0"/>
              <w:suppressLineNumbers w:val="0"/>
              <w:spacing w:before="0" w:beforeAutospacing="0" w:after="0" w:afterAutospacing="0"/>
              <w:ind w:left="0" w:right="0"/>
              <w:rPr>
                <w:rFonts w:hint="eastAsia"/>
                <w:color w:val="auto"/>
              </w:rPr>
            </w:pPr>
          </w:p>
          <w:p w14:paraId="2163104E">
            <w:pPr>
              <w:pStyle w:val="12"/>
              <w:keepNext w:val="0"/>
              <w:keepLines w:val="0"/>
              <w:suppressLineNumbers w:val="0"/>
              <w:spacing w:before="0" w:beforeAutospacing="0" w:after="0" w:afterAutospacing="0"/>
              <w:ind w:right="0"/>
              <w:rPr>
                <w:rFonts w:hint="eastAsia"/>
                <w:color w:val="auto"/>
              </w:rPr>
            </w:pPr>
          </w:p>
          <w:p w14:paraId="16EBFB23">
            <w:pPr>
              <w:keepNext w:val="0"/>
              <w:keepLines w:val="0"/>
              <w:suppressLineNumbers w:val="0"/>
              <w:spacing w:before="0" w:beforeAutospacing="0" w:after="0" w:afterAutospacing="0"/>
              <w:ind w:left="0" w:right="0"/>
              <w:rPr>
                <w:rFonts w:hint="eastAsia"/>
                <w:color w:val="auto"/>
              </w:rPr>
            </w:pPr>
          </w:p>
          <w:p w14:paraId="038591E9">
            <w:pPr>
              <w:pStyle w:val="12"/>
              <w:keepNext w:val="0"/>
              <w:keepLines w:val="0"/>
              <w:suppressLineNumbers w:val="0"/>
              <w:spacing w:before="0" w:beforeAutospacing="0" w:after="0" w:afterAutospacing="0"/>
              <w:ind w:right="0"/>
              <w:rPr>
                <w:rFonts w:hint="eastAsia"/>
              </w:rPr>
            </w:pPr>
          </w:p>
          <w:p w14:paraId="55FA3B7A">
            <w:pPr>
              <w:keepNext w:val="0"/>
              <w:keepLines w:val="0"/>
              <w:pageBreakBefore w:val="0"/>
              <w:widowControl/>
              <w:suppressLineNumbers w:val="0"/>
              <w:kinsoku/>
              <w:wordWrap w:val="0"/>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auto"/>
              <w:rPr>
                <w:rFonts w:hint="eastAsia" w:eastAsia="宋体"/>
                <w:color w:val="0000FF"/>
                <w:lang w:eastAsia="zh-CN"/>
              </w:rPr>
            </w:pPr>
            <w:r>
              <w:rPr>
                <w:rFonts w:hint="default"/>
                <w:sz w:val="18"/>
              </w:rPr>
              <mc:AlternateContent>
                <mc:Choice Requires="wps">
                  <w:drawing>
                    <wp:anchor distT="0" distB="0" distL="114300" distR="114300" simplePos="0" relativeHeight="251674624" behindDoc="0" locked="0" layoutInCell="1" allowOverlap="1">
                      <wp:simplePos x="0" y="0"/>
                      <wp:positionH relativeFrom="column">
                        <wp:posOffset>3218180</wp:posOffset>
                      </wp:positionH>
                      <wp:positionV relativeFrom="paragraph">
                        <wp:posOffset>1573530</wp:posOffset>
                      </wp:positionV>
                      <wp:extent cx="613410" cy="295910"/>
                      <wp:effectExtent l="894715" t="372110" r="15875" b="17780"/>
                      <wp:wrapNone/>
                      <wp:docPr id="116" name="圆角矩形标注 116"/>
                      <wp:cNvGraphicFramePr/>
                      <a:graphic xmlns:a="http://schemas.openxmlformats.org/drawingml/2006/main">
                        <a:graphicData uri="http://schemas.microsoft.com/office/word/2010/wordprocessingShape">
                          <wps:wsp>
                            <wps:cNvSpPr/>
                            <wps:spPr>
                              <a:xfrm>
                                <a:off x="0" y="0"/>
                                <a:ext cx="613410" cy="295910"/>
                              </a:xfrm>
                              <a:prstGeom prst="wedgeRoundRectCallout">
                                <a:avLst>
                                  <a:gd name="adj1" fmla="val -195134"/>
                                  <a:gd name="adj2" fmla="val -174248"/>
                                  <a:gd name="adj3" fmla="val 16667"/>
                                </a:avLst>
                              </a:prstGeom>
                              <a:noFill/>
                              <a:ln w="6350">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49DB986D">
                                  <w:pPr>
                                    <w:spacing w:line="240" w:lineRule="auto"/>
                                    <w:ind w:left="0" w:leftChars="0" w:firstLine="0" w:firstLineChars="0"/>
                                    <w:jc w:val="both"/>
                                    <w:rPr>
                                      <w:rFonts w:hint="eastAsia" w:eastAsia="宋体"/>
                                      <w:color w:val="FF0000"/>
                                      <w:sz w:val="18"/>
                                      <w:szCs w:val="18"/>
                                      <w:lang w:val="en-US" w:eastAsia="zh-CN"/>
                                    </w:rPr>
                                  </w:pPr>
                                  <w:r>
                                    <w:rPr>
                                      <w:rFonts w:hint="eastAsia"/>
                                      <w:color w:val="FF0000"/>
                                      <w:sz w:val="18"/>
                                      <w:szCs w:val="18"/>
                                      <w:lang w:val="en-US" w:eastAsia="zh-CN"/>
                                    </w:rPr>
                                    <w:t>项目地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53.4pt;margin-top:123.9pt;height:23.3pt;width:48.3pt;z-index:251674624;v-text-anchor:middle;mso-width-relative:page;mso-height-relative:page;" filled="f" stroked="t" coordsize="21600,21600" o:gfxdata="UEsDBAoAAAAAAIdO4kAAAAAAAAAAAAAAAAAEAAAAZHJzL1BLAwQUAAAACACHTuJAQCrUMtcAAAAL&#10;AQAADwAAAGRycy9kb3ducmV2LnhtbE2PQU7DMBBF90jcwRokdtROGlIa4lRqJA5A4ABO7MaBeBxi&#10;1y23Z1jBbubP1/9v6sPVzSyZNUweJWQbAczg4PWEo4T3t5eHJ2AhKtRq9mgkfJsAh+b2plaV9hd8&#10;NamLI6MQDJWSYGNcKs7DYI1TYeMXg3Q7+dWpSOs6cr2qC4W7medClNypCanBqsW01gyf3dlJ+HDb&#10;XTkd19TblLX9V96GY+qkvL/LxDOwaK7xzwy/+IQODTH1/ow6sFnCoygJPUrIix0N5CjFtgDWk7Iv&#10;CuBNzf//0PwAUEsDBBQAAAAIAIdO4kDWOS2rswIAAFcFAAAOAAAAZHJzL2Uyb0RvYy54bWytVMFu&#10;EzEQvSPxD5bv7WbTJG2iJlWVqAipolUL4ux4vdlFXtvYTjblA+DOGQnEBThz5nNa+Ayevds2bTn0&#10;QA7OzM54Zt6bGe8frCtJVsK6UqsxTbc7lAjFdVaqxZi+enm0tUeJ80xlTGolxvRCOHowefpkvzYj&#10;0dWFlpmwBEGUG9VmTAvvzShJHC9Exdy2NkLBmGtbMQ/VLpLMshrRK5l0O51BUmubGau5cA5fZ42R&#10;thHtYwLqPC+5mGm+rITyTVQrJPOA5IrSODqJ1ea54P4kz53wRI4pkPp4IgnkeTiTyT4bLSwzRcnb&#10;EthjSriHqWKlQtKbUDPmGVna8kGoquRWO537ba6rpAESGQGKtHOPm/OCGRGxgGpnbkh3/y8sf7E6&#10;taTMMAnpgBLFKrT88tP7P98+/v784/LX16svH65+fifBCq5q40a4cm5Obas5iAH4OrdV+Ackso78&#10;XtzwK9aecHwcpDu9FMxzmLrD/hAyoiS3l411/pnQFQnCmNYiW4gzvVTZGRo5ZVLqpY80s9Wx85Hv&#10;rK2ZZW9SSvJKon0rJslWOuwjXdvgDa/uXa/dXre399BrZ9MrHQwGu22pbWYUfV1sKEPpo1LKOExS&#10;kRpQd/oBKMOC5BhMiJUByU4tKGFygc3j3kYoTssyC7dDHGcX86m0BAjAXvy1ee+4hdQz5orGL5pa&#10;N6lAaOhS05cg+fV83TZrrrMLtNvqZg+c4UclQh0z50+ZBXOoGU+DP8GRSw0cupUoKbR996/vwR/z&#10;CCslNRYJIN8umRWUyOcKkzpMez2E9VHp9Xe7UOymZb5pUctqqoEdvUR1UQz+Xl6LudXVa7wghyEr&#10;TExx5G7obJWpbxYcbxAXh4fRDdtmmD9W54aH4E3PDpde56UPMxiIathpFexbHM32bQgLvalHr9v3&#10;cPIX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QCrUMtcAAAALAQAADwAAAAAAAAABACAAAAAiAAAA&#10;ZHJzL2Rvd25yZXYueG1sUEsBAhQAFAAAAAgAh07iQNY5LauzAgAAVwUAAA4AAAAAAAAAAQAgAAAA&#10;JgEAAGRycy9lMm9Eb2MueG1sUEsFBgAAAAAGAAYAWQEAAEsGAAAAAA==&#10;" adj="-31349,-26838,14400">
                      <v:fill on="f" focussize="0,0"/>
                      <v:stroke weight="0.5pt" color="#000000 [3213]" joinstyle="round"/>
                      <v:imagedata o:title=""/>
                      <o:lock v:ext="edit" aspectratio="f"/>
                      <v:textbox>
                        <w:txbxContent>
                          <w:p w14:paraId="49DB986D">
                            <w:pPr>
                              <w:spacing w:line="240" w:lineRule="auto"/>
                              <w:ind w:left="0" w:leftChars="0" w:firstLine="0" w:firstLineChars="0"/>
                              <w:jc w:val="both"/>
                              <w:rPr>
                                <w:rFonts w:hint="eastAsia" w:eastAsia="宋体"/>
                                <w:color w:val="FF0000"/>
                                <w:sz w:val="18"/>
                                <w:szCs w:val="18"/>
                                <w:lang w:val="en-US" w:eastAsia="zh-CN"/>
                              </w:rPr>
                            </w:pPr>
                            <w:r>
                              <w:rPr>
                                <w:rFonts w:hint="eastAsia"/>
                                <w:color w:val="FF0000"/>
                                <w:sz w:val="18"/>
                                <w:szCs w:val="18"/>
                                <w:lang w:val="en-US" w:eastAsia="zh-CN"/>
                              </w:rPr>
                              <w:t>项目地</w:t>
                            </w:r>
                          </w:p>
                        </w:txbxContent>
                      </v:textbox>
                    </v:shape>
                  </w:pict>
                </mc:Fallback>
              </mc:AlternateContent>
            </w:r>
            <w:r>
              <w:rPr>
                <w:rFonts w:hint="default"/>
              </w:rPr>
              <w:drawing>
                <wp:inline distT="0" distB="0" distL="114300" distR="114300">
                  <wp:extent cx="4820920" cy="2334895"/>
                  <wp:effectExtent l="0" t="0" r="10160" b="1206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16"/>
                          <a:stretch>
                            <a:fillRect/>
                          </a:stretch>
                        </pic:blipFill>
                        <pic:spPr>
                          <a:xfrm>
                            <a:off x="0" y="0"/>
                            <a:ext cx="4820920" cy="2334895"/>
                          </a:xfrm>
                          <a:prstGeom prst="rect">
                            <a:avLst/>
                          </a:prstGeom>
                          <a:noFill/>
                          <a:ln>
                            <a:noFill/>
                          </a:ln>
                        </pic:spPr>
                      </pic:pic>
                    </a:graphicData>
                  </a:graphic>
                </wp:inline>
              </w:drawing>
            </w:r>
          </w:p>
          <w:p w14:paraId="45B2267D">
            <w:pPr>
              <w:pStyle w:val="50"/>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图1-2  项目在生态环境分区管控单元的点位图</w:t>
            </w:r>
          </w:p>
          <w:p w14:paraId="3DA39997">
            <w:pPr>
              <w:pStyle w:val="50"/>
              <w:keepNext w:val="0"/>
              <w:keepLines w:val="0"/>
              <w:suppressLineNumbers w:val="0"/>
              <w:bidi w:val="0"/>
              <w:spacing w:before="0" w:beforeAutospacing="0" w:after="0" w:afterAutospacing="0"/>
              <w:ind w:left="0" w:right="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表1-</w:t>
            </w:r>
            <w:r>
              <w:rPr>
                <w:rFonts w:hint="eastAsia" w:cs="Times New Roman"/>
                <w:lang w:val="en-US" w:eastAsia="zh-CN"/>
              </w:rPr>
              <w:t>4</w:t>
            </w:r>
            <w:r>
              <w:rPr>
                <w:rFonts w:hint="eastAsia" w:ascii="Times New Roman" w:hAnsi="Times New Roman" w:eastAsia="宋体" w:cs="Times New Roman"/>
                <w:lang w:val="en-US" w:eastAsia="zh-CN"/>
              </w:rPr>
              <w:t xml:space="preserve">  项目与重点管控单元14管控要求符合性一览表</w:t>
            </w:r>
          </w:p>
          <w:tbl>
            <w:tblPr>
              <w:tblStyle w:val="19"/>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888"/>
              <w:gridCol w:w="673"/>
              <w:gridCol w:w="3509"/>
              <w:gridCol w:w="1786"/>
              <w:gridCol w:w="741"/>
            </w:tblGrid>
            <w:tr w14:paraId="3A04A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4" w:type="pct"/>
                  <w:noWrap w:val="0"/>
                  <w:vAlign w:val="center"/>
                </w:tcPr>
                <w:p w14:paraId="5E2F6AD6">
                  <w:pPr>
                    <w:pStyle w:val="27"/>
                    <w:keepNext w:val="0"/>
                    <w:keepLines w:val="0"/>
                    <w:suppressLineNumbers w:val="0"/>
                    <w:bidi w:val="0"/>
                    <w:spacing w:before="0" w:beforeAutospacing="0" w:after="0" w:afterAutospacing="0"/>
                    <w:ind w:left="0" w:right="0"/>
                    <w:rPr>
                      <w:rFonts w:hint="default"/>
                      <w:b/>
                      <w:bCs/>
                      <w:color w:val="auto"/>
                    </w:rPr>
                  </w:pPr>
                  <w:r>
                    <w:rPr>
                      <w:rFonts w:hint="eastAsia"/>
                      <w:b/>
                      <w:bCs/>
                      <w:color w:val="auto"/>
                      <w:lang w:val="en-US" w:eastAsia="zh-CN"/>
                    </w:rPr>
                    <w:t>区域管控要求</w:t>
                  </w:r>
                </w:p>
              </w:tc>
              <w:tc>
                <w:tcPr>
                  <w:tcW w:w="442" w:type="pct"/>
                  <w:noWrap w:val="0"/>
                  <w:vAlign w:val="center"/>
                </w:tcPr>
                <w:p w14:paraId="2B2C67BD">
                  <w:pPr>
                    <w:pStyle w:val="27"/>
                    <w:keepNext w:val="0"/>
                    <w:keepLines w:val="0"/>
                    <w:suppressLineNumbers w:val="0"/>
                    <w:bidi w:val="0"/>
                    <w:spacing w:before="0" w:beforeAutospacing="0" w:after="0" w:afterAutospacing="0"/>
                    <w:ind w:left="0" w:right="0"/>
                    <w:rPr>
                      <w:rFonts w:hint="default"/>
                      <w:b/>
                      <w:bCs/>
                      <w:color w:val="auto"/>
                    </w:rPr>
                  </w:pPr>
                  <w:r>
                    <w:rPr>
                      <w:rFonts w:hint="eastAsia"/>
                      <w:b/>
                      <w:bCs/>
                      <w:color w:val="auto"/>
                      <w:lang w:val="en-US" w:eastAsia="zh-CN"/>
                    </w:rPr>
                    <w:t>管控</w:t>
                  </w:r>
                </w:p>
                <w:p w14:paraId="17835208">
                  <w:pPr>
                    <w:pStyle w:val="27"/>
                    <w:keepNext w:val="0"/>
                    <w:keepLines w:val="0"/>
                    <w:suppressLineNumbers w:val="0"/>
                    <w:bidi w:val="0"/>
                    <w:spacing w:before="0" w:beforeAutospacing="0" w:after="0" w:afterAutospacing="0"/>
                    <w:ind w:left="0" w:right="0"/>
                    <w:rPr>
                      <w:rFonts w:hint="default"/>
                      <w:b/>
                      <w:bCs/>
                      <w:color w:val="auto"/>
                    </w:rPr>
                  </w:pPr>
                  <w:r>
                    <w:rPr>
                      <w:rFonts w:hint="eastAsia"/>
                      <w:b/>
                      <w:bCs/>
                      <w:color w:val="auto"/>
                      <w:lang w:val="en-US" w:eastAsia="zh-CN"/>
                    </w:rPr>
                    <w:t>类别</w:t>
                  </w:r>
                </w:p>
              </w:tc>
              <w:tc>
                <w:tcPr>
                  <w:tcW w:w="2309" w:type="pct"/>
                  <w:noWrap w:val="0"/>
                  <w:vAlign w:val="center"/>
                </w:tcPr>
                <w:p w14:paraId="2A026907">
                  <w:pPr>
                    <w:pStyle w:val="27"/>
                    <w:keepNext w:val="0"/>
                    <w:keepLines w:val="0"/>
                    <w:suppressLineNumbers w:val="0"/>
                    <w:bidi w:val="0"/>
                    <w:spacing w:before="0" w:beforeAutospacing="0" w:after="0" w:afterAutospacing="0"/>
                    <w:ind w:left="0" w:right="0"/>
                    <w:rPr>
                      <w:rFonts w:hint="default"/>
                      <w:b/>
                      <w:bCs/>
                      <w:color w:val="auto"/>
                    </w:rPr>
                  </w:pPr>
                  <w:r>
                    <w:rPr>
                      <w:rFonts w:hint="eastAsia"/>
                      <w:b/>
                      <w:bCs/>
                      <w:color w:val="auto"/>
                      <w:lang w:val="en-US" w:eastAsia="zh-CN"/>
                    </w:rPr>
                    <w:t>管控要求</w:t>
                  </w:r>
                </w:p>
              </w:tc>
              <w:tc>
                <w:tcPr>
                  <w:tcW w:w="1175" w:type="pct"/>
                  <w:noWrap w:val="0"/>
                  <w:vAlign w:val="center"/>
                </w:tcPr>
                <w:p w14:paraId="6B9C6BE1">
                  <w:pPr>
                    <w:pStyle w:val="27"/>
                    <w:keepNext w:val="0"/>
                    <w:keepLines w:val="0"/>
                    <w:suppressLineNumbers w:val="0"/>
                    <w:bidi w:val="0"/>
                    <w:spacing w:before="0" w:beforeAutospacing="0" w:after="0" w:afterAutospacing="0"/>
                    <w:ind w:left="0" w:right="0"/>
                    <w:rPr>
                      <w:rFonts w:hint="default"/>
                      <w:b/>
                      <w:bCs/>
                      <w:color w:val="auto"/>
                    </w:rPr>
                  </w:pPr>
                  <w:r>
                    <w:rPr>
                      <w:rFonts w:hint="default"/>
                      <w:b/>
                      <w:bCs/>
                      <w:color w:val="auto"/>
                    </w:rPr>
                    <w:t>协调性分析</w:t>
                  </w:r>
                </w:p>
              </w:tc>
              <w:tc>
                <w:tcPr>
                  <w:tcW w:w="487" w:type="pct"/>
                  <w:noWrap w:val="0"/>
                  <w:vAlign w:val="center"/>
                </w:tcPr>
                <w:p w14:paraId="1E8530D0">
                  <w:pPr>
                    <w:pStyle w:val="27"/>
                    <w:keepNext w:val="0"/>
                    <w:keepLines w:val="0"/>
                    <w:suppressLineNumbers w:val="0"/>
                    <w:bidi w:val="0"/>
                    <w:spacing w:before="0" w:beforeAutospacing="0" w:after="0" w:afterAutospacing="0"/>
                    <w:ind w:left="0" w:right="0"/>
                    <w:rPr>
                      <w:rFonts w:hint="default"/>
                      <w:b/>
                      <w:bCs/>
                      <w:color w:val="auto"/>
                    </w:rPr>
                  </w:pPr>
                  <w:r>
                    <w:rPr>
                      <w:rFonts w:hint="default"/>
                      <w:b/>
                      <w:bCs/>
                      <w:color w:val="auto"/>
                    </w:rPr>
                    <w:t>符合性分析</w:t>
                  </w:r>
                </w:p>
              </w:tc>
            </w:tr>
            <w:tr w14:paraId="6B3884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4" w:type="pct"/>
                  <w:vMerge w:val="restart"/>
                  <w:noWrap w:val="0"/>
                  <w:vAlign w:val="center"/>
                </w:tcPr>
                <w:p w14:paraId="3D1D6A6C">
                  <w:pPr>
                    <w:pStyle w:val="27"/>
                    <w:keepNext w:val="0"/>
                    <w:keepLines w:val="0"/>
                    <w:suppressLineNumbers w:val="0"/>
                    <w:bidi w:val="0"/>
                    <w:spacing w:before="0" w:beforeAutospacing="0" w:after="0" w:afterAutospacing="0"/>
                    <w:ind w:left="0" w:right="0"/>
                    <w:rPr>
                      <w:rFonts w:hint="default"/>
                      <w:color w:val="auto"/>
                      <w:lang w:val="en-US" w:eastAsia="zh-CN"/>
                    </w:rPr>
                  </w:pPr>
                  <w:r>
                    <w:rPr>
                      <w:rFonts w:hint="default"/>
                      <w:color w:val="auto"/>
                    </w:rPr>
                    <w:t>重点管控单元</w:t>
                  </w:r>
                  <w:r>
                    <w:rPr>
                      <w:rFonts w:hint="eastAsia"/>
                      <w:color w:val="auto"/>
                      <w:lang w:val="en-US" w:eastAsia="zh-CN"/>
                    </w:rPr>
                    <w:t>12</w:t>
                  </w:r>
                </w:p>
              </w:tc>
              <w:tc>
                <w:tcPr>
                  <w:tcW w:w="442" w:type="pct"/>
                  <w:vMerge w:val="restart"/>
                  <w:noWrap w:val="0"/>
                  <w:vAlign w:val="center"/>
                </w:tcPr>
                <w:p w14:paraId="1F84FE1D">
                  <w:pPr>
                    <w:pStyle w:val="27"/>
                    <w:keepNext w:val="0"/>
                    <w:keepLines w:val="0"/>
                    <w:suppressLineNumbers w:val="0"/>
                    <w:bidi w:val="0"/>
                    <w:spacing w:before="0" w:beforeAutospacing="0" w:after="0" w:afterAutospacing="0"/>
                    <w:ind w:left="0" w:right="0"/>
                    <w:rPr>
                      <w:rFonts w:hint="default"/>
                      <w:color w:val="auto"/>
                    </w:rPr>
                  </w:pPr>
                  <w:r>
                    <w:rPr>
                      <w:rFonts w:hint="eastAsia"/>
                      <w:color w:val="auto"/>
                      <w:lang w:val="en-US" w:eastAsia="zh-CN"/>
                    </w:rPr>
                    <w:t>空间布局约束</w:t>
                  </w:r>
                </w:p>
              </w:tc>
              <w:tc>
                <w:tcPr>
                  <w:tcW w:w="2309" w:type="pct"/>
                  <w:noWrap w:val="0"/>
                  <w:vAlign w:val="center"/>
                </w:tcPr>
                <w:p w14:paraId="54AF3B65">
                  <w:pPr>
                    <w:pStyle w:val="46"/>
                    <w:keepNext w:val="0"/>
                    <w:keepLines w:val="0"/>
                    <w:suppressLineNumbers w:val="0"/>
                    <w:bidi w:val="0"/>
                    <w:spacing w:before="0" w:beforeAutospacing="0" w:after="0" w:afterAutospacing="0"/>
                    <w:ind w:left="24" w:leftChars="10" w:right="24" w:rightChars="10" w:firstLine="0" w:firstLineChars="0"/>
                    <w:rPr>
                      <w:color w:val="auto"/>
                    </w:rPr>
                  </w:pPr>
                  <w:r>
                    <w:rPr>
                      <w:rFonts w:hint="eastAsia"/>
                      <w:color w:val="auto"/>
                    </w:rPr>
                    <w:t>1在城市城区及其近郊禁止新建、扩建</w:t>
                  </w:r>
                  <w:r>
                    <w:rPr>
                      <w:rFonts w:hint="eastAsia"/>
                      <w:color w:val="auto"/>
                      <w:lang w:eastAsia="zh-CN"/>
                    </w:rPr>
                    <w:t>钢铁</w:t>
                  </w:r>
                  <w:r>
                    <w:rPr>
                      <w:rFonts w:hint="eastAsia"/>
                      <w:color w:val="auto"/>
                    </w:rPr>
                    <w:t>、有色、石化、水泥、化工等重污染企业。</w:t>
                  </w:r>
                </w:p>
              </w:tc>
              <w:tc>
                <w:tcPr>
                  <w:tcW w:w="1175" w:type="pct"/>
                  <w:noWrap w:val="0"/>
                  <w:vAlign w:val="center"/>
                </w:tcPr>
                <w:p w14:paraId="046C3F31">
                  <w:pPr>
                    <w:pStyle w:val="46"/>
                    <w:keepNext w:val="0"/>
                    <w:keepLines w:val="0"/>
                    <w:suppressLineNumbers w:val="0"/>
                    <w:bidi w:val="0"/>
                    <w:spacing w:before="0" w:beforeAutospacing="0" w:after="0" w:afterAutospacing="0"/>
                    <w:ind w:left="24" w:leftChars="10" w:right="24" w:rightChars="10" w:firstLine="0" w:firstLineChars="0"/>
                    <w:rPr>
                      <w:rFonts w:hint="default" w:eastAsia="宋体"/>
                      <w:color w:val="auto"/>
                      <w:lang w:val="en-US" w:eastAsia="zh-CN"/>
                    </w:rPr>
                  </w:pPr>
                  <w:r>
                    <w:rPr>
                      <w:rFonts w:hint="eastAsia"/>
                      <w:color w:val="auto"/>
                      <w:lang w:val="en-US" w:eastAsia="zh-CN"/>
                    </w:rPr>
                    <w:t>本项目为新建废旧电动自行车拆解项目，不属于钢铁</w:t>
                  </w:r>
                  <w:r>
                    <w:rPr>
                      <w:rFonts w:hint="eastAsia"/>
                      <w:color w:val="auto"/>
                    </w:rPr>
                    <w:t>、有色、石化、水泥、化工等重污染企业</w:t>
                  </w:r>
                </w:p>
              </w:tc>
              <w:tc>
                <w:tcPr>
                  <w:tcW w:w="487" w:type="pct"/>
                  <w:noWrap w:val="0"/>
                  <w:vAlign w:val="center"/>
                </w:tcPr>
                <w:p w14:paraId="0812D12D">
                  <w:pPr>
                    <w:pStyle w:val="27"/>
                    <w:keepNext w:val="0"/>
                    <w:keepLines w:val="0"/>
                    <w:suppressLineNumbers w:val="0"/>
                    <w:bidi w:val="0"/>
                    <w:spacing w:before="0" w:beforeAutospacing="0" w:after="0" w:afterAutospacing="0"/>
                    <w:ind w:left="0" w:right="0"/>
                    <w:rPr>
                      <w:rFonts w:hint="eastAsia" w:eastAsia="宋体"/>
                      <w:color w:val="auto"/>
                      <w:lang w:val="en-US" w:eastAsia="zh-CN"/>
                    </w:rPr>
                  </w:pPr>
                  <w:r>
                    <w:rPr>
                      <w:rFonts w:hint="eastAsia"/>
                      <w:color w:val="auto"/>
                      <w:lang w:val="en-US" w:eastAsia="zh-CN"/>
                    </w:rPr>
                    <w:t>符合</w:t>
                  </w:r>
                </w:p>
              </w:tc>
            </w:tr>
            <w:tr w14:paraId="4C7F6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4" w:type="pct"/>
                  <w:vMerge w:val="continue"/>
                  <w:noWrap w:val="0"/>
                  <w:vAlign w:val="center"/>
                </w:tcPr>
                <w:p w14:paraId="13526ABA">
                  <w:pPr>
                    <w:pStyle w:val="27"/>
                    <w:keepNext w:val="0"/>
                    <w:keepLines w:val="0"/>
                    <w:suppressLineNumbers w:val="0"/>
                    <w:bidi w:val="0"/>
                    <w:spacing w:before="0" w:beforeAutospacing="0" w:after="0" w:afterAutospacing="0"/>
                    <w:ind w:left="0" w:right="0"/>
                    <w:rPr>
                      <w:rFonts w:hint="default"/>
                      <w:color w:val="auto"/>
                    </w:rPr>
                  </w:pPr>
                </w:p>
              </w:tc>
              <w:tc>
                <w:tcPr>
                  <w:tcW w:w="442" w:type="pct"/>
                  <w:vMerge w:val="continue"/>
                  <w:noWrap w:val="0"/>
                  <w:vAlign w:val="center"/>
                </w:tcPr>
                <w:p w14:paraId="4EAB7787">
                  <w:pPr>
                    <w:pStyle w:val="27"/>
                    <w:keepNext w:val="0"/>
                    <w:keepLines w:val="0"/>
                    <w:suppressLineNumbers w:val="0"/>
                    <w:bidi w:val="0"/>
                    <w:spacing w:before="0" w:beforeAutospacing="0" w:after="0" w:afterAutospacing="0"/>
                    <w:ind w:left="0" w:right="0"/>
                    <w:rPr>
                      <w:rFonts w:hint="eastAsia"/>
                      <w:color w:val="auto"/>
                      <w:lang w:val="en-US" w:eastAsia="zh-CN"/>
                    </w:rPr>
                  </w:pPr>
                </w:p>
              </w:tc>
              <w:tc>
                <w:tcPr>
                  <w:tcW w:w="2309" w:type="pct"/>
                  <w:noWrap w:val="0"/>
                  <w:vAlign w:val="center"/>
                </w:tcPr>
                <w:p w14:paraId="10A6E2A9">
                  <w:pPr>
                    <w:pStyle w:val="46"/>
                    <w:keepNext w:val="0"/>
                    <w:keepLines w:val="0"/>
                    <w:suppressLineNumbers w:val="0"/>
                    <w:bidi w:val="0"/>
                    <w:spacing w:before="0" w:beforeAutospacing="0" w:after="0" w:afterAutospacing="0"/>
                    <w:ind w:left="24" w:leftChars="10" w:right="24" w:rightChars="10" w:firstLine="0" w:firstLineChars="0"/>
                    <w:rPr>
                      <w:rFonts w:hint="eastAsia"/>
                      <w:color w:val="auto"/>
                    </w:rPr>
                  </w:pPr>
                  <w:r>
                    <w:rPr>
                      <w:rFonts w:hint="eastAsia"/>
                      <w:color w:val="auto"/>
                    </w:rPr>
                    <w:t>2禁止新建燃料类煤气发生炉</w:t>
                  </w:r>
                  <w:r>
                    <w:rPr>
                      <w:rFonts w:hint="eastAsia"/>
                      <w:color w:val="auto"/>
                      <w:lang w:eastAsia="zh-CN"/>
                    </w:rPr>
                    <w:t>（</w:t>
                  </w:r>
                  <w:r>
                    <w:rPr>
                      <w:rFonts w:hint="eastAsia"/>
                      <w:color w:val="auto"/>
                    </w:rPr>
                    <w:t>园区现有企业统一建设的清洁煤制气中心除外</w:t>
                  </w:r>
                  <w:r>
                    <w:rPr>
                      <w:rFonts w:hint="eastAsia"/>
                      <w:color w:val="auto"/>
                      <w:lang w:eastAsia="zh-CN"/>
                    </w:rPr>
                    <w:t>）</w:t>
                  </w:r>
                </w:p>
              </w:tc>
              <w:tc>
                <w:tcPr>
                  <w:tcW w:w="1175" w:type="pct"/>
                  <w:noWrap w:val="0"/>
                  <w:vAlign w:val="center"/>
                </w:tcPr>
                <w:p w14:paraId="683CE6C6">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项目不涉及</w:t>
                  </w:r>
                  <w:r>
                    <w:rPr>
                      <w:rFonts w:hint="eastAsia"/>
                      <w:color w:val="auto"/>
                    </w:rPr>
                    <w:t>燃料类煤气发生炉</w:t>
                  </w:r>
                </w:p>
              </w:tc>
              <w:tc>
                <w:tcPr>
                  <w:tcW w:w="487" w:type="pct"/>
                  <w:noWrap w:val="0"/>
                  <w:vAlign w:val="center"/>
                </w:tcPr>
                <w:p w14:paraId="1361BB0F">
                  <w:pPr>
                    <w:pStyle w:val="27"/>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符合</w:t>
                  </w:r>
                </w:p>
              </w:tc>
            </w:tr>
            <w:tr w14:paraId="697DF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4" w:type="pct"/>
                  <w:vMerge w:val="continue"/>
                  <w:noWrap w:val="0"/>
                  <w:vAlign w:val="center"/>
                </w:tcPr>
                <w:p w14:paraId="592F6B3F">
                  <w:pPr>
                    <w:pStyle w:val="27"/>
                    <w:keepNext w:val="0"/>
                    <w:keepLines w:val="0"/>
                    <w:suppressLineNumbers w:val="0"/>
                    <w:bidi w:val="0"/>
                    <w:spacing w:before="0" w:beforeAutospacing="0" w:after="0" w:afterAutospacing="0"/>
                    <w:ind w:left="0" w:right="0"/>
                    <w:rPr>
                      <w:rFonts w:hint="default"/>
                      <w:color w:val="auto"/>
                    </w:rPr>
                  </w:pPr>
                </w:p>
              </w:tc>
              <w:tc>
                <w:tcPr>
                  <w:tcW w:w="442" w:type="pct"/>
                  <w:vMerge w:val="continue"/>
                  <w:noWrap w:val="0"/>
                  <w:vAlign w:val="center"/>
                </w:tcPr>
                <w:p w14:paraId="7C293E68">
                  <w:pPr>
                    <w:pStyle w:val="27"/>
                    <w:keepNext w:val="0"/>
                    <w:keepLines w:val="0"/>
                    <w:suppressLineNumbers w:val="0"/>
                    <w:bidi w:val="0"/>
                    <w:spacing w:before="0" w:beforeAutospacing="0" w:after="0" w:afterAutospacing="0"/>
                    <w:ind w:left="0" w:right="0"/>
                    <w:rPr>
                      <w:rFonts w:hint="eastAsia"/>
                      <w:color w:val="auto"/>
                      <w:lang w:val="en-US" w:eastAsia="zh-CN"/>
                    </w:rPr>
                  </w:pPr>
                </w:p>
              </w:tc>
              <w:tc>
                <w:tcPr>
                  <w:tcW w:w="2309" w:type="pct"/>
                  <w:shd w:val="clear" w:color="auto" w:fill="auto"/>
                  <w:noWrap w:val="0"/>
                  <w:vAlign w:val="center"/>
                </w:tcPr>
                <w:p w14:paraId="3BEDA153">
                  <w:pPr>
                    <w:pStyle w:val="46"/>
                    <w:keepNext w:val="0"/>
                    <w:keepLines w:val="0"/>
                    <w:suppressLineNumbers w:val="0"/>
                    <w:bidi w:val="0"/>
                    <w:spacing w:before="0" w:beforeAutospacing="0" w:after="0" w:afterAutospacing="0"/>
                    <w:rPr>
                      <w:rFonts w:hint="eastAsia"/>
                      <w:color w:val="auto"/>
                      <w:lang w:val="en-US" w:eastAsia="zh-CN"/>
                    </w:rPr>
                  </w:pPr>
                  <w:r>
                    <w:rPr>
                      <w:rFonts w:hint="eastAsia"/>
                      <w:color w:val="auto"/>
                      <w:lang w:val="en-US" w:eastAsia="zh-CN"/>
                    </w:rPr>
                    <w:t>3严禁新增钢铁、焦化、电解铝、铸造、水泥和平板玻璃等产能；严格执行钢铁、水泥、平板玻璃等行业产能置换实施办法。</w:t>
                  </w:r>
                </w:p>
                <w:p w14:paraId="56E60E78">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4严格执行国家关于“两高”产业准入目录和产能总量控制政策措施。严禁新增钢铁、焦化、电解铝、铸造、水泥和平板玻璃等产能；新、改、扩建涉及大宗物料运输的建设项目，原则上不得采用公路运输。</w:t>
                  </w:r>
                </w:p>
              </w:tc>
              <w:tc>
                <w:tcPr>
                  <w:tcW w:w="1175" w:type="pct"/>
                  <w:shd w:val="clear" w:color="auto" w:fill="auto"/>
                  <w:noWrap w:val="0"/>
                  <w:vAlign w:val="center"/>
                </w:tcPr>
                <w:p w14:paraId="48AEBD2D">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auto"/>
                      <w:kern w:val="2"/>
                      <w:sz w:val="21"/>
                      <w:szCs w:val="21"/>
                      <w:lang w:val="en-US" w:eastAsia="zh-CN" w:bidi="ar-SA"/>
                    </w:rPr>
                  </w:pPr>
                  <w:r>
                    <w:rPr>
                      <w:rFonts w:hint="eastAsia" w:cs="Times New Roman"/>
                      <w:color w:val="auto"/>
                      <w:lang w:val="en-US" w:eastAsia="zh-CN"/>
                    </w:rPr>
                    <w:t>项目</w:t>
                  </w:r>
                  <w:r>
                    <w:rPr>
                      <w:rFonts w:hint="eastAsia" w:ascii="Times New Roman" w:hAnsi="Times New Roman" w:eastAsia="宋体" w:cs="Times New Roman"/>
                      <w:color w:val="auto"/>
                      <w:lang w:val="en-US" w:eastAsia="zh-CN"/>
                    </w:rPr>
                    <w:t>为</w:t>
                  </w:r>
                  <w:r>
                    <w:rPr>
                      <w:rFonts w:hint="default" w:ascii="Times New Roman" w:hAnsi="Times New Roman"/>
                      <w:b w:val="0"/>
                      <w:bCs w:val="0"/>
                      <w:color w:val="auto"/>
                      <w:u w:val="none"/>
                      <w:lang w:val="en-US" w:eastAsia="zh-CN"/>
                    </w:rPr>
                    <w:t xml:space="preserve">C4210 </w:t>
                  </w:r>
                  <w:r>
                    <w:rPr>
                      <w:rFonts w:hint="eastAsia" w:ascii="Times New Roman" w:hAnsi="Times New Roman"/>
                      <w:b w:val="0"/>
                      <w:bCs w:val="0"/>
                      <w:color w:val="auto"/>
                      <w:u w:val="none"/>
                      <w:lang w:val="en-US" w:eastAsia="zh-CN"/>
                    </w:rPr>
                    <w:t>金属废料和碎屑加工处理</w:t>
                  </w:r>
                  <w:r>
                    <w:rPr>
                      <w:rFonts w:hint="eastAsia"/>
                      <w:b w:val="0"/>
                      <w:bCs w:val="0"/>
                      <w:color w:val="auto"/>
                      <w:u w:val="none"/>
                      <w:lang w:val="en-US" w:eastAsia="zh-CN"/>
                    </w:rPr>
                    <w:t>、</w:t>
                  </w:r>
                  <w:r>
                    <w:rPr>
                      <w:rFonts w:hint="default" w:ascii="Times New Roman" w:hAnsi="Times New Roman"/>
                      <w:b w:val="0"/>
                      <w:bCs w:val="0"/>
                      <w:color w:val="auto"/>
                      <w:u w:val="none"/>
                      <w:lang w:val="en-US" w:eastAsia="zh-CN"/>
                    </w:rPr>
                    <w:t xml:space="preserve">C4220 </w:t>
                  </w:r>
                  <w:r>
                    <w:rPr>
                      <w:rFonts w:hint="eastAsia" w:ascii="Times New Roman" w:hAnsi="Times New Roman"/>
                      <w:b w:val="0"/>
                      <w:bCs w:val="0"/>
                      <w:color w:val="auto"/>
                      <w:u w:val="none"/>
                      <w:lang w:val="en-US" w:eastAsia="zh-CN"/>
                    </w:rPr>
                    <w:t>非金属废料和碎屑加工处理</w:t>
                  </w:r>
                  <w:r>
                    <w:rPr>
                      <w:rFonts w:hint="eastAsia" w:ascii="Times New Roman" w:hAnsi="Times New Roman" w:eastAsia="宋体" w:cs="Times New Roman"/>
                      <w:color w:val="auto"/>
                      <w:lang w:val="en-US" w:eastAsia="zh-CN"/>
                    </w:rPr>
                    <w:t>，</w:t>
                  </w:r>
                  <w:r>
                    <w:rPr>
                      <w:rFonts w:hint="eastAsia" w:cs="Times New Roman"/>
                      <w:color w:val="auto"/>
                      <w:lang w:val="en-US" w:eastAsia="zh-CN"/>
                    </w:rPr>
                    <w:t>属于</w:t>
                  </w:r>
                  <w:r>
                    <w:rPr>
                      <w:rFonts w:hint="eastAsia"/>
                      <w:color w:val="auto"/>
                      <w:sz w:val="21"/>
                      <w:szCs w:val="21"/>
                    </w:rPr>
                    <w:t>《产业结构调整指导目录（</w:t>
                  </w:r>
                  <w:r>
                    <w:rPr>
                      <w:rFonts w:hint="eastAsia"/>
                      <w:color w:val="auto"/>
                      <w:sz w:val="21"/>
                      <w:szCs w:val="21"/>
                      <w:lang w:val="en-US" w:eastAsia="zh-CN"/>
                    </w:rPr>
                    <w:t>2024</w:t>
                  </w:r>
                  <w:r>
                    <w:rPr>
                      <w:rFonts w:hint="eastAsia"/>
                      <w:color w:val="auto"/>
                      <w:sz w:val="21"/>
                      <w:szCs w:val="21"/>
                    </w:rPr>
                    <w:t>年本）》</w:t>
                  </w:r>
                  <w:r>
                    <w:rPr>
                      <w:rFonts w:hint="eastAsia"/>
                      <w:color w:val="auto"/>
                      <w:highlight w:val="none"/>
                      <w:lang w:eastAsia="zh-CN"/>
                    </w:rPr>
                    <w:t>，</w:t>
                  </w:r>
                  <w:r>
                    <w:rPr>
                      <w:rFonts w:hint="default"/>
                      <w:color w:val="auto"/>
                      <w:highlight w:val="none"/>
                    </w:rPr>
                    <w:t>不属于</w:t>
                  </w:r>
                  <w:r>
                    <w:rPr>
                      <w:rFonts w:hint="eastAsia"/>
                      <w:color w:val="auto"/>
                      <w:highlight w:val="none"/>
                      <w:lang w:eastAsia="zh-CN"/>
                    </w:rPr>
                    <w:t>“两高”项目。</w:t>
                  </w:r>
                  <w:r>
                    <w:rPr>
                      <w:rFonts w:hint="eastAsia"/>
                      <w:color w:val="auto"/>
                      <w:lang w:val="en-US" w:eastAsia="zh-CN"/>
                    </w:rPr>
                    <w:t>项目物料运输采用公路运输，运输车辆选用新能源或达到国六标准车辆。</w:t>
                  </w:r>
                </w:p>
              </w:tc>
              <w:tc>
                <w:tcPr>
                  <w:tcW w:w="487" w:type="pct"/>
                  <w:shd w:val="clear" w:color="auto" w:fill="auto"/>
                  <w:noWrap w:val="0"/>
                  <w:vAlign w:val="center"/>
                </w:tcPr>
                <w:p w14:paraId="07F9AF80">
                  <w:pPr>
                    <w:pStyle w:val="27"/>
                    <w:keepNext w:val="0"/>
                    <w:keepLines w:val="0"/>
                    <w:suppressLineNumbers w:val="0"/>
                    <w:bidi w:val="0"/>
                    <w:spacing w:before="0" w:beforeAutospacing="0" w:after="0" w:afterAutospacing="0"/>
                    <w:ind w:left="0" w:leftChars="0" w:right="0" w:rightChars="0" w:firstLine="0" w:firstLineChars="0"/>
                    <w:rPr>
                      <w:rFonts w:hint="default" w:ascii="Calibri" w:hAnsi="Calibri" w:eastAsia="宋体" w:cs="Times New Roman"/>
                      <w:color w:val="auto"/>
                      <w:kern w:val="2"/>
                      <w:sz w:val="21"/>
                      <w:szCs w:val="20"/>
                      <w:lang w:val="en-US" w:eastAsia="zh-CN" w:bidi="ar-SA"/>
                    </w:rPr>
                  </w:pPr>
                  <w:r>
                    <w:rPr>
                      <w:rFonts w:hint="default"/>
                      <w:color w:val="auto"/>
                    </w:rPr>
                    <w:t>符合</w:t>
                  </w:r>
                </w:p>
              </w:tc>
            </w:tr>
            <w:tr w14:paraId="486D4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4" w:type="pct"/>
                  <w:vMerge w:val="continue"/>
                  <w:noWrap w:val="0"/>
                  <w:vAlign w:val="center"/>
                </w:tcPr>
                <w:p w14:paraId="18AE800E">
                  <w:pPr>
                    <w:pStyle w:val="27"/>
                    <w:keepNext w:val="0"/>
                    <w:keepLines w:val="0"/>
                    <w:suppressLineNumbers w:val="0"/>
                    <w:bidi w:val="0"/>
                    <w:spacing w:before="0" w:beforeAutospacing="0" w:after="0" w:afterAutospacing="0"/>
                    <w:ind w:left="0" w:right="0"/>
                    <w:rPr>
                      <w:rFonts w:hint="default"/>
                      <w:color w:val="auto"/>
                    </w:rPr>
                  </w:pPr>
                </w:p>
              </w:tc>
              <w:tc>
                <w:tcPr>
                  <w:tcW w:w="442" w:type="pct"/>
                  <w:vMerge w:val="continue"/>
                  <w:noWrap w:val="0"/>
                  <w:vAlign w:val="center"/>
                </w:tcPr>
                <w:p w14:paraId="2EAEDCD3">
                  <w:pPr>
                    <w:pStyle w:val="27"/>
                    <w:keepNext w:val="0"/>
                    <w:keepLines w:val="0"/>
                    <w:suppressLineNumbers w:val="0"/>
                    <w:bidi w:val="0"/>
                    <w:spacing w:before="0" w:beforeAutospacing="0" w:after="0" w:afterAutospacing="0"/>
                    <w:ind w:left="0" w:right="0"/>
                    <w:rPr>
                      <w:rFonts w:hint="default"/>
                      <w:color w:val="auto"/>
                    </w:rPr>
                  </w:pPr>
                </w:p>
              </w:tc>
              <w:tc>
                <w:tcPr>
                  <w:tcW w:w="2309" w:type="pct"/>
                  <w:noWrap w:val="0"/>
                  <w:vAlign w:val="center"/>
                </w:tcPr>
                <w:p w14:paraId="62163029">
                  <w:pPr>
                    <w:pStyle w:val="27"/>
                    <w:keepNext w:val="0"/>
                    <w:keepLines w:val="0"/>
                    <w:suppressLineNumbers w:val="0"/>
                    <w:bidi w:val="0"/>
                    <w:spacing w:before="0" w:beforeAutospacing="0" w:after="0" w:afterAutospacing="0"/>
                    <w:ind w:left="0" w:right="0"/>
                    <w:rPr>
                      <w:rFonts w:hint="default"/>
                      <w:color w:val="auto"/>
                    </w:rPr>
                  </w:pPr>
                  <w:r>
                    <w:rPr>
                      <w:rFonts w:hint="eastAsia"/>
                      <w:color w:val="auto"/>
                    </w:rPr>
                    <w:t>9严格控制新增</w:t>
                  </w:r>
                  <w:r>
                    <w:rPr>
                      <w:rFonts w:hint="eastAsia"/>
                      <w:color w:val="auto"/>
                      <w:lang w:eastAsia="zh-CN"/>
                    </w:rPr>
                    <w:t>“</w:t>
                  </w:r>
                  <w:r>
                    <w:rPr>
                      <w:rFonts w:hint="eastAsia"/>
                      <w:color w:val="auto"/>
                    </w:rPr>
                    <w:t>两高</w:t>
                  </w:r>
                  <w:r>
                    <w:rPr>
                      <w:rFonts w:hint="eastAsia"/>
                      <w:color w:val="auto"/>
                      <w:lang w:eastAsia="zh-CN"/>
                    </w:rPr>
                    <w:t>”</w:t>
                  </w:r>
                  <w:r>
                    <w:rPr>
                      <w:rFonts w:hint="eastAsia"/>
                      <w:color w:val="auto"/>
                    </w:rPr>
                    <w:t>项目审批，认真分析评估拟建项目必要性、可行性和对产业高质量发展、能耗双控、碳排放和环境质量的影响，严格审查项目是否符合产业政策、产业规划、</w:t>
                  </w:r>
                  <w:r>
                    <w:rPr>
                      <w:rFonts w:hint="eastAsia"/>
                      <w:color w:val="auto"/>
                      <w:lang w:eastAsia="zh-CN"/>
                    </w:rPr>
                    <w:t>“</w:t>
                  </w:r>
                  <w:r>
                    <w:rPr>
                      <w:rFonts w:hint="eastAsia"/>
                      <w:color w:val="auto"/>
                    </w:rPr>
                    <w:t>三线一单</w:t>
                  </w:r>
                  <w:r>
                    <w:rPr>
                      <w:rFonts w:hint="eastAsia"/>
                      <w:color w:val="auto"/>
                      <w:lang w:eastAsia="zh-CN"/>
                    </w:rPr>
                    <w:t>”</w:t>
                  </w:r>
                  <w:r>
                    <w:rPr>
                      <w:rFonts w:hint="eastAsia"/>
                      <w:color w:val="auto"/>
                    </w:rPr>
                    <w:t>、规划环评要求，是否依法依规落实产能置换、能耗置换、煤炭消费减量替代、污染物排放区域削减等要求。对已建成投产的存量</w:t>
                  </w:r>
                  <w:r>
                    <w:rPr>
                      <w:rFonts w:hint="eastAsia"/>
                      <w:color w:val="auto"/>
                      <w:lang w:eastAsia="zh-CN"/>
                    </w:rPr>
                    <w:t>“</w:t>
                  </w:r>
                  <w:r>
                    <w:rPr>
                      <w:rFonts w:hint="eastAsia"/>
                      <w:color w:val="auto"/>
                    </w:rPr>
                    <w:t>两高</w:t>
                  </w:r>
                  <w:r>
                    <w:rPr>
                      <w:rFonts w:hint="eastAsia"/>
                      <w:color w:val="auto"/>
                      <w:lang w:eastAsia="zh-CN"/>
                    </w:rPr>
                    <w:t>”</w:t>
                  </w:r>
                  <w:r>
                    <w:rPr>
                      <w:rFonts w:hint="eastAsia"/>
                      <w:color w:val="auto"/>
                    </w:rPr>
                    <w:t>项目，有节能减排潜力的加快改造升级，属于落后产能的加快淘汰。</w:t>
                  </w:r>
                </w:p>
              </w:tc>
              <w:tc>
                <w:tcPr>
                  <w:tcW w:w="1175" w:type="pct"/>
                  <w:noWrap w:val="0"/>
                  <w:vAlign w:val="center"/>
                </w:tcPr>
                <w:p w14:paraId="44E6023E">
                  <w:pPr>
                    <w:pStyle w:val="27"/>
                    <w:keepNext w:val="0"/>
                    <w:keepLines w:val="0"/>
                    <w:suppressLineNumbers w:val="0"/>
                    <w:bidi w:val="0"/>
                    <w:spacing w:before="0" w:beforeAutospacing="0" w:after="0" w:afterAutospacing="0"/>
                    <w:ind w:left="0" w:right="0"/>
                    <w:rPr>
                      <w:rFonts w:hint="default"/>
                      <w:color w:val="auto"/>
                    </w:rPr>
                  </w:pPr>
                  <w:r>
                    <w:rPr>
                      <w:rFonts w:hint="eastAsia" w:cs="Times New Roman"/>
                      <w:color w:val="auto"/>
                      <w:lang w:val="en-US" w:eastAsia="zh-CN"/>
                    </w:rPr>
                    <w:t>项目</w:t>
                  </w:r>
                  <w:r>
                    <w:rPr>
                      <w:rFonts w:hint="eastAsia" w:ascii="Times New Roman" w:hAnsi="Times New Roman" w:eastAsia="宋体" w:cs="Times New Roman"/>
                      <w:color w:val="auto"/>
                      <w:lang w:val="en-US" w:eastAsia="zh-CN"/>
                    </w:rPr>
                    <w:t>为</w:t>
                  </w:r>
                  <w:r>
                    <w:rPr>
                      <w:rFonts w:hint="default" w:ascii="Times New Roman" w:hAnsi="Times New Roman"/>
                      <w:b w:val="0"/>
                      <w:bCs w:val="0"/>
                      <w:color w:val="auto"/>
                      <w:u w:val="none"/>
                      <w:lang w:val="en-US" w:eastAsia="zh-CN"/>
                    </w:rPr>
                    <w:t xml:space="preserve">C4210 </w:t>
                  </w:r>
                  <w:r>
                    <w:rPr>
                      <w:rFonts w:hint="eastAsia" w:ascii="Times New Roman" w:hAnsi="Times New Roman"/>
                      <w:b w:val="0"/>
                      <w:bCs w:val="0"/>
                      <w:color w:val="auto"/>
                      <w:u w:val="none"/>
                      <w:lang w:val="en-US" w:eastAsia="zh-CN"/>
                    </w:rPr>
                    <w:t>金属废料和碎屑加工处理</w:t>
                  </w:r>
                  <w:r>
                    <w:rPr>
                      <w:rFonts w:hint="eastAsia"/>
                      <w:b w:val="0"/>
                      <w:bCs w:val="0"/>
                      <w:color w:val="auto"/>
                      <w:u w:val="none"/>
                      <w:lang w:val="en-US" w:eastAsia="zh-CN"/>
                    </w:rPr>
                    <w:t>、</w:t>
                  </w:r>
                  <w:r>
                    <w:rPr>
                      <w:rFonts w:hint="default" w:ascii="Times New Roman" w:hAnsi="Times New Roman"/>
                      <w:b w:val="0"/>
                      <w:bCs w:val="0"/>
                      <w:color w:val="auto"/>
                      <w:u w:val="none"/>
                      <w:lang w:val="en-US" w:eastAsia="zh-CN"/>
                    </w:rPr>
                    <w:t xml:space="preserve">C4220 </w:t>
                  </w:r>
                  <w:r>
                    <w:rPr>
                      <w:rFonts w:hint="eastAsia" w:ascii="Times New Roman" w:hAnsi="Times New Roman"/>
                      <w:b w:val="0"/>
                      <w:bCs w:val="0"/>
                      <w:color w:val="auto"/>
                      <w:u w:val="none"/>
                      <w:lang w:val="en-US" w:eastAsia="zh-CN"/>
                    </w:rPr>
                    <w:t>非金属废料和碎屑加工处理</w:t>
                  </w:r>
                  <w:r>
                    <w:rPr>
                      <w:rFonts w:hint="eastAsia" w:ascii="Times New Roman" w:hAnsi="Times New Roman" w:eastAsia="宋体" w:cs="Times New Roman"/>
                      <w:color w:val="auto"/>
                      <w:lang w:val="en-US" w:eastAsia="zh-CN"/>
                    </w:rPr>
                    <w:t>，</w:t>
                  </w:r>
                  <w:r>
                    <w:rPr>
                      <w:rFonts w:hint="eastAsia" w:cs="Times New Roman"/>
                      <w:color w:val="auto"/>
                      <w:lang w:val="en-US" w:eastAsia="zh-CN"/>
                    </w:rPr>
                    <w:t>属于</w:t>
                  </w:r>
                  <w:r>
                    <w:rPr>
                      <w:rFonts w:hint="eastAsia"/>
                      <w:color w:val="auto"/>
                      <w:sz w:val="21"/>
                      <w:szCs w:val="21"/>
                    </w:rPr>
                    <w:t>《产业结构调整指导目录（</w:t>
                  </w:r>
                  <w:r>
                    <w:rPr>
                      <w:rFonts w:hint="eastAsia"/>
                      <w:color w:val="auto"/>
                      <w:sz w:val="21"/>
                      <w:szCs w:val="21"/>
                      <w:lang w:val="en-US" w:eastAsia="zh-CN"/>
                    </w:rPr>
                    <w:t>2024</w:t>
                  </w:r>
                  <w:r>
                    <w:rPr>
                      <w:rFonts w:hint="eastAsia"/>
                      <w:color w:val="auto"/>
                      <w:sz w:val="21"/>
                      <w:szCs w:val="21"/>
                    </w:rPr>
                    <w:t>年本）》</w:t>
                  </w:r>
                  <w:r>
                    <w:rPr>
                      <w:rFonts w:hint="eastAsia"/>
                      <w:color w:val="auto"/>
                      <w:highlight w:val="none"/>
                      <w:lang w:eastAsia="zh-CN"/>
                    </w:rPr>
                    <w:t>，</w:t>
                  </w:r>
                  <w:r>
                    <w:rPr>
                      <w:rFonts w:hint="default"/>
                      <w:color w:val="auto"/>
                      <w:highlight w:val="none"/>
                    </w:rPr>
                    <w:t>不属于</w:t>
                  </w:r>
                  <w:r>
                    <w:rPr>
                      <w:rFonts w:hint="eastAsia"/>
                      <w:color w:val="auto"/>
                      <w:highlight w:val="none"/>
                      <w:lang w:eastAsia="zh-CN"/>
                    </w:rPr>
                    <w:t>“两高”项目</w:t>
                  </w:r>
                </w:p>
              </w:tc>
              <w:tc>
                <w:tcPr>
                  <w:tcW w:w="487" w:type="pct"/>
                  <w:noWrap w:val="0"/>
                  <w:vAlign w:val="center"/>
                </w:tcPr>
                <w:p w14:paraId="31EBBD44">
                  <w:pPr>
                    <w:pStyle w:val="27"/>
                    <w:keepNext w:val="0"/>
                    <w:keepLines w:val="0"/>
                    <w:suppressLineNumbers w:val="0"/>
                    <w:bidi w:val="0"/>
                    <w:spacing w:before="0" w:beforeAutospacing="0" w:after="0" w:afterAutospacing="0"/>
                    <w:ind w:left="0" w:right="0"/>
                    <w:rPr>
                      <w:rFonts w:hint="default"/>
                      <w:color w:val="auto"/>
                    </w:rPr>
                  </w:pPr>
                  <w:r>
                    <w:rPr>
                      <w:rFonts w:hint="default"/>
                      <w:color w:val="auto"/>
                    </w:rPr>
                    <w:t>符合</w:t>
                  </w:r>
                </w:p>
              </w:tc>
            </w:tr>
            <w:tr w14:paraId="00E64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4" w:type="pct"/>
                  <w:vMerge w:val="continue"/>
                  <w:noWrap w:val="0"/>
                  <w:vAlign w:val="center"/>
                </w:tcPr>
                <w:p w14:paraId="4EC1FB3F">
                  <w:pPr>
                    <w:pStyle w:val="27"/>
                    <w:keepNext w:val="0"/>
                    <w:keepLines w:val="0"/>
                    <w:suppressLineNumbers w:val="0"/>
                    <w:bidi w:val="0"/>
                    <w:spacing w:before="0" w:beforeAutospacing="0" w:after="0" w:afterAutospacing="0"/>
                    <w:ind w:left="0" w:right="0"/>
                    <w:rPr>
                      <w:rFonts w:hint="default"/>
                      <w:color w:val="auto"/>
                    </w:rPr>
                  </w:pPr>
                </w:p>
              </w:tc>
              <w:tc>
                <w:tcPr>
                  <w:tcW w:w="442" w:type="pct"/>
                  <w:vMerge w:val="continue"/>
                  <w:noWrap w:val="0"/>
                  <w:vAlign w:val="center"/>
                </w:tcPr>
                <w:p w14:paraId="08311C4E">
                  <w:pPr>
                    <w:pStyle w:val="27"/>
                    <w:keepNext w:val="0"/>
                    <w:keepLines w:val="0"/>
                    <w:suppressLineNumbers w:val="0"/>
                    <w:bidi w:val="0"/>
                    <w:spacing w:before="0" w:beforeAutospacing="0" w:after="0" w:afterAutospacing="0"/>
                    <w:ind w:left="0" w:right="0"/>
                    <w:rPr>
                      <w:rFonts w:hint="default"/>
                      <w:color w:val="auto"/>
                    </w:rPr>
                  </w:pPr>
                </w:p>
              </w:tc>
              <w:tc>
                <w:tcPr>
                  <w:tcW w:w="2309" w:type="pct"/>
                  <w:noWrap w:val="0"/>
                  <w:vAlign w:val="center"/>
                </w:tcPr>
                <w:p w14:paraId="5F469105">
                  <w:pPr>
                    <w:pStyle w:val="27"/>
                    <w:keepNext w:val="0"/>
                    <w:keepLines w:val="0"/>
                    <w:suppressLineNumbers w:val="0"/>
                    <w:bidi w:val="0"/>
                    <w:spacing w:before="0" w:beforeAutospacing="0" w:after="0" w:afterAutospacing="0"/>
                    <w:ind w:left="0" w:right="0"/>
                    <w:rPr>
                      <w:rFonts w:hint="eastAsia"/>
                      <w:color w:val="auto"/>
                    </w:rPr>
                  </w:pPr>
                  <w:r>
                    <w:rPr>
                      <w:rFonts w:hint="eastAsia"/>
                      <w:color w:val="auto"/>
                    </w:rPr>
                    <w:t>10禁止建设生产和使用高挥发性有机物含量涂料、油墨、胶粘剂、清洗剂等项目。</w:t>
                  </w:r>
                </w:p>
              </w:tc>
              <w:tc>
                <w:tcPr>
                  <w:tcW w:w="1175" w:type="pct"/>
                  <w:noWrap w:val="0"/>
                  <w:vAlign w:val="center"/>
                </w:tcPr>
                <w:p w14:paraId="6AFA9457">
                  <w:pPr>
                    <w:pStyle w:val="27"/>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本项目不涉及</w:t>
                  </w:r>
                </w:p>
              </w:tc>
              <w:tc>
                <w:tcPr>
                  <w:tcW w:w="487" w:type="pct"/>
                  <w:noWrap w:val="0"/>
                  <w:vAlign w:val="center"/>
                </w:tcPr>
                <w:p w14:paraId="113140B0">
                  <w:pPr>
                    <w:pStyle w:val="27"/>
                    <w:keepNext w:val="0"/>
                    <w:keepLines w:val="0"/>
                    <w:suppressLineNumbers w:val="0"/>
                    <w:bidi w:val="0"/>
                    <w:spacing w:before="0" w:beforeAutospacing="0" w:after="0" w:afterAutospacing="0"/>
                    <w:ind w:left="0" w:right="0"/>
                    <w:rPr>
                      <w:rFonts w:hint="eastAsia" w:eastAsia="宋体"/>
                      <w:color w:val="auto"/>
                      <w:lang w:val="en-US" w:eastAsia="zh-CN"/>
                    </w:rPr>
                  </w:pPr>
                  <w:r>
                    <w:rPr>
                      <w:rFonts w:hint="eastAsia"/>
                      <w:color w:val="auto"/>
                      <w:lang w:val="en-US" w:eastAsia="zh-CN"/>
                    </w:rPr>
                    <w:t>符合</w:t>
                  </w:r>
                </w:p>
              </w:tc>
            </w:tr>
            <w:tr w14:paraId="44975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4" w:type="pct"/>
                  <w:vMerge w:val="continue"/>
                  <w:noWrap w:val="0"/>
                  <w:vAlign w:val="center"/>
                </w:tcPr>
                <w:p w14:paraId="4AA49959">
                  <w:pPr>
                    <w:pStyle w:val="27"/>
                    <w:keepNext w:val="0"/>
                    <w:keepLines w:val="0"/>
                    <w:suppressLineNumbers w:val="0"/>
                    <w:bidi w:val="0"/>
                    <w:spacing w:before="0" w:beforeAutospacing="0" w:after="0" w:afterAutospacing="0"/>
                    <w:ind w:left="0" w:right="0"/>
                    <w:rPr>
                      <w:rFonts w:hint="default"/>
                      <w:color w:val="auto"/>
                    </w:rPr>
                  </w:pPr>
                </w:p>
              </w:tc>
              <w:tc>
                <w:tcPr>
                  <w:tcW w:w="442" w:type="pct"/>
                  <w:vMerge w:val="continue"/>
                  <w:noWrap w:val="0"/>
                  <w:vAlign w:val="center"/>
                </w:tcPr>
                <w:p w14:paraId="13103964">
                  <w:pPr>
                    <w:pStyle w:val="27"/>
                    <w:keepNext w:val="0"/>
                    <w:keepLines w:val="0"/>
                    <w:suppressLineNumbers w:val="0"/>
                    <w:bidi w:val="0"/>
                    <w:spacing w:before="0" w:beforeAutospacing="0" w:after="0" w:afterAutospacing="0"/>
                    <w:ind w:left="0" w:right="0"/>
                    <w:rPr>
                      <w:rFonts w:hint="default"/>
                      <w:color w:val="auto"/>
                    </w:rPr>
                  </w:pPr>
                </w:p>
              </w:tc>
              <w:tc>
                <w:tcPr>
                  <w:tcW w:w="2309" w:type="pct"/>
                  <w:noWrap w:val="0"/>
                  <w:vAlign w:val="center"/>
                </w:tcPr>
                <w:p w14:paraId="3A3A222E">
                  <w:pPr>
                    <w:pStyle w:val="27"/>
                    <w:keepNext w:val="0"/>
                    <w:keepLines w:val="0"/>
                    <w:suppressLineNumbers w:val="0"/>
                    <w:bidi w:val="0"/>
                    <w:spacing w:before="0" w:beforeAutospacing="0" w:after="0" w:afterAutospacing="0"/>
                    <w:ind w:left="0" w:right="0"/>
                    <w:rPr>
                      <w:rFonts w:hint="eastAsia"/>
                      <w:color w:val="auto"/>
                    </w:rPr>
                  </w:pPr>
                  <w:r>
                    <w:rPr>
                      <w:rFonts w:hint="eastAsia"/>
                      <w:color w:val="auto"/>
                    </w:rPr>
                    <w:t>13在城市规划区内禁止新建、扩建大气污染严重的建设项目。</w:t>
                  </w:r>
                </w:p>
              </w:tc>
              <w:tc>
                <w:tcPr>
                  <w:tcW w:w="1175" w:type="pct"/>
                  <w:noWrap w:val="0"/>
                  <w:vAlign w:val="center"/>
                </w:tcPr>
                <w:p w14:paraId="0B733E74">
                  <w:pPr>
                    <w:pStyle w:val="27"/>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本项目</w:t>
                  </w:r>
                  <w:r>
                    <w:rPr>
                      <w:rFonts w:hint="eastAsia" w:ascii="Calibri" w:hAnsi="Calibri" w:cs="Times New Roman"/>
                      <w:b w:val="0"/>
                      <w:bCs w:val="0"/>
                      <w:color w:val="auto"/>
                      <w:kern w:val="2"/>
                      <w:sz w:val="21"/>
                      <w:szCs w:val="20"/>
                      <w:lang w:val="en-US" w:eastAsia="zh-CN" w:bidi="ar-SA"/>
                    </w:rPr>
                    <w:t>生产废气主要为角磨切割剪切打包粉尘、</w:t>
                  </w:r>
                  <w:r>
                    <w:rPr>
                      <w:rFonts w:hint="eastAsia" w:cs="Times New Roman"/>
                      <w:b w:val="0"/>
                      <w:bCs w:val="0"/>
                      <w:color w:val="auto"/>
                      <w:kern w:val="2"/>
                      <w:sz w:val="21"/>
                      <w:szCs w:val="20"/>
                      <w:lang w:val="en-US" w:eastAsia="zh-CN" w:bidi="ar-SA"/>
                    </w:rPr>
                    <w:t>破碎废水絮凝沉淀池产生的少量无组织恶臭气体，不属于大气污染严重的建设项目</w:t>
                  </w:r>
                </w:p>
              </w:tc>
              <w:tc>
                <w:tcPr>
                  <w:tcW w:w="487" w:type="pct"/>
                  <w:noWrap w:val="0"/>
                  <w:vAlign w:val="center"/>
                </w:tcPr>
                <w:p w14:paraId="672F04C5">
                  <w:pPr>
                    <w:pStyle w:val="27"/>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符合</w:t>
                  </w:r>
                </w:p>
              </w:tc>
            </w:tr>
            <w:tr w14:paraId="2EE63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4" w:type="pct"/>
                  <w:vMerge w:val="continue"/>
                  <w:noWrap w:val="0"/>
                  <w:vAlign w:val="center"/>
                </w:tcPr>
                <w:p w14:paraId="08E393C3">
                  <w:pPr>
                    <w:pStyle w:val="27"/>
                    <w:keepNext w:val="0"/>
                    <w:keepLines w:val="0"/>
                    <w:suppressLineNumbers w:val="0"/>
                    <w:bidi w:val="0"/>
                    <w:spacing w:before="0" w:beforeAutospacing="0" w:after="0" w:afterAutospacing="0"/>
                    <w:ind w:left="0" w:right="0"/>
                    <w:rPr>
                      <w:rFonts w:hint="default"/>
                      <w:color w:val="auto"/>
                    </w:rPr>
                  </w:pPr>
                </w:p>
              </w:tc>
              <w:tc>
                <w:tcPr>
                  <w:tcW w:w="442" w:type="pct"/>
                  <w:vMerge w:val="continue"/>
                  <w:noWrap w:val="0"/>
                  <w:vAlign w:val="center"/>
                </w:tcPr>
                <w:p w14:paraId="7C6CAB00">
                  <w:pPr>
                    <w:pStyle w:val="27"/>
                    <w:keepNext w:val="0"/>
                    <w:keepLines w:val="0"/>
                    <w:suppressLineNumbers w:val="0"/>
                    <w:bidi w:val="0"/>
                    <w:spacing w:before="0" w:beforeAutospacing="0" w:after="0" w:afterAutospacing="0"/>
                    <w:ind w:left="0" w:right="0"/>
                    <w:rPr>
                      <w:rFonts w:hint="default"/>
                      <w:color w:val="auto"/>
                    </w:rPr>
                  </w:pPr>
                </w:p>
              </w:tc>
              <w:tc>
                <w:tcPr>
                  <w:tcW w:w="2309" w:type="pct"/>
                  <w:noWrap w:val="0"/>
                  <w:vAlign w:val="center"/>
                </w:tcPr>
                <w:p w14:paraId="0943A15A">
                  <w:pPr>
                    <w:pStyle w:val="27"/>
                    <w:keepNext w:val="0"/>
                    <w:keepLines w:val="0"/>
                    <w:suppressLineNumbers w:val="0"/>
                    <w:bidi w:val="0"/>
                    <w:spacing w:before="0" w:beforeAutospacing="0" w:after="0" w:afterAutospacing="0"/>
                    <w:ind w:left="0" w:right="0"/>
                    <w:rPr>
                      <w:rFonts w:hint="eastAsia"/>
                      <w:color w:val="auto"/>
                    </w:rPr>
                  </w:pPr>
                  <w:r>
                    <w:rPr>
                      <w:rFonts w:hint="eastAsia"/>
                      <w:color w:val="auto"/>
                    </w:rPr>
                    <w:t>21</w:t>
                  </w:r>
                  <w:r>
                    <w:rPr>
                      <w:rFonts w:hint="eastAsia"/>
                      <w:color w:val="auto"/>
                      <w:lang w:val="en-US" w:eastAsia="zh-CN"/>
                    </w:rPr>
                    <w:t>禁止</w:t>
                  </w:r>
                  <w:r>
                    <w:rPr>
                      <w:rFonts w:hint="eastAsia"/>
                      <w:color w:val="auto"/>
                    </w:rPr>
                    <w:t>淘汰落后类的产业进入开发区。</w:t>
                  </w:r>
                </w:p>
              </w:tc>
              <w:tc>
                <w:tcPr>
                  <w:tcW w:w="1175" w:type="pct"/>
                  <w:noWrap w:val="0"/>
                  <w:vAlign w:val="center"/>
                </w:tcPr>
                <w:p w14:paraId="34D41BD8">
                  <w:pPr>
                    <w:pStyle w:val="27"/>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本项目</w:t>
                  </w:r>
                  <w:r>
                    <w:rPr>
                      <w:rFonts w:hint="eastAsia" w:ascii="Times New Roman" w:hAnsi="Times New Roman" w:eastAsia="宋体" w:cs="Times New Roman"/>
                      <w:color w:val="auto"/>
                      <w:lang w:val="en-US" w:eastAsia="zh-CN"/>
                    </w:rPr>
                    <w:t>为</w:t>
                  </w:r>
                  <w:r>
                    <w:rPr>
                      <w:rFonts w:hint="default" w:ascii="Times New Roman" w:hAnsi="Times New Roman"/>
                      <w:b w:val="0"/>
                      <w:bCs w:val="0"/>
                      <w:color w:val="auto"/>
                      <w:u w:val="none"/>
                      <w:lang w:val="en-US" w:eastAsia="zh-CN"/>
                    </w:rPr>
                    <w:t xml:space="preserve">C4210 </w:t>
                  </w:r>
                  <w:r>
                    <w:rPr>
                      <w:rFonts w:hint="eastAsia" w:ascii="Times New Roman" w:hAnsi="Times New Roman"/>
                      <w:b w:val="0"/>
                      <w:bCs w:val="0"/>
                      <w:color w:val="auto"/>
                      <w:u w:val="none"/>
                      <w:lang w:val="en-US" w:eastAsia="zh-CN"/>
                    </w:rPr>
                    <w:t>金属废料和碎屑加工处理</w:t>
                  </w:r>
                  <w:r>
                    <w:rPr>
                      <w:rFonts w:hint="eastAsia"/>
                      <w:b w:val="0"/>
                      <w:bCs w:val="0"/>
                      <w:color w:val="auto"/>
                      <w:u w:val="none"/>
                      <w:lang w:val="en-US" w:eastAsia="zh-CN"/>
                    </w:rPr>
                    <w:t>、</w:t>
                  </w:r>
                  <w:r>
                    <w:rPr>
                      <w:rFonts w:hint="default" w:ascii="Times New Roman" w:hAnsi="Times New Roman"/>
                      <w:b w:val="0"/>
                      <w:bCs w:val="0"/>
                      <w:color w:val="auto"/>
                      <w:u w:val="none"/>
                      <w:lang w:val="en-US" w:eastAsia="zh-CN"/>
                    </w:rPr>
                    <w:t xml:space="preserve">C4220 </w:t>
                  </w:r>
                  <w:r>
                    <w:rPr>
                      <w:rFonts w:hint="eastAsia" w:ascii="Times New Roman" w:hAnsi="Times New Roman"/>
                      <w:b w:val="0"/>
                      <w:bCs w:val="0"/>
                      <w:color w:val="auto"/>
                      <w:u w:val="none"/>
                      <w:lang w:val="en-US" w:eastAsia="zh-CN"/>
                    </w:rPr>
                    <w:t>非金属废料和碎屑加工处理</w:t>
                  </w:r>
                  <w:r>
                    <w:rPr>
                      <w:rFonts w:hint="eastAsia"/>
                      <w:color w:val="auto"/>
                      <w:lang w:val="en-US" w:eastAsia="zh-CN"/>
                    </w:rPr>
                    <w:t>，为园区优先引入类，不属于淘汰类</w:t>
                  </w:r>
                </w:p>
              </w:tc>
              <w:tc>
                <w:tcPr>
                  <w:tcW w:w="487" w:type="pct"/>
                  <w:noWrap w:val="0"/>
                  <w:vAlign w:val="center"/>
                </w:tcPr>
                <w:p w14:paraId="4CA347FC">
                  <w:pPr>
                    <w:pStyle w:val="27"/>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符合</w:t>
                  </w:r>
                </w:p>
              </w:tc>
            </w:tr>
            <w:tr w14:paraId="4A5FD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4" w:type="pct"/>
                  <w:vMerge w:val="continue"/>
                  <w:noWrap w:val="0"/>
                  <w:vAlign w:val="center"/>
                </w:tcPr>
                <w:p w14:paraId="0B806E7D">
                  <w:pPr>
                    <w:pStyle w:val="27"/>
                    <w:keepNext w:val="0"/>
                    <w:keepLines w:val="0"/>
                    <w:suppressLineNumbers w:val="0"/>
                    <w:bidi w:val="0"/>
                    <w:spacing w:before="0" w:beforeAutospacing="0" w:after="0" w:afterAutospacing="0"/>
                    <w:ind w:left="0" w:right="0"/>
                    <w:rPr>
                      <w:rFonts w:hint="default"/>
                      <w:color w:val="auto"/>
                    </w:rPr>
                  </w:pPr>
                </w:p>
              </w:tc>
              <w:tc>
                <w:tcPr>
                  <w:tcW w:w="442" w:type="pct"/>
                  <w:vMerge w:val="continue"/>
                  <w:noWrap w:val="0"/>
                  <w:vAlign w:val="center"/>
                </w:tcPr>
                <w:p w14:paraId="35181730">
                  <w:pPr>
                    <w:pStyle w:val="27"/>
                    <w:keepNext w:val="0"/>
                    <w:keepLines w:val="0"/>
                    <w:suppressLineNumbers w:val="0"/>
                    <w:bidi w:val="0"/>
                    <w:spacing w:before="0" w:beforeAutospacing="0" w:after="0" w:afterAutospacing="0"/>
                    <w:ind w:left="0" w:right="0"/>
                    <w:rPr>
                      <w:rFonts w:hint="default"/>
                      <w:color w:val="auto"/>
                    </w:rPr>
                  </w:pPr>
                </w:p>
              </w:tc>
              <w:tc>
                <w:tcPr>
                  <w:tcW w:w="2309" w:type="pct"/>
                  <w:noWrap w:val="0"/>
                  <w:vAlign w:val="center"/>
                </w:tcPr>
                <w:p w14:paraId="64B9350F">
                  <w:pPr>
                    <w:pStyle w:val="27"/>
                    <w:keepNext w:val="0"/>
                    <w:keepLines w:val="0"/>
                    <w:suppressLineNumbers w:val="0"/>
                    <w:bidi w:val="0"/>
                    <w:spacing w:before="0" w:beforeAutospacing="0" w:after="0" w:afterAutospacing="0"/>
                    <w:ind w:left="0" w:right="0"/>
                    <w:rPr>
                      <w:rFonts w:hint="eastAsia"/>
                      <w:color w:val="auto"/>
                    </w:rPr>
                  </w:pPr>
                  <w:r>
                    <w:rPr>
                      <w:rFonts w:hint="eastAsia"/>
                      <w:color w:val="auto"/>
                    </w:rPr>
                    <w:t>15禁止建设生产和使用</w:t>
                  </w:r>
                  <w:commentRangeStart w:id="4"/>
                  <w:commentRangeStart w:id="5"/>
                  <w:r>
                    <w:rPr>
                      <w:rFonts w:hint="eastAsia"/>
                      <w:color w:val="0000FF"/>
                    </w:rPr>
                    <w:t>V</w:t>
                  </w:r>
                  <w:r>
                    <w:rPr>
                      <w:rFonts w:hint="eastAsia"/>
                      <w:color w:val="0000FF"/>
                      <w:lang w:val="en-US" w:eastAsia="zh-CN"/>
                    </w:rPr>
                    <w:t>O</w:t>
                  </w:r>
                  <w:r>
                    <w:rPr>
                      <w:rFonts w:hint="eastAsia"/>
                      <w:color w:val="0000FF"/>
                    </w:rPr>
                    <w:t>C</w:t>
                  </w:r>
                  <w:commentRangeEnd w:id="4"/>
                  <w:r>
                    <w:rPr>
                      <w:rFonts w:hint="default"/>
                      <w:color w:val="0000FF"/>
                    </w:rPr>
                    <w:commentReference w:id="4"/>
                  </w:r>
                  <w:commentRangeEnd w:id="5"/>
                  <w:r>
                    <w:rPr>
                      <w:rFonts w:hint="default"/>
                    </w:rPr>
                    <w:commentReference w:id="5"/>
                  </w:r>
                  <w:r>
                    <w:rPr>
                      <w:rFonts w:hint="eastAsia"/>
                      <w:color w:val="0000FF"/>
                    </w:rPr>
                    <w:t>s</w:t>
                  </w:r>
                  <w:r>
                    <w:rPr>
                      <w:rFonts w:hint="eastAsia"/>
                      <w:color w:val="auto"/>
                    </w:rPr>
                    <w:t>含量限值不符合国家标准的涂料、油墨、胶</w:t>
                  </w:r>
                </w:p>
                <w:p w14:paraId="718AA513">
                  <w:pPr>
                    <w:pStyle w:val="27"/>
                    <w:keepNext w:val="0"/>
                    <w:keepLines w:val="0"/>
                    <w:suppressLineNumbers w:val="0"/>
                    <w:bidi w:val="0"/>
                    <w:spacing w:before="0" w:beforeAutospacing="0" w:after="0" w:afterAutospacing="0"/>
                    <w:ind w:left="0" w:right="0"/>
                    <w:rPr>
                      <w:rFonts w:hint="eastAsia"/>
                      <w:color w:val="auto"/>
                    </w:rPr>
                  </w:pPr>
                  <w:r>
                    <w:rPr>
                      <w:rFonts w:hint="eastAsia"/>
                      <w:color w:val="auto"/>
                    </w:rPr>
                    <w:t>黏剂、清洗剂等项目</w:t>
                  </w:r>
                </w:p>
              </w:tc>
              <w:tc>
                <w:tcPr>
                  <w:tcW w:w="1175" w:type="pct"/>
                  <w:shd w:val="clear" w:color="auto" w:fill="auto"/>
                  <w:noWrap w:val="0"/>
                  <w:vAlign w:val="center"/>
                </w:tcPr>
                <w:p w14:paraId="301BEC0C">
                  <w:pPr>
                    <w:pStyle w:val="27"/>
                    <w:keepNext w:val="0"/>
                    <w:keepLines w:val="0"/>
                    <w:suppressLineNumbers w:val="0"/>
                    <w:bidi w:val="0"/>
                    <w:spacing w:before="0" w:beforeAutospacing="0" w:after="0" w:afterAutospacing="0"/>
                    <w:ind w:left="0" w:leftChars="0" w:right="0" w:rightChars="0" w:firstLine="0" w:firstLineChars="0"/>
                    <w:rPr>
                      <w:rFonts w:hint="eastAsia" w:ascii="Calibri" w:hAnsi="Calibri" w:eastAsia="宋体" w:cs="Times New Roman"/>
                      <w:color w:val="auto"/>
                      <w:kern w:val="2"/>
                      <w:sz w:val="21"/>
                      <w:szCs w:val="20"/>
                      <w:lang w:val="en-US" w:eastAsia="zh-CN" w:bidi="ar-SA"/>
                    </w:rPr>
                  </w:pPr>
                  <w:r>
                    <w:rPr>
                      <w:rFonts w:hint="eastAsia"/>
                      <w:color w:val="auto"/>
                      <w:lang w:val="en-US" w:eastAsia="zh-CN"/>
                    </w:rPr>
                    <w:t>本项目不涉及</w:t>
                  </w:r>
                </w:p>
              </w:tc>
              <w:tc>
                <w:tcPr>
                  <w:tcW w:w="487" w:type="pct"/>
                  <w:shd w:val="clear" w:color="auto" w:fill="auto"/>
                  <w:noWrap w:val="0"/>
                  <w:vAlign w:val="center"/>
                </w:tcPr>
                <w:p w14:paraId="2EB7552F">
                  <w:pPr>
                    <w:pStyle w:val="27"/>
                    <w:keepNext w:val="0"/>
                    <w:keepLines w:val="0"/>
                    <w:suppressLineNumbers w:val="0"/>
                    <w:bidi w:val="0"/>
                    <w:spacing w:before="0" w:beforeAutospacing="0" w:after="0" w:afterAutospacing="0"/>
                    <w:ind w:left="0" w:leftChars="0" w:right="0" w:rightChars="0" w:firstLine="0" w:firstLineChars="0"/>
                    <w:rPr>
                      <w:rFonts w:hint="eastAsia" w:ascii="Calibri" w:hAnsi="Calibri" w:eastAsia="宋体" w:cs="Times New Roman"/>
                      <w:color w:val="auto"/>
                      <w:kern w:val="2"/>
                      <w:sz w:val="21"/>
                      <w:szCs w:val="20"/>
                      <w:lang w:val="en-US" w:eastAsia="zh-CN" w:bidi="ar-SA"/>
                    </w:rPr>
                  </w:pPr>
                  <w:r>
                    <w:rPr>
                      <w:rFonts w:hint="eastAsia"/>
                      <w:color w:val="auto"/>
                      <w:lang w:val="en-US" w:eastAsia="zh-CN"/>
                    </w:rPr>
                    <w:t>符合</w:t>
                  </w:r>
                </w:p>
              </w:tc>
            </w:tr>
            <w:tr w14:paraId="06577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4" w:type="pct"/>
                  <w:vMerge w:val="continue"/>
                  <w:noWrap w:val="0"/>
                  <w:vAlign w:val="center"/>
                </w:tcPr>
                <w:p w14:paraId="1EB1081F">
                  <w:pPr>
                    <w:pStyle w:val="27"/>
                    <w:keepNext w:val="0"/>
                    <w:keepLines w:val="0"/>
                    <w:suppressLineNumbers w:val="0"/>
                    <w:bidi w:val="0"/>
                    <w:spacing w:before="0" w:beforeAutospacing="0" w:after="0" w:afterAutospacing="0"/>
                    <w:ind w:left="0" w:right="0"/>
                    <w:rPr>
                      <w:rFonts w:hint="default"/>
                      <w:color w:val="auto"/>
                    </w:rPr>
                  </w:pPr>
                </w:p>
              </w:tc>
              <w:tc>
                <w:tcPr>
                  <w:tcW w:w="442" w:type="pct"/>
                  <w:vMerge w:val="continue"/>
                  <w:noWrap w:val="0"/>
                  <w:vAlign w:val="center"/>
                </w:tcPr>
                <w:p w14:paraId="6AF6EF66">
                  <w:pPr>
                    <w:pStyle w:val="27"/>
                    <w:keepNext w:val="0"/>
                    <w:keepLines w:val="0"/>
                    <w:suppressLineNumbers w:val="0"/>
                    <w:bidi w:val="0"/>
                    <w:spacing w:before="0" w:beforeAutospacing="0" w:after="0" w:afterAutospacing="0"/>
                    <w:ind w:left="0" w:right="0"/>
                    <w:rPr>
                      <w:rFonts w:hint="default"/>
                      <w:color w:val="auto"/>
                    </w:rPr>
                  </w:pPr>
                </w:p>
              </w:tc>
              <w:tc>
                <w:tcPr>
                  <w:tcW w:w="2309" w:type="pct"/>
                  <w:noWrap w:val="0"/>
                  <w:vAlign w:val="center"/>
                </w:tcPr>
                <w:p w14:paraId="7FB4D7FB">
                  <w:pPr>
                    <w:pStyle w:val="27"/>
                    <w:keepNext w:val="0"/>
                    <w:keepLines w:val="0"/>
                    <w:suppressLineNumbers w:val="0"/>
                    <w:bidi w:val="0"/>
                    <w:spacing w:before="0" w:beforeAutospacing="0" w:after="0" w:afterAutospacing="0"/>
                    <w:ind w:left="0" w:right="0"/>
                    <w:rPr>
                      <w:rFonts w:hint="default"/>
                      <w:color w:val="auto"/>
                    </w:rPr>
                  </w:pPr>
                  <w:r>
                    <w:rPr>
                      <w:rFonts w:hint="eastAsia"/>
                      <w:color w:val="auto"/>
                      <w:lang w:val="en-US" w:eastAsia="zh-CN"/>
                    </w:rPr>
                    <w:t>28重点区域钢铁、水泥、焦化、石化、化工、有色等行业，二氧化硫、氮氧化物、颗粒物、挥发性有机物（VOCs）排放全面执行大气污染物特别排放限值。</w:t>
                  </w:r>
                </w:p>
              </w:tc>
              <w:tc>
                <w:tcPr>
                  <w:tcW w:w="1175" w:type="pct"/>
                  <w:noWrap w:val="0"/>
                  <w:vAlign w:val="center"/>
                </w:tcPr>
                <w:p w14:paraId="07406141">
                  <w:pPr>
                    <w:pStyle w:val="27"/>
                    <w:keepNext w:val="0"/>
                    <w:keepLines w:val="0"/>
                    <w:suppressLineNumbers w:val="0"/>
                    <w:bidi w:val="0"/>
                    <w:spacing w:before="0" w:beforeAutospacing="0" w:after="0" w:afterAutospacing="0"/>
                    <w:ind w:left="0" w:right="0"/>
                    <w:rPr>
                      <w:rFonts w:hint="default"/>
                      <w:color w:val="auto"/>
                      <w:lang w:val="en-US"/>
                    </w:rPr>
                  </w:pPr>
                  <w:r>
                    <w:rPr>
                      <w:rFonts w:hint="eastAsia"/>
                      <w:color w:val="auto"/>
                      <w:lang w:val="en-US" w:eastAsia="zh-CN"/>
                    </w:rPr>
                    <w:t>本项目</w:t>
                  </w:r>
                  <w:r>
                    <w:rPr>
                      <w:rFonts w:hint="eastAsia" w:ascii="Times New Roman" w:hAnsi="Times New Roman" w:eastAsia="宋体" w:cs="Times New Roman"/>
                      <w:color w:val="auto"/>
                      <w:lang w:val="en-US" w:eastAsia="zh-CN"/>
                    </w:rPr>
                    <w:t>为</w:t>
                  </w:r>
                  <w:r>
                    <w:rPr>
                      <w:rFonts w:hint="default" w:ascii="Times New Roman" w:hAnsi="Times New Roman"/>
                      <w:b w:val="0"/>
                      <w:bCs w:val="0"/>
                      <w:color w:val="auto"/>
                      <w:u w:val="none"/>
                      <w:lang w:val="en-US" w:eastAsia="zh-CN"/>
                    </w:rPr>
                    <w:t xml:space="preserve">C4210 </w:t>
                  </w:r>
                  <w:r>
                    <w:rPr>
                      <w:rFonts w:hint="eastAsia" w:ascii="Times New Roman" w:hAnsi="Times New Roman"/>
                      <w:b w:val="0"/>
                      <w:bCs w:val="0"/>
                      <w:color w:val="auto"/>
                      <w:u w:val="none"/>
                      <w:lang w:val="en-US" w:eastAsia="zh-CN"/>
                    </w:rPr>
                    <w:t>金属废料和碎屑加工处理</w:t>
                  </w:r>
                  <w:r>
                    <w:rPr>
                      <w:rFonts w:hint="eastAsia"/>
                      <w:b w:val="0"/>
                      <w:bCs w:val="0"/>
                      <w:color w:val="auto"/>
                      <w:u w:val="none"/>
                      <w:lang w:val="en-US" w:eastAsia="zh-CN"/>
                    </w:rPr>
                    <w:t>、</w:t>
                  </w:r>
                  <w:r>
                    <w:rPr>
                      <w:rFonts w:hint="default" w:ascii="Times New Roman" w:hAnsi="Times New Roman"/>
                      <w:b w:val="0"/>
                      <w:bCs w:val="0"/>
                      <w:color w:val="auto"/>
                      <w:u w:val="none"/>
                      <w:lang w:val="en-US" w:eastAsia="zh-CN"/>
                    </w:rPr>
                    <w:t xml:space="preserve">C4220 </w:t>
                  </w:r>
                  <w:r>
                    <w:rPr>
                      <w:rFonts w:hint="eastAsia" w:ascii="Times New Roman" w:hAnsi="Times New Roman"/>
                      <w:b w:val="0"/>
                      <w:bCs w:val="0"/>
                      <w:color w:val="auto"/>
                      <w:u w:val="none"/>
                      <w:lang w:val="en-US" w:eastAsia="zh-CN"/>
                    </w:rPr>
                    <w:t>非金属废料和碎屑加工处理</w:t>
                  </w:r>
                  <w:r>
                    <w:rPr>
                      <w:rFonts w:hint="eastAsia"/>
                      <w:color w:val="auto"/>
                      <w:lang w:val="en-US" w:eastAsia="zh-CN"/>
                    </w:rPr>
                    <w:t>，不属于钢铁、水泥、焦化、石化、化工、有色等行业</w:t>
                  </w:r>
                </w:p>
              </w:tc>
              <w:tc>
                <w:tcPr>
                  <w:tcW w:w="487" w:type="pct"/>
                  <w:noWrap w:val="0"/>
                  <w:vAlign w:val="center"/>
                </w:tcPr>
                <w:p w14:paraId="3A4342E3">
                  <w:pPr>
                    <w:pStyle w:val="27"/>
                    <w:keepNext w:val="0"/>
                    <w:keepLines w:val="0"/>
                    <w:suppressLineNumbers w:val="0"/>
                    <w:bidi w:val="0"/>
                    <w:spacing w:before="0" w:beforeAutospacing="0" w:after="0" w:afterAutospacing="0"/>
                    <w:ind w:left="0" w:right="0"/>
                    <w:rPr>
                      <w:rFonts w:hint="default"/>
                      <w:color w:val="auto"/>
                    </w:rPr>
                  </w:pPr>
                  <w:r>
                    <w:rPr>
                      <w:rFonts w:hint="default"/>
                      <w:color w:val="auto"/>
                    </w:rPr>
                    <w:t>符合</w:t>
                  </w:r>
                </w:p>
              </w:tc>
            </w:tr>
            <w:tr w14:paraId="366E2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4" w:type="pct"/>
                  <w:vMerge w:val="continue"/>
                  <w:noWrap w:val="0"/>
                  <w:vAlign w:val="center"/>
                </w:tcPr>
                <w:p w14:paraId="11FDE181">
                  <w:pPr>
                    <w:pStyle w:val="27"/>
                    <w:keepNext w:val="0"/>
                    <w:keepLines w:val="0"/>
                    <w:suppressLineNumbers w:val="0"/>
                    <w:bidi w:val="0"/>
                    <w:spacing w:before="0" w:beforeAutospacing="0" w:after="0" w:afterAutospacing="0"/>
                    <w:ind w:left="0" w:right="0"/>
                    <w:rPr>
                      <w:rFonts w:hint="default"/>
                      <w:color w:val="auto"/>
                    </w:rPr>
                  </w:pPr>
                </w:p>
              </w:tc>
              <w:tc>
                <w:tcPr>
                  <w:tcW w:w="442" w:type="pct"/>
                  <w:vMerge w:val="continue"/>
                  <w:noWrap w:val="0"/>
                  <w:vAlign w:val="center"/>
                </w:tcPr>
                <w:p w14:paraId="2820975E">
                  <w:pPr>
                    <w:pStyle w:val="27"/>
                    <w:keepNext w:val="0"/>
                    <w:keepLines w:val="0"/>
                    <w:suppressLineNumbers w:val="0"/>
                    <w:bidi w:val="0"/>
                    <w:spacing w:before="0" w:beforeAutospacing="0" w:after="0" w:afterAutospacing="0"/>
                    <w:ind w:left="0" w:right="0"/>
                    <w:rPr>
                      <w:rFonts w:hint="default"/>
                      <w:color w:val="auto"/>
                    </w:rPr>
                  </w:pPr>
                </w:p>
              </w:tc>
              <w:tc>
                <w:tcPr>
                  <w:tcW w:w="2309" w:type="pct"/>
                  <w:shd w:val="clear" w:color="auto" w:fill="auto"/>
                  <w:noWrap w:val="0"/>
                  <w:vAlign w:val="center"/>
                </w:tcPr>
                <w:p w14:paraId="1CE7DB16">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rPr>
                    <w:t>12禁止新建、扩建分散燃煤供热锅炉</w:t>
                  </w:r>
                  <w:r>
                    <w:rPr>
                      <w:rFonts w:hint="eastAsia"/>
                      <w:color w:val="auto"/>
                      <w:lang w:eastAsia="zh-CN"/>
                    </w:rPr>
                    <w:t>。</w:t>
                  </w:r>
                </w:p>
              </w:tc>
              <w:tc>
                <w:tcPr>
                  <w:tcW w:w="1175" w:type="pct"/>
                  <w:shd w:val="clear" w:color="auto" w:fill="auto"/>
                  <w:noWrap w:val="0"/>
                  <w:vAlign w:val="center"/>
                </w:tcPr>
                <w:p w14:paraId="01890D28">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本项目无</w:t>
                  </w:r>
                  <w:r>
                    <w:rPr>
                      <w:rFonts w:hint="eastAsia"/>
                      <w:color w:val="auto"/>
                    </w:rPr>
                    <w:t>分散燃煤供热锅炉</w:t>
                  </w:r>
                </w:p>
              </w:tc>
              <w:tc>
                <w:tcPr>
                  <w:tcW w:w="487" w:type="pct"/>
                  <w:shd w:val="clear" w:color="auto" w:fill="auto"/>
                  <w:noWrap w:val="0"/>
                  <w:vAlign w:val="center"/>
                </w:tcPr>
                <w:p w14:paraId="39229E89">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auto"/>
                      <w:kern w:val="2"/>
                      <w:sz w:val="21"/>
                      <w:szCs w:val="21"/>
                      <w:lang w:val="en-US" w:eastAsia="zh-CN" w:bidi="ar-SA"/>
                    </w:rPr>
                  </w:pPr>
                  <w:r>
                    <w:rPr>
                      <w:color w:val="auto"/>
                    </w:rPr>
                    <w:t>符合</w:t>
                  </w:r>
                </w:p>
              </w:tc>
            </w:tr>
            <w:tr w14:paraId="148FD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4" w:type="pct"/>
                  <w:vMerge w:val="continue"/>
                  <w:noWrap w:val="0"/>
                  <w:vAlign w:val="center"/>
                </w:tcPr>
                <w:p w14:paraId="5A07499A">
                  <w:pPr>
                    <w:pStyle w:val="27"/>
                    <w:keepNext w:val="0"/>
                    <w:keepLines w:val="0"/>
                    <w:suppressLineNumbers w:val="0"/>
                    <w:bidi w:val="0"/>
                    <w:spacing w:before="0" w:beforeAutospacing="0" w:after="0" w:afterAutospacing="0"/>
                    <w:ind w:left="0" w:right="0"/>
                    <w:rPr>
                      <w:rFonts w:hint="default"/>
                      <w:color w:val="auto"/>
                    </w:rPr>
                  </w:pPr>
                </w:p>
              </w:tc>
              <w:tc>
                <w:tcPr>
                  <w:tcW w:w="442" w:type="pct"/>
                  <w:vMerge w:val="restart"/>
                  <w:noWrap w:val="0"/>
                  <w:vAlign w:val="center"/>
                </w:tcPr>
                <w:p w14:paraId="678C82AD">
                  <w:pPr>
                    <w:pStyle w:val="27"/>
                    <w:keepNext w:val="0"/>
                    <w:keepLines w:val="0"/>
                    <w:suppressLineNumbers w:val="0"/>
                    <w:bidi w:val="0"/>
                    <w:spacing w:before="0" w:beforeAutospacing="0" w:after="0" w:afterAutospacing="0"/>
                    <w:ind w:left="0" w:right="0"/>
                    <w:rPr>
                      <w:rFonts w:hint="default"/>
                      <w:color w:val="auto"/>
                    </w:rPr>
                  </w:pPr>
                  <w:r>
                    <w:rPr>
                      <w:rFonts w:hint="eastAsia"/>
                      <w:color w:val="auto"/>
                    </w:rPr>
                    <w:t>污染物排放管控</w:t>
                  </w:r>
                </w:p>
              </w:tc>
              <w:tc>
                <w:tcPr>
                  <w:tcW w:w="2309" w:type="pct"/>
                  <w:noWrap w:val="0"/>
                  <w:vAlign w:val="center"/>
                </w:tcPr>
                <w:p w14:paraId="504728EC">
                  <w:pPr>
                    <w:pStyle w:val="27"/>
                    <w:keepNext w:val="0"/>
                    <w:keepLines w:val="0"/>
                    <w:suppressLineNumbers w:val="0"/>
                    <w:bidi w:val="0"/>
                    <w:spacing w:before="0" w:beforeAutospacing="0" w:after="0" w:afterAutospacing="0"/>
                    <w:ind w:left="0" w:right="0"/>
                    <w:rPr>
                      <w:rFonts w:hint="default"/>
                      <w:color w:val="auto"/>
                    </w:rPr>
                  </w:pPr>
                  <w:r>
                    <w:rPr>
                      <w:rFonts w:hint="eastAsia"/>
                      <w:color w:val="auto"/>
                      <w:lang w:val="en-US" w:eastAsia="zh-CN"/>
                    </w:rPr>
                    <w:t>49新建、改建、扩建排放重点大气污染物的项目不符合总量控制要求的，不得通过环境影响评价。</w:t>
                  </w:r>
                </w:p>
              </w:tc>
              <w:tc>
                <w:tcPr>
                  <w:tcW w:w="1175" w:type="pct"/>
                  <w:noWrap w:val="0"/>
                  <w:vAlign w:val="center"/>
                </w:tcPr>
                <w:p w14:paraId="57D0700E">
                  <w:pPr>
                    <w:pStyle w:val="27"/>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项目目前正积极履行环评手续，项目无重点大气污染物产生</w:t>
                  </w:r>
                </w:p>
              </w:tc>
              <w:tc>
                <w:tcPr>
                  <w:tcW w:w="487" w:type="pct"/>
                  <w:noWrap w:val="0"/>
                  <w:vAlign w:val="center"/>
                </w:tcPr>
                <w:p w14:paraId="75C9740C">
                  <w:pPr>
                    <w:pStyle w:val="27"/>
                    <w:keepNext w:val="0"/>
                    <w:keepLines w:val="0"/>
                    <w:suppressLineNumbers w:val="0"/>
                    <w:bidi w:val="0"/>
                    <w:spacing w:before="0" w:beforeAutospacing="0" w:after="0" w:afterAutospacing="0"/>
                    <w:ind w:left="0" w:right="0"/>
                    <w:rPr>
                      <w:rFonts w:hint="default"/>
                      <w:color w:val="auto"/>
                    </w:rPr>
                  </w:pPr>
                  <w:r>
                    <w:rPr>
                      <w:rFonts w:hint="default"/>
                      <w:color w:val="auto"/>
                    </w:rPr>
                    <w:t>符合</w:t>
                  </w:r>
                </w:p>
              </w:tc>
            </w:tr>
            <w:tr w14:paraId="4A553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84" w:type="pct"/>
                  <w:vMerge w:val="continue"/>
                  <w:noWrap w:val="0"/>
                  <w:vAlign w:val="center"/>
                </w:tcPr>
                <w:p w14:paraId="6B74D2EF">
                  <w:pPr>
                    <w:pStyle w:val="27"/>
                    <w:keepNext w:val="0"/>
                    <w:keepLines w:val="0"/>
                    <w:suppressLineNumbers w:val="0"/>
                    <w:bidi w:val="0"/>
                    <w:spacing w:before="0" w:beforeAutospacing="0" w:after="0" w:afterAutospacing="0"/>
                    <w:ind w:left="0" w:right="0"/>
                    <w:rPr>
                      <w:rFonts w:hint="default"/>
                      <w:color w:val="auto"/>
                    </w:rPr>
                  </w:pPr>
                </w:p>
              </w:tc>
              <w:tc>
                <w:tcPr>
                  <w:tcW w:w="442" w:type="pct"/>
                  <w:vMerge w:val="continue"/>
                  <w:noWrap w:val="0"/>
                  <w:vAlign w:val="center"/>
                </w:tcPr>
                <w:p w14:paraId="350F6790">
                  <w:pPr>
                    <w:pStyle w:val="27"/>
                    <w:keepNext w:val="0"/>
                    <w:keepLines w:val="0"/>
                    <w:suppressLineNumbers w:val="0"/>
                    <w:bidi w:val="0"/>
                    <w:spacing w:before="0" w:beforeAutospacing="0" w:after="0" w:afterAutospacing="0"/>
                    <w:ind w:left="0" w:right="0"/>
                    <w:rPr>
                      <w:rFonts w:hint="eastAsia"/>
                      <w:color w:val="auto"/>
                    </w:rPr>
                  </w:pPr>
                </w:p>
              </w:tc>
              <w:tc>
                <w:tcPr>
                  <w:tcW w:w="2309" w:type="pct"/>
                  <w:noWrap w:val="0"/>
                  <w:vAlign w:val="center"/>
                </w:tcPr>
                <w:p w14:paraId="48E79994">
                  <w:pPr>
                    <w:pStyle w:val="27"/>
                    <w:keepNext w:val="0"/>
                    <w:keepLines w:val="0"/>
                    <w:suppressLineNumbers w:val="0"/>
                    <w:bidi w:val="0"/>
                    <w:spacing w:before="0" w:beforeAutospacing="0" w:after="0" w:afterAutospacing="0"/>
                    <w:ind w:left="0" w:right="0"/>
                    <w:rPr>
                      <w:rFonts w:hint="eastAsia"/>
                      <w:color w:val="auto"/>
                      <w:lang w:val="en-US" w:eastAsia="zh-CN"/>
                    </w:rPr>
                  </w:pPr>
                  <w:r>
                    <w:rPr>
                      <w:rFonts w:hint="eastAsia"/>
                      <w:color w:val="auto"/>
                      <w:lang w:val="en-US" w:eastAsia="zh-CN"/>
                    </w:rPr>
                    <w:t>91所有排污单位必须依法实现全面达标排放。逐一排查工业企业排污情况，达标企业应采取措施确保稳定达标；对超标和超总量的企业予以“黄牌”警示，一律限制生产或停产整治；对整治仍不能达到要求且情节严重的企业予以“红牌”处罚，一律停业、关闭。</w:t>
                  </w:r>
                </w:p>
              </w:tc>
              <w:tc>
                <w:tcPr>
                  <w:tcW w:w="1175" w:type="pct"/>
                  <w:noWrap w:val="0"/>
                  <w:vAlign w:val="center"/>
                </w:tcPr>
                <w:p w14:paraId="056C80E1">
                  <w:pPr>
                    <w:pStyle w:val="27"/>
                    <w:keepNext w:val="0"/>
                    <w:keepLines w:val="0"/>
                    <w:suppressLineNumbers w:val="0"/>
                    <w:bidi w:val="0"/>
                    <w:spacing w:before="0" w:beforeAutospacing="0" w:after="0" w:afterAutospacing="0"/>
                    <w:ind w:left="0" w:right="0"/>
                    <w:rPr>
                      <w:rFonts w:hint="default"/>
                      <w:color w:val="auto"/>
                    </w:rPr>
                  </w:pPr>
                  <w:r>
                    <w:rPr>
                      <w:rFonts w:hint="eastAsia"/>
                      <w:color w:val="auto"/>
                      <w:lang w:val="en-US" w:eastAsia="zh-CN"/>
                    </w:rPr>
                    <w:t>项目按要求申请排污许可证，按照监测技术规范对污染物进行监测。</w:t>
                  </w:r>
                </w:p>
              </w:tc>
              <w:tc>
                <w:tcPr>
                  <w:tcW w:w="487" w:type="pct"/>
                  <w:noWrap w:val="0"/>
                  <w:vAlign w:val="center"/>
                </w:tcPr>
                <w:p w14:paraId="7C829292">
                  <w:pPr>
                    <w:pStyle w:val="27"/>
                    <w:keepNext w:val="0"/>
                    <w:keepLines w:val="0"/>
                    <w:suppressLineNumbers w:val="0"/>
                    <w:bidi w:val="0"/>
                    <w:spacing w:before="0" w:beforeAutospacing="0" w:after="0" w:afterAutospacing="0"/>
                    <w:ind w:left="0" w:right="0"/>
                    <w:rPr>
                      <w:rFonts w:hint="eastAsia"/>
                      <w:color w:val="auto"/>
                      <w:lang w:val="en-US" w:eastAsia="zh-CN"/>
                    </w:rPr>
                  </w:pPr>
                  <w:r>
                    <w:rPr>
                      <w:rFonts w:hint="eastAsia"/>
                      <w:color w:val="auto"/>
                      <w:lang w:val="en-US" w:eastAsia="zh-CN"/>
                    </w:rPr>
                    <w:t>符合</w:t>
                  </w:r>
                </w:p>
              </w:tc>
            </w:tr>
          </w:tbl>
          <w:p w14:paraId="39598C24">
            <w:pPr>
              <w:keepNext w:val="0"/>
              <w:keepLines w:val="0"/>
              <w:suppressLineNumbers w:val="0"/>
              <w:spacing w:before="0" w:beforeAutospacing="0" w:after="0" w:afterAutospacing="0" w:line="360" w:lineRule="auto"/>
              <w:ind w:left="0" w:right="0" w:firstLine="482" w:firstLineChars="200"/>
              <w:rPr>
                <w:rFonts w:hint="eastAsia" w:ascii="Times New Roman" w:hAnsi="Times New Roman" w:eastAsia="宋体" w:cs="Times New Roman"/>
                <w:b/>
                <w:bCs/>
                <w:color w:val="auto"/>
                <w:sz w:val="24"/>
                <w:lang w:val="en-US" w:eastAsia="zh-CN"/>
              </w:rPr>
            </w:pPr>
            <w:r>
              <w:rPr>
                <w:rFonts w:hint="eastAsia" w:cs="Times New Roman"/>
                <w:b/>
                <w:bCs/>
                <w:color w:val="auto"/>
                <w:sz w:val="24"/>
                <w:lang w:val="en-US" w:eastAsia="zh-CN"/>
              </w:rPr>
              <w:t>6）</w:t>
            </w:r>
            <w:r>
              <w:rPr>
                <w:rFonts w:hint="default" w:ascii="Times New Roman" w:hAnsi="Times New Roman" w:eastAsia="宋体" w:cs="Times New Roman"/>
                <w:b/>
                <w:bCs/>
                <w:color w:val="auto"/>
                <w:sz w:val="24"/>
                <w:lang w:eastAsia="zh-CN"/>
              </w:rPr>
              <w:t>与</w:t>
            </w:r>
            <w:r>
              <w:rPr>
                <w:rFonts w:hint="default" w:ascii="Times New Roman" w:hAnsi="Times New Roman" w:eastAsia="宋体" w:cs="Times New Roman"/>
                <w:b/>
                <w:bCs/>
                <w:color w:val="auto"/>
                <w:sz w:val="24"/>
                <w:lang w:val="en-US" w:eastAsia="zh-CN"/>
              </w:rPr>
              <w:t>《淮南市国土空间总体规划（2021—2035年）》</w:t>
            </w:r>
            <w:r>
              <w:rPr>
                <w:rFonts w:hint="default" w:ascii="Times New Roman" w:hAnsi="Times New Roman" w:eastAsia="宋体" w:cs="Times New Roman"/>
                <w:b/>
                <w:bCs/>
                <w:color w:val="auto"/>
                <w:sz w:val="24"/>
                <w:lang w:eastAsia="zh-CN"/>
              </w:rPr>
              <w:t>相符性分析</w:t>
            </w:r>
          </w:p>
          <w:p w14:paraId="5CC6E44D">
            <w:pPr>
              <w:keepNext w:val="0"/>
              <w:keepLines w:val="0"/>
              <w:suppressLineNumbers w:val="0"/>
              <w:bidi w:val="0"/>
              <w:spacing w:before="0" w:beforeAutospacing="0" w:after="0" w:afterAutospacing="0"/>
              <w:ind w:left="0" w:right="0"/>
              <w:rPr>
                <w:rFonts w:hint="eastAsia" w:ascii="Times New Roman" w:hAnsi="Times New Roman" w:eastAsia="宋体" w:cs="Times New Roman"/>
                <w:color w:val="auto"/>
                <w:sz w:val="24"/>
                <w:lang w:val="en-US" w:eastAsia="zh-CN"/>
              </w:rPr>
            </w:pPr>
            <w:r>
              <w:rPr>
                <w:rFonts w:hint="eastAsia" w:ascii="Times New Roman" w:hAnsi="Times New Roman" w:eastAsia="宋体" w:cs="Times New Roman"/>
                <w:color w:val="auto"/>
                <w:sz w:val="24"/>
                <w:lang w:val="en-US" w:eastAsia="zh-CN"/>
              </w:rPr>
              <w:t>根据《淮南市国土空间总体规划（2021-2035年）》，本项目位于工业发展区，《淮南市国土空间总体规划（2021-2035年）》与本项目相对位置图见附图1</w:t>
            </w:r>
            <w:r>
              <w:rPr>
                <w:rFonts w:hint="eastAsia" w:cs="Times New Roman"/>
                <w:color w:val="auto"/>
                <w:sz w:val="24"/>
                <w:lang w:val="en-US" w:eastAsia="zh-CN"/>
              </w:rPr>
              <w:t>0</w:t>
            </w:r>
            <w:r>
              <w:rPr>
                <w:rFonts w:hint="eastAsia" w:ascii="Times New Roman" w:hAnsi="Times New Roman" w:eastAsia="宋体" w:cs="Times New Roman"/>
                <w:color w:val="auto"/>
                <w:sz w:val="24"/>
                <w:lang w:val="en-US" w:eastAsia="zh-CN"/>
              </w:rPr>
              <w:t>，本项目选址符合《淮南市国土空间总体规划（2021-2035年）》。</w:t>
            </w:r>
          </w:p>
          <w:p w14:paraId="28E47BC8">
            <w:pPr>
              <w:keepNext w:val="0"/>
              <w:keepLines w:val="0"/>
              <w:suppressLineNumbers w:val="0"/>
              <w:bidi w:val="0"/>
              <w:spacing w:before="0" w:beforeAutospacing="0" w:after="0" w:afterAutospacing="0"/>
              <w:ind w:left="0" w:right="0"/>
              <w:rPr>
                <w:rFonts w:hint="eastAsia"/>
                <w:color w:val="auto"/>
                <w:lang w:val="en-US" w:eastAsia="zh-CN"/>
              </w:rPr>
            </w:pPr>
            <w:r>
              <w:rPr>
                <w:rFonts w:hint="eastAsia"/>
                <w:color w:val="auto"/>
                <w:lang w:val="en-US" w:eastAsia="zh-CN"/>
              </w:rPr>
              <w:t>本</w:t>
            </w:r>
            <w:r>
              <w:rPr>
                <w:rFonts w:hint="eastAsia"/>
                <w:color w:val="auto"/>
              </w:rPr>
              <w:t>项目运营过程中会产生一定的污染物，采取相应的污染防治措施后，各类污染物的排放对周围环境造成的影响较小，不会降低当地环境质量，不会触碰区域环境质量底线，</w:t>
            </w:r>
            <w:r>
              <w:rPr>
                <w:rFonts w:hint="eastAsia"/>
                <w:color w:val="auto"/>
                <w:lang w:val="en-US" w:eastAsia="zh-CN"/>
              </w:rPr>
              <w:t>因此本项目建设满足</w:t>
            </w:r>
            <w:r>
              <w:rPr>
                <w:rFonts w:hint="eastAsia"/>
                <w:color w:val="auto"/>
              </w:rPr>
              <w:t>生态环境分区管控要求</w:t>
            </w:r>
            <w:r>
              <w:rPr>
                <w:rFonts w:hint="eastAsia"/>
                <w:color w:val="auto"/>
                <w:lang w:val="en-US" w:eastAsia="zh-CN"/>
              </w:rPr>
              <w:t>。</w:t>
            </w:r>
          </w:p>
          <w:p w14:paraId="266E405F">
            <w:pPr>
              <w:keepNext w:val="0"/>
              <w:keepLines w:val="0"/>
              <w:suppressLineNumbers w:val="0"/>
              <w:bidi w:val="0"/>
              <w:spacing w:before="0" w:beforeAutospacing="0" w:after="0" w:afterAutospacing="0"/>
              <w:ind w:left="0" w:right="0"/>
              <w:rPr>
                <w:rFonts w:hint="default"/>
                <w:b/>
                <w:bCs/>
                <w:color w:val="auto"/>
              </w:rPr>
            </w:pPr>
            <w:r>
              <w:rPr>
                <w:rFonts w:hint="eastAsia"/>
                <w:b/>
                <w:bCs/>
                <w:color w:val="auto"/>
                <w:lang w:val="en-US" w:eastAsia="zh-CN"/>
              </w:rPr>
              <w:t>3、</w:t>
            </w:r>
            <w:r>
              <w:rPr>
                <w:rFonts w:hint="default"/>
                <w:b/>
                <w:bCs/>
                <w:color w:val="auto"/>
              </w:rPr>
              <w:t>与相关环境保护政策相符性分析</w:t>
            </w:r>
          </w:p>
          <w:p w14:paraId="7F681E0D">
            <w:pPr>
              <w:keepNext w:val="0"/>
              <w:keepLines w:val="0"/>
              <w:widowControl w:val="0"/>
              <w:suppressLineNumbers w:val="0"/>
              <w:adjustRightInd w:val="0"/>
              <w:spacing w:before="0" w:beforeAutospacing="0" w:after="0" w:afterAutospacing="0" w:line="460" w:lineRule="exact"/>
              <w:ind w:left="0" w:right="0" w:firstLine="480" w:firstLineChars="200"/>
              <w:jc w:val="left"/>
              <w:rPr>
                <w:rFonts w:hint="eastAsia" w:ascii="宋体" w:hAnsi="宋体" w:eastAsia="宋体" w:cs="宋体"/>
                <w:b/>
                <w:bCs/>
                <w:color w:val="auto"/>
                <w:kern w:val="2"/>
                <w:sz w:val="24"/>
                <w:szCs w:val="24"/>
                <w:lang w:val="en-US" w:eastAsia="zh-CN" w:bidi="ar"/>
              </w:rPr>
            </w:pPr>
            <w:r>
              <w:rPr>
                <w:rFonts w:hint="eastAsia" w:ascii="宋体" w:hAnsi="宋体" w:eastAsia="宋体" w:cs="宋体"/>
                <w:color w:val="auto"/>
                <w:kern w:val="2"/>
                <w:sz w:val="24"/>
                <w:szCs w:val="24"/>
                <w:lang w:val="en-US" w:eastAsia="zh-CN" w:bidi="ar"/>
              </w:rPr>
              <w:t>项目与相关政策要求的符合性分析如下：</w:t>
            </w:r>
          </w:p>
          <w:p w14:paraId="54D8275A">
            <w:pPr>
              <w:pStyle w:val="65"/>
              <w:keepNext w:val="0"/>
              <w:keepLines w:val="0"/>
              <w:suppressLineNumbers w:val="0"/>
              <w:bidi w:val="0"/>
              <w:spacing w:before="0" w:beforeAutospacing="0" w:after="0" w:afterAutospacing="0"/>
              <w:ind w:left="0" w:right="0"/>
              <w:rPr>
                <w:rFonts w:hint="default"/>
              </w:rPr>
            </w:pPr>
            <w:r>
              <w:rPr>
                <w:rFonts w:hint="eastAsia"/>
                <w:lang w:val="en-US" w:eastAsia="zh-CN"/>
              </w:rPr>
              <w:t>表</w:t>
            </w:r>
            <w:r>
              <w:rPr>
                <w:rFonts w:hint="default"/>
                <w:lang w:val="en-US" w:eastAsia="zh-CN"/>
              </w:rPr>
              <w:t>1-</w:t>
            </w:r>
            <w:r>
              <w:rPr>
                <w:rFonts w:hint="eastAsia"/>
                <w:lang w:val="en-US" w:eastAsia="zh-CN"/>
              </w:rPr>
              <w:t>5  项目与相关政策符合性分析表</w:t>
            </w:r>
          </w:p>
          <w:tbl>
            <w:tblPr>
              <w:tblStyle w:val="1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24"/>
              <w:gridCol w:w="565"/>
              <w:gridCol w:w="2965"/>
              <w:gridCol w:w="2230"/>
              <w:gridCol w:w="721"/>
            </w:tblGrid>
            <w:tr w14:paraId="77077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tcBorders>
                    <w:top w:val="single" w:color="auto" w:sz="4" w:space="0"/>
                    <w:left w:val="single" w:color="auto" w:sz="4" w:space="0"/>
                    <w:bottom w:val="single" w:color="auto" w:sz="4" w:space="0"/>
                    <w:right w:val="single" w:color="auto" w:sz="4" w:space="0"/>
                  </w:tcBorders>
                  <w:noWrap w:val="0"/>
                  <w:vAlign w:val="center"/>
                </w:tcPr>
                <w:p w14:paraId="2D227209">
                  <w:pPr>
                    <w:pStyle w:val="46"/>
                    <w:keepNext w:val="0"/>
                    <w:keepLines w:val="0"/>
                    <w:suppressLineNumbers w:val="0"/>
                    <w:bidi w:val="0"/>
                    <w:spacing w:before="0" w:beforeAutospacing="0" w:after="0" w:afterAutospacing="0"/>
                    <w:jc w:val="center"/>
                    <w:rPr>
                      <w:rFonts w:hint="default"/>
                      <w:b/>
                      <w:bCs/>
                      <w:color w:val="auto"/>
                    </w:rPr>
                  </w:pPr>
                  <w:r>
                    <w:rPr>
                      <w:rFonts w:hint="eastAsia"/>
                      <w:b/>
                      <w:bCs/>
                      <w:color w:val="auto"/>
                      <w:lang w:val="en-US" w:eastAsia="zh-CN"/>
                    </w:rPr>
                    <w:t>文件名称</w:t>
                  </w:r>
                </w:p>
              </w:tc>
              <w:tc>
                <w:tcPr>
                  <w:tcW w:w="3530" w:type="dxa"/>
                  <w:gridSpan w:val="2"/>
                  <w:tcBorders>
                    <w:top w:val="single" w:color="auto" w:sz="4" w:space="0"/>
                    <w:left w:val="single" w:color="auto" w:sz="4" w:space="0"/>
                    <w:bottom w:val="single" w:color="auto" w:sz="4" w:space="0"/>
                    <w:right w:val="single" w:color="auto" w:sz="4" w:space="0"/>
                  </w:tcBorders>
                  <w:noWrap w:val="0"/>
                  <w:vAlign w:val="center"/>
                </w:tcPr>
                <w:p w14:paraId="294E271C">
                  <w:pPr>
                    <w:pStyle w:val="46"/>
                    <w:keepNext w:val="0"/>
                    <w:keepLines w:val="0"/>
                    <w:suppressLineNumbers w:val="0"/>
                    <w:bidi w:val="0"/>
                    <w:spacing w:before="0" w:beforeAutospacing="0" w:after="0" w:afterAutospacing="0"/>
                    <w:jc w:val="center"/>
                    <w:rPr>
                      <w:rFonts w:hint="default"/>
                      <w:b/>
                      <w:bCs/>
                      <w:color w:val="auto"/>
                    </w:rPr>
                  </w:pPr>
                  <w:r>
                    <w:rPr>
                      <w:rFonts w:hint="eastAsia"/>
                      <w:b/>
                      <w:bCs/>
                      <w:color w:val="auto"/>
                      <w:lang w:val="en-US" w:eastAsia="zh-CN"/>
                    </w:rPr>
                    <w:t>相关要求</w:t>
                  </w:r>
                </w:p>
              </w:tc>
              <w:tc>
                <w:tcPr>
                  <w:tcW w:w="2230" w:type="dxa"/>
                  <w:tcBorders>
                    <w:top w:val="single" w:color="auto" w:sz="4" w:space="0"/>
                    <w:left w:val="single" w:color="auto" w:sz="4" w:space="0"/>
                    <w:bottom w:val="single" w:color="auto" w:sz="4" w:space="0"/>
                    <w:right w:val="single" w:color="auto" w:sz="4" w:space="0"/>
                  </w:tcBorders>
                  <w:noWrap w:val="0"/>
                  <w:vAlign w:val="center"/>
                </w:tcPr>
                <w:p w14:paraId="6B56441D">
                  <w:pPr>
                    <w:pStyle w:val="46"/>
                    <w:keepNext w:val="0"/>
                    <w:keepLines w:val="0"/>
                    <w:suppressLineNumbers w:val="0"/>
                    <w:bidi w:val="0"/>
                    <w:spacing w:before="0" w:beforeAutospacing="0" w:after="0" w:afterAutospacing="0"/>
                    <w:jc w:val="center"/>
                    <w:rPr>
                      <w:rFonts w:hint="default"/>
                      <w:b/>
                      <w:bCs/>
                      <w:color w:val="auto"/>
                    </w:rPr>
                  </w:pPr>
                  <w:r>
                    <w:rPr>
                      <w:rFonts w:hint="eastAsia"/>
                      <w:b/>
                      <w:bCs/>
                      <w:color w:val="auto"/>
                      <w:lang w:val="en-US" w:eastAsia="zh-CN"/>
                    </w:rPr>
                    <w:t>项目建设情况</w:t>
                  </w:r>
                </w:p>
              </w:tc>
              <w:tc>
                <w:tcPr>
                  <w:tcW w:w="721" w:type="dxa"/>
                  <w:tcBorders>
                    <w:top w:val="single" w:color="auto" w:sz="4" w:space="0"/>
                    <w:left w:val="single" w:color="auto" w:sz="4" w:space="0"/>
                    <w:bottom w:val="single" w:color="auto" w:sz="4" w:space="0"/>
                    <w:right w:val="single" w:color="auto" w:sz="4" w:space="0"/>
                  </w:tcBorders>
                  <w:noWrap w:val="0"/>
                  <w:vAlign w:val="center"/>
                </w:tcPr>
                <w:p w14:paraId="599BE68D">
                  <w:pPr>
                    <w:pStyle w:val="46"/>
                    <w:keepNext w:val="0"/>
                    <w:keepLines w:val="0"/>
                    <w:suppressLineNumbers w:val="0"/>
                    <w:bidi w:val="0"/>
                    <w:spacing w:before="0" w:beforeAutospacing="0" w:after="0" w:afterAutospacing="0"/>
                    <w:jc w:val="center"/>
                    <w:rPr>
                      <w:rFonts w:hint="default"/>
                      <w:b/>
                      <w:bCs/>
                      <w:color w:val="auto"/>
                    </w:rPr>
                  </w:pPr>
                  <w:r>
                    <w:rPr>
                      <w:rFonts w:hint="eastAsia"/>
                      <w:b/>
                      <w:bCs/>
                      <w:color w:val="auto"/>
                      <w:lang w:val="en-US" w:eastAsia="zh-CN"/>
                    </w:rPr>
                    <w:t>符合性</w:t>
                  </w:r>
                </w:p>
              </w:tc>
            </w:tr>
            <w:tr w14:paraId="74686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restart"/>
                  <w:tcBorders>
                    <w:top w:val="single" w:color="auto" w:sz="4" w:space="0"/>
                    <w:left w:val="single" w:color="auto" w:sz="4" w:space="0"/>
                    <w:right w:val="single" w:color="auto" w:sz="4" w:space="0"/>
                  </w:tcBorders>
                  <w:noWrap w:val="0"/>
                  <w:vAlign w:val="center"/>
                </w:tcPr>
                <w:p w14:paraId="27D24BC5">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《废电池污染防治技术政策》（环境保护部公告，2016年第82号）</w:t>
                  </w:r>
                </w:p>
              </w:tc>
              <w:tc>
                <w:tcPr>
                  <w:tcW w:w="3530" w:type="dxa"/>
                  <w:gridSpan w:val="2"/>
                  <w:tcBorders>
                    <w:top w:val="single" w:color="auto" w:sz="4" w:space="0"/>
                    <w:left w:val="single" w:color="auto" w:sz="4" w:space="0"/>
                    <w:bottom w:val="single" w:color="auto" w:sz="4" w:space="0"/>
                    <w:right w:val="single" w:color="auto" w:sz="4" w:space="0"/>
                  </w:tcBorders>
                  <w:shd w:val="clear" w:color="auto" w:fill="auto"/>
                  <w:noWrap w:val="0"/>
                  <w:vAlign w:val="center"/>
                </w:tcPr>
                <w:p w14:paraId="7BD8231F">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收集</w:t>
                  </w:r>
                </w:p>
                <w:p w14:paraId="28DA30E8">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（一）在具备资源化利用条件的地区，鼓励分类收集废电池。</w:t>
                  </w:r>
                </w:p>
                <w:p w14:paraId="6AAAB42F">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（二）鼓励电池生产企业、废电池收集企业及利用企业等建设废电池收集体系。鼓励电池生产企业履行生产者延伸责任。</w:t>
                  </w:r>
                </w:p>
                <w:p w14:paraId="4A8D17E5">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（三）鼓励废电池收集企业应用“物联网+”等信息化技术建立废电池收集体系，并通过信息公开等手段促进废电池的高效回收。</w:t>
                  </w:r>
                </w:p>
                <w:p w14:paraId="2E3C0D69">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（四）废电池收集企业应设立具有显著标识的废电池分类收集设施。鼓励消费者将废电池送到相应的废电池收集网点装置中。</w:t>
                  </w:r>
                </w:p>
                <w:p w14:paraId="788E92DA">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（五）收集过程中应保持废电池的结构和外形完整，严禁私自破损废电池，已破损的废电池应单独存放。</w:t>
                  </w:r>
                </w:p>
              </w:tc>
              <w:tc>
                <w:tcPr>
                  <w:tcW w:w="223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1362BF1">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（一）本项目对废旧电动车拆解产生的废电池分类收集暂存；</w:t>
                  </w:r>
                </w:p>
                <w:p w14:paraId="304C03A6">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（二）企业仅对废旧电动车拆解产生的废电池暂存，对废旧电池分类收集、暂存后外售；</w:t>
                  </w:r>
                </w:p>
                <w:p w14:paraId="63A59C00">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（三）本项目建成运行后，与废电池运输及回收单位建立完善的回收体系；</w:t>
                  </w:r>
                </w:p>
                <w:p w14:paraId="3115FA94">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（四）项目设有专门的废电池贮存区，仅对废旧电动车拆解产生的废电池暂存；</w:t>
                  </w:r>
                </w:p>
                <w:p w14:paraId="70A31294">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（五）收集过程中采用专用容器存放，保持废电池的结构和外形完整，严禁私自破损废电池，破损的废电池单独存放。</w:t>
                  </w:r>
                </w:p>
              </w:tc>
              <w:tc>
                <w:tcPr>
                  <w:tcW w:w="721" w:type="dxa"/>
                  <w:tcBorders>
                    <w:top w:val="single" w:color="auto" w:sz="4" w:space="0"/>
                    <w:left w:val="single" w:color="auto" w:sz="4" w:space="0"/>
                    <w:bottom w:val="single" w:color="auto" w:sz="4" w:space="0"/>
                    <w:right w:val="single" w:color="auto" w:sz="4" w:space="0"/>
                  </w:tcBorders>
                  <w:noWrap w:val="0"/>
                  <w:vAlign w:val="center"/>
                </w:tcPr>
                <w:p w14:paraId="3BF36BE9">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符合</w:t>
                  </w:r>
                </w:p>
              </w:tc>
            </w:tr>
            <w:tr w14:paraId="3E036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38D5CAE9">
                  <w:pPr>
                    <w:pStyle w:val="61"/>
                    <w:keepNext w:val="0"/>
                    <w:keepLines w:val="0"/>
                    <w:suppressLineNumbers w:val="0"/>
                    <w:bidi w:val="0"/>
                    <w:spacing w:before="0" w:beforeAutospacing="0" w:after="0" w:afterAutospacing="0"/>
                    <w:ind w:left="0" w:right="0"/>
                    <w:rPr>
                      <w:rFonts w:hint="eastAsia"/>
                      <w:lang w:val="en-US" w:eastAsia="zh-CN"/>
                    </w:rPr>
                  </w:pPr>
                </w:p>
              </w:tc>
              <w:tc>
                <w:tcPr>
                  <w:tcW w:w="3530" w:type="dxa"/>
                  <w:gridSpan w:val="2"/>
                  <w:tcBorders>
                    <w:top w:val="single" w:color="auto" w:sz="4" w:space="0"/>
                    <w:left w:val="single" w:color="auto" w:sz="4" w:space="0"/>
                    <w:bottom w:val="single" w:color="auto" w:sz="4" w:space="0"/>
                    <w:right w:val="single" w:color="auto" w:sz="4" w:space="0"/>
                  </w:tcBorders>
                  <w:shd w:val="clear" w:color="auto" w:fill="auto"/>
                  <w:noWrap w:val="0"/>
                  <w:vAlign w:val="center"/>
                </w:tcPr>
                <w:p w14:paraId="7A526C8E">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运输</w:t>
                  </w:r>
                </w:p>
                <w:p w14:paraId="42E1908E">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（一）废电池应采取有效的包装措施，防止运输过程中有毒有害物质泄漏造成污染。</w:t>
                  </w:r>
                </w:p>
                <w:p w14:paraId="57D1FF97">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（二）废锂离子电池运输前应采取预放电、独立包装等措施，防止因撞击或短路发生爆炸等引起的环境风险。</w:t>
                  </w:r>
                </w:p>
                <w:p w14:paraId="2511D0D0">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（三）禁止在运输过程中擅自倾倒和丢弃废电池。</w:t>
                  </w:r>
                </w:p>
              </w:tc>
              <w:tc>
                <w:tcPr>
                  <w:tcW w:w="223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06FE725">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（一）本项目废电池采取有效的包装措施运输，运输交有资质的经营单位；</w:t>
                  </w:r>
                </w:p>
                <w:p w14:paraId="3CF0460B">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（二）本项目废电池运输前采取预放电措施，收集、运输、贮存废电池的容器根据电池的特性而设计，不易破损、变形，其所用材料能有效地防止渗漏、扩散，并耐酸腐蚀；</w:t>
                  </w:r>
                </w:p>
                <w:p w14:paraId="626D7CCA">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（三）禁止在运输过程中擅自倾倒和丢弃废电池。</w:t>
                  </w:r>
                </w:p>
              </w:tc>
              <w:tc>
                <w:tcPr>
                  <w:tcW w:w="721" w:type="dxa"/>
                  <w:tcBorders>
                    <w:top w:val="single" w:color="auto" w:sz="4" w:space="0"/>
                    <w:left w:val="single" w:color="auto" w:sz="4" w:space="0"/>
                    <w:bottom w:val="single" w:color="auto" w:sz="4" w:space="0"/>
                    <w:right w:val="single" w:color="auto" w:sz="4" w:space="0"/>
                  </w:tcBorders>
                  <w:noWrap w:val="0"/>
                  <w:vAlign w:val="center"/>
                </w:tcPr>
                <w:p w14:paraId="3E4BDD69">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符合</w:t>
                  </w:r>
                </w:p>
              </w:tc>
            </w:tr>
            <w:tr w14:paraId="45F9E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bottom w:val="single" w:color="auto" w:sz="4" w:space="0"/>
                    <w:right w:val="single" w:color="auto" w:sz="4" w:space="0"/>
                  </w:tcBorders>
                  <w:noWrap w:val="0"/>
                  <w:vAlign w:val="center"/>
                </w:tcPr>
                <w:p w14:paraId="182C6CB3">
                  <w:pPr>
                    <w:pStyle w:val="61"/>
                    <w:keepNext w:val="0"/>
                    <w:keepLines w:val="0"/>
                    <w:suppressLineNumbers w:val="0"/>
                    <w:bidi w:val="0"/>
                    <w:spacing w:before="0" w:beforeAutospacing="0" w:after="0" w:afterAutospacing="0"/>
                    <w:ind w:left="0" w:right="0"/>
                    <w:rPr>
                      <w:rFonts w:hint="eastAsia"/>
                      <w:lang w:val="en-US" w:eastAsia="zh-CN"/>
                    </w:rPr>
                  </w:pPr>
                </w:p>
              </w:tc>
              <w:tc>
                <w:tcPr>
                  <w:tcW w:w="3530" w:type="dxa"/>
                  <w:gridSpan w:val="2"/>
                  <w:tcBorders>
                    <w:top w:val="single" w:color="auto" w:sz="4" w:space="0"/>
                    <w:left w:val="single" w:color="auto" w:sz="4" w:space="0"/>
                    <w:bottom w:val="single" w:color="auto" w:sz="4" w:space="0"/>
                    <w:right w:val="single" w:color="auto" w:sz="4" w:space="0"/>
                  </w:tcBorders>
                  <w:shd w:val="clear" w:color="auto" w:fill="auto"/>
                  <w:noWrap w:val="0"/>
                  <w:vAlign w:val="center"/>
                </w:tcPr>
                <w:p w14:paraId="32EA2276">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贮存</w:t>
                  </w:r>
                </w:p>
                <w:p w14:paraId="3CC853A1">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（一）废电池应分类贮存，禁止露天堆放。破损的废电池应单独贮存。贮存场所应定期清理、清运。</w:t>
                  </w:r>
                </w:p>
                <w:p w14:paraId="6B9E7286">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（二）废铅蓄电池的贮存场所应防止电解液泄漏。废铅蓄电池的贮存应避免遭受雨淋水浸。</w:t>
                  </w:r>
                </w:p>
                <w:p w14:paraId="290D9B3A">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（三）废锂离子电池贮存前应进行安全性检测，避光贮存，应控制贮存场所的环境温度，避免因高温自燃等引起的环境风险。</w:t>
                  </w:r>
                </w:p>
              </w:tc>
              <w:tc>
                <w:tcPr>
                  <w:tcW w:w="223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D324082">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（一）本项目废电池分类贮存，贮存场所位于2#厂房内，避光、防雨；破损电池单独贮存；对贮存场所定期清理、清运；</w:t>
                  </w:r>
                </w:p>
                <w:p w14:paraId="4FDA3410">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（二）废铅酸蓄电池在危废暂存间内电池存放区进行存放，废铅蓄电池的贮存场所设置了防腐防渗措施；</w:t>
                  </w:r>
                </w:p>
                <w:p w14:paraId="2EC7E484">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（三）废旧锂电池贮存前应进行安全性检测，避光贮存控制贮存场所的环境温度，避免因高温自燃等引起的环境风险。</w:t>
                  </w:r>
                </w:p>
              </w:tc>
              <w:tc>
                <w:tcPr>
                  <w:tcW w:w="721" w:type="dxa"/>
                  <w:tcBorders>
                    <w:top w:val="single" w:color="auto" w:sz="4" w:space="0"/>
                    <w:left w:val="single" w:color="auto" w:sz="4" w:space="0"/>
                    <w:bottom w:val="single" w:color="auto" w:sz="4" w:space="0"/>
                    <w:right w:val="single" w:color="auto" w:sz="4" w:space="0"/>
                  </w:tcBorders>
                  <w:noWrap w:val="0"/>
                  <w:vAlign w:val="center"/>
                </w:tcPr>
                <w:p w14:paraId="7058600B">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符合</w:t>
                  </w:r>
                </w:p>
              </w:tc>
            </w:tr>
            <w:tr w14:paraId="4F02F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 w:hRule="atLeast"/>
                <w:jc w:val="center"/>
              </w:trPr>
              <w:tc>
                <w:tcPr>
                  <w:tcW w:w="1124" w:type="dxa"/>
                  <w:vMerge w:val="restart"/>
                  <w:tcBorders>
                    <w:left w:val="single" w:color="auto" w:sz="4" w:space="0"/>
                    <w:right w:val="single" w:color="auto" w:sz="4" w:space="0"/>
                  </w:tcBorders>
                  <w:noWrap w:val="0"/>
                  <w:vAlign w:val="center"/>
                </w:tcPr>
                <w:p w14:paraId="249CB35B">
                  <w:pPr>
                    <w:pStyle w:val="61"/>
                    <w:keepNext w:val="0"/>
                    <w:keepLines w:val="0"/>
                    <w:suppressLineNumbers w:val="0"/>
                    <w:bidi w:val="0"/>
                    <w:spacing w:before="0" w:beforeAutospacing="0" w:after="0" w:afterAutospacing="0"/>
                    <w:ind w:left="0" w:right="0"/>
                    <w:jc w:val="center"/>
                    <w:rPr>
                      <w:rFonts w:hint="eastAsia"/>
                      <w:lang w:val="en-US" w:eastAsia="zh-CN"/>
                    </w:rPr>
                  </w:pPr>
                  <w:r>
                    <w:rPr>
                      <w:rFonts w:hint="eastAsia" w:ascii="Times New Roman" w:hAnsi="Times New Roman" w:eastAsia="宋体" w:cs="Times New Roman"/>
                      <w:b w:val="0"/>
                      <w:color w:val="auto"/>
                      <w:kern w:val="2"/>
                      <w:sz w:val="21"/>
                      <w:szCs w:val="21"/>
                      <w:lang w:val="en-US" w:eastAsia="zh-CN" w:bidi="ar-SA"/>
                    </w:rPr>
                    <w:t>《废铅酸蓄电池处理污染控制技术规范》（HJ519-2020）</w:t>
                  </w:r>
                </w:p>
              </w:tc>
              <w:tc>
                <w:tcPr>
                  <w:tcW w:w="565" w:type="dxa"/>
                  <w:vMerge w:val="restart"/>
                  <w:tcBorders>
                    <w:top w:val="single" w:color="auto" w:sz="4" w:space="0"/>
                    <w:left w:val="single" w:color="auto" w:sz="4" w:space="0"/>
                    <w:right w:val="single" w:color="auto" w:sz="4" w:space="0"/>
                  </w:tcBorders>
                  <w:shd w:val="clear" w:color="auto" w:fill="auto"/>
                  <w:noWrap w:val="0"/>
                  <w:vAlign w:val="center"/>
                </w:tcPr>
                <w:p w14:paraId="4A185C28">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总体要求</w:t>
                  </w:r>
                </w:p>
              </w:tc>
              <w:tc>
                <w:tcPr>
                  <w:tcW w:w="296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21C80A6">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从事废铅蓄电池收集、贮存的企业，应依法获得危险废物经营许可证；禁止无经营许可证或者不按照经营许可证规定从事废铅蓄电池收集、贮存经营活动</w:t>
                  </w:r>
                </w:p>
              </w:tc>
              <w:tc>
                <w:tcPr>
                  <w:tcW w:w="223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E54ACED">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default"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项目主要从事废旧电动自行车拆解，设置危废暂存间对拆解产生的废铅蓄电池进行暂存后委托有资质单位进行处置，不属于从事废铅蓄电池收集、贮存的企业</w:t>
                  </w:r>
                </w:p>
              </w:tc>
              <w:tc>
                <w:tcPr>
                  <w:tcW w:w="721" w:type="dxa"/>
                  <w:vMerge w:val="restart"/>
                  <w:tcBorders>
                    <w:top w:val="single" w:color="auto" w:sz="4" w:space="0"/>
                    <w:left w:val="single" w:color="auto" w:sz="4" w:space="0"/>
                    <w:right w:val="single" w:color="auto" w:sz="4" w:space="0"/>
                  </w:tcBorders>
                  <w:shd w:val="clear" w:color="auto" w:fill="auto"/>
                  <w:noWrap w:val="0"/>
                  <w:vAlign w:val="center"/>
                </w:tcPr>
                <w:p w14:paraId="6AB155BE">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符合</w:t>
                  </w:r>
                </w:p>
                <w:p w14:paraId="352365C5">
                  <w:pPr>
                    <w:pStyle w:val="61"/>
                    <w:keepNext w:val="0"/>
                    <w:keepLines w:val="0"/>
                    <w:suppressLineNumbers w:val="0"/>
                    <w:bidi w:val="0"/>
                    <w:spacing w:before="0" w:beforeAutospacing="0" w:after="0" w:afterAutospacing="0"/>
                    <w:ind w:left="0" w:right="0"/>
                    <w:rPr>
                      <w:rFonts w:hint="eastAsia"/>
                      <w:lang w:val="en-US" w:eastAsia="zh-CN"/>
                    </w:rPr>
                  </w:pPr>
                </w:p>
              </w:tc>
            </w:tr>
            <w:tr w14:paraId="4C9A1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 w:hRule="atLeast"/>
                <w:jc w:val="center"/>
              </w:trPr>
              <w:tc>
                <w:tcPr>
                  <w:tcW w:w="1124" w:type="dxa"/>
                  <w:vMerge w:val="continue"/>
                  <w:tcBorders>
                    <w:left w:val="single" w:color="auto" w:sz="4" w:space="0"/>
                    <w:right w:val="single" w:color="auto" w:sz="4" w:space="0"/>
                  </w:tcBorders>
                  <w:noWrap w:val="0"/>
                  <w:vAlign w:val="center"/>
                </w:tcPr>
                <w:p w14:paraId="7E7E415D">
                  <w:pPr>
                    <w:pStyle w:val="61"/>
                    <w:keepNext w:val="0"/>
                    <w:keepLines w:val="0"/>
                    <w:suppressLineNumbers w:val="0"/>
                    <w:bidi w:val="0"/>
                    <w:spacing w:before="0" w:beforeAutospacing="0" w:after="0" w:afterAutospacing="0"/>
                    <w:ind w:left="0" w:right="0"/>
                    <w:jc w:val="center"/>
                    <w:rPr>
                      <w:rFonts w:hint="default"/>
                    </w:rPr>
                  </w:pPr>
                </w:p>
              </w:tc>
              <w:tc>
                <w:tcPr>
                  <w:tcW w:w="565" w:type="dxa"/>
                  <w:vMerge w:val="continue"/>
                  <w:tcBorders>
                    <w:left w:val="single" w:color="auto" w:sz="4" w:space="0"/>
                    <w:right w:val="single" w:color="auto" w:sz="4" w:space="0"/>
                  </w:tcBorders>
                  <w:shd w:val="clear" w:color="auto" w:fill="auto"/>
                  <w:noWrap w:val="0"/>
                  <w:vAlign w:val="center"/>
                </w:tcPr>
                <w:p w14:paraId="3BB63D13">
                  <w:pPr>
                    <w:pStyle w:val="61"/>
                    <w:keepNext w:val="0"/>
                    <w:keepLines w:val="0"/>
                    <w:suppressLineNumbers w:val="0"/>
                    <w:bidi w:val="0"/>
                    <w:spacing w:before="0" w:beforeAutospacing="0" w:after="0" w:afterAutospacing="0"/>
                    <w:ind w:left="0" w:right="0"/>
                    <w:jc w:val="center"/>
                    <w:rPr>
                      <w:rFonts w:hint="eastAsia"/>
                      <w:lang w:val="en-US" w:eastAsia="zh-CN"/>
                    </w:rPr>
                  </w:pPr>
                </w:p>
              </w:tc>
              <w:tc>
                <w:tcPr>
                  <w:tcW w:w="296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E854DBF">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收集、运输、贮存废铅蓄电池的容器或托盘，应根据废铅蓄电池的特性设计，不易破损、变形，其所用材料能有效地防止渗漏、扩散，并耐酸腐蚀。装有废铅蓄电池的容器或托盘必须粘贴符合GB18597要求的危险废物标签</w:t>
                  </w:r>
                </w:p>
              </w:tc>
              <w:tc>
                <w:tcPr>
                  <w:tcW w:w="223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9FA65CF">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本项目废铅酸蓄电池暂存区分为完整电池回收暂存区和破损电池回收暂存区，完整电池回收暂存区设置P</w:t>
                  </w:r>
                  <w:r>
                    <w:rPr>
                      <w:rFonts w:hint="eastAsia" w:cs="Times New Roman"/>
                      <w:b w:val="0"/>
                      <w:bCs w:val="0"/>
                      <w:color w:val="auto"/>
                      <w:u w:val="none"/>
                      <w:lang w:val="en-US" w:eastAsia="zh-CN"/>
                    </w:rPr>
                    <w:t>VC</w:t>
                  </w:r>
                  <w:r>
                    <w:rPr>
                      <w:rFonts w:hint="eastAsia" w:ascii="Times New Roman" w:hAnsi="Times New Roman" w:eastAsia="宋体" w:cs="Times New Roman"/>
                      <w:b w:val="0"/>
                      <w:bCs w:val="0"/>
                      <w:color w:val="auto"/>
                      <w:u w:val="none"/>
                      <w:lang w:val="en-US" w:eastAsia="zh-CN"/>
                    </w:rPr>
                    <w:t>防渗漏托盘，破损电池回收暂存区采用耐酸PV</w:t>
                  </w:r>
                  <w:r>
                    <w:rPr>
                      <w:rFonts w:hint="eastAsia" w:cs="Times New Roman"/>
                      <w:b w:val="0"/>
                      <w:bCs w:val="0"/>
                      <w:color w:val="auto"/>
                      <w:u w:val="none"/>
                      <w:lang w:val="en-US" w:eastAsia="zh-CN"/>
                    </w:rPr>
                    <w:t>C</w:t>
                  </w:r>
                  <w:r>
                    <w:rPr>
                      <w:rFonts w:hint="eastAsia" w:ascii="Times New Roman" w:hAnsi="Times New Roman" w:eastAsia="宋体" w:cs="Times New Roman"/>
                      <w:b w:val="0"/>
                      <w:bCs w:val="0"/>
                      <w:color w:val="auto"/>
                      <w:u w:val="none"/>
                      <w:lang w:val="en-US" w:eastAsia="zh-CN"/>
                    </w:rPr>
                    <w:t>暂存箱放置；各废铅蓄电池贮存箱或托盘均粘贴符合要求的危废标签</w:t>
                  </w:r>
                </w:p>
              </w:tc>
              <w:tc>
                <w:tcPr>
                  <w:tcW w:w="721" w:type="dxa"/>
                  <w:vMerge w:val="continue"/>
                  <w:tcBorders>
                    <w:left w:val="single" w:color="auto" w:sz="4" w:space="0"/>
                    <w:right w:val="single" w:color="auto" w:sz="4" w:space="0"/>
                  </w:tcBorders>
                  <w:shd w:val="clear" w:color="auto" w:fill="auto"/>
                  <w:noWrap w:val="0"/>
                  <w:vAlign w:val="center"/>
                </w:tcPr>
                <w:p w14:paraId="304A747D">
                  <w:pPr>
                    <w:pStyle w:val="61"/>
                    <w:keepNext w:val="0"/>
                    <w:keepLines w:val="0"/>
                    <w:suppressLineNumbers w:val="0"/>
                    <w:bidi w:val="0"/>
                    <w:spacing w:before="0" w:beforeAutospacing="0" w:after="0" w:afterAutospacing="0"/>
                    <w:ind w:left="0" w:right="0"/>
                    <w:rPr>
                      <w:rFonts w:hint="eastAsia"/>
                      <w:lang w:val="en-US" w:eastAsia="zh-CN"/>
                    </w:rPr>
                  </w:pPr>
                </w:p>
              </w:tc>
            </w:tr>
            <w:tr w14:paraId="0B578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 w:hRule="atLeast"/>
                <w:jc w:val="center"/>
              </w:trPr>
              <w:tc>
                <w:tcPr>
                  <w:tcW w:w="1124" w:type="dxa"/>
                  <w:vMerge w:val="continue"/>
                  <w:tcBorders>
                    <w:left w:val="single" w:color="auto" w:sz="4" w:space="0"/>
                    <w:right w:val="single" w:color="auto" w:sz="4" w:space="0"/>
                  </w:tcBorders>
                  <w:noWrap w:val="0"/>
                  <w:vAlign w:val="center"/>
                </w:tcPr>
                <w:p w14:paraId="08B240B4">
                  <w:pPr>
                    <w:pStyle w:val="61"/>
                    <w:keepNext w:val="0"/>
                    <w:keepLines w:val="0"/>
                    <w:suppressLineNumbers w:val="0"/>
                    <w:bidi w:val="0"/>
                    <w:spacing w:before="0" w:beforeAutospacing="0" w:after="0" w:afterAutospacing="0"/>
                    <w:ind w:left="0" w:right="0"/>
                    <w:jc w:val="center"/>
                    <w:rPr>
                      <w:rFonts w:hint="eastAsia"/>
                      <w:lang w:val="en-US" w:eastAsia="zh-CN"/>
                    </w:rPr>
                  </w:pPr>
                </w:p>
              </w:tc>
              <w:tc>
                <w:tcPr>
                  <w:tcW w:w="565" w:type="dxa"/>
                  <w:vMerge w:val="continue"/>
                  <w:tcBorders>
                    <w:left w:val="single" w:color="auto" w:sz="4" w:space="0"/>
                    <w:right w:val="single" w:color="auto" w:sz="4" w:space="0"/>
                  </w:tcBorders>
                  <w:shd w:val="clear" w:color="auto" w:fill="auto"/>
                  <w:noWrap w:val="0"/>
                  <w:vAlign w:val="center"/>
                </w:tcPr>
                <w:p w14:paraId="64211199">
                  <w:pPr>
                    <w:pStyle w:val="61"/>
                    <w:keepNext w:val="0"/>
                    <w:keepLines w:val="0"/>
                    <w:suppressLineNumbers w:val="0"/>
                    <w:bidi w:val="0"/>
                    <w:spacing w:before="0" w:beforeAutospacing="0" w:after="0" w:afterAutospacing="0"/>
                    <w:ind w:left="0" w:right="0"/>
                    <w:jc w:val="center"/>
                    <w:rPr>
                      <w:rFonts w:hint="eastAsia"/>
                      <w:lang w:val="en-US" w:eastAsia="zh-CN"/>
                    </w:rPr>
                  </w:pPr>
                </w:p>
              </w:tc>
              <w:tc>
                <w:tcPr>
                  <w:tcW w:w="296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F133513">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废铅蓄电池收集、贮存企业应建立废铅蓄电池收集处理数据信息管理系统，如实记录收集、贮存、转移废铅蓄电池的重量、来源、去向等信息，并实现与全国固体废物管理信息系统的数据对接</w:t>
                  </w:r>
                </w:p>
              </w:tc>
              <w:tc>
                <w:tcPr>
                  <w:tcW w:w="223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0025650">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项目收集、贮存、转移废旧蓄电池过程中如实记录收集、贮存、来源、去向等信息</w:t>
                  </w:r>
                </w:p>
              </w:tc>
              <w:tc>
                <w:tcPr>
                  <w:tcW w:w="721" w:type="dxa"/>
                  <w:vMerge w:val="continue"/>
                  <w:tcBorders>
                    <w:left w:val="single" w:color="auto" w:sz="4" w:space="0"/>
                    <w:right w:val="single" w:color="auto" w:sz="4" w:space="0"/>
                  </w:tcBorders>
                  <w:shd w:val="clear" w:color="auto" w:fill="auto"/>
                  <w:noWrap w:val="0"/>
                  <w:vAlign w:val="center"/>
                </w:tcPr>
                <w:p w14:paraId="7CDC8BFA">
                  <w:pPr>
                    <w:pStyle w:val="61"/>
                    <w:keepNext w:val="0"/>
                    <w:keepLines w:val="0"/>
                    <w:suppressLineNumbers w:val="0"/>
                    <w:bidi w:val="0"/>
                    <w:spacing w:before="0" w:beforeAutospacing="0" w:after="0" w:afterAutospacing="0"/>
                    <w:ind w:left="0" w:right="0"/>
                    <w:rPr>
                      <w:rFonts w:hint="eastAsia"/>
                      <w:lang w:val="en-US" w:eastAsia="zh-CN"/>
                    </w:rPr>
                  </w:pPr>
                </w:p>
              </w:tc>
            </w:tr>
            <w:tr w14:paraId="6B9C67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 w:hRule="atLeast"/>
                <w:jc w:val="center"/>
              </w:trPr>
              <w:tc>
                <w:tcPr>
                  <w:tcW w:w="1124" w:type="dxa"/>
                  <w:vMerge w:val="continue"/>
                  <w:tcBorders>
                    <w:left w:val="single" w:color="auto" w:sz="4" w:space="0"/>
                    <w:right w:val="single" w:color="auto" w:sz="4" w:space="0"/>
                  </w:tcBorders>
                  <w:noWrap w:val="0"/>
                  <w:vAlign w:val="center"/>
                </w:tcPr>
                <w:p w14:paraId="01EEDF23">
                  <w:pPr>
                    <w:pStyle w:val="61"/>
                    <w:keepNext w:val="0"/>
                    <w:keepLines w:val="0"/>
                    <w:suppressLineNumbers w:val="0"/>
                    <w:bidi w:val="0"/>
                    <w:spacing w:before="0" w:beforeAutospacing="0" w:after="0" w:afterAutospacing="0"/>
                    <w:ind w:left="0" w:right="0"/>
                    <w:jc w:val="center"/>
                    <w:rPr>
                      <w:rFonts w:hint="eastAsia"/>
                      <w:lang w:val="en-US" w:eastAsia="zh-CN"/>
                    </w:rPr>
                  </w:pPr>
                </w:p>
              </w:tc>
              <w:tc>
                <w:tcPr>
                  <w:tcW w:w="565" w:type="dxa"/>
                  <w:vMerge w:val="continue"/>
                  <w:tcBorders>
                    <w:left w:val="single" w:color="auto" w:sz="4" w:space="0"/>
                    <w:right w:val="single" w:color="auto" w:sz="4" w:space="0"/>
                  </w:tcBorders>
                  <w:shd w:val="clear" w:color="auto" w:fill="auto"/>
                  <w:noWrap w:val="0"/>
                  <w:vAlign w:val="center"/>
                </w:tcPr>
                <w:p w14:paraId="1035F148">
                  <w:pPr>
                    <w:pStyle w:val="61"/>
                    <w:keepNext w:val="0"/>
                    <w:keepLines w:val="0"/>
                    <w:suppressLineNumbers w:val="0"/>
                    <w:bidi w:val="0"/>
                    <w:spacing w:before="0" w:beforeAutospacing="0" w:after="0" w:afterAutospacing="0"/>
                    <w:ind w:left="0" w:right="0"/>
                    <w:jc w:val="center"/>
                    <w:rPr>
                      <w:rFonts w:hint="eastAsia"/>
                      <w:lang w:val="en-US" w:eastAsia="zh-CN"/>
                    </w:rPr>
                  </w:pPr>
                </w:p>
              </w:tc>
              <w:tc>
                <w:tcPr>
                  <w:tcW w:w="296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61FF5F1">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禁止在收集、运输和贮存过程中擅自拆解、破碎、丢弃废铅蓄电池；禁止倾倒含铅酸性电解质</w:t>
                  </w:r>
                </w:p>
              </w:tc>
              <w:tc>
                <w:tcPr>
                  <w:tcW w:w="223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20CAD0A">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本项目仅对拆解产生的废铅酸蓄电池进行收集、暂存，运输</w:t>
                  </w:r>
                  <w:r>
                    <w:rPr>
                      <w:rFonts w:hint="eastAsia"/>
                      <w:lang w:val="en-US" w:eastAsia="zh-CN"/>
                    </w:rPr>
                    <w:t>交有资质的经营单位</w:t>
                  </w:r>
                  <w:r>
                    <w:rPr>
                      <w:rFonts w:hint="eastAsia" w:ascii="Times New Roman" w:hAnsi="Times New Roman" w:eastAsia="宋体" w:cs="Times New Roman"/>
                      <w:b w:val="0"/>
                      <w:bCs w:val="0"/>
                      <w:color w:val="auto"/>
                      <w:u w:val="none"/>
                      <w:lang w:val="en-US" w:eastAsia="zh-CN"/>
                    </w:rPr>
                    <w:t>，不进行废铅蓄电池的拆解、破碎等</w:t>
                  </w:r>
                </w:p>
              </w:tc>
              <w:tc>
                <w:tcPr>
                  <w:tcW w:w="721" w:type="dxa"/>
                  <w:vMerge w:val="continue"/>
                  <w:tcBorders>
                    <w:left w:val="single" w:color="auto" w:sz="4" w:space="0"/>
                    <w:right w:val="single" w:color="auto" w:sz="4" w:space="0"/>
                  </w:tcBorders>
                  <w:shd w:val="clear" w:color="auto" w:fill="auto"/>
                  <w:noWrap w:val="0"/>
                  <w:vAlign w:val="center"/>
                </w:tcPr>
                <w:p w14:paraId="2DF4B0B7">
                  <w:pPr>
                    <w:pStyle w:val="61"/>
                    <w:keepNext w:val="0"/>
                    <w:keepLines w:val="0"/>
                    <w:suppressLineNumbers w:val="0"/>
                    <w:bidi w:val="0"/>
                    <w:spacing w:before="0" w:beforeAutospacing="0" w:after="0" w:afterAutospacing="0"/>
                    <w:ind w:left="0" w:right="0"/>
                    <w:rPr>
                      <w:rFonts w:hint="eastAsia"/>
                      <w:lang w:val="en-US" w:eastAsia="zh-CN"/>
                    </w:rPr>
                  </w:pPr>
                </w:p>
              </w:tc>
            </w:tr>
            <w:tr w14:paraId="0E6FF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 w:hRule="atLeast"/>
                <w:jc w:val="center"/>
              </w:trPr>
              <w:tc>
                <w:tcPr>
                  <w:tcW w:w="1124" w:type="dxa"/>
                  <w:vMerge w:val="continue"/>
                  <w:tcBorders>
                    <w:left w:val="single" w:color="auto" w:sz="4" w:space="0"/>
                    <w:right w:val="single" w:color="auto" w:sz="4" w:space="0"/>
                  </w:tcBorders>
                  <w:noWrap w:val="0"/>
                  <w:vAlign w:val="center"/>
                </w:tcPr>
                <w:p w14:paraId="6169BCB2">
                  <w:pPr>
                    <w:pStyle w:val="61"/>
                    <w:keepNext w:val="0"/>
                    <w:keepLines w:val="0"/>
                    <w:suppressLineNumbers w:val="0"/>
                    <w:bidi w:val="0"/>
                    <w:spacing w:before="0" w:beforeAutospacing="0" w:after="0" w:afterAutospacing="0"/>
                    <w:ind w:left="0" w:right="0"/>
                    <w:jc w:val="center"/>
                    <w:rPr>
                      <w:rFonts w:hint="eastAsia"/>
                      <w:lang w:val="en-US" w:eastAsia="zh-CN"/>
                    </w:rPr>
                  </w:pPr>
                </w:p>
              </w:tc>
              <w:tc>
                <w:tcPr>
                  <w:tcW w:w="565" w:type="dxa"/>
                  <w:vMerge w:val="continue"/>
                  <w:tcBorders>
                    <w:left w:val="single" w:color="auto" w:sz="4" w:space="0"/>
                    <w:right w:val="single" w:color="auto" w:sz="4" w:space="0"/>
                  </w:tcBorders>
                  <w:shd w:val="clear" w:color="auto" w:fill="auto"/>
                  <w:noWrap w:val="0"/>
                  <w:vAlign w:val="center"/>
                </w:tcPr>
                <w:p w14:paraId="3397A957">
                  <w:pPr>
                    <w:pStyle w:val="61"/>
                    <w:keepNext w:val="0"/>
                    <w:keepLines w:val="0"/>
                    <w:suppressLineNumbers w:val="0"/>
                    <w:bidi w:val="0"/>
                    <w:spacing w:before="0" w:beforeAutospacing="0" w:after="0" w:afterAutospacing="0"/>
                    <w:ind w:left="0" w:right="0"/>
                    <w:jc w:val="center"/>
                    <w:rPr>
                      <w:rFonts w:hint="eastAsia"/>
                      <w:lang w:val="en-US" w:eastAsia="zh-CN"/>
                    </w:rPr>
                  </w:pPr>
                </w:p>
              </w:tc>
              <w:tc>
                <w:tcPr>
                  <w:tcW w:w="296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BEB31D2">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废铅蓄电池收集、运输、贮存过程除应满足环境保护相关要求外，还应符合国家安全生产、职业健康、交通运输、消防等法规标准的相关要求</w:t>
                  </w:r>
                </w:p>
              </w:tc>
              <w:tc>
                <w:tcPr>
                  <w:tcW w:w="223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947D6B8">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本项目废铅蓄电池的收集、运输、贮存满足环保、安全、职业健康、交通运输等相关要求</w:t>
                  </w:r>
                </w:p>
              </w:tc>
              <w:tc>
                <w:tcPr>
                  <w:tcW w:w="721" w:type="dxa"/>
                  <w:vMerge w:val="continue"/>
                  <w:tcBorders>
                    <w:left w:val="single" w:color="auto" w:sz="4" w:space="0"/>
                    <w:bottom w:val="single" w:color="auto" w:sz="4" w:space="0"/>
                    <w:right w:val="single" w:color="auto" w:sz="4" w:space="0"/>
                  </w:tcBorders>
                  <w:shd w:val="clear" w:color="auto" w:fill="auto"/>
                  <w:noWrap w:val="0"/>
                  <w:vAlign w:val="center"/>
                </w:tcPr>
                <w:p w14:paraId="628FAF8E">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p>
              </w:tc>
            </w:tr>
            <w:tr w14:paraId="04A6F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4" w:hRule="atLeast"/>
                <w:jc w:val="center"/>
              </w:trPr>
              <w:tc>
                <w:tcPr>
                  <w:tcW w:w="1124" w:type="dxa"/>
                  <w:vMerge w:val="continue"/>
                  <w:tcBorders>
                    <w:left w:val="single" w:color="auto" w:sz="4" w:space="0"/>
                    <w:right w:val="single" w:color="auto" w:sz="4" w:space="0"/>
                  </w:tcBorders>
                  <w:noWrap w:val="0"/>
                  <w:vAlign w:val="center"/>
                </w:tcPr>
                <w:p w14:paraId="73C8F077">
                  <w:pPr>
                    <w:pStyle w:val="61"/>
                    <w:keepNext w:val="0"/>
                    <w:keepLines w:val="0"/>
                    <w:suppressLineNumbers w:val="0"/>
                    <w:bidi w:val="0"/>
                    <w:spacing w:before="0" w:beforeAutospacing="0" w:after="0" w:afterAutospacing="0"/>
                    <w:ind w:left="0" w:right="0"/>
                    <w:jc w:val="center"/>
                    <w:rPr>
                      <w:rFonts w:hint="eastAsia" w:ascii="Times New Roman" w:hAnsi="Times New Roman" w:eastAsia="宋体" w:cs="Times New Roman"/>
                      <w:b w:val="0"/>
                      <w:color w:val="auto"/>
                      <w:kern w:val="2"/>
                      <w:sz w:val="21"/>
                      <w:szCs w:val="21"/>
                      <w:lang w:val="en-US" w:eastAsia="zh-CN" w:bidi="ar-SA"/>
                    </w:rPr>
                  </w:pPr>
                </w:p>
              </w:tc>
              <w:tc>
                <w:tcPr>
                  <w:tcW w:w="565" w:type="dxa"/>
                  <w:vMerge w:val="restart"/>
                  <w:tcBorders>
                    <w:top w:val="single" w:color="auto" w:sz="4" w:space="0"/>
                    <w:left w:val="single" w:color="auto" w:sz="4" w:space="0"/>
                    <w:right w:val="single" w:color="auto" w:sz="4" w:space="0"/>
                  </w:tcBorders>
                  <w:shd w:val="clear" w:color="auto" w:fill="auto"/>
                  <w:noWrap w:val="0"/>
                  <w:vAlign w:val="center"/>
                </w:tcPr>
                <w:p w14:paraId="6134D86E">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收集要求</w:t>
                  </w:r>
                </w:p>
              </w:tc>
              <w:tc>
                <w:tcPr>
                  <w:tcW w:w="296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5EB49E6">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铅蓄电池生产企业应采取自主回收、联合回收或委托回收模式，通过企业自有销售渠道或再生铅企业、专业收集企业在消费末端建立的网络收集废铅蓄电池，可采用“销一收一”等方式提高收集率。再生铅企业可通过自建，或者与专业收集企业合作，建设网络收集废铅蓄电池</w:t>
                  </w:r>
                </w:p>
              </w:tc>
              <w:tc>
                <w:tcPr>
                  <w:tcW w:w="223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84DD558">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项目对</w:t>
                  </w:r>
                  <w:r>
                    <w:rPr>
                      <w:rFonts w:hint="eastAsia" w:cs="Times New Roman"/>
                      <w:b w:val="0"/>
                      <w:bCs w:val="0"/>
                      <w:color w:val="auto"/>
                      <w:u w:val="none"/>
                      <w:lang w:val="en-US" w:eastAsia="zh-CN"/>
                    </w:rPr>
                    <w:t>拆解产生的</w:t>
                  </w:r>
                  <w:r>
                    <w:rPr>
                      <w:rFonts w:hint="eastAsia" w:ascii="Times New Roman" w:hAnsi="Times New Roman" w:eastAsia="宋体" w:cs="Times New Roman"/>
                      <w:b w:val="0"/>
                      <w:bCs w:val="0"/>
                      <w:color w:val="auto"/>
                      <w:u w:val="none"/>
                      <w:lang w:val="en-US" w:eastAsia="zh-CN"/>
                    </w:rPr>
                    <w:t>废旧铅酸蓄电池进行收集、</w:t>
                  </w:r>
                  <w:r>
                    <w:rPr>
                      <w:rFonts w:hint="eastAsia" w:cs="Times New Roman"/>
                      <w:b w:val="0"/>
                      <w:bCs w:val="0"/>
                      <w:color w:val="auto"/>
                      <w:u w:val="none"/>
                      <w:lang w:val="en-US" w:eastAsia="zh-CN"/>
                    </w:rPr>
                    <w:t>暂存于危废间</w:t>
                  </w:r>
                  <w:r>
                    <w:rPr>
                      <w:rFonts w:hint="eastAsia" w:ascii="Times New Roman" w:hAnsi="Times New Roman" w:eastAsia="宋体" w:cs="Times New Roman"/>
                      <w:b w:val="0"/>
                      <w:bCs w:val="0"/>
                      <w:color w:val="auto"/>
                      <w:u w:val="none"/>
                      <w:lang w:val="en-US" w:eastAsia="zh-CN"/>
                    </w:rPr>
                    <w:t>暂存后交有资质的单位进行处理</w:t>
                  </w:r>
                </w:p>
              </w:tc>
              <w:tc>
                <w:tcPr>
                  <w:tcW w:w="721"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3267D1C">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符合</w:t>
                  </w:r>
                </w:p>
              </w:tc>
            </w:tr>
            <w:tr w14:paraId="317FF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4" w:hRule="atLeast"/>
                <w:jc w:val="center"/>
              </w:trPr>
              <w:tc>
                <w:tcPr>
                  <w:tcW w:w="1124" w:type="dxa"/>
                  <w:vMerge w:val="continue"/>
                  <w:tcBorders>
                    <w:left w:val="single" w:color="auto" w:sz="4" w:space="0"/>
                    <w:right w:val="single" w:color="auto" w:sz="4" w:space="0"/>
                  </w:tcBorders>
                  <w:noWrap w:val="0"/>
                  <w:vAlign w:val="center"/>
                </w:tcPr>
                <w:p w14:paraId="33F40FE9">
                  <w:pPr>
                    <w:pStyle w:val="61"/>
                    <w:keepNext w:val="0"/>
                    <w:keepLines w:val="0"/>
                    <w:suppressLineNumbers w:val="0"/>
                    <w:bidi w:val="0"/>
                    <w:spacing w:before="0" w:beforeAutospacing="0" w:after="0" w:afterAutospacing="0"/>
                    <w:ind w:left="0" w:right="0"/>
                    <w:jc w:val="center"/>
                    <w:rPr>
                      <w:rFonts w:hint="default"/>
                    </w:rPr>
                  </w:pPr>
                </w:p>
              </w:tc>
              <w:tc>
                <w:tcPr>
                  <w:tcW w:w="565" w:type="dxa"/>
                  <w:vMerge w:val="continue"/>
                  <w:tcBorders>
                    <w:left w:val="single" w:color="auto" w:sz="4" w:space="0"/>
                    <w:right w:val="single" w:color="auto" w:sz="4" w:space="0"/>
                  </w:tcBorders>
                  <w:shd w:val="clear" w:color="auto" w:fill="auto"/>
                  <w:noWrap w:val="0"/>
                  <w:vAlign w:val="center"/>
                </w:tcPr>
                <w:p w14:paraId="40BBA58F">
                  <w:pPr>
                    <w:pStyle w:val="61"/>
                    <w:keepNext w:val="0"/>
                    <w:keepLines w:val="0"/>
                    <w:suppressLineNumbers w:val="0"/>
                    <w:bidi w:val="0"/>
                    <w:spacing w:before="0" w:beforeAutospacing="0" w:after="0" w:afterAutospacing="0"/>
                    <w:ind w:left="0" w:right="0"/>
                    <w:jc w:val="center"/>
                    <w:rPr>
                      <w:rFonts w:hint="eastAsia"/>
                      <w:lang w:val="en-US" w:eastAsia="zh-CN"/>
                    </w:rPr>
                  </w:pPr>
                </w:p>
              </w:tc>
              <w:tc>
                <w:tcPr>
                  <w:tcW w:w="296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97BDD4B">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废铅蓄电池应进行合理包装，防止运输过程破损和电解质泄漏</w:t>
                  </w:r>
                </w:p>
              </w:tc>
              <w:tc>
                <w:tcPr>
                  <w:tcW w:w="223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DDF9D4B">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废铅蓄电池采用</w:t>
                  </w:r>
                  <w:r>
                    <w:rPr>
                      <w:rFonts w:hint="eastAsia" w:cs="Times New Roman"/>
                      <w:b w:val="0"/>
                      <w:bCs w:val="0"/>
                      <w:color w:val="auto"/>
                      <w:u w:val="none"/>
                      <w:lang w:val="en-US" w:eastAsia="zh-CN"/>
                    </w:rPr>
                    <w:t>防渗托盘</w:t>
                  </w:r>
                  <w:r>
                    <w:rPr>
                      <w:rFonts w:hint="eastAsia" w:ascii="Times New Roman" w:hAnsi="Times New Roman" w:eastAsia="宋体" w:cs="Times New Roman"/>
                      <w:b w:val="0"/>
                      <w:bCs w:val="0"/>
                      <w:color w:val="auto"/>
                      <w:u w:val="none"/>
                      <w:lang w:val="en-US" w:eastAsia="zh-CN"/>
                    </w:rPr>
                    <w:t>进行包装，可防止运输过程破碎和电解质泄漏</w:t>
                  </w:r>
                </w:p>
              </w:tc>
              <w:tc>
                <w:tcPr>
                  <w:tcW w:w="721"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ABC8350">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符合</w:t>
                  </w:r>
                </w:p>
              </w:tc>
            </w:tr>
            <w:tr w14:paraId="1C3F2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4" w:hRule="atLeast"/>
                <w:jc w:val="center"/>
              </w:trPr>
              <w:tc>
                <w:tcPr>
                  <w:tcW w:w="1124" w:type="dxa"/>
                  <w:vMerge w:val="continue"/>
                  <w:tcBorders>
                    <w:left w:val="single" w:color="auto" w:sz="4" w:space="0"/>
                    <w:right w:val="single" w:color="auto" w:sz="4" w:space="0"/>
                  </w:tcBorders>
                  <w:noWrap w:val="0"/>
                  <w:vAlign w:val="center"/>
                </w:tcPr>
                <w:p w14:paraId="4E71E5F6">
                  <w:pPr>
                    <w:pStyle w:val="61"/>
                    <w:keepNext w:val="0"/>
                    <w:keepLines w:val="0"/>
                    <w:suppressLineNumbers w:val="0"/>
                    <w:bidi w:val="0"/>
                    <w:spacing w:before="0" w:beforeAutospacing="0" w:after="0" w:afterAutospacing="0"/>
                    <w:ind w:left="0" w:right="0"/>
                    <w:jc w:val="center"/>
                    <w:rPr>
                      <w:rFonts w:hint="eastAsia"/>
                      <w:lang w:val="en-US" w:eastAsia="zh-CN"/>
                    </w:rPr>
                  </w:pPr>
                </w:p>
              </w:tc>
              <w:tc>
                <w:tcPr>
                  <w:tcW w:w="565" w:type="dxa"/>
                  <w:vMerge w:val="continue"/>
                  <w:tcBorders>
                    <w:left w:val="single" w:color="auto" w:sz="4" w:space="0"/>
                    <w:bottom w:val="single" w:color="auto" w:sz="4" w:space="0"/>
                    <w:right w:val="single" w:color="auto" w:sz="4" w:space="0"/>
                  </w:tcBorders>
                  <w:shd w:val="clear" w:color="auto" w:fill="auto"/>
                  <w:noWrap w:val="0"/>
                  <w:vAlign w:val="center"/>
                </w:tcPr>
                <w:p w14:paraId="59A09997">
                  <w:pPr>
                    <w:pStyle w:val="61"/>
                    <w:keepNext w:val="0"/>
                    <w:keepLines w:val="0"/>
                    <w:suppressLineNumbers w:val="0"/>
                    <w:bidi w:val="0"/>
                    <w:spacing w:before="0" w:beforeAutospacing="0" w:after="0" w:afterAutospacing="0"/>
                    <w:ind w:left="0" w:right="0"/>
                    <w:jc w:val="center"/>
                    <w:rPr>
                      <w:rFonts w:hint="eastAsia"/>
                      <w:lang w:val="en-US" w:eastAsia="zh-CN"/>
                    </w:rPr>
                  </w:pPr>
                </w:p>
              </w:tc>
              <w:tc>
                <w:tcPr>
                  <w:tcW w:w="296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5549198">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废铅蓄电池有破损或电解质渗漏的，应将废铅蓄电池及其渗漏液贮存于耐酸容器中</w:t>
                  </w:r>
                </w:p>
              </w:tc>
              <w:tc>
                <w:tcPr>
                  <w:tcW w:w="223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596C0B7">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本项目设置专用的耐酸PV</w:t>
                  </w:r>
                  <w:r>
                    <w:rPr>
                      <w:rFonts w:hint="eastAsia" w:cs="Times New Roman"/>
                      <w:b w:val="0"/>
                      <w:bCs w:val="0"/>
                      <w:color w:val="auto"/>
                      <w:u w:val="none"/>
                      <w:lang w:val="en-US" w:eastAsia="zh-CN"/>
                    </w:rPr>
                    <w:t>C</w:t>
                  </w:r>
                  <w:r>
                    <w:rPr>
                      <w:rFonts w:hint="eastAsia" w:ascii="Times New Roman" w:hAnsi="Times New Roman" w:eastAsia="宋体" w:cs="Times New Roman"/>
                      <w:b w:val="0"/>
                      <w:bCs w:val="0"/>
                      <w:color w:val="auto"/>
                      <w:u w:val="none"/>
                      <w:lang w:val="en-US" w:eastAsia="zh-CN"/>
                    </w:rPr>
                    <w:t>箱贮存破碎的废铅蓄电池</w:t>
                  </w:r>
                </w:p>
              </w:tc>
              <w:tc>
                <w:tcPr>
                  <w:tcW w:w="721"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BCC78F2">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符合</w:t>
                  </w:r>
                </w:p>
              </w:tc>
            </w:tr>
            <w:tr w14:paraId="17BCF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4" w:hRule="atLeast"/>
                <w:jc w:val="center"/>
              </w:trPr>
              <w:tc>
                <w:tcPr>
                  <w:tcW w:w="1124" w:type="dxa"/>
                  <w:vMerge w:val="continue"/>
                  <w:tcBorders>
                    <w:left w:val="single" w:color="auto" w:sz="4" w:space="0"/>
                    <w:right w:val="single" w:color="auto" w:sz="4" w:space="0"/>
                  </w:tcBorders>
                  <w:noWrap w:val="0"/>
                  <w:vAlign w:val="center"/>
                </w:tcPr>
                <w:p w14:paraId="4F5C687C">
                  <w:pPr>
                    <w:pStyle w:val="61"/>
                    <w:keepNext w:val="0"/>
                    <w:keepLines w:val="0"/>
                    <w:suppressLineNumbers w:val="0"/>
                    <w:bidi w:val="0"/>
                    <w:spacing w:before="0" w:beforeAutospacing="0" w:after="0" w:afterAutospacing="0"/>
                    <w:ind w:left="0" w:right="0"/>
                    <w:jc w:val="center"/>
                    <w:rPr>
                      <w:rFonts w:hint="eastAsia"/>
                      <w:lang w:val="en-US" w:eastAsia="zh-CN"/>
                    </w:rPr>
                  </w:pPr>
                </w:p>
              </w:tc>
              <w:tc>
                <w:tcPr>
                  <w:tcW w:w="565" w:type="dxa"/>
                  <w:vMerge w:val="restart"/>
                  <w:tcBorders>
                    <w:left w:val="single" w:color="auto" w:sz="4" w:space="0"/>
                    <w:right w:val="single" w:color="auto" w:sz="4" w:space="0"/>
                  </w:tcBorders>
                  <w:shd w:val="clear" w:color="auto" w:fill="auto"/>
                  <w:noWrap w:val="0"/>
                  <w:vAlign w:val="center"/>
                </w:tcPr>
                <w:p w14:paraId="45683F96">
                  <w:pPr>
                    <w:pStyle w:val="61"/>
                    <w:keepNext w:val="0"/>
                    <w:keepLines w:val="0"/>
                    <w:suppressLineNumbers w:val="0"/>
                    <w:bidi w:val="0"/>
                    <w:spacing w:before="0" w:beforeAutospacing="0" w:after="0" w:afterAutospacing="0"/>
                    <w:ind w:left="0" w:right="0"/>
                    <w:jc w:val="center"/>
                    <w:rPr>
                      <w:rFonts w:hint="default"/>
                      <w:lang w:val="en-US" w:eastAsia="zh-CN"/>
                    </w:rPr>
                  </w:pPr>
                  <w:r>
                    <w:rPr>
                      <w:rFonts w:hint="eastAsia"/>
                      <w:lang w:val="en-US" w:eastAsia="zh-CN"/>
                    </w:rPr>
                    <w:t>暂存和贮存</w:t>
                  </w:r>
                </w:p>
              </w:tc>
              <w:tc>
                <w:tcPr>
                  <w:tcW w:w="296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8D15B6A">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u w:val="none"/>
                      <w:lang w:val="en-US" w:eastAsia="zh-CN"/>
                    </w:rPr>
                  </w:pPr>
                  <w:r>
                    <w:rPr>
                      <w:rFonts w:hint="eastAsia" w:ascii="Times New Roman" w:hAnsi="Times New Roman" w:eastAsia="宋体" w:cs="Times New Roman"/>
                      <w:b w:val="0"/>
                      <w:bCs w:val="0"/>
                      <w:color w:val="auto"/>
                      <w:u w:val="none"/>
                      <w:lang w:val="en-US" w:eastAsia="zh-CN"/>
                    </w:rPr>
                    <w:t>基于废铅蓄电池收集过程的特殊性及其环境风险，分为收集网点暂存和集中转运点贮存两种方式。</w:t>
                  </w:r>
                </w:p>
              </w:tc>
              <w:tc>
                <w:tcPr>
                  <w:tcW w:w="223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CC89A4D">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default" w:ascii="Times New Roman" w:hAnsi="Times New Roman" w:eastAsia="宋体" w:cs="Times New Roman"/>
                      <w:b w:val="0"/>
                      <w:bCs w:val="0"/>
                      <w:color w:val="auto"/>
                      <w:u w:val="none"/>
                      <w:lang w:val="en-US" w:eastAsia="zh-CN"/>
                    </w:rPr>
                  </w:pPr>
                  <w:r>
                    <w:rPr>
                      <w:rFonts w:hint="eastAsia" w:ascii="Times New Roman" w:hAnsi="Times New Roman" w:eastAsia="宋体" w:cs="Times New Roman"/>
                      <w:b w:val="0"/>
                      <w:bCs w:val="0"/>
                      <w:color w:val="auto"/>
                      <w:u w:val="none"/>
                      <w:lang w:val="en-US" w:eastAsia="zh-CN"/>
                    </w:rPr>
                    <w:t>本项目从事废旧电动自行车拆解，拆解过程中产生少量废铅蓄电池，参照收集网点进行评价</w:t>
                  </w:r>
                </w:p>
              </w:tc>
              <w:tc>
                <w:tcPr>
                  <w:tcW w:w="721"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765A870">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default" w:ascii="Times New Roman" w:hAnsi="Times New Roman" w:eastAsia="宋体" w:cs="Times New Roman"/>
                      <w:b w:val="0"/>
                      <w:bCs w:val="0"/>
                      <w:color w:val="auto"/>
                      <w:u w:val="none"/>
                      <w:lang w:val="en-US" w:eastAsia="zh-CN"/>
                    </w:rPr>
                  </w:pPr>
                  <w:r>
                    <w:rPr>
                      <w:rFonts w:hint="eastAsia" w:ascii="Times New Roman" w:hAnsi="Times New Roman" w:eastAsia="宋体" w:cs="Times New Roman"/>
                      <w:b w:val="0"/>
                      <w:bCs w:val="0"/>
                      <w:color w:val="auto"/>
                      <w:u w:val="none"/>
                      <w:lang w:val="en-US" w:eastAsia="zh-CN"/>
                    </w:rPr>
                    <w:t>符合</w:t>
                  </w:r>
                </w:p>
              </w:tc>
            </w:tr>
            <w:tr w14:paraId="3A37D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4" w:hRule="atLeast"/>
                <w:jc w:val="center"/>
              </w:trPr>
              <w:tc>
                <w:tcPr>
                  <w:tcW w:w="1124" w:type="dxa"/>
                  <w:vMerge w:val="continue"/>
                  <w:tcBorders>
                    <w:left w:val="single" w:color="auto" w:sz="4" w:space="0"/>
                    <w:right w:val="single" w:color="auto" w:sz="4" w:space="0"/>
                  </w:tcBorders>
                  <w:noWrap w:val="0"/>
                  <w:vAlign w:val="center"/>
                </w:tcPr>
                <w:p w14:paraId="0B92A990">
                  <w:pPr>
                    <w:pStyle w:val="61"/>
                    <w:keepNext w:val="0"/>
                    <w:keepLines w:val="0"/>
                    <w:suppressLineNumbers w:val="0"/>
                    <w:bidi w:val="0"/>
                    <w:spacing w:before="0" w:beforeAutospacing="0" w:after="0" w:afterAutospacing="0"/>
                    <w:ind w:left="0" w:right="0"/>
                    <w:jc w:val="center"/>
                    <w:rPr>
                      <w:rFonts w:hint="eastAsia"/>
                      <w:lang w:val="en-US" w:eastAsia="zh-CN"/>
                    </w:rPr>
                  </w:pPr>
                </w:p>
              </w:tc>
              <w:tc>
                <w:tcPr>
                  <w:tcW w:w="565" w:type="dxa"/>
                  <w:vMerge w:val="continue"/>
                  <w:tcBorders>
                    <w:left w:val="single" w:color="auto" w:sz="4" w:space="0"/>
                    <w:right w:val="single" w:color="auto" w:sz="4" w:space="0"/>
                  </w:tcBorders>
                  <w:shd w:val="clear" w:color="auto" w:fill="auto"/>
                  <w:noWrap w:val="0"/>
                  <w:vAlign w:val="center"/>
                </w:tcPr>
                <w:p w14:paraId="06ED2527">
                  <w:pPr>
                    <w:pStyle w:val="61"/>
                    <w:keepNext w:val="0"/>
                    <w:keepLines w:val="0"/>
                    <w:suppressLineNumbers w:val="0"/>
                    <w:bidi w:val="0"/>
                    <w:spacing w:before="0" w:beforeAutospacing="0" w:after="0" w:afterAutospacing="0"/>
                    <w:ind w:left="0" w:right="0"/>
                    <w:jc w:val="center"/>
                    <w:rPr>
                      <w:rFonts w:hint="eastAsia"/>
                      <w:lang w:val="en-US" w:eastAsia="zh-CN"/>
                    </w:rPr>
                  </w:pPr>
                </w:p>
              </w:tc>
              <w:tc>
                <w:tcPr>
                  <w:tcW w:w="296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7247F79">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u w:val="none"/>
                      <w:lang w:val="en-US" w:eastAsia="zh-CN"/>
                    </w:rPr>
                  </w:pPr>
                  <w:r>
                    <w:rPr>
                      <w:rFonts w:hint="eastAsia" w:ascii="Times New Roman" w:hAnsi="Times New Roman" w:eastAsia="宋体" w:cs="Times New Roman"/>
                      <w:b w:val="0"/>
                      <w:bCs w:val="0"/>
                      <w:color w:val="auto"/>
                      <w:u w:val="none"/>
                      <w:lang w:val="en-US" w:eastAsia="zh-CN"/>
                    </w:rPr>
                    <w:t>收集网点暂存时间应不超过90天，重量应不超过3吨</w:t>
                  </w:r>
                  <w:r>
                    <w:rPr>
                      <w:rFonts w:hint="eastAsia" w:cs="Times New Roman"/>
                      <w:b w:val="0"/>
                      <w:bCs w:val="0"/>
                      <w:color w:val="auto"/>
                      <w:u w:val="none"/>
                      <w:lang w:val="en-US" w:eastAsia="zh-CN"/>
                    </w:rPr>
                    <w:t>；</w:t>
                  </w:r>
                </w:p>
              </w:tc>
              <w:tc>
                <w:tcPr>
                  <w:tcW w:w="223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8BB4A2E">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default" w:ascii="Times New Roman" w:hAnsi="Times New Roman" w:eastAsia="宋体" w:cs="Times New Roman"/>
                      <w:b w:val="0"/>
                      <w:bCs w:val="0"/>
                      <w:color w:val="auto"/>
                      <w:u w:val="none"/>
                      <w:lang w:val="en-US" w:eastAsia="zh-CN"/>
                    </w:rPr>
                  </w:pPr>
                  <w:r>
                    <w:rPr>
                      <w:rFonts w:hint="eastAsia" w:ascii="Times New Roman" w:hAnsi="Times New Roman" w:eastAsia="宋体" w:cs="Times New Roman"/>
                      <w:b w:val="0"/>
                      <w:bCs w:val="0"/>
                      <w:color w:val="auto"/>
                      <w:u w:val="none"/>
                      <w:lang w:val="en-US" w:eastAsia="zh-CN"/>
                    </w:rPr>
                    <w:t>项目</w:t>
                  </w:r>
                  <w:r>
                    <w:rPr>
                      <w:rFonts w:hint="eastAsia" w:cs="Times New Roman"/>
                      <w:b w:val="0"/>
                      <w:bCs w:val="0"/>
                      <w:color w:val="auto"/>
                      <w:u w:val="none"/>
                      <w:lang w:val="en-US" w:eastAsia="zh-CN"/>
                    </w:rPr>
                    <w:t>废铅蓄电池</w:t>
                  </w:r>
                  <w:r>
                    <w:rPr>
                      <w:rFonts w:hint="eastAsia" w:ascii="Times New Roman" w:hAnsi="Times New Roman" w:eastAsia="宋体" w:cs="Times New Roman"/>
                      <w:b w:val="0"/>
                      <w:bCs w:val="0"/>
                      <w:color w:val="auto"/>
                      <w:u w:val="none"/>
                      <w:lang w:val="en-US" w:eastAsia="zh-CN"/>
                    </w:rPr>
                    <w:t>最大暂存时间约</w:t>
                  </w:r>
                  <w:r>
                    <w:rPr>
                      <w:rFonts w:hint="eastAsia" w:cs="Times New Roman"/>
                      <w:b w:val="0"/>
                      <w:bCs w:val="0"/>
                      <w:color w:val="auto"/>
                      <w:u w:val="none"/>
                      <w:lang w:val="en-US" w:eastAsia="zh-CN"/>
                    </w:rPr>
                    <w:t>4</w:t>
                  </w:r>
                  <w:r>
                    <w:rPr>
                      <w:rFonts w:hint="eastAsia" w:ascii="Times New Roman" w:hAnsi="Times New Roman" w:eastAsia="宋体" w:cs="Times New Roman"/>
                      <w:b w:val="0"/>
                      <w:bCs w:val="0"/>
                      <w:color w:val="auto"/>
                      <w:u w:val="none"/>
                      <w:lang w:val="en-US" w:eastAsia="zh-CN"/>
                    </w:rPr>
                    <w:t>d，重量</w:t>
                  </w:r>
                  <w:r>
                    <w:rPr>
                      <w:rFonts w:hint="eastAsia" w:cs="Times New Roman"/>
                      <w:b w:val="0"/>
                      <w:bCs w:val="0"/>
                      <w:color w:val="auto"/>
                      <w:u w:val="none"/>
                      <w:lang w:val="en-US" w:eastAsia="zh-CN"/>
                    </w:rPr>
                    <w:t>2.454t</w:t>
                  </w:r>
                  <w:r>
                    <w:rPr>
                      <w:rFonts w:hint="eastAsia" w:ascii="Times New Roman" w:hAnsi="Times New Roman" w:eastAsia="宋体" w:cs="Times New Roman"/>
                      <w:b w:val="0"/>
                      <w:bCs w:val="0"/>
                      <w:color w:val="auto"/>
                      <w:u w:val="none"/>
                      <w:lang w:val="en-US" w:eastAsia="zh-CN"/>
                    </w:rPr>
                    <w:t>＜3</w:t>
                  </w:r>
                  <w:r>
                    <w:rPr>
                      <w:rFonts w:hint="eastAsia" w:cs="Times New Roman"/>
                      <w:b w:val="0"/>
                      <w:bCs w:val="0"/>
                      <w:color w:val="auto"/>
                      <w:u w:val="none"/>
                      <w:lang w:val="en-US" w:eastAsia="zh-CN"/>
                    </w:rPr>
                    <w:t>t</w:t>
                  </w:r>
                </w:p>
              </w:tc>
              <w:tc>
                <w:tcPr>
                  <w:tcW w:w="721"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DFB2637">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default" w:ascii="Times New Roman" w:hAnsi="Times New Roman" w:eastAsia="宋体" w:cs="Times New Roman"/>
                      <w:b w:val="0"/>
                      <w:bCs w:val="0"/>
                      <w:color w:val="auto"/>
                      <w:u w:val="none"/>
                      <w:lang w:val="en-US" w:eastAsia="zh-CN"/>
                    </w:rPr>
                  </w:pPr>
                  <w:r>
                    <w:rPr>
                      <w:rFonts w:hint="eastAsia" w:ascii="Times New Roman" w:hAnsi="Times New Roman" w:eastAsia="宋体" w:cs="Times New Roman"/>
                      <w:b w:val="0"/>
                      <w:bCs w:val="0"/>
                      <w:color w:val="auto"/>
                      <w:u w:val="none"/>
                      <w:lang w:val="en-US" w:eastAsia="zh-CN"/>
                    </w:rPr>
                    <w:t>符合</w:t>
                  </w:r>
                </w:p>
              </w:tc>
            </w:tr>
            <w:tr w14:paraId="210C7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4" w:hRule="atLeast"/>
                <w:jc w:val="center"/>
              </w:trPr>
              <w:tc>
                <w:tcPr>
                  <w:tcW w:w="1124" w:type="dxa"/>
                  <w:vMerge w:val="continue"/>
                  <w:tcBorders>
                    <w:left w:val="single" w:color="auto" w:sz="4" w:space="0"/>
                    <w:right w:val="single" w:color="auto" w:sz="4" w:space="0"/>
                  </w:tcBorders>
                  <w:noWrap w:val="0"/>
                  <w:vAlign w:val="center"/>
                </w:tcPr>
                <w:p w14:paraId="1772B887">
                  <w:pPr>
                    <w:pStyle w:val="61"/>
                    <w:keepNext w:val="0"/>
                    <w:keepLines w:val="0"/>
                    <w:suppressLineNumbers w:val="0"/>
                    <w:bidi w:val="0"/>
                    <w:spacing w:before="0" w:beforeAutospacing="0" w:after="0" w:afterAutospacing="0"/>
                    <w:ind w:left="0" w:right="0"/>
                    <w:jc w:val="center"/>
                    <w:rPr>
                      <w:rFonts w:hint="eastAsia"/>
                      <w:lang w:val="en-US" w:eastAsia="zh-CN"/>
                    </w:rPr>
                  </w:pPr>
                </w:p>
              </w:tc>
              <w:tc>
                <w:tcPr>
                  <w:tcW w:w="565" w:type="dxa"/>
                  <w:vMerge w:val="continue"/>
                  <w:tcBorders>
                    <w:left w:val="single" w:color="auto" w:sz="4" w:space="0"/>
                    <w:bottom w:val="single" w:color="auto" w:sz="4" w:space="0"/>
                    <w:right w:val="single" w:color="auto" w:sz="4" w:space="0"/>
                  </w:tcBorders>
                  <w:shd w:val="clear" w:color="auto" w:fill="auto"/>
                  <w:noWrap w:val="0"/>
                  <w:vAlign w:val="center"/>
                </w:tcPr>
                <w:p w14:paraId="0DBC52BF">
                  <w:pPr>
                    <w:pStyle w:val="61"/>
                    <w:keepNext w:val="0"/>
                    <w:keepLines w:val="0"/>
                    <w:suppressLineNumbers w:val="0"/>
                    <w:bidi w:val="0"/>
                    <w:spacing w:before="0" w:beforeAutospacing="0" w:after="0" w:afterAutospacing="0"/>
                    <w:ind w:left="0" w:right="0"/>
                    <w:jc w:val="center"/>
                    <w:rPr>
                      <w:rFonts w:hint="eastAsia"/>
                      <w:lang w:val="en-US" w:eastAsia="zh-CN"/>
                    </w:rPr>
                  </w:pPr>
                </w:p>
              </w:tc>
              <w:tc>
                <w:tcPr>
                  <w:tcW w:w="296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8136FC1">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u w:val="none"/>
                      <w:lang w:val="en-US" w:eastAsia="zh-CN"/>
                    </w:rPr>
                  </w:pPr>
                  <w:r>
                    <w:rPr>
                      <w:rFonts w:hint="eastAsia" w:ascii="Times New Roman" w:hAnsi="Times New Roman" w:eastAsia="宋体" w:cs="Times New Roman"/>
                      <w:b w:val="0"/>
                      <w:bCs w:val="0"/>
                      <w:color w:val="auto"/>
                      <w:u w:val="none"/>
                      <w:lang w:val="en-US" w:eastAsia="zh-CN"/>
                    </w:rPr>
                    <w:t>收集网点暂存设施应符合以下要求</w:t>
                  </w:r>
                  <w:r>
                    <w:rPr>
                      <w:rFonts w:hint="eastAsia" w:cs="Times New Roman"/>
                      <w:b w:val="0"/>
                      <w:bCs w:val="0"/>
                      <w:color w:val="auto"/>
                      <w:u w:val="none"/>
                      <w:lang w:val="en-US" w:eastAsia="zh-CN"/>
                    </w:rPr>
                    <w:t>：</w:t>
                  </w:r>
                </w:p>
                <w:p w14:paraId="2F3DE114">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u w:val="none"/>
                      <w:lang w:val="en-US" w:eastAsia="zh-CN"/>
                    </w:rPr>
                  </w:pPr>
                  <w:r>
                    <w:rPr>
                      <w:rFonts w:hint="eastAsia" w:cs="Times New Roman"/>
                      <w:b w:val="0"/>
                      <w:bCs w:val="0"/>
                      <w:color w:val="auto"/>
                      <w:u w:val="none"/>
                      <w:lang w:val="en-US" w:eastAsia="zh-CN"/>
                    </w:rPr>
                    <w:t>a）</w:t>
                  </w:r>
                  <w:r>
                    <w:rPr>
                      <w:rFonts w:hint="eastAsia" w:ascii="Times New Roman" w:hAnsi="Times New Roman" w:eastAsia="宋体" w:cs="Times New Roman"/>
                      <w:b w:val="0"/>
                      <w:bCs w:val="0"/>
                      <w:color w:val="auto"/>
                      <w:u w:val="none"/>
                      <w:lang w:val="en-US" w:eastAsia="zh-CN"/>
                    </w:rPr>
                    <w:t>应划分出专门存放区域，面积不少于3㎡。</w:t>
                  </w:r>
                </w:p>
                <w:p w14:paraId="0ECE1332">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u w:val="none"/>
                      <w:lang w:val="en-US" w:eastAsia="zh-CN"/>
                    </w:rPr>
                  </w:pPr>
                  <w:r>
                    <w:rPr>
                      <w:rFonts w:hint="eastAsia" w:cs="Times New Roman"/>
                      <w:b w:val="0"/>
                      <w:bCs w:val="0"/>
                      <w:color w:val="auto"/>
                      <w:u w:val="none"/>
                      <w:lang w:val="en-US" w:eastAsia="zh-CN"/>
                    </w:rPr>
                    <w:t>b）</w:t>
                  </w:r>
                  <w:r>
                    <w:rPr>
                      <w:rFonts w:hint="eastAsia" w:ascii="Times New Roman" w:hAnsi="Times New Roman" w:eastAsia="宋体" w:cs="Times New Roman"/>
                      <w:b w:val="0"/>
                      <w:bCs w:val="0"/>
                      <w:color w:val="auto"/>
                      <w:u w:val="none"/>
                      <w:lang w:val="en-US" w:eastAsia="zh-CN"/>
                    </w:rPr>
                    <w:t>有防止废铅蓄电池破损和电解质泄漏的措施，硬化地面及有耐腐蚀包装容器。</w:t>
                  </w:r>
                </w:p>
                <w:p w14:paraId="26257774">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u w:val="none"/>
                      <w:lang w:val="en-US" w:eastAsia="zh-CN"/>
                    </w:rPr>
                  </w:pPr>
                  <w:r>
                    <w:rPr>
                      <w:rFonts w:hint="eastAsia" w:cs="Times New Roman"/>
                      <w:b w:val="0"/>
                      <w:bCs w:val="0"/>
                      <w:color w:val="auto"/>
                      <w:u w:val="none"/>
                      <w:lang w:val="en-US" w:eastAsia="zh-CN"/>
                    </w:rPr>
                    <w:t>c）</w:t>
                  </w:r>
                  <w:r>
                    <w:rPr>
                      <w:rFonts w:hint="eastAsia" w:ascii="Times New Roman" w:hAnsi="Times New Roman" w:eastAsia="宋体" w:cs="Times New Roman"/>
                      <w:b w:val="0"/>
                      <w:bCs w:val="0"/>
                      <w:color w:val="auto"/>
                      <w:u w:val="none"/>
                      <w:lang w:val="en-US" w:eastAsia="zh-CN"/>
                    </w:rPr>
                    <w:t>废铅蓄电池应存放于耐腐蚀、具有防渗漏措施的托盘或容器中。</w:t>
                  </w:r>
                </w:p>
                <w:p w14:paraId="01D937A8">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u w:val="none"/>
                      <w:lang w:val="en-US" w:eastAsia="zh-CN"/>
                    </w:rPr>
                  </w:pPr>
                  <w:r>
                    <w:rPr>
                      <w:rFonts w:hint="eastAsia" w:cs="Times New Roman"/>
                      <w:b w:val="0"/>
                      <w:bCs w:val="0"/>
                      <w:color w:val="auto"/>
                      <w:u w:val="none"/>
                      <w:lang w:val="en-US" w:eastAsia="zh-CN"/>
                    </w:rPr>
                    <w:t>d）</w:t>
                  </w:r>
                  <w:r>
                    <w:rPr>
                      <w:rFonts w:hint="eastAsia" w:ascii="Times New Roman" w:hAnsi="Times New Roman" w:eastAsia="宋体" w:cs="Times New Roman"/>
                      <w:b w:val="0"/>
                      <w:bCs w:val="0"/>
                      <w:color w:val="auto"/>
                      <w:u w:val="none"/>
                      <w:lang w:val="en-US" w:eastAsia="zh-CN"/>
                    </w:rPr>
                    <w:t>在显著位置张贴废铅蓄电池收集提示性信息和警示标志。</w:t>
                  </w:r>
                </w:p>
              </w:tc>
              <w:tc>
                <w:tcPr>
                  <w:tcW w:w="223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E660429">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u w:val="none"/>
                      <w:lang w:val="en-US" w:eastAsia="zh-CN"/>
                    </w:rPr>
                  </w:pPr>
                  <w:r>
                    <w:rPr>
                      <w:rFonts w:hint="eastAsia" w:cs="Times New Roman"/>
                      <w:b w:val="0"/>
                      <w:bCs w:val="0"/>
                      <w:color w:val="auto"/>
                      <w:u w:val="none"/>
                      <w:lang w:val="en-US" w:eastAsia="zh-CN"/>
                    </w:rPr>
                    <w:t>a）</w:t>
                  </w:r>
                  <w:r>
                    <w:rPr>
                      <w:rFonts w:hint="eastAsia" w:ascii="Times New Roman" w:hAnsi="Times New Roman" w:eastAsia="宋体" w:cs="Times New Roman"/>
                      <w:b w:val="0"/>
                      <w:bCs w:val="0"/>
                      <w:color w:val="auto"/>
                      <w:u w:val="none"/>
                      <w:lang w:val="en-US" w:eastAsia="zh-CN"/>
                    </w:rPr>
                    <w:t>项目对拆解零部件进行分区暂存，废铅蓄电池位于危废暂存间内，设专门存放区域，面积</w:t>
                  </w:r>
                  <w:r>
                    <w:rPr>
                      <w:rFonts w:hint="eastAsia" w:cs="Times New Roman"/>
                      <w:b w:val="0"/>
                      <w:bCs w:val="0"/>
                      <w:color w:val="auto"/>
                      <w:u w:val="none"/>
                      <w:lang w:val="en-US" w:eastAsia="zh-CN"/>
                    </w:rPr>
                    <w:t>10</w:t>
                  </w:r>
                  <w:r>
                    <w:rPr>
                      <w:rFonts w:hint="eastAsia" w:ascii="Times New Roman" w:hAnsi="Times New Roman" w:eastAsia="宋体" w:cs="Times New Roman"/>
                      <w:b w:val="0"/>
                      <w:bCs w:val="0"/>
                      <w:color w:val="auto"/>
                      <w:u w:val="none"/>
                      <w:lang w:val="en-US" w:eastAsia="zh-CN"/>
                    </w:rPr>
                    <w:t>㎡。</w:t>
                  </w:r>
                </w:p>
                <w:p w14:paraId="17B1F2FE">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u w:val="none"/>
                      <w:lang w:val="en-US" w:eastAsia="zh-CN"/>
                    </w:rPr>
                  </w:pPr>
                  <w:r>
                    <w:rPr>
                      <w:rFonts w:hint="eastAsia" w:cs="Times New Roman"/>
                      <w:b w:val="0"/>
                      <w:bCs w:val="0"/>
                      <w:color w:val="auto"/>
                      <w:u w:val="none"/>
                      <w:lang w:val="en-US" w:eastAsia="zh-CN"/>
                    </w:rPr>
                    <w:t>b）</w:t>
                  </w:r>
                  <w:r>
                    <w:rPr>
                      <w:rFonts w:hint="eastAsia" w:ascii="Times New Roman" w:hAnsi="Times New Roman" w:eastAsia="宋体" w:cs="Times New Roman"/>
                      <w:b w:val="0"/>
                      <w:bCs w:val="0"/>
                      <w:color w:val="auto"/>
                      <w:u w:val="none"/>
                      <w:lang w:val="en-US" w:eastAsia="zh-CN"/>
                    </w:rPr>
                    <w:t>有防止废铅蓄电池破损和电解质泄漏的措施，硬化地面及有耐腐蚀包装容器。</w:t>
                  </w:r>
                </w:p>
                <w:p w14:paraId="142CD3D9">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u w:val="none"/>
                      <w:lang w:val="en-US" w:eastAsia="zh-CN"/>
                    </w:rPr>
                  </w:pPr>
                  <w:r>
                    <w:rPr>
                      <w:rFonts w:hint="eastAsia" w:cs="Times New Roman"/>
                      <w:b w:val="0"/>
                      <w:bCs w:val="0"/>
                      <w:color w:val="auto"/>
                      <w:u w:val="none"/>
                      <w:lang w:val="en-US" w:eastAsia="zh-CN"/>
                    </w:rPr>
                    <w:t>c）</w:t>
                  </w:r>
                  <w:r>
                    <w:rPr>
                      <w:rFonts w:hint="eastAsia" w:ascii="Times New Roman" w:hAnsi="Times New Roman" w:eastAsia="宋体" w:cs="Times New Roman"/>
                      <w:b w:val="0"/>
                      <w:bCs w:val="0"/>
                      <w:color w:val="auto"/>
                      <w:u w:val="none"/>
                      <w:lang w:val="en-US" w:eastAsia="zh-CN"/>
                    </w:rPr>
                    <w:t>废铅蓄电池应存放于耐腐蚀、具有防渗漏措施的托盘或容器中。</w:t>
                  </w:r>
                </w:p>
                <w:p w14:paraId="5E765CC0">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default" w:ascii="Times New Roman" w:hAnsi="Times New Roman" w:eastAsia="宋体" w:cs="Times New Roman"/>
                      <w:b w:val="0"/>
                      <w:bCs w:val="0"/>
                      <w:color w:val="auto"/>
                      <w:u w:val="none"/>
                      <w:lang w:val="en-US" w:eastAsia="zh-CN"/>
                    </w:rPr>
                  </w:pPr>
                  <w:r>
                    <w:rPr>
                      <w:rFonts w:hint="eastAsia" w:cs="Times New Roman"/>
                      <w:b w:val="0"/>
                      <w:bCs w:val="0"/>
                      <w:color w:val="auto"/>
                      <w:u w:val="none"/>
                      <w:lang w:val="en-US" w:eastAsia="zh-CN"/>
                    </w:rPr>
                    <w:t>d）</w:t>
                  </w:r>
                  <w:r>
                    <w:rPr>
                      <w:rFonts w:hint="eastAsia" w:ascii="Times New Roman" w:hAnsi="Times New Roman" w:eastAsia="宋体" w:cs="Times New Roman"/>
                      <w:b w:val="0"/>
                      <w:bCs w:val="0"/>
                      <w:color w:val="auto"/>
                      <w:u w:val="none"/>
                      <w:lang w:val="en-US" w:eastAsia="zh-CN"/>
                    </w:rPr>
                    <w:t>在显著位置张贴废铅蓄电池收集提示性信息和警示标志。</w:t>
                  </w:r>
                </w:p>
              </w:tc>
              <w:tc>
                <w:tcPr>
                  <w:tcW w:w="721"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3D90269">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default" w:ascii="Times New Roman" w:hAnsi="Times New Roman" w:eastAsia="宋体" w:cs="Times New Roman"/>
                      <w:b w:val="0"/>
                      <w:bCs w:val="0"/>
                      <w:color w:val="auto"/>
                      <w:u w:val="none"/>
                      <w:lang w:val="en-US" w:eastAsia="zh-CN"/>
                    </w:rPr>
                  </w:pPr>
                  <w:r>
                    <w:rPr>
                      <w:rFonts w:hint="eastAsia" w:ascii="Times New Roman" w:hAnsi="Times New Roman" w:eastAsia="宋体" w:cs="Times New Roman"/>
                      <w:b w:val="0"/>
                      <w:bCs w:val="0"/>
                      <w:color w:val="auto"/>
                      <w:u w:val="none"/>
                      <w:lang w:val="en-US" w:eastAsia="zh-CN"/>
                    </w:rPr>
                    <w:t>符合</w:t>
                  </w:r>
                </w:p>
              </w:tc>
            </w:tr>
            <w:tr w14:paraId="628E3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4" w:hRule="atLeast"/>
                <w:jc w:val="center"/>
              </w:trPr>
              <w:tc>
                <w:tcPr>
                  <w:tcW w:w="1124" w:type="dxa"/>
                  <w:vMerge w:val="continue"/>
                  <w:tcBorders>
                    <w:left w:val="single" w:color="auto" w:sz="4" w:space="0"/>
                    <w:right w:val="single" w:color="auto" w:sz="4" w:space="0"/>
                  </w:tcBorders>
                  <w:noWrap w:val="0"/>
                  <w:vAlign w:val="center"/>
                </w:tcPr>
                <w:p w14:paraId="17C42E03">
                  <w:pPr>
                    <w:pStyle w:val="61"/>
                    <w:keepNext w:val="0"/>
                    <w:keepLines w:val="0"/>
                    <w:suppressLineNumbers w:val="0"/>
                    <w:bidi w:val="0"/>
                    <w:spacing w:before="0" w:beforeAutospacing="0" w:after="0" w:afterAutospacing="0"/>
                    <w:ind w:left="0" w:right="0"/>
                    <w:jc w:val="center"/>
                    <w:rPr>
                      <w:rFonts w:hint="eastAsia"/>
                      <w:lang w:val="en-US" w:eastAsia="zh-CN"/>
                    </w:rPr>
                  </w:pPr>
                </w:p>
              </w:tc>
              <w:tc>
                <w:tcPr>
                  <w:tcW w:w="565" w:type="dxa"/>
                  <w:vMerge w:val="restart"/>
                  <w:tcBorders>
                    <w:left w:val="single" w:color="auto" w:sz="4" w:space="0"/>
                    <w:right w:val="single" w:color="auto" w:sz="4" w:space="0"/>
                  </w:tcBorders>
                  <w:shd w:val="clear" w:color="auto" w:fill="auto"/>
                  <w:noWrap w:val="0"/>
                  <w:vAlign w:val="center"/>
                </w:tcPr>
                <w:p w14:paraId="38DD4DE8">
                  <w:pPr>
                    <w:pStyle w:val="61"/>
                    <w:keepNext w:val="0"/>
                    <w:keepLines w:val="0"/>
                    <w:suppressLineNumbers w:val="0"/>
                    <w:bidi w:val="0"/>
                    <w:spacing w:before="0" w:beforeAutospacing="0" w:after="0" w:afterAutospacing="0"/>
                    <w:ind w:left="0" w:right="0"/>
                    <w:jc w:val="center"/>
                    <w:rPr>
                      <w:rFonts w:hint="default"/>
                      <w:lang w:val="en-US" w:eastAsia="zh-CN"/>
                    </w:rPr>
                  </w:pPr>
                  <w:r>
                    <w:rPr>
                      <w:rFonts w:hint="eastAsia"/>
                      <w:lang w:val="en-US" w:eastAsia="zh-CN"/>
                    </w:rPr>
                    <w:t>运输要求</w:t>
                  </w:r>
                </w:p>
              </w:tc>
              <w:tc>
                <w:tcPr>
                  <w:tcW w:w="296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141B490">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运输单位应具有危险货物运输资质和对危险废物包装发生破裂、泄漏或其他事故进行处理的能力</w:t>
                  </w:r>
                </w:p>
              </w:tc>
              <w:tc>
                <w:tcPr>
                  <w:tcW w:w="223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E004201">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项目委托相应资质的危险废物运输单位进行运输，有能力对危险废物包装发生破裂、泄漏或其他事故进行处理</w:t>
                  </w:r>
                </w:p>
              </w:tc>
              <w:tc>
                <w:tcPr>
                  <w:tcW w:w="721"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FC13BC3">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符合</w:t>
                  </w:r>
                </w:p>
              </w:tc>
            </w:tr>
            <w:tr w14:paraId="6B752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4" w:hRule="atLeast"/>
                <w:jc w:val="center"/>
              </w:trPr>
              <w:tc>
                <w:tcPr>
                  <w:tcW w:w="1124" w:type="dxa"/>
                  <w:vMerge w:val="continue"/>
                  <w:tcBorders>
                    <w:left w:val="single" w:color="auto" w:sz="4" w:space="0"/>
                    <w:right w:val="single" w:color="auto" w:sz="4" w:space="0"/>
                  </w:tcBorders>
                  <w:noWrap w:val="0"/>
                  <w:vAlign w:val="center"/>
                </w:tcPr>
                <w:p w14:paraId="4014C549">
                  <w:pPr>
                    <w:pStyle w:val="61"/>
                    <w:keepNext w:val="0"/>
                    <w:keepLines w:val="0"/>
                    <w:suppressLineNumbers w:val="0"/>
                    <w:bidi w:val="0"/>
                    <w:spacing w:before="0" w:beforeAutospacing="0" w:after="0" w:afterAutospacing="0"/>
                    <w:ind w:left="0" w:right="0"/>
                    <w:jc w:val="center"/>
                    <w:rPr>
                      <w:rFonts w:hint="eastAsia"/>
                      <w:lang w:val="en-US" w:eastAsia="zh-CN"/>
                    </w:rPr>
                  </w:pPr>
                </w:p>
              </w:tc>
              <w:tc>
                <w:tcPr>
                  <w:tcW w:w="565" w:type="dxa"/>
                  <w:vMerge w:val="continue"/>
                  <w:tcBorders>
                    <w:left w:val="single" w:color="auto" w:sz="4" w:space="0"/>
                    <w:bottom w:val="single" w:color="auto" w:sz="4" w:space="0"/>
                    <w:right w:val="single" w:color="auto" w:sz="4" w:space="0"/>
                  </w:tcBorders>
                  <w:shd w:val="clear" w:color="auto" w:fill="auto"/>
                  <w:noWrap w:val="0"/>
                  <w:vAlign w:val="center"/>
                </w:tcPr>
                <w:p w14:paraId="77CFCA04">
                  <w:pPr>
                    <w:pStyle w:val="61"/>
                    <w:keepNext w:val="0"/>
                    <w:keepLines w:val="0"/>
                    <w:suppressLineNumbers w:val="0"/>
                    <w:bidi w:val="0"/>
                    <w:spacing w:before="0" w:beforeAutospacing="0" w:after="0" w:afterAutospacing="0"/>
                    <w:ind w:left="0" w:right="0"/>
                    <w:jc w:val="center"/>
                    <w:rPr>
                      <w:rFonts w:hint="eastAsia"/>
                      <w:lang w:val="en-US" w:eastAsia="zh-CN"/>
                    </w:rPr>
                  </w:pPr>
                </w:p>
              </w:tc>
              <w:tc>
                <w:tcPr>
                  <w:tcW w:w="296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DA9B3FC">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废铅蓄电池运输企业应制定详细的运输方案及路线，并制定事故应急预案，配备事故应急及个人防护设备，以保证在收集、运输过程中发生事故时能有效防止对环境的污染。</w:t>
                  </w:r>
                </w:p>
              </w:tc>
              <w:tc>
                <w:tcPr>
                  <w:tcW w:w="223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42F5D2E">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项目委托相应资质的危险废物运输单位进行运输，要求运输单位制定详细的运输方案及路线，并制定事故应急预案，配备事故应急及个人防护设备</w:t>
                  </w:r>
                </w:p>
              </w:tc>
              <w:tc>
                <w:tcPr>
                  <w:tcW w:w="721"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A01496E">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符合</w:t>
                  </w:r>
                </w:p>
              </w:tc>
            </w:tr>
            <w:tr w14:paraId="7AD5B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4" w:hRule="atLeast"/>
                <w:jc w:val="center"/>
              </w:trPr>
              <w:tc>
                <w:tcPr>
                  <w:tcW w:w="1124" w:type="dxa"/>
                  <w:vMerge w:val="restart"/>
                  <w:tcBorders>
                    <w:left w:val="single" w:color="auto" w:sz="4" w:space="0"/>
                    <w:right w:val="single" w:color="auto" w:sz="4" w:space="0"/>
                  </w:tcBorders>
                  <w:noWrap w:val="0"/>
                  <w:vAlign w:val="center"/>
                </w:tcPr>
                <w:p w14:paraId="2459A60A">
                  <w:pPr>
                    <w:pStyle w:val="61"/>
                    <w:keepNext w:val="0"/>
                    <w:keepLines w:val="0"/>
                    <w:suppressLineNumbers w:val="0"/>
                    <w:bidi w:val="0"/>
                    <w:spacing w:before="0" w:beforeAutospacing="0" w:after="0" w:afterAutospacing="0"/>
                    <w:ind w:left="0" w:right="0"/>
                    <w:jc w:val="center"/>
                    <w:rPr>
                      <w:rFonts w:hint="eastAsia" w:ascii="Times New Roman" w:hAnsi="Times New Roman" w:eastAsia="宋体" w:cs="Times New Roman"/>
                      <w:b w:val="0"/>
                      <w:color w:val="auto"/>
                      <w:kern w:val="2"/>
                      <w:sz w:val="21"/>
                      <w:szCs w:val="21"/>
                      <w:lang w:val="en-US" w:eastAsia="zh-CN" w:bidi="ar-SA"/>
                    </w:rPr>
                  </w:pPr>
                  <w:r>
                    <w:rPr>
                      <w:rFonts w:hint="eastAsia" w:ascii="Times New Roman" w:hAnsi="Times New Roman" w:eastAsia="宋体" w:cs="Times New Roman"/>
                      <w:b w:val="0"/>
                      <w:color w:val="auto"/>
                      <w:kern w:val="2"/>
                      <w:sz w:val="21"/>
                      <w:szCs w:val="21"/>
                      <w:lang w:val="en-US" w:eastAsia="zh-CN" w:bidi="ar-SA"/>
                    </w:rPr>
                    <w:t>《废铅酸蓄电池回收技术规范》（GB/T37281-2019）</w:t>
                  </w:r>
                </w:p>
              </w:tc>
              <w:tc>
                <w:tcPr>
                  <w:tcW w:w="56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21A6D13">
                  <w:pPr>
                    <w:pStyle w:val="61"/>
                    <w:keepNext w:val="0"/>
                    <w:keepLines w:val="0"/>
                    <w:suppressLineNumbers w:val="0"/>
                    <w:bidi w:val="0"/>
                    <w:spacing w:before="0" w:beforeAutospacing="0" w:after="0" w:afterAutospacing="0"/>
                    <w:ind w:left="0" w:right="0"/>
                    <w:jc w:val="center"/>
                    <w:rPr>
                      <w:rFonts w:hint="default" w:ascii="Times New Roman" w:hAnsi="Times New Roman" w:eastAsia="宋体" w:cs="Times New Roman"/>
                      <w:b w:val="0"/>
                      <w:color w:val="auto"/>
                      <w:kern w:val="2"/>
                      <w:sz w:val="21"/>
                      <w:szCs w:val="21"/>
                      <w:lang w:val="en-US" w:eastAsia="zh-CN" w:bidi="ar-SA"/>
                    </w:rPr>
                  </w:pPr>
                  <w:r>
                    <w:rPr>
                      <w:rFonts w:hint="eastAsia" w:ascii="Times New Roman" w:hAnsi="Times New Roman" w:eastAsia="宋体" w:cs="Times New Roman"/>
                      <w:b w:val="0"/>
                      <w:color w:val="auto"/>
                      <w:kern w:val="2"/>
                      <w:sz w:val="21"/>
                      <w:szCs w:val="21"/>
                      <w:lang w:val="en-US" w:eastAsia="zh-CN" w:bidi="ar-SA"/>
                    </w:rPr>
                    <w:t>收集</w:t>
                  </w:r>
                </w:p>
              </w:tc>
              <w:tc>
                <w:tcPr>
                  <w:tcW w:w="296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3B7A22D">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废电池应处于独立状态，带有连接线（条）的应将连接线（条）拆除。</w:t>
                  </w:r>
                </w:p>
              </w:tc>
              <w:tc>
                <w:tcPr>
                  <w:tcW w:w="223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68E9D08">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default"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本项目废旧电动自行车入厂检查登记后，首先进行电池拆除，拆除过程中将连接线（条）均拆除，使废电池处于独立状态</w:t>
                  </w:r>
                </w:p>
              </w:tc>
              <w:tc>
                <w:tcPr>
                  <w:tcW w:w="721"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41A359B">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符合</w:t>
                  </w:r>
                </w:p>
              </w:tc>
            </w:tr>
            <w:tr w14:paraId="20AD9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4" w:hRule="atLeast"/>
                <w:jc w:val="center"/>
              </w:trPr>
              <w:tc>
                <w:tcPr>
                  <w:tcW w:w="1124" w:type="dxa"/>
                  <w:vMerge w:val="continue"/>
                  <w:tcBorders>
                    <w:left w:val="single" w:color="auto" w:sz="4" w:space="0"/>
                    <w:right w:val="single" w:color="auto" w:sz="4" w:space="0"/>
                  </w:tcBorders>
                  <w:noWrap w:val="0"/>
                  <w:vAlign w:val="center"/>
                </w:tcPr>
                <w:p w14:paraId="1FD2A4B9">
                  <w:pPr>
                    <w:pStyle w:val="61"/>
                    <w:keepNext w:val="0"/>
                    <w:keepLines w:val="0"/>
                    <w:suppressLineNumbers w:val="0"/>
                    <w:bidi w:val="0"/>
                    <w:spacing w:before="0" w:beforeAutospacing="0" w:after="0" w:afterAutospacing="0"/>
                    <w:ind w:left="0" w:right="0"/>
                    <w:jc w:val="center"/>
                    <w:rPr>
                      <w:rFonts w:hint="eastAsia" w:ascii="Times New Roman" w:hAnsi="Times New Roman" w:eastAsia="宋体" w:cs="Times New Roman"/>
                      <w:b w:val="0"/>
                      <w:color w:val="auto"/>
                      <w:kern w:val="2"/>
                      <w:sz w:val="21"/>
                      <w:szCs w:val="21"/>
                      <w:lang w:val="en-US" w:eastAsia="zh-CN" w:bidi="ar-SA"/>
                    </w:rPr>
                  </w:pPr>
                </w:p>
              </w:tc>
              <w:tc>
                <w:tcPr>
                  <w:tcW w:w="56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26805AC">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贮存场所</w:t>
                  </w:r>
                </w:p>
              </w:tc>
              <w:tc>
                <w:tcPr>
                  <w:tcW w:w="296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52C8391">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贮存场所应按照GB18597的有关要求建设和管理。贮存场所应选择在城市工业地块内，并符合当地环境保护和区域发展规划</w:t>
                  </w:r>
                </w:p>
              </w:tc>
              <w:tc>
                <w:tcPr>
                  <w:tcW w:w="223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12C6412">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u w:val="none"/>
                      <w:lang w:val="en-US" w:eastAsia="zh-CN"/>
                    </w:rPr>
                  </w:pPr>
                  <w:r>
                    <w:rPr>
                      <w:rFonts w:hint="eastAsia" w:ascii="Times New Roman" w:hAnsi="Times New Roman" w:eastAsia="宋体" w:cs="Times New Roman"/>
                      <w:b w:val="0"/>
                      <w:bCs w:val="0"/>
                      <w:color w:val="auto"/>
                      <w:u w:val="none"/>
                      <w:lang w:val="en-US" w:eastAsia="zh-CN"/>
                    </w:rPr>
                    <w:t>本项目</w:t>
                  </w:r>
                  <w:r>
                    <w:rPr>
                      <w:rFonts w:hint="eastAsia" w:ascii="Times New Roman" w:hAnsi="Times New Roman" w:cs="Times New Roman"/>
                      <w:b w:val="0"/>
                      <w:bCs w:val="0"/>
                      <w:color w:val="auto"/>
                      <w:u w:val="none"/>
                      <w:lang w:val="en-US" w:eastAsia="zh-CN"/>
                    </w:rPr>
                    <w:t>贮存场所严格按照</w:t>
                  </w:r>
                  <w:r>
                    <w:rPr>
                      <w:rFonts w:hint="eastAsia" w:ascii="Times New Roman" w:hAnsi="Times New Roman" w:eastAsia="宋体" w:cs="Times New Roman"/>
                      <w:b w:val="0"/>
                      <w:bCs w:val="0"/>
                      <w:color w:val="auto"/>
                      <w:u w:val="none"/>
                      <w:lang w:val="en-US" w:eastAsia="zh-CN"/>
                    </w:rPr>
                    <w:t>GB18597的有关要求建设和管理。</w:t>
                  </w:r>
                  <w:r>
                    <w:rPr>
                      <w:rFonts w:hint="eastAsia" w:ascii="Times New Roman" w:hAnsi="Times New Roman" w:cs="Times New Roman"/>
                      <w:b w:val="0"/>
                      <w:bCs w:val="0"/>
                      <w:color w:val="auto"/>
                      <w:u w:val="none"/>
                      <w:lang w:val="en-US" w:eastAsia="zh-CN"/>
                    </w:rPr>
                    <w:t>项目</w:t>
                  </w:r>
                  <w:r>
                    <w:rPr>
                      <w:rFonts w:hint="eastAsia" w:ascii="Times New Roman" w:hAnsi="Times New Roman" w:eastAsia="宋体" w:cs="Times New Roman"/>
                      <w:b w:val="0"/>
                      <w:bCs w:val="0"/>
                      <w:color w:val="auto"/>
                      <w:u w:val="none"/>
                      <w:lang w:val="en-US" w:eastAsia="zh-CN"/>
                    </w:rPr>
                    <w:t>用地属于工业用地，符合环境保护和区域发展规划</w:t>
                  </w:r>
                </w:p>
              </w:tc>
              <w:tc>
                <w:tcPr>
                  <w:tcW w:w="721"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28D62E9">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default" w:ascii="Times New Roman" w:hAnsi="Times New Roman" w:eastAsia="宋体" w:cs="Times New Roman"/>
                      <w:b w:val="0"/>
                      <w:bCs w:val="0"/>
                      <w:color w:val="auto"/>
                      <w:u w:val="none"/>
                      <w:lang w:val="en-US" w:eastAsia="zh-CN"/>
                    </w:rPr>
                  </w:pPr>
                  <w:r>
                    <w:rPr>
                      <w:rFonts w:hint="eastAsia" w:ascii="Times New Roman" w:hAnsi="Times New Roman" w:eastAsia="宋体" w:cs="Times New Roman"/>
                      <w:b w:val="0"/>
                      <w:bCs w:val="0"/>
                      <w:color w:val="auto"/>
                      <w:u w:val="none"/>
                      <w:lang w:val="en-US" w:eastAsia="zh-CN"/>
                    </w:rPr>
                    <w:t>符合</w:t>
                  </w:r>
                </w:p>
              </w:tc>
            </w:tr>
            <w:tr w14:paraId="6F7C3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4" w:hRule="atLeast"/>
                <w:jc w:val="center"/>
              </w:trPr>
              <w:tc>
                <w:tcPr>
                  <w:tcW w:w="1124" w:type="dxa"/>
                  <w:vMerge w:val="continue"/>
                  <w:tcBorders>
                    <w:left w:val="single" w:color="auto" w:sz="4" w:space="0"/>
                    <w:bottom w:val="single" w:color="auto" w:sz="4" w:space="0"/>
                    <w:right w:val="single" w:color="auto" w:sz="4" w:space="0"/>
                  </w:tcBorders>
                  <w:noWrap w:val="0"/>
                  <w:vAlign w:val="center"/>
                </w:tcPr>
                <w:p w14:paraId="48DF4E88">
                  <w:pPr>
                    <w:pStyle w:val="61"/>
                    <w:keepNext w:val="0"/>
                    <w:keepLines w:val="0"/>
                    <w:suppressLineNumbers w:val="0"/>
                    <w:bidi w:val="0"/>
                    <w:spacing w:before="0" w:beforeAutospacing="0" w:after="0" w:afterAutospacing="0"/>
                    <w:ind w:left="0" w:right="0"/>
                    <w:jc w:val="center"/>
                    <w:rPr>
                      <w:rFonts w:hint="eastAsia" w:ascii="Times New Roman" w:hAnsi="Times New Roman" w:eastAsia="宋体" w:cs="Times New Roman"/>
                      <w:b w:val="0"/>
                      <w:color w:val="auto"/>
                      <w:kern w:val="2"/>
                      <w:sz w:val="21"/>
                      <w:szCs w:val="21"/>
                      <w:lang w:val="en-US" w:eastAsia="zh-CN" w:bidi="ar-SA"/>
                    </w:rPr>
                  </w:pPr>
                </w:p>
              </w:tc>
              <w:tc>
                <w:tcPr>
                  <w:tcW w:w="56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ADA46B3">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转移</w:t>
                  </w:r>
                </w:p>
              </w:tc>
              <w:tc>
                <w:tcPr>
                  <w:tcW w:w="296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D680FBA">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废电池转移过程应采用符合GB13392、GB21668要求的危险货物车辆运输，并应严格按照最新版《危险废物转移联单管理办法》的相关要求执行。</w:t>
                  </w:r>
                </w:p>
              </w:tc>
              <w:tc>
                <w:tcPr>
                  <w:tcW w:w="223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3EA2CF54">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项目收集的废电池转移过程均严格按《危险废物转移单管理办法》执行，如实记录收集、贮存、来源、去向等信息。</w:t>
                  </w:r>
                </w:p>
              </w:tc>
              <w:tc>
                <w:tcPr>
                  <w:tcW w:w="721"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1514FC1">
                  <w:pPr>
                    <w:pStyle w:val="27"/>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0" w:firstLineChars="0"/>
                    <w:jc w:val="center"/>
                    <w:textAlignment w:val="auto"/>
                    <w:rPr>
                      <w:rFonts w:hint="eastAsia" w:ascii="Times New Roman" w:hAnsi="Times New Roman" w:eastAsia="宋体" w:cs="Times New Roman"/>
                      <w:b w:val="0"/>
                      <w:bCs w:val="0"/>
                      <w:color w:val="auto"/>
                      <w:kern w:val="2"/>
                      <w:sz w:val="21"/>
                      <w:szCs w:val="20"/>
                      <w:u w:val="none"/>
                      <w:lang w:val="en-US" w:eastAsia="zh-CN" w:bidi="ar-SA"/>
                    </w:rPr>
                  </w:pPr>
                  <w:r>
                    <w:rPr>
                      <w:rFonts w:hint="eastAsia" w:ascii="Times New Roman" w:hAnsi="Times New Roman" w:eastAsia="宋体" w:cs="Times New Roman"/>
                      <w:b w:val="0"/>
                      <w:bCs w:val="0"/>
                      <w:color w:val="auto"/>
                      <w:u w:val="none"/>
                      <w:lang w:val="en-US" w:eastAsia="zh-CN"/>
                    </w:rPr>
                    <w:t>符合</w:t>
                  </w:r>
                </w:p>
              </w:tc>
            </w:tr>
            <w:tr w14:paraId="73B83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restart"/>
                  <w:tcBorders>
                    <w:left w:val="single" w:color="auto" w:sz="4" w:space="0"/>
                    <w:right w:val="single" w:color="auto" w:sz="4" w:space="0"/>
                  </w:tcBorders>
                  <w:noWrap w:val="0"/>
                  <w:vAlign w:val="center"/>
                </w:tcPr>
                <w:p w14:paraId="01374032">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b w:val="0"/>
                      <w:color w:val="auto"/>
                      <w:kern w:val="2"/>
                      <w:szCs w:val="21"/>
                      <w:lang w:val="en-US" w:eastAsia="zh-CN" w:bidi="ar-SA"/>
                    </w:rPr>
                  </w:pPr>
                  <w:r>
                    <w:rPr>
                      <w:rFonts w:hint="eastAsia"/>
                      <w:color w:val="auto"/>
                      <w:lang w:val="en-US" w:eastAsia="zh-CN"/>
                    </w:rPr>
                    <w:t>《废塑料综合利用行业规范条件》（中华人民共和国工业与信息部2015年第81号公告）</w:t>
                  </w:r>
                </w:p>
              </w:tc>
              <w:tc>
                <w:tcPr>
                  <w:tcW w:w="565" w:type="dxa"/>
                  <w:vMerge w:val="restart"/>
                  <w:tcBorders>
                    <w:left w:val="single" w:color="auto" w:sz="4" w:space="0"/>
                    <w:right w:val="single" w:color="auto" w:sz="4" w:space="0"/>
                  </w:tcBorders>
                  <w:noWrap w:val="0"/>
                  <w:vAlign w:val="center"/>
                </w:tcPr>
                <w:p w14:paraId="2BF93936">
                  <w:pPr>
                    <w:pStyle w:val="46"/>
                    <w:keepNext w:val="0"/>
                    <w:keepLines w:val="0"/>
                    <w:suppressLineNumbers w:val="0"/>
                    <w:bidi w:val="0"/>
                    <w:spacing w:before="0" w:beforeAutospacing="0" w:after="0" w:afterAutospacing="0"/>
                    <w:jc w:val="center"/>
                    <w:rPr>
                      <w:rFonts w:hint="default" w:ascii="Times New Roman" w:hAnsi="Times New Roman" w:eastAsia="宋体" w:cs="Times New Roman"/>
                      <w:b w:val="0"/>
                      <w:color w:val="auto"/>
                      <w:kern w:val="2"/>
                      <w:sz w:val="21"/>
                      <w:szCs w:val="21"/>
                      <w:lang w:val="en-US" w:eastAsia="zh-CN" w:bidi="ar-SA"/>
                    </w:rPr>
                  </w:pPr>
                  <w:r>
                    <w:rPr>
                      <w:rFonts w:hint="eastAsia" w:ascii="Times New Roman" w:hAnsi="Times New Roman" w:eastAsia="宋体" w:cs="Times New Roman"/>
                      <w:b w:val="0"/>
                      <w:color w:val="auto"/>
                      <w:kern w:val="2"/>
                      <w:sz w:val="21"/>
                      <w:szCs w:val="21"/>
                      <w:lang w:val="en-US" w:eastAsia="zh-CN" w:bidi="ar-SA"/>
                    </w:rPr>
                    <w:t>企业的设立和布局</w:t>
                  </w:r>
                </w:p>
              </w:tc>
              <w:tc>
                <w:tcPr>
                  <w:tcW w:w="2965" w:type="dxa"/>
                  <w:tcBorders>
                    <w:top w:val="single" w:color="auto" w:sz="4" w:space="0"/>
                    <w:left w:val="single" w:color="auto" w:sz="4" w:space="0"/>
                    <w:bottom w:val="single" w:color="auto" w:sz="4" w:space="0"/>
                    <w:right w:val="single" w:color="auto" w:sz="4" w:space="0"/>
                  </w:tcBorders>
                  <w:noWrap w:val="0"/>
                  <w:vAlign w:val="center"/>
                </w:tcPr>
                <w:p w14:paraId="1EE9AA37">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eastAsia="zh-CN"/>
                    </w:rPr>
                    <w:t>废塑料综合利用</w:t>
                  </w:r>
                  <w:r>
                    <w:rPr>
                      <w:rFonts w:hint="eastAsia"/>
                      <w:color w:val="auto"/>
                    </w:rPr>
                    <w:t>企业</w:t>
                  </w:r>
                  <w:r>
                    <w:rPr>
                      <w:rFonts w:hint="eastAsia"/>
                      <w:color w:val="auto"/>
                      <w:lang w:eastAsia="zh-CN"/>
                    </w:rPr>
                    <w:t>是指采用物理机械法对热塑性废塑料进行再生加工的企业，企业类型主要包括PET再生瓶片类企业、废塑料破碎清洗分选类企业以及塑料再生造粒类企业。</w:t>
                  </w:r>
                </w:p>
              </w:tc>
              <w:tc>
                <w:tcPr>
                  <w:tcW w:w="2230" w:type="dxa"/>
                  <w:tcBorders>
                    <w:left w:val="single" w:color="auto" w:sz="4" w:space="0"/>
                    <w:bottom w:val="single" w:color="auto" w:sz="4" w:space="0"/>
                    <w:right w:val="single" w:color="auto" w:sz="4" w:space="0"/>
                  </w:tcBorders>
                  <w:noWrap w:val="0"/>
                  <w:vAlign w:val="center"/>
                </w:tcPr>
                <w:p w14:paraId="2B622443">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本项目为废旧电动自行车拆解企业，为减少暂存空间，对拆解的废塑料进行湿法破碎</w:t>
                  </w:r>
                </w:p>
              </w:tc>
              <w:tc>
                <w:tcPr>
                  <w:tcW w:w="721" w:type="dxa"/>
                  <w:tcBorders>
                    <w:left w:val="single" w:color="auto" w:sz="4" w:space="0"/>
                    <w:bottom w:val="single" w:color="auto" w:sz="4" w:space="0"/>
                    <w:right w:val="single" w:color="auto" w:sz="4" w:space="0"/>
                  </w:tcBorders>
                  <w:noWrap w:val="0"/>
                  <w:vAlign w:val="center"/>
                </w:tcPr>
                <w:p w14:paraId="3D364937">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73DDA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1720CA5D">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continue"/>
                  <w:tcBorders>
                    <w:left w:val="single" w:color="auto" w:sz="4" w:space="0"/>
                    <w:right w:val="single" w:color="auto" w:sz="4" w:space="0"/>
                  </w:tcBorders>
                  <w:noWrap w:val="0"/>
                  <w:vAlign w:val="center"/>
                </w:tcPr>
                <w:p w14:paraId="3FB4AA17">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b w:val="0"/>
                      <w:color w:val="0000FF"/>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5AA85E58">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eastAsia="zh-CN"/>
                    </w:rPr>
                    <w:t>废塑料综合利用企业所涉及的热塑性废塑料原料，不包括受到危险化学品、农药等污染的</w:t>
                  </w:r>
                  <w:r>
                    <w:rPr>
                      <w:rFonts w:hint="eastAsia"/>
                      <w:color w:val="auto"/>
                    </w:rPr>
                    <w:t>废弃塑料包装物</w:t>
                  </w:r>
                  <w:r>
                    <w:rPr>
                      <w:rFonts w:hint="eastAsia"/>
                      <w:color w:val="auto"/>
                      <w:lang w:eastAsia="zh-CN"/>
                    </w:rPr>
                    <w:t>、</w:t>
                  </w:r>
                  <w:r>
                    <w:rPr>
                      <w:rFonts w:hint="eastAsia"/>
                      <w:color w:val="auto"/>
                    </w:rPr>
                    <w:t>废弃一次性医疗用塑料制品等</w:t>
                  </w:r>
                  <w:r>
                    <w:rPr>
                      <w:rFonts w:hint="eastAsia"/>
                      <w:color w:val="auto"/>
                      <w:lang w:eastAsia="zh-CN"/>
                    </w:rPr>
                    <w:t>塑料类危险废物</w:t>
                  </w:r>
                  <w:r>
                    <w:rPr>
                      <w:rFonts w:hint="eastAsia"/>
                      <w:color w:val="auto"/>
                      <w:lang w:val="en-US" w:eastAsia="zh-CN"/>
                    </w:rPr>
                    <w:t>，</w:t>
                  </w:r>
                  <w:r>
                    <w:rPr>
                      <w:rFonts w:hint="eastAsia"/>
                      <w:color w:val="auto"/>
                      <w:lang w:eastAsia="zh-CN"/>
                    </w:rPr>
                    <w:t>以及氟塑料等特种工程塑料</w:t>
                  </w:r>
                </w:p>
              </w:tc>
              <w:tc>
                <w:tcPr>
                  <w:tcW w:w="2230" w:type="dxa"/>
                  <w:tcBorders>
                    <w:left w:val="single" w:color="auto" w:sz="4" w:space="0"/>
                    <w:bottom w:val="single" w:color="auto" w:sz="4" w:space="0"/>
                    <w:right w:val="single" w:color="auto" w:sz="4" w:space="0"/>
                  </w:tcBorders>
                  <w:noWrap w:val="0"/>
                  <w:vAlign w:val="center"/>
                </w:tcPr>
                <w:p w14:paraId="04E22C49">
                  <w:pPr>
                    <w:pStyle w:val="46"/>
                    <w:keepNext w:val="0"/>
                    <w:keepLines w:val="0"/>
                    <w:suppressLineNumbers w:val="0"/>
                    <w:bidi w:val="0"/>
                    <w:spacing w:before="0" w:beforeAutospacing="0" w:after="0" w:afterAutospacing="0"/>
                    <w:jc w:val="center"/>
                    <w:rPr>
                      <w:rFonts w:hint="eastAsia"/>
                      <w:b w:val="0"/>
                      <w:bCs w:val="0"/>
                      <w:color w:val="auto"/>
                      <w:lang w:val="en-US" w:eastAsia="zh-CN"/>
                    </w:rPr>
                  </w:pPr>
                  <w:r>
                    <w:rPr>
                      <w:rFonts w:hint="eastAsia"/>
                      <w:b w:val="0"/>
                      <w:bCs w:val="0"/>
                      <w:color w:val="auto"/>
                      <w:lang w:val="en-US" w:eastAsia="zh-CN"/>
                    </w:rPr>
                    <w:t>项目废塑料来源主要为废旧电动自行车拆解的塑料零部件，不含沾染油、化学品、农药的物质</w:t>
                  </w:r>
                  <w:r>
                    <w:rPr>
                      <w:rFonts w:hint="eastAsia"/>
                      <w:color w:val="auto"/>
                      <w:lang w:val="en-US" w:eastAsia="zh-CN"/>
                    </w:rPr>
                    <w:t>，也不包含可产生恶臭和渗滤液的废弃物、氟塑料及纳入危险废物管理的废弃物</w:t>
                  </w:r>
                </w:p>
              </w:tc>
              <w:tc>
                <w:tcPr>
                  <w:tcW w:w="721" w:type="dxa"/>
                  <w:tcBorders>
                    <w:left w:val="single" w:color="auto" w:sz="4" w:space="0"/>
                    <w:bottom w:val="single" w:color="auto" w:sz="4" w:space="0"/>
                    <w:right w:val="single" w:color="auto" w:sz="4" w:space="0"/>
                  </w:tcBorders>
                  <w:noWrap w:val="0"/>
                  <w:vAlign w:val="center"/>
                </w:tcPr>
                <w:p w14:paraId="37337AF9">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327D1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6E4854A8">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continue"/>
                  <w:tcBorders>
                    <w:left w:val="single" w:color="auto" w:sz="4" w:space="0"/>
                    <w:right w:val="single" w:color="auto" w:sz="4" w:space="0"/>
                  </w:tcBorders>
                  <w:noWrap w:val="0"/>
                  <w:vAlign w:val="center"/>
                </w:tcPr>
                <w:p w14:paraId="5B90F0FC">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b w:val="0"/>
                      <w:color w:val="0000FF"/>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5692C4E4">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rPr>
                    <w:t>新建</w:t>
                  </w:r>
                  <w:r>
                    <w:rPr>
                      <w:rFonts w:hint="eastAsia"/>
                      <w:color w:val="auto"/>
                      <w:lang w:eastAsia="zh-CN"/>
                    </w:rPr>
                    <w:t>及</w:t>
                  </w:r>
                  <w:r>
                    <w:rPr>
                      <w:rFonts w:hint="eastAsia"/>
                      <w:color w:val="auto"/>
                    </w:rPr>
                    <w:t>改造、扩建</w:t>
                  </w:r>
                  <w:r>
                    <w:rPr>
                      <w:rFonts w:hint="eastAsia"/>
                      <w:color w:val="auto"/>
                      <w:lang w:eastAsia="zh-CN"/>
                    </w:rPr>
                    <w:t>废塑料加工</w:t>
                  </w:r>
                  <w:r>
                    <w:rPr>
                      <w:rFonts w:hint="eastAsia"/>
                      <w:color w:val="auto"/>
                    </w:rPr>
                    <w:t>企业应符合国家产业政策</w:t>
                  </w:r>
                  <w:r>
                    <w:rPr>
                      <w:rFonts w:hint="eastAsia"/>
                      <w:color w:val="auto"/>
                      <w:lang w:eastAsia="zh-CN"/>
                    </w:rPr>
                    <w:t>及所在</w:t>
                  </w:r>
                  <w:r>
                    <w:rPr>
                      <w:rFonts w:hint="eastAsia"/>
                      <w:color w:val="auto"/>
                    </w:rPr>
                    <w:t>地区土地利用总体规划、城乡建设规划</w:t>
                  </w:r>
                  <w:r>
                    <w:rPr>
                      <w:rFonts w:hint="eastAsia"/>
                      <w:color w:val="auto"/>
                      <w:lang w:eastAsia="zh-CN"/>
                    </w:rPr>
                    <w:t>、环境保护、污染防治规划。</w:t>
                  </w:r>
                  <w:r>
                    <w:rPr>
                      <w:rFonts w:hint="eastAsia"/>
                      <w:color w:val="auto"/>
                    </w:rPr>
                    <w:t>企业建设应有规范化设计要求</w:t>
                  </w:r>
                  <w:r>
                    <w:rPr>
                      <w:rFonts w:hint="eastAsia"/>
                      <w:color w:val="auto"/>
                      <w:lang w:eastAsia="zh-CN"/>
                    </w:rPr>
                    <w:t>，采用节能环保技术及生产装备</w:t>
                  </w:r>
                </w:p>
              </w:tc>
              <w:tc>
                <w:tcPr>
                  <w:tcW w:w="2230" w:type="dxa"/>
                  <w:tcBorders>
                    <w:left w:val="single" w:color="auto" w:sz="4" w:space="0"/>
                    <w:bottom w:val="single" w:color="auto" w:sz="4" w:space="0"/>
                    <w:right w:val="single" w:color="auto" w:sz="4" w:space="0"/>
                  </w:tcBorders>
                  <w:noWrap w:val="0"/>
                  <w:vAlign w:val="center"/>
                </w:tcPr>
                <w:p w14:paraId="6A4A428E">
                  <w:pPr>
                    <w:pStyle w:val="46"/>
                    <w:keepNext w:val="0"/>
                    <w:keepLines w:val="0"/>
                    <w:suppressLineNumbers w:val="0"/>
                    <w:bidi w:val="0"/>
                    <w:spacing w:before="0" w:beforeAutospacing="0" w:after="0" w:afterAutospacing="0"/>
                    <w:jc w:val="center"/>
                    <w:rPr>
                      <w:rFonts w:hint="default" w:eastAsia="宋体"/>
                      <w:b w:val="0"/>
                      <w:bCs w:val="0"/>
                      <w:color w:val="auto"/>
                      <w:lang w:val="en-US" w:eastAsia="zh-CN"/>
                    </w:rPr>
                  </w:pPr>
                  <w:r>
                    <w:rPr>
                      <w:rFonts w:hint="eastAsia"/>
                      <w:b w:val="0"/>
                      <w:bCs w:val="0"/>
                      <w:color w:val="auto"/>
                      <w:lang w:val="en-US" w:eastAsia="zh-CN"/>
                    </w:rPr>
                    <w:t>项目为</w:t>
                  </w:r>
                  <w:r>
                    <w:rPr>
                      <w:rFonts w:hint="default" w:ascii="Times New Roman" w:hAnsi="Times New Roman"/>
                      <w:b w:val="0"/>
                      <w:bCs w:val="0"/>
                      <w:color w:val="auto"/>
                      <w:u w:val="none"/>
                      <w:lang w:val="en-US" w:eastAsia="zh-CN"/>
                    </w:rPr>
                    <w:t xml:space="preserve">C4210 </w:t>
                  </w:r>
                  <w:r>
                    <w:rPr>
                      <w:rFonts w:hint="eastAsia" w:ascii="Times New Roman" w:hAnsi="Times New Roman"/>
                      <w:b w:val="0"/>
                      <w:bCs w:val="0"/>
                      <w:color w:val="auto"/>
                      <w:u w:val="none"/>
                      <w:lang w:val="en-US" w:eastAsia="zh-CN"/>
                    </w:rPr>
                    <w:t>金属废料和碎屑加工处理</w:t>
                  </w:r>
                  <w:r>
                    <w:rPr>
                      <w:rFonts w:hint="eastAsia"/>
                      <w:b w:val="0"/>
                      <w:bCs w:val="0"/>
                      <w:color w:val="auto"/>
                      <w:u w:val="none"/>
                      <w:lang w:val="en-US" w:eastAsia="zh-CN"/>
                    </w:rPr>
                    <w:t>、</w:t>
                  </w:r>
                  <w:r>
                    <w:rPr>
                      <w:rFonts w:hint="default" w:ascii="Times New Roman" w:hAnsi="Times New Roman"/>
                      <w:b w:val="0"/>
                      <w:bCs w:val="0"/>
                      <w:color w:val="auto"/>
                      <w:u w:val="none"/>
                      <w:lang w:val="en-US" w:eastAsia="zh-CN"/>
                    </w:rPr>
                    <w:t xml:space="preserve">C4220 </w:t>
                  </w:r>
                  <w:r>
                    <w:rPr>
                      <w:rFonts w:hint="eastAsia" w:ascii="Times New Roman" w:hAnsi="Times New Roman"/>
                      <w:b w:val="0"/>
                      <w:bCs w:val="0"/>
                      <w:color w:val="auto"/>
                      <w:u w:val="none"/>
                      <w:lang w:val="en-US" w:eastAsia="zh-CN"/>
                    </w:rPr>
                    <w:t>非金属废料和碎屑加工处理，</w:t>
                  </w:r>
                  <w:r>
                    <w:rPr>
                      <w:rFonts w:hint="eastAsia"/>
                      <w:color w:val="auto"/>
                      <w:lang w:val="en-US" w:eastAsia="zh-CN"/>
                    </w:rPr>
                    <w:t>为</w:t>
                  </w:r>
                  <w:r>
                    <w:rPr>
                      <w:rFonts w:hint="default"/>
                      <w:color w:val="auto"/>
                    </w:rPr>
                    <w:t>《产业结构调整指导目录》（20</w:t>
                  </w:r>
                  <w:r>
                    <w:rPr>
                      <w:rFonts w:hint="eastAsia"/>
                      <w:color w:val="auto"/>
                      <w:lang w:val="en-US" w:eastAsia="zh-CN"/>
                    </w:rPr>
                    <w:t>24</w:t>
                  </w:r>
                  <w:r>
                    <w:rPr>
                      <w:rFonts w:hint="default"/>
                      <w:color w:val="auto"/>
                    </w:rPr>
                    <w:t>年本）</w:t>
                  </w:r>
                  <w:r>
                    <w:rPr>
                      <w:rFonts w:hint="eastAsia"/>
                      <w:color w:val="auto"/>
                      <w:lang w:val="en-US" w:eastAsia="zh-CN"/>
                    </w:rPr>
                    <w:t>鼓励类，选址为工业用地，符合《淮南高新技术产业开发区总体发展规划（2024-2035年）（主导产业变更）》，企业按规范设计，采用节能环保技术及生产装备</w:t>
                  </w:r>
                </w:p>
              </w:tc>
              <w:tc>
                <w:tcPr>
                  <w:tcW w:w="721" w:type="dxa"/>
                  <w:tcBorders>
                    <w:left w:val="single" w:color="auto" w:sz="4" w:space="0"/>
                    <w:bottom w:val="single" w:color="auto" w:sz="4" w:space="0"/>
                    <w:right w:val="single" w:color="auto" w:sz="4" w:space="0"/>
                  </w:tcBorders>
                  <w:noWrap w:val="0"/>
                  <w:vAlign w:val="center"/>
                </w:tcPr>
                <w:p w14:paraId="0D82C3BA">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2EFB0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02CF58F6">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continue"/>
                  <w:tcBorders>
                    <w:left w:val="single" w:color="auto" w:sz="4" w:space="0"/>
                    <w:bottom w:val="single" w:color="auto" w:sz="4" w:space="0"/>
                    <w:right w:val="single" w:color="auto" w:sz="4" w:space="0"/>
                  </w:tcBorders>
                  <w:noWrap w:val="0"/>
                  <w:vAlign w:val="center"/>
                </w:tcPr>
                <w:p w14:paraId="7B623FA4">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b w:val="0"/>
                      <w:color w:val="0000FF"/>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127C5B41">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rPr>
                    <w:t>在国家法律、法规、规章和规划确定或县级及以上人民政府规定的自然保护区、风景名胜区、饮用水源保护区、基本农田保护区和其他需要特别保护的区域内，不得新建废塑料综合利用企业</w:t>
                  </w:r>
                  <w:r>
                    <w:rPr>
                      <w:rFonts w:hint="eastAsia"/>
                      <w:color w:val="auto"/>
                      <w:lang w:eastAsia="zh-CN"/>
                    </w:rPr>
                    <w:t>；</w:t>
                  </w:r>
                  <w:r>
                    <w:rPr>
                      <w:rFonts w:hint="eastAsia"/>
                      <w:color w:val="auto"/>
                    </w:rPr>
                    <w:t>已在上述区域投产运营的</w:t>
                  </w:r>
                  <w:r>
                    <w:rPr>
                      <w:rFonts w:hint="eastAsia"/>
                      <w:color w:val="auto"/>
                      <w:lang w:eastAsia="zh-CN"/>
                    </w:rPr>
                    <w:t>废塑料综合利用</w:t>
                  </w:r>
                  <w:r>
                    <w:rPr>
                      <w:rFonts w:hint="eastAsia"/>
                      <w:color w:val="auto"/>
                    </w:rPr>
                    <w:t>企业</w:t>
                  </w:r>
                  <w:r>
                    <w:rPr>
                      <w:rFonts w:hint="eastAsia"/>
                      <w:color w:val="auto"/>
                      <w:lang w:eastAsia="zh-CN"/>
                    </w:rPr>
                    <w:t>，</w:t>
                  </w:r>
                  <w:r>
                    <w:rPr>
                      <w:rFonts w:hint="eastAsia"/>
                      <w:color w:val="auto"/>
                      <w:lang w:val="en-US" w:eastAsia="zh-CN"/>
                    </w:rPr>
                    <w:t>要根据该区域规划要求，依法通过搬迁、转产等方式逐步退出</w:t>
                  </w:r>
                </w:p>
              </w:tc>
              <w:tc>
                <w:tcPr>
                  <w:tcW w:w="2230" w:type="dxa"/>
                  <w:tcBorders>
                    <w:left w:val="single" w:color="auto" w:sz="4" w:space="0"/>
                    <w:bottom w:val="single" w:color="auto" w:sz="4" w:space="0"/>
                    <w:right w:val="single" w:color="auto" w:sz="4" w:space="0"/>
                  </w:tcBorders>
                  <w:noWrap w:val="0"/>
                  <w:vAlign w:val="center"/>
                </w:tcPr>
                <w:p w14:paraId="37C7AC2B">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项目位于淮南市高新技术产业开发区区块二，不涉及</w:t>
                  </w:r>
                  <w:r>
                    <w:rPr>
                      <w:rFonts w:hint="eastAsia"/>
                      <w:color w:val="auto"/>
                    </w:rPr>
                    <w:t>自然保护区、风景名胜区、饮用水源保护区、基本农田保护区和其他需要特别保护的区域内</w:t>
                  </w:r>
                </w:p>
              </w:tc>
              <w:tc>
                <w:tcPr>
                  <w:tcW w:w="721" w:type="dxa"/>
                  <w:tcBorders>
                    <w:left w:val="single" w:color="auto" w:sz="4" w:space="0"/>
                    <w:bottom w:val="single" w:color="auto" w:sz="4" w:space="0"/>
                    <w:right w:val="single" w:color="auto" w:sz="4" w:space="0"/>
                  </w:tcBorders>
                  <w:noWrap w:val="0"/>
                  <w:vAlign w:val="center"/>
                </w:tcPr>
                <w:p w14:paraId="42A4BBC5">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4776E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74B63B8E">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tcBorders>
                    <w:left w:val="single" w:color="auto" w:sz="4" w:space="0"/>
                    <w:right w:val="single" w:color="auto" w:sz="4" w:space="0"/>
                  </w:tcBorders>
                  <w:noWrap w:val="0"/>
                  <w:vAlign w:val="center"/>
                </w:tcPr>
                <w:p w14:paraId="0CD8A5B9">
                  <w:pPr>
                    <w:pStyle w:val="46"/>
                    <w:keepNext w:val="0"/>
                    <w:keepLines w:val="0"/>
                    <w:suppressLineNumbers w:val="0"/>
                    <w:bidi w:val="0"/>
                    <w:spacing w:before="0" w:beforeAutospacing="0" w:after="0" w:afterAutospacing="0"/>
                    <w:jc w:val="center"/>
                    <w:rPr>
                      <w:rFonts w:hint="default" w:ascii="Times New Roman" w:hAnsi="Times New Roman" w:eastAsia="宋体" w:cs="Times New Roman"/>
                      <w:b w:val="0"/>
                      <w:color w:val="auto"/>
                      <w:kern w:val="2"/>
                      <w:sz w:val="21"/>
                      <w:szCs w:val="21"/>
                      <w:lang w:val="en-US" w:eastAsia="zh-CN" w:bidi="ar-SA"/>
                    </w:rPr>
                  </w:pPr>
                  <w:r>
                    <w:rPr>
                      <w:rFonts w:hint="eastAsia" w:ascii="Times New Roman" w:hAnsi="Times New Roman" w:eastAsia="宋体" w:cs="Times New Roman"/>
                      <w:b w:val="0"/>
                      <w:color w:val="auto"/>
                      <w:kern w:val="2"/>
                      <w:sz w:val="21"/>
                      <w:szCs w:val="21"/>
                      <w:lang w:val="en-US" w:eastAsia="zh-CN" w:bidi="ar-SA"/>
                    </w:rPr>
                    <w:t>资源综合利用及能耗</w:t>
                  </w:r>
                </w:p>
              </w:tc>
              <w:tc>
                <w:tcPr>
                  <w:tcW w:w="2965" w:type="dxa"/>
                  <w:tcBorders>
                    <w:top w:val="single" w:color="auto" w:sz="4" w:space="0"/>
                    <w:left w:val="single" w:color="auto" w:sz="4" w:space="0"/>
                    <w:bottom w:val="single" w:color="auto" w:sz="4" w:space="0"/>
                    <w:right w:val="single" w:color="auto" w:sz="4" w:space="0"/>
                  </w:tcBorders>
                  <w:noWrap w:val="0"/>
                  <w:vAlign w:val="center"/>
                </w:tcPr>
                <w:p w14:paraId="31C1B222">
                  <w:pPr>
                    <w:pStyle w:val="46"/>
                    <w:keepNext w:val="0"/>
                    <w:keepLines w:val="0"/>
                    <w:suppressLineNumbers w:val="0"/>
                    <w:bidi w:val="0"/>
                    <w:spacing w:before="0" w:beforeAutospacing="0" w:after="0" w:afterAutospacing="0"/>
                    <w:jc w:val="center"/>
                    <w:rPr>
                      <w:rFonts w:hint="eastAsia"/>
                      <w:color w:val="auto"/>
                    </w:rPr>
                  </w:pPr>
                  <w:r>
                    <w:rPr>
                      <w:rFonts w:hint="eastAsia"/>
                      <w:color w:val="auto"/>
                      <w:lang w:eastAsia="zh-CN"/>
                    </w:rPr>
                    <w:t>企业应对收集的废塑料进行充分利用，提高资源回收利用效率，不得倾倒、焚烧与填埋</w:t>
                  </w:r>
                </w:p>
              </w:tc>
              <w:tc>
                <w:tcPr>
                  <w:tcW w:w="2230" w:type="dxa"/>
                  <w:tcBorders>
                    <w:left w:val="single" w:color="auto" w:sz="4" w:space="0"/>
                    <w:bottom w:val="single" w:color="auto" w:sz="4" w:space="0"/>
                    <w:right w:val="single" w:color="auto" w:sz="4" w:space="0"/>
                  </w:tcBorders>
                  <w:noWrap w:val="0"/>
                  <w:vAlign w:val="center"/>
                </w:tcPr>
                <w:p w14:paraId="5A34932E">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废旧电动车拆解涉及塑料主要为PP、ABS，项目分类收集后进行破碎后外售，不进行倾倒、焚烧、填埋</w:t>
                  </w:r>
                </w:p>
              </w:tc>
              <w:tc>
                <w:tcPr>
                  <w:tcW w:w="721" w:type="dxa"/>
                  <w:tcBorders>
                    <w:left w:val="single" w:color="auto" w:sz="4" w:space="0"/>
                    <w:bottom w:val="single" w:color="auto" w:sz="4" w:space="0"/>
                    <w:right w:val="single" w:color="auto" w:sz="4" w:space="0"/>
                  </w:tcBorders>
                  <w:noWrap w:val="0"/>
                  <w:vAlign w:val="center"/>
                </w:tcPr>
                <w:p w14:paraId="6D8B650F">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03B4C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0FE8B868">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tcBorders>
                    <w:left w:val="single" w:color="auto" w:sz="4" w:space="0"/>
                    <w:bottom w:val="single" w:color="auto" w:sz="4" w:space="0"/>
                    <w:right w:val="single" w:color="auto" w:sz="4" w:space="0"/>
                  </w:tcBorders>
                  <w:noWrap w:val="0"/>
                  <w:vAlign w:val="center"/>
                </w:tcPr>
                <w:p w14:paraId="5477A63C">
                  <w:pPr>
                    <w:pStyle w:val="46"/>
                    <w:keepNext w:val="0"/>
                    <w:keepLines w:val="0"/>
                    <w:suppressLineNumbers w:val="0"/>
                    <w:bidi w:val="0"/>
                    <w:spacing w:before="0" w:beforeAutospacing="0" w:after="0" w:afterAutospacing="0"/>
                    <w:jc w:val="center"/>
                    <w:rPr>
                      <w:rFonts w:hint="default" w:ascii="Times New Roman" w:hAnsi="Times New Roman" w:eastAsia="宋体" w:cs="Times New Roman"/>
                      <w:b w:val="0"/>
                      <w:color w:val="auto"/>
                      <w:kern w:val="2"/>
                      <w:sz w:val="21"/>
                      <w:szCs w:val="21"/>
                      <w:lang w:val="en-US" w:eastAsia="zh-CN" w:bidi="ar-SA"/>
                    </w:rPr>
                  </w:pPr>
                  <w:r>
                    <w:rPr>
                      <w:rFonts w:hint="eastAsia" w:ascii="Times New Roman" w:hAnsi="Times New Roman" w:eastAsia="宋体" w:cs="Times New Roman"/>
                      <w:b w:val="0"/>
                      <w:color w:val="auto"/>
                      <w:kern w:val="2"/>
                      <w:sz w:val="21"/>
                      <w:szCs w:val="21"/>
                      <w:lang w:val="en-US" w:eastAsia="zh-CN" w:bidi="ar-SA"/>
                    </w:rPr>
                    <w:t>工艺与装备</w:t>
                  </w:r>
                </w:p>
              </w:tc>
              <w:tc>
                <w:tcPr>
                  <w:tcW w:w="2965" w:type="dxa"/>
                  <w:tcBorders>
                    <w:top w:val="single" w:color="auto" w:sz="4" w:space="0"/>
                    <w:left w:val="single" w:color="auto" w:sz="4" w:space="0"/>
                    <w:bottom w:val="single" w:color="auto" w:sz="4" w:space="0"/>
                    <w:right w:val="single" w:color="auto" w:sz="4" w:space="0"/>
                  </w:tcBorders>
                  <w:noWrap w:val="0"/>
                  <w:vAlign w:val="center"/>
                </w:tcPr>
                <w:p w14:paraId="6DF9B95A">
                  <w:pPr>
                    <w:pStyle w:val="46"/>
                    <w:keepNext w:val="0"/>
                    <w:keepLines w:val="0"/>
                    <w:suppressLineNumbers w:val="0"/>
                    <w:bidi w:val="0"/>
                    <w:spacing w:before="0" w:beforeAutospacing="0" w:after="0" w:afterAutospacing="0"/>
                    <w:jc w:val="center"/>
                    <w:rPr>
                      <w:rFonts w:hint="eastAsia"/>
                      <w:color w:val="auto"/>
                    </w:rPr>
                  </w:pPr>
                  <w:r>
                    <w:rPr>
                      <w:rFonts w:hint="eastAsia"/>
                      <w:color w:val="auto"/>
                      <w:lang w:eastAsia="zh-CN"/>
                    </w:rPr>
                    <w:t>废塑料破碎、清洗、分选类企业。</w:t>
                  </w:r>
                  <w:r>
                    <w:rPr>
                      <w:rFonts w:hint="eastAsia"/>
                      <w:color w:val="auto"/>
                      <w:lang w:val="en-US" w:eastAsia="zh-CN"/>
                    </w:rPr>
                    <w:t>应采用</w:t>
                  </w:r>
                  <w:r>
                    <w:rPr>
                      <w:rFonts w:hint="eastAsia"/>
                      <w:color w:val="auto"/>
                      <w:lang w:eastAsia="zh-CN"/>
                    </w:rPr>
                    <w:t>自动化处理设备和</w:t>
                  </w:r>
                  <w:r>
                    <w:rPr>
                      <w:rFonts w:hint="eastAsia"/>
                      <w:color w:val="auto"/>
                    </w:rPr>
                    <w:t>设施</w:t>
                  </w:r>
                  <w:r>
                    <w:rPr>
                      <w:rFonts w:hint="eastAsia"/>
                      <w:color w:val="auto"/>
                      <w:lang w:eastAsia="zh-CN"/>
                    </w:rPr>
                    <w:t>。其中，破碎工序应采用具有减振与降噪功能的密闭破碎设备；清洗工序应实现自动控制和清洗液循环利用，降低耗水量与耗药量；应使用低发泡、低残留、易处理的清洗药剂；分选工序鼓励采用自动化分选设备</w:t>
                  </w:r>
                </w:p>
              </w:tc>
              <w:tc>
                <w:tcPr>
                  <w:tcW w:w="2230" w:type="dxa"/>
                  <w:tcBorders>
                    <w:left w:val="single" w:color="auto" w:sz="4" w:space="0"/>
                    <w:bottom w:val="single" w:color="auto" w:sz="4" w:space="0"/>
                    <w:right w:val="single" w:color="auto" w:sz="4" w:space="0"/>
                  </w:tcBorders>
                  <w:noWrap w:val="0"/>
                  <w:vAlign w:val="center"/>
                </w:tcPr>
                <w:p w14:paraId="18B56EBB">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项目设</w:t>
                  </w:r>
                  <w:r>
                    <w:rPr>
                      <w:rFonts w:hint="eastAsia"/>
                      <w:b w:val="0"/>
                      <w:bCs w:val="0"/>
                      <w:color w:val="auto"/>
                      <w:highlight w:val="none"/>
                      <w:lang w:val="en-US" w:eastAsia="zh-CN"/>
                    </w:rPr>
                    <w:t>置密闭式刀式破碎机，采用湿法破碎，具有减振与降噪功能。项目破碎废水经沉淀池絮凝</w:t>
                  </w:r>
                  <w:r>
                    <w:rPr>
                      <w:rFonts w:hint="eastAsia"/>
                      <w:b w:val="0"/>
                      <w:bCs w:val="0"/>
                      <w:color w:val="auto"/>
                      <w:lang w:val="en-US" w:eastAsia="zh-CN"/>
                    </w:rPr>
                    <w:t>沉淀处理后回用，不添加清洗药剂；项目只涉及破碎工序，不涉及清洗、分选工艺</w:t>
                  </w:r>
                </w:p>
              </w:tc>
              <w:tc>
                <w:tcPr>
                  <w:tcW w:w="721" w:type="dxa"/>
                  <w:tcBorders>
                    <w:left w:val="single" w:color="auto" w:sz="4" w:space="0"/>
                    <w:bottom w:val="single" w:color="auto" w:sz="4" w:space="0"/>
                    <w:right w:val="single" w:color="auto" w:sz="4" w:space="0"/>
                  </w:tcBorders>
                  <w:noWrap w:val="0"/>
                  <w:vAlign w:val="center"/>
                </w:tcPr>
                <w:p w14:paraId="6C081005">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52813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1D5A3185">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restart"/>
                  <w:tcBorders>
                    <w:left w:val="single" w:color="auto" w:sz="4" w:space="0"/>
                    <w:right w:val="single" w:color="auto" w:sz="4" w:space="0"/>
                  </w:tcBorders>
                  <w:noWrap w:val="0"/>
                  <w:vAlign w:val="center"/>
                </w:tcPr>
                <w:p w14:paraId="2A698874">
                  <w:pPr>
                    <w:pStyle w:val="46"/>
                    <w:keepNext w:val="0"/>
                    <w:keepLines w:val="0"/>
                    <w:suppressLineNumbers w:val="0"/>
                    <w:bidi w:val="0"/>
                    <w:spacing w:before="0" w:beforeAutospacing="0" w:after="0" w:afterAutospacing="0"/>
                    <w:jc w:val="center"/>
                    <w:rPr>
                      <w:rFonts w:hint="default" w:ascii="Times New Roman" w:hAnsi="Times New Roman" w:eastAsia="宋体" w:cs="Times New Roman"/>
                      <w:b w:val="0"/>
                      <w:color w:val="0000FF"/>
                      <w:kern w:val="2"/>
                      <w:sz w:val="21"/>
                      <w:szCs w:val="21"/>
                      <w:lang w:val="en-US" w:eastAsia="zh-CN" w:bidi="ar-SA"/>
                    </w:rPr>
                  </w:pPr>
                  <w:r>
                    <w:rPr>
                      <w:rFonts w:hint="eastAsia" w:ascii="Times New Roman" w:hAnsi="Times New Roman" w:eastAsia="宋体" w:cs="Times New Roman"/>
                      <w:b w:val="0"/>
                      <w:color w:val="auto"/>
                      <w:kern w:val="2"/>
                      <w:sz w:val="21"/>
                      <w:szCs w:val="21"/>
                      <w:lang w:val="en-US" w:eastAsia="zh-CN" w:bidi="ar-SA"/>
                    </w:rPr>
                    <w:t>环境保护</w:t>
                  </w:r>
                </w:p>
              </w:tc>
              <w:tc>
                <w:tcPr>
                  <w:tcW w:w="2965" w:type="dxa"/>
                  <w:tcBorders>
                    <w:top w:val="single" w:color="auto" w:sz="4" w:space="0"/>
                    <w:left w:val="single" w:color="auto" w:sz="4" w:space="0"/>
                    <w:bottom w:val="single" w:color="auto" w:sz="4" w:space="0"/>
                    <w:right w:val="single" w:color="auto" w:sz="4" w:space="0"/>
                  </w:tcBorders>
                  <w:noWrap w:val="0"/>
                  <w:vAlign w:val="center"/>
                </w:tcPr>
                <w:p w14:paraId="5C84ABFA">
                  <w:pPr>
                    <w:pStyle w:val="46"/>
                    <w:keepNext w:val="0"/>
                    <w:keepLines w:val="0"/>
                    <w:suppressLineNumbers w:val="0"/>
                    <w:bidi w:val="0"/>
                    <w:spacing w:before="0" w:beforeAutospacing="0" w:after="0" w:afterAutospacing="0"/>
                    <w:jc w:val="center"/>
                    <w:rPr>
                      <w:rFonts w:hint="eastAsia"/>
                      <w:color w:val="auto"/>
                    </w:rPr>
                  </w:pPr>
                  <w:r>
                    <w:rPr>
                      <w:rFonts w:hint="eastAsia"/>
                      <w:color w:val="auto"/>
                    </w:rPr>
                    <w:t>废塑料综合利用企业应严格执行</w:t>
                  </w:r>
                  <w:r>
                    <w:rPr>
                      <w:rFonts w:hint="eastAsia"/>
                      <w:color w:val="auto"/>
                      <w:lang w:eastAsia="zh-CN"/>
                    </w:rPr>
                    <w:t>《中华人民共和国</w:t>
                  </w:r>
                  <w:r>
                    <w:rPr>
                      <w:rFonts w:hint="eastAsia"/>
                      <w:color w:val="auto"/>
                    </w:rPr>
                    <w:t>环境影响评价</w:t>
                  </w:r>
                  <w:r>
                    <w:rPr>
                      <w:rFonts w:hint="eastAsia"/>
                      <w:color w:val="auto"/>
                      <w:lang w:eastAsia="zh-CN"/>
                    </w:rPr>
                    <w:t>法》</w:t>
                  </w:r>
                  <w:r>
                    <w:rPr>
                      <w:rFonts w:hint="eastAsia"/>
                      <w:color w:val="auto"/>
                    </w:rPr>
                    <w:t>，按照环境保护主管部门的相关规定报批环境影响评价文件。按照环境保护“三同时</w:t>
                  </w:r>
                  <w:r>
                    <w:rPr>
                      <w:rFonts w:hint="eastAsia"/>
                      <w:color w:val="auto"/>
                      <w:lang w:eastAsia="zh-CN"/>
                    </w:rPr>
                    <w:t>”的要求建设配套的环境保护设施，编制环境风险应急预案，并依法申请项目竣工环境保护验收</w:t>
                  </w:r>
                </w:p>
              </w:tc>
              <w:tc>
                <w:tcPr>
                  <w:tcW w:w="2230" w:type="dxa"/>
                  <w:tcBorders>
                    <w:left w:val="single" w:color="auto" w:sz="4" w:space="0"/>
                    <w:bottom w:val="single" w:color="auto" w:sz="4" w:space="0"/>
                    <w:right w:val="single" w:color="auto" w:sz="4" w:space="0"/>
                  </w:tcBorders>
                  <w:noWrap w:val="0"/>
                  <w:vAlign w:val="center"/>
                </w:tcPr>
                <w:p w14:paraId="7A84F3B0">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项目严格</w:t>
                  </w:r>
                  <w:r>
                    <w:rPr>
                      <w:rFonts w:hint="eastAsia"/>
                      <w:color w:val="auto"/>
                    </w:rPr>
                    <w:t>按照环境保护主管部门的相关规定报批环境影响评价文件。按照环境保护“三同时</w:t>
                  </w:r>
                  <w:r>
                    <w:rPr>
                      <w:rFonts w:hint="eastAsia"/>
                      <w:color w:val="auto"/>
                      <w:lang w:eastAsia="zh-CN"/>
                    </w:rPr>
                    <w:t>”的要求建设配套的环境保护设施，编制环境风险应急预案，并依法申请项目竣工环境保护验收</w:t>
                  </w:r>
                </w:p>
              </w:tc>
              <w:tc>
                <w:tcPr>
                  <w:tcW w:w="721" w:type="dxa"/>
                  <w:tcBorders>
                    <w:left w:val="single" w:color="auto" w:sz="4" w:space="0"/>
                    <w:bottom w:val="single" w:color="auto" w:sz="4" w:space="0"/>
                    <w:right w:val="single" w:color="auto" w:sz="4" w:space="0"/>
                  </w:tcBorders>
                  <w:noWrap w:val="0"/>
                  <w:vAlign w:val="center"/>
                </w:tcPr>
                <w:p w14:paraId="29B6533C">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595D7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43572E22">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continue"/>
                  <w:tcBorders>
                    <w:left w:val="single" w:color="auto" w:sz="4" w:space="0"/>
                    <w:right w:val="single" w:color="auto" w:sz="4" w:space="0"/>
                  </w:tcBorders>
                  <w:noWrap w:val="0"/>
                  <w:vAlign w:val="center"/>
                </w:tcPr>
                <w:p w14:paraId="7B832BDC">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b w:val="0"/>
                      <w:color w:val="0000FF"/>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43843956">
                  <w:pPr>
                    <w:pStyle w:val="46"/>
                    <w:keepNext w:val="0"/>
                    <w:keepLines w:val="0"/>
                    <w:suppressLineNumbers w:val="0"/>
                    <w:bidi w:val="0"/>
                    <w:spacing w:before="0" w:beforeAutospacing="0" w:after="0" w:afterAutospacing="0"/>
                    <w:jc w:val="center"/>
                    <w:rPr>
                      <w:rFonts w:hint="eastAsia"/>
                      <w:color w:val="auto"/>
                    </w:rPr>
                  </w:pPr>
                  <w:r>
                    <w:rPr>
                      <w:rFonts w:hint="eastAsia"/>
                      <w:color w:val="auto"/>
                      <w:lang w:eastAsia="zh-CN"/>
                    </w:rPr>
                    <w:t>企业加工存储场地应建有围墙，在园区内的企业可为单独厂房，地面全部硬化且无明显破损现象</w:t>
                  </w:r>
                </w:p>
              </w:tc>
              <w:tc>
                <w:tcPr>
                  <w:tcW w:w="2230" w:type="dxa"/>
                  <w:tcBorders>
                    <w:left w:val="single" w:color="auto" w:sz="4" w:space="0"/>
                    <w:bottom w:val="single" w:color="auto" w:sz="4" w:space="0"/>
                    <w:right w:val="single" w:color="auto" w:sz="4" w:space="0"/>
                  </w:tcBorders>
                  <w:noWrap w:val="0"/>
                  <w:vAlign w:val="center"/>
                </w:tcPr>
                <w:p w14:paraId="465AAA74">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项目位于谢家集区已建厂房内，地面已硬化，拟对厂区进行分区防渗</w:t>
                  </w:r>
                </w:p>
              </w:tc>
              <w:tc>
                <w:tcPr>
                  <w:tcW w:w="721" w:type="dxa"/>
                  <w:tcBorders>
                    <w:left w:val="single" w:color="auto" w:sz="4" w:space="0"/>
                    <w:bottom w:val="single" w:color="auto" w:sz="4" w:space="0"/>
                    <w:right w:val="single" w:color="auto" w:sz="4" w:space="0"/>
                  </w:tcBorders>
                  <w:noWrap w:val="0"/>
                  <w:vAlign w:val="center"/>
                </w:tcPr>
                <w:p w14:paraId="71B3DBEB">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71828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1C313AE2">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continue"/>
                  <w:tcBorders>
                    <w:left w:val="single" w:color="auto" w:sz="4" w:space="0"/>
                    <w:right w:val="single" w:color="auto" w:sz="4" w:space="0"/>
                  </w:tcBorders>
                  <w:noWrap w:val="0"/>
                  <w:vAlign w:val="center"/>
                </w:tcPr>
                <w:p w14:paraId="124BDD33">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b w:val="0"/>
                      <w:color w:val="0000FF"/>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15C21EC9">
                  <w:pPr>
                    <w:pStyle w:val="46"/>
                    <w:keepNext w:val="0"/>
                    <w:keepLines w:val="0"/>
                    <w:suppressLineNumbers w:val="0"/>
                    <w:bidi w:val="0"/>
                    <w:spacing w:before="0" w:beforeAutospacing="0" w:after="0" w:afterAutospacing="0"/>
                    <w:jc w:val="center"/>
                    <w:rPr>
                      <w:rFonts w:hint="eastAsia"/>
                      <w:color w:val="auto"/>
                      <w:lang w:eastAsia="zh-CN"/>
                    </w:rPr>
                  </w:pPr>
                  <w:r>
                    <w:rPr>
                      <w:rFonts w:hint="eastAsia"/>
                      <w:color w:val="auto"/>
                      <w:lang w:eastAsia="zh-CN"/>
                    </w:rPr>
                    <w:t>企业必须配备废塑料分类存放场所。原料、产品、本企业不能利用废塑料及不可利用废物贮存在具有防雨、防风、防渗等功能的厂房或加盖雨棚的专门贮存场地内，无露天堆放现象。企业厂区管网建设应达到“雨污分流”要求</w:t>
                  </w:r>
                </w:p>
              </w:tc>
              <w:tc>
                <w:tcPr>
                  <w:tcW w:w="2230" w:type="dxa"/>
                  <w:tcBorders>
                    <w:left w:val="single" w:color="auto" w:sz="4" w:space="0"/>
                    <w:bottom w:val="single" w:color="auto" w:sz="4" w:space="0"/>
                    <w:right w:val="single" w:color="auto" w:sz="4" w:space="0"/>
                  </w:tcBorders>
                  <w:noWrap w:val="0"/>
                  <w:vAlign w:val="center"/>
                </w:tcPr>
                <w:p w14:paraId="7B6E546A">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项目设置暂存车间对拆解后的零部件进行分区暂存，设置危废暂存间及一般固废暂存间对生产产生的拆解零部件、固体废物进行分类暂存。项目各贮存场所</w:t>
                  </w:r>
                  <w:r>
                    <w:rPr>
                      <w:rFonts w:hint="eastAsia"/>
                      <w:color w:val="auto"/>
                      <w:lang w:eastAsia="zh-CN"/>
                    </w:rPr>
                    <w:t>防雨、防风、防渗。</w:t>
                  </w:r>
                  <w:r>
                    <w:rPr>
                      <w:rFonts w:hint="eastAsia"/>
                      <w:color w:val="auto"/>
                      <w:lang w:val="en-US" w:eastAsia="zh-CN"/>
                    </w:rPr>
                    <w:t>项目租赁厂区已进行“雨污分流”</w:t>
                  </w:r>
                </w:p>
              </w:tc>
              <w:tc>
                <w:tcPr>
                  <w:tcW w:w="721" w:type="dxa"/>
                  <w:tcBorders>
                    <w:left w:val="single" w:color="auto" w:sz="4" w:space="0"/>
                    <w:bottom w:val="single" w:color="auto" w:sz="4" w:space="0"/>
                    <w:right w:val="single" w:color="auto" w:sz="4" w:space="0"/>
                  </w:tcBorders>
                  <w:noWrap w:val="0"/>
                  <w:vAlign w:val="center"/>
                </w:tcPr>
                <w:p w14:paraId="28BCBC9C">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5446F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5FBE6B89">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continue"/>
                  <w:tcBorders>
                    <w:left w:val="single" w:color="auto" w:sz="4" w:space="0"/>
                    <w:right w:val="single" w:color="auto" w:sz="4" w:space="0"/>
                  </w:tcBorders>
                  <w:noWrap w:val="0"/>
                  <w:vAlign w:val="center"/>
                </w:tcPr>
                <w:p w14:paraId="571F7C6A">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b w:val="0"/>
                      <w:color w:val="0000FF"/>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169B2B28">
                  <w:pPr>
                    <w:pStyle w:val="46"/>
                    <w:keepNext w:val="0"/>
                    <w:keepLines w:val="0"/>
                    <w:suppressLineNumbers w:val="0"/>
                    <w:bidi w:val="0"/>
                    <w:spacing w:before="0" w:beforeAutospacing="0" w:after="0" w:afterAutospacing="0"/>
                    <w:jc w:val="center"/>
                    <w:rPr>
                      <w:rFonts w:hint="eastAsia"/>
                      <w:color w:val="auto"/>
                      <w:lang w:eastAsia="zh-CN"/>
                    </w:rPr>
                  </w:pPr>
                  <w:r>
                    <w:rPr>
                      <w:rFonts w:hint="eastAsia"/>
                      <w:color w:val="auto"/>
                      <w:lang w:eastAsia="zh-CN"/>
                    </w:rPr>
                    <w:t>企业应具有与加工利用能力相适应的废水处理设施，中水回用率必须符合环评文件的有关要求。</w:t>
                  </w:r>
                  <w:r>
                    <w:rPr>
                      <w:rFonts w:hint="eastAsia" w:ascii="Times New Roman" w:hAnsi="Times New Roman" w:eastAsia="宋体" w:cs="Times New Roman"/>
                      <w:color w:val="auto"/>
                      <w:lang w:eastAsia="zh-CN"/>
                    </w:rPr>
                    <w:t>企业应采用高效节能环保的污泥处理工艺</w:t>
                  </w:r>
                  <w:r>
                    <w:rPr>
                      <w:rFonts w:hint="eastAsia" w:cs="Times New Roman"/>
                      <w:color w:val="auto"/>
                      <w:lang w:eastAsia="zh-CN"/>
                    </w:rPr>
                    <w:t>，</w:t>
                  </w:r>
                  <w:r>
                    <w:rPr>
                      <w:rFonts w:hint="eastAsia" w:ascii="Times New Roman" w:hAnsi="Times New Roman" w:eastAsia="宋体" w:cs="Times New Roman"/>
                      <w:color w:val="auto"/>
                      <w:lang w:eastAsia="zh-CN"/>
                    </w:rPr>
                    <w:t>或交由具有处理资格的废物处理机构</w:t>
                  </w:r>
                  <w:r>
                    <w:rPr>
                      <w:rFonts w:hint="eastAsia" w:cs="Times New Roman"/>
                      <w:color w:val="auto"/>
                      <w:lang w:eastAsia="zh-CN"/>
                    </w:rPr>
                    <w:t>，</w:t>
                  </w:r>
                  <w:r>
                    <w:rPr>
                      <w:rFonts w:hint="eastAsia" w:ascii="Times New Roman" w:hAnsi="Times New Roman" w:eastAsia="宋体" w:cs="Times New Roman"/>
                      <w:color w:val="auto"/>
                      <w:lang w:eastAsia="zh-CN"/>
                    </w:rPr>
                    <w:t>实现污泥无害化处</w:t>
                  </w:r>
                  <w:r>
                    <w:rPr>
                      <w:rFonts w:hint="eastAsia" w:ascii="Times New Roman" w:hAnsi="Times New Roman" w:eastAsia="宋体" w:cs="Times New Roman"/>
                      <w:color w:val="auto"/>
                      <w:highlight w:val="none"/>
                      <w:lang w:eastAsia="zh-CN"/>
                    </w:rPr>
                    <w:t>理。除具有获批建设、验收合格的专业盐卤废水处理设施，禁止使用盐卤分选工艺</w:t>
                  </w:r>
                </w:p>
              </w:tc>
              <w:tc>
                <w:tcPr>
                  <w:tcW w:w="2230" w:type="dxa"/>
                  <w:tcBorders>
                    <w:left w:val="single" w:color="auto" w:sz="4" w:space="0"/>
                    <w:bottom w:val="single" w:color="auto" w:sz="4" w:space="0"/>
                    <w:right w:val="single" w:color="auto" w:sz="4" w:space="0"/>
                  </w:tcBorders>
                  <w:noWrap w:val="0"/>
                  <w:vAlign w:val="center"/>
                </w:tcPr>
                <w:p w14:paraId="012F9AF0">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b w:val="0"/>
                      <w:bCs w:val="0"/>
                      <w:color w:val="auto"/>
                      <w:lang w:val="en-US" w:eastAsia="zh-CN"/>
                    </w:rPr>
                    <w:t>项目仅产生少量湿法破碎废水，企业设置絮凝沉淀池，破碎废水经处理后</w:t>
                  </w:r>
                  <w:r>
                    <w:rPr>
                      <w:rFonts w:hint="eastAsia"/>
                      <w:color w:val="auto"/>
                    </w:rPr>
                    <w:t>回用</w:t>
                  </w:r>
                  <w:r>
                    <w:rPr>
                      <w:rFonts w:hint="eastAsia"/>
                      <w:color w:val="auto"/>
                      <w:lang w:eastAsia="zh-CN"/>
                    </w:rPr>
                    <w:t>。</w:t>
                  </w:r>
                  <w:r>
                    <w:rPr>
                      <w:rFonts w:hint="eastAsia"/>
                      <w:color w:val="auto"/>
                      <w:lang w:val="en-US" w:eastAsia="zh-CN"/>
                    </w:rPr>
                    <w:t>项目设</w:t>
                  </w:r>
                  <w:r>
                    <w:rPr>
                      <w:rFonts w:hint="eastAsia" w:ascii="Times New Roman" w:hAnsi="Times New Roman" w:eastAsia="宋体" w:cs="Times New Roman"/>
                      <w:b w:val="0"/>
                      <w:bCs w:val="0"/>
                      <w:color w:val="auto"/>
                      <w:lang w:val="en-US" w:eastAsia="zh-CN"/>
                    </w:rPr>
                    <w:t>置叠螺式污泥压滤机对污泥进行压滤后委托污泥处置单位进行处置。项目</w:t>
                  </w:r>
                  <w:r>
                    <w:rPr>
                      <w:rFonts w:hint="eastAsia" w:cs="Times New Roman"/>
                      <w:b w:val="0"/>
                      <w:bCs w:val="0"/>
                      <w:color w:val="auto"/>
                      <w:lang w:val="en-US" w:eastAsia="zh-CN"/>
                    </w:rPr>
                    <w:t>不</w:t>
                  </w:r>
                  <w:r>
                    <w:rPr>
                      <w:rFonts w:hint="eastAsia" w:ascii="Times New Roman" w:hAnsi="Times New Roman" w:eastAsia="宋体" w:cs="Times New Roman"/>
                      <w:b w:val="0"/>
                      <w:bCs w:val="0"/>
                      <w:color w:val="auto"/>
                      <w:lang w:val="en-US" w:eastAsia="zh-CN"/>
                    </w:rPr>
                    <w:t>设</w:t>
                  </w:r>
                  <w:r>
                    <w:rPr>
                      <w:rFonts w:hint="eastAsia" w:ascii="Times New Roman" w:hAnsi="Times New Roman" w:eastAsia="宋体" w:cs="Times New Roman"/>
                      <w:b w:val="0"/>
                      <w:bCs w:val="0"/>
                      <w:color w:val="auto"/>
                      <w:highlight w:val="none"/>
                      <w:lang w:val="en-US" w:eastAsia="zh-CN"/>
                    </w:rPr>
                    <w:t>置</w:t>
                  </w:r>
                  <w:r>
                    <w:rPr>
                      <w:rFonts w:hint="eastAsia" w:ascii="Times New Roman" w:hAnsi="Times New Roman" w:eastAsia="宋体" w:cs="Times New Roman"/>
                      <w:color w:val="auto"/>
                      <w:highlight w:val="none"/>
                      <w:lang w:eastAsia="zh-CN"/>
                    </w:rPr>
                    <w:t>盐卤</w:t>
                  </w:r>
                  <w:r>
                    <w:rPr>
                      <w:rFonts w:hint="eastAsia" w:cs="Times New Roman"/>
                      <w:color w:val="auto"/>
                      <w:highlight w:val="none"/>
                      <w:lang w:val="en-US" w:eastAsia="zh-CN"/>
                    </w:rPr>
                    <w:t>分选工艺</w:t>
                  </w:r>
                </w:p>
              </w:tc>
              <w:tc>
                <w:tcPr>
                  <w:tcW w:w="721" w:type="dxa"/>
                  <w:tcBorders>
                    <w:left w:val="single" w:color="auto" w:sz="4" w:space="0"/>
                    <w:bottom w:val="single" w:color="auto" w:sz="4" w:space="0"/>
                    <w:right w:val="single" w:color="auto" w:sz="4" w:space="0"/>
                  </w:tcBorders>
                  <w:noWrap w:val="0"/>
                  <w:vAlign w:val="center"/>
                </w:tcPr>
                <w:p w14:paraId="461AB610">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16531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3AB63BE3">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continue"/>
                  <w:tcBorders>
                    <w:left w:val="single" w:color="auto" w:sz="4" w:space="0"/>
                    <w:bottom w:val="single" w:color="auto" w:sz="4" w:space="0"/>
                    <w:right w:val="single" w:color="auto" w:sz="4" w:space="0"/>
                  </w:tcBorders>
                  <w:noWrap w:val="0"/>
                  <w:vAlign w:val="center"/>
                </w:tcPr>
                <w:p w14:paraId="2B75E276">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b w:val="0"/>
                      <w:color w:val="0000FF"/>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37D1638F">
                  <w:pPr>
                    <w:pStyle w:val="46"/>
                    <w:keepNext w:val="0"/>
                    <w:keepLines w:val="0"/>
                    <w:suppressLineNumbers w:val="0"/>
                    <w:bidi w:val="0"/>
                    <w:spacing w:before="0" w:beforeAutospacing="0" w:after="0" w:afterAutospacing="0"/>
                    <w:jc w:val="center"/>
                    <w:rPr>
                      <w:rFonts w:hint="eastAsia"/>
                      <w:color w:val="auto"/>
                      <w:lang w:eastAsia="zh-CN"/>
                    </w:rPr>
                  </w:pPr>
                  <w:r>
                    <w:rPr>
                      <w:rFonts w:hint="eastAsia"/>
                      <w:color w:val="auto"/>
                      <w:lang w:eastAsia="zh-CN"/>
                    </w:rPr>
                    <w:t>对于加工过程中噪音污染大的设备，必须采取降噪和隔音措施，企业噪声应达到《工业企业厂界环境噪声排放标准》</w:t>
                  </w:r>
                </w:p>
              </w:tc>
              <w:tc>
                <w:tcPr>
                  <w:tcW w:w="2230" w:type="dxa"/>
                  <w:tcBorders>
                    <w:left w:val="single" w:color="auto" w:sz="4" w:space="0"/>
                    <w:bottom w:val="single" w:color="auto" w:sz="4" w:space="0"/>
                    <w:right w:val="single" w:color="auto" w:sz="4" w:space="0"/>
                  </w:tcBorders>
                  <w:noWrap w:val="0"/>
                  <w:vAlign w:val="center"/>
                </w:tcPr>
                <w:p w14:paraId="2A7C34C7">
                  <w:pPr>
                    <w:pStyle w:val="46"/>
                    <w:keepNext w:val="0"/>
                    <w:keepLines w:val="0"/>
                    <w:suppressLineNumbers w:val="0"/>
                    <w:bidi w:val="0"/>
                    <w:spacing w:before="0" w:beforeAutospacing="0" w:after="0" w:afterAutospacing="0"/>
                    <w:jc w:val="center"/>
                    <w:rPr>
                      <w:rFonts w:hint="default" w:eastAsia="宋体"/>
                      <w:b w:val="0"/>
                      <w:bCs w:val="0"/>
                      <w:color w:val="auto"/>
                      <w:lang w:val="en-US" w:eastAsia="zh-CN"/>
                    </w:rPr>
                  </w:pPr>
                  <w:r>
                    <w:rPr>
                      <w:rFonts w:hint="eastAsia"/>
                      <w:color w:val="auto"/>
                      <w:lang w:val="en-US" w:eastAsia="zh-CN"/>
                    </w:rPr>
                    <w:t>项目</w:t>
                  </w:r>
                  <w:r>
                    <w:rPr>
                      <w:rFonts w:hint="eastAsia"/>
                      <w:color w:val="auto"/>
                    </w:rPr>
                    <w:t>采用低噪声设备、减振措施及厂房隔声，满足《工业企业厂界环境噪声排放标准》</w:t>
                  </w:r>
                  <w:r>
                    <w:rPr>
                      <w:rFonts w:hint="eastAsia"/>
                      <w:color w:val="auto"/>
                      <w:lang w:eastAsia="zh-CN"/>
                    </w:rPr>
                    <w:t>（</w:t>
                  </w:r>
                  <w:r>
                    <w:rPr>
                      <w:rFonts w:hint="eastAsia"/>
                      <w:color w:val="auto"/>
                    </w:rPr>
                    <w:t>GB12348-2008</w:t>
                  </w:r>
                  <w:r>
                    <w:rPr>
                      <w:rFonts w:hint="eastAsia"/>
                      <w:color w:val="auto"/>
                      <w:lang w:eastAsia="zh-CN"/>
                    </w:rPr>
                    <w:t>）</w:t>
                  </w:r>
                  <w:r>
                    <w:rPr>
                      <w:rFonts w:hint="eastAsia"/>
                      <w:color w:val="auto"/>
                      <w:lang w:val="en-US" w:eastAsia="zh-CN"/>
                    </w:rPr>
                    <w:t>3</w:t>
                  </w:r>
                  <w:r>
                    <w:rPr>
                      <w:rFonts w:hint="eastAsia"/>
                      <w:color w:val="auto"/>
                    </w:rPr>
                    <w:t>类和 4类标准</w:t>
                  </w:r>
                </w:p>
              </w:tc>
              <w:tc>
                <w:tcPr>
                  <w:tcW w:w="721" w:type="dxa"/>
                  <w:tcBorders>
                    <w:left w:val="single" w:color="auto" w:sz="4" w:space="0"/>
                    <w:bottom w:val="single" w:color="auto" w:sz="4" w:space="0"/>
                    <w:right w:val="single" w:color="auto" w:sz="4" w:space="0"/>
                  </w:tcBorders>
                  <w:noWrap w:val="0"/>
                  <w:vAlign w:val="center"/>
                </w:tcPr>
                <w:p w14:paraId="35FF0EC3">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5946A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75848368">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restart"/>
                  <w:tcBorders>
                    <w:left w:val="single" w:color="auto" w:sz="4" w:space="0"/>
                    <w:right w:val="single" w:color="auto" w:sz="4" w:space="0"/>
                  </w:tcBorders>
                  <w:noWrap w:val="0"/>
                  <w:vAlign w:val="center"/>
                </w:tcPr>
                <w:p w14:paraId="551BD878">
                  <w:pPr>
                    <w:pStyle w:val="46"/>
                    <w:keepNext w:val="0"/>
                    <w:keepLines w:val="0"/>
                    <w:suppressLineNumbers w:val="0"/>
                    <w:bidi w:val="0"/>
                    <w:spacing w:before="0" w:beforeAutospacing="0" w:after="0" w:afterAutospacing="0"/>
                    <w:jc w:val="center"/>
                    <w:rPr>
                      <w:rFonts w:hint="default" w:ascii="Times New Roman" w:hAnsi="Times New Roman" w:eastAsia="宋体" w:cs="Times New Roman"/>
                      <w:b w:val="0"/>
                      <w:color w:val="auto"/>
                      <w:kern w:val="2"/>
                      <w:sz w:val="21"/>
                      <w:szCs w:val="21"/>
                      <w:lang w:val="en-US" w:eastAsia="zh-CN" w:bidi="ar-SA"/>
                    </w:rPr>
                  </w:pPr>
                  <w:r>
                    <w:rPr>
                      <w:rFonts w:hint="eastAsia" w:ascii="Times New Roman" w:hAnsi="Times New Roman" w:eastAsia="宋体" w:cs="Times New Roman"/>
                      <w:b w:val="0"/>
                      <w:color w:val="auto"/>
                      <w:kern w:val="2"/>
                      <w:sz w:val="21"/>
                      <w:szCs w:val="21"/>
                      <w:lang w:val="en-US" w:eastAsia="zh-CN" w:bidi="ar-SA"/>
                    </w:rPr>
                    <w:t>防火安全</w:t>
                  </w:r>
                </w:p>
              </w:tc>
              <w:tc>
                <w:tcPr>
                  <w:tcW w:w="2965" w:type="dxa"/>
                  <w:tcBorders>
                    <w:top w:val="single" w:color="auto" w:sz="4" w:space="0"/>
                    <w:left w:val="single" w:color="auto" w:sz="4" w:space="0"/>
                    <w:bottom w:val="single" w:color="auto" w:sz="4" w:space="0"/>
                    <w:right w:val="single" w:color="auto" w:sz="4" w:space="0"/>
                  </w:tcBorders>
                  <w:noWrap w:val="0"/>
                  <w:vAlign w:val="center"/>
                </w:tcPr>
                <w:p w14:paraId="6E4A1E4A">
                  <w:pPr>
                    <w:pStyle w:val="46"/>
                    <w:keepNext w:val="0"/>
                    <w:keepLines w:val="0"/>
                    <w:suppressLineNumbers w:val="0"/>
                    <w:bidi w:val="0"/>
                    <w:spacing w:before="0" w:beforeAutospacing="0" w:after="0" w:afterAutospacing="0"/>
                    <w:jc w:val="center"/>
                    <w:rPr>
                      <w:rFonts w:hint="eastAsia"/>
                      <w:color w:val="auto"/>
                      <w:lang w:eastAsia="zh-CN"/>
                    </w:rPr>
                  </w:pPr>
                  <w:r>
                    <w:rPr>
                      <w:rFonts w:hint="eastAsia"/>
                      <w:color w:val="auto"/>
                      <w:lang w:val="en-US" w:eastAsia="zh-CN"/>
                    </w:rPr>
                    <w:t>企业应严格执行《中华人民共和国消防法》的各项规定。生产厂房、仓库、堆场等场所的防火设计、施工和验收应符合国家现行相关标准的要求</w:t>
                  </w:r>
                </w:p>
              </w:tc>
              <w:tc>
                <w:tcPr>
                  <w:tcW w:w="2230" w:type="dxa"/>
                  <w:vMerge w:val="restart"/>
                  <w:tcBorders>
                    <w:left w:val="single" w:color="auto" w:sz="4" w:space="0"/>
                    <w:right w:val="single" w:color="auto" w:sz="4" w:space="0"/>
                  </w:tcBorders>
                  <w:noWrap w:val="0"/>
                  <w:vAlign w:val="center"/>
                </w:tcPr>
                <w:p w14:paraId="5445C6C1">
                  <w:pPr>
                    <w:pStyle w:val="46"/>
                    <w:keepNext w:val="0"/>
                    <w:keepLines w:val="0"/>
                    <w:suppressLineNumbers w:val="0"/>
                    <w:bidi w:val="0"/>
                    <w:spacing w:before="0" w:beforeAutospacing="0" w:after="0" w:afterAutospacing="0"/>
                    <w:jc w:val="center"/>
                    <w:rPr>
                      <w:rFonts w:hint="eastAsia"/>
                      <w:b w:val="0"/>
                      <w:bCs w:val="0"/>
                      <w:color w:val="auto"/>
                      <w:lang w:val="en-US" w:eastAsia="zh-CN"/>
                    </w:rPr>
                  </w:pPr>
                  <w:r>
                    <w:rPr>
                      <w:rFonts w:hint="eastAsia"/>
                      <w:b w:val="0"/>
                      <w:bCs w:val="0"/>
                      <w:color w:val="auto"/>
                      <w:lang w:val="en-US" w:eastAsia="zh-CN"/>
                    </w:rPr>
                    <w:t>项目租赁厂房厂区内严禁烟火，不存放任何易燃性物质，并应设置严禁烟火标志</w:t>
                  </w:r>
                </w:p>
              </w:tc>
              <w:tc>
                <w:tcPr>
                  <w:tcW w:w="721" w:type="dxa"/>
                  <w:vMerge w:val="restart"/>
                  <w:tcBorders>
                    <w:left w:val="single" w:color="auto" w:sz="4" w:space="0"/>
                    <w:right w:val="single" w:color="auto" w:sz="4" w:space="0"/>
                  </w:tcBorders>
                  <w:noWrap w:val="0"/>
                  <w:vAlign w:val="center"/>
                </w:tcPr>
                <w:p w14:paraId="1BC11FF2">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471E3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51F9FFEA">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continue"/>
                  <w:tcBorders>
                    <w:left w:val="single" w:color="auto" w:sz="4" w:space="0"/>
                    <w:bottom w:val="single" w:color="auto" w:sz="4" w:space="0"/>
                    <w:right w:val="single" w:color="auto" w:sz="4" w:space="0"/>
                  </w:tcBorders>
                  <w:noWrap w:val="0"/>
                  <w:vAlign w:val="center"/>
                </w:tcPr>
                <w:p w14:paraId="13550A6D">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b w:val="0"/>
                      <w:color w:val="auto"/>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5FFCDB28">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生产厂房、仓库、堆场等场所</w:t>
                  </w:r>
                  <w:r>
                    <w:rPr>
                      <w:rFonts w:hint="eastAsia"/>
                      <w:color w:val="auto"/>
                    </w:rPr>
                    <w:t>内应严禁烟火，不可存放任何易燃性物质，并应设置严禁烟火标志</w:t>
                  </w:r>
                </w:p>
              </w:tc>
              <w:tc>
                <w:tcPr>
                  <w:tcW w:w="2230" w:type="dxa"/>
                  <w:vMerge w:val="continue"/>
                  <w:tcBorders>
                    <w:left w:val="single" w:color="auto" w:sz="4" w:space="0"/>
                    <w:bottom w:val="single" w:color="auto" w:sz="4" w:space="0"/>
                    <w:right w:val="single" w:color="auto" w:sz="4" w:space="0"/>
                  </w:tcBorders>
                  <w:noWrap w:val="0"/>
                  <w:vAlign w:val="center"/>
                </w:tcPr>
                <w:p w14:paraId="2CCA49AE">
                  <w:pPr>
                    <w:pStyle w:val="46"/>
                    <w:keepNext w:val="0"/>
                    <w:keepLines w:val="0"/>
                    <w:suppressLineNumbers w:val="0"/>
                    <w:bidi w:val="0"/>
                    <w:spacing w:before="0" w:beforeAutospacing="0" w:after="0" w:afterAutospacing="0"/>
                    <w:jc w:val="center"/>
                    <w:rPr>
                      <w:rFonts w:hint="eastAsia"/>
                      <w:b w:val="0"/>
                      <w:bCs w:val="0"/>
                      <w:color w:val="0000FF"/>
                      <w:lang w:val="en-US" w:eastAsia="zh-CN"/>
                    </w:rPr>
                  </w:pPr>
                </w:p>
              </w:tc>
              <w:tc>
                <w:tcPr>
                  <w:tcW w:w="721" w:type="dxa"/>
                  <w:vMerge w:val="continue"/>
                  <w:tcBorders>
                    <w:left w:val="single" w:color="auto" w:sz="4" w:space="0"/>
                    <w:bottom w:val="single" w:color="auto" w:sz="4" w:space="0"/>
                    <w:right w:val="single" w:color="auto" w:sz="4" w:space="0"/>
                  </w:tcBorders>
                  <w:noWrap w:val="0"/>
                  <w:vAlign w:val="center"/>
                </w:tcPr>
                <w:p w14:paraId="79C580AC">
                  <w:pPr>
                    <w:pStyle w:val="46"/>
                    <w:keepNext w:val="0"/>
                    <w:keepLines w:val="0"/>
                    <w:suppressLineNumbers w:val="0"/>
                    <w:bidi w:val="0"/>
                    <w:spacing w:before="0" w:beforeAutospacing="0" w:after="0" w:afterAutospacing="0"/>
                    <w:jc w:val="center"/>
                    <w:rPr>
                      <w:rFonts w:hint="eastAsia"/>
                      <w:b w:val="0"/>
                      <w:bCs w:val="0"/>
                      <w:color w:val="0000FF"/>
                      <w:lang w:val="en-US" w:eastAsia="zh-CN"/>
                    </w:rPr>
                  </w:pPr>
                </w:p>
              </w:tc>
            </w:tr>
            <w:tr w14:paraId="5D2AE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2" w:hRule="atLeast"/>
                <w:jc w:val="center"/>
              </w:trPr>
              <w:tc>
                <w:tcPr>
                  <w:tcW w:w="1124" w:type="dxa"/>
                  <w:vMerge w:val="restart"/>
                  <w:tcBorders>
                    <w:left w:val="single" w:color="auto" w:sz="4" w:space="0"/>
                    <w:right w:val="single" w:color="auto" w:sz="4" w:space="0"/>
                  </w:tcBorders>
                  <w:noWrap w:val="0"/>
                  <w:vAlign w:val="center"/>
                </w:tcPr>
                <w:p w14:paraId="4C1959F8">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《废塑料再生利用技术规范》</w:t>
                  </w:r>
                  <w:r>
                    <w:rPr>
                      <w:rFonts w:hint="eastAsia" w:cs="Times New Roman"/>
                      <w:color w:val="auto"/>
                      <w:lang w:val="en-US" w:eastAsia="zh-CN"/>
                    </w:rPr>
                    <w:t>（</w:t>
                  </w:r>
                  <w:r>
                    <w:rPr>
                      <w:rFonts w:hint="eastAsia" w:ascii="Times New Roman" w:hAnsi="Times New Roman" w:eastAsia="宋体" w:cs="Times New Roman"/>
                      <w:color w:val="auto"/>
                      <w:lang w:val="en-US" w:eastAsia="zh-CN"/>
                    </w:rPr>
                    <w:t>GB/T37821-2019</w:t>
                  </w:r>
                  <w:r>
                    <w:rPr>
                      <w:rFonts w:hint="eastAsia" w:cs="Times New Roman"/>
                      <w:color w:val="auto"/>
                      <w:lang w:val="en-US" w:eastAsia="zh-CN"/>
                    </w:rPr>
                    <w:t>）</w:t>
                  </w:r>
                </w:p>
              </w:tc>
              <w:tc>
                <w:tcPr>
                  <w:tcW w:w="565" w:type="dxa"/>
                  <w:tcBorders>
                    <w:left w:val="single" w:color="auto" w:sz="4" w:space="0"/>
                    <w:bottom w:val="single" w:color="auto" w:sz="4" w:space="0"/>
                    <w:right w:val="single" w:color="auto" w:sz="4" w:space="0"/>
                  </w:tcBorders>
                  <w:noWrap w:val="0"/>
                  <w:vAlign w:val="center"/>
                </w:tcPr>
                <w:p w14:paraId="3863FCCB">
                  <w:pPr>
                    <w:pStyle w:val="46"/>
                    <w:keepNext w:val="0"/>
                    <w:keepLines w:val="0"/>
                    <w:suppressLineNumbers w:val="0"/>
                    <w:bidi w:val="0"/>
                    <w:spacing w:before="0" w:beforeAutospacing="0" w:after="0" w:afterAutospacing="0"/>
                    <w:jc w:val="center"/>
                    <w:rPr>
                      <w:rFonts w:hint="default" w:ascii="Times New Roman" w:hAnsi="Times New Roman" w:eastAsia="宋体" w:cs="Times New Roman"/>
                      <w:color w:val="auto"/>
                      <w:lang w:val="en-US" w:eastAsia="zh-CN"/>
                    </w:rPr>
                  </w:pPr>
                  <w:r>
                    <w:rPr>
                      <w:rFonts w:hint="eastAsia" w:cs="Times New Roman"/>
                      <w:color w:val="auto"/>
                      <w:lang w:val="en-US" w:eastAsia="zh-CN"/>
                    </w:rPr>
                    <w:t>破碎要求</w:t>
                  </w:r>
                </w:p>
              </w:tc>
              <w:tc>
                <w:tcPr>
                  <w:tcW w:w="2965" w:type="dxa"/>
                  <w:tcBorders>
                    <w:top w:val="single" w:color="auto" w:sz="4" w:space="0"/>
                    <w:left w:val="single" w:color="auto" w:sz="4" w:space="0"/>
                    <w:bottom w:val="single" w:color="auto" w:sz="4" w:space="0"/>
                    <w:right w:val="single" w:color="auto" w:sz="4" w:space="0"/>
                  </w:tcBorders>
                  <w:noWrap w:val="0"/>
                  <w:vAlign w:val="center"/>
                </w:tcPr>
                <w:p w14:paraId="4C5354A4">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破碎过程宜采用高效节能工艺技术及设备干法破碎过程应配备粉尘收集和降噪设备采用湿法破碎工艺应对废水进行收集、处理后循环使用。破碎机应具有安全防护措施，</w:t>
                  </w:r>
                </w:p>
              </w:tc>
              <w:tc>
                <w:tcPr>
                  <w:tcW w:w="2230" w:type="dxa"/>
                  <w:tcBorders>
                    <w:left w:val="single" w:color="auto" w:sz="4" w:space="0"/>
                    <w:bottom w:val="single" w:color="auto" w:sz="4" w:space="0"/>
                    <w:right w:val="single" w:color="auto" w:sz="4" w:space="0"/>
                  </w:tcBorders>
                  <w:noWrap w:val="0"/>
                  <w:vAlign w:val="center"/>
                </w:tcPr>
                <w:p w14:paraId="783320D5">
                  <w:pPr>
                    <w:pStyle w:val="46"/>
                    <w:keepNext w:val="0"/>
                    <w:keepLines w:val="0"/>
                    <w:suppressLineNumbers w:val="0"/>
                    <w:bidi w:val="0"/>
                    <w:spacing w:before="0" w:beforeAutospacing="0" w:after="0" w:afterAutospacing="0"/>
                    <w:jc w:val="center"/>
                    <w:rPr>
                      <w:rFonts w:hint="eastAsia"/>
                      <w:b w:val="0"/>
                      <w:bCs w:val="0"/>
                      <w:color w:val="auto"/>
                      <w:lang w:val="en-US" w:eastAsia="zh-CN"/>
                    </w:rPr>
                  </w:pPr>
                  <w:r>
                    <w:rPr>
                      <w:rFonts w:hint="eastAsia"/>
                      <w:b w:val="0"/>
                      <w:bCs w:val="0"/>
                      <w:color w:val="auto"/>
                      <w:lang w:val="en-US" w:eastAsia="zh-CN"/>
                    </w:rPr>
                    <w:t>项目设置密闭式刀式破碎机，采用湿法破碎，具有减振与降噪功能。项目破碎废水经絮凝沉淀池处理后回用</w:t>
                  </w:r>
                </w:p>
              </w:tc>
              <w:tc>
                <w:tcPr>
                  <w:tcW w:w="721" w:type="dxa"/>
                  <w:tcBorders>
                    <w:left w:val="single" w:color="auto" w:sz="4" w:space="0"/>
                    <w:bottom w:val="single" w:color="auto" w:sz="4" w:space="0"/>
                    <w:right w:val="single" w:color="auto" w:sz="4" w:space="0"/>
                  </w:tcBorders>
                  <w:noWrap w:val="0"/>
                  <w:vAlign w:val="center"/>
                </w:tcPr>
                <w:p w14:paraId="1C066BEB">
                  <w:pPr>
                    <w:pStyle w:val="46"/>
                    <w:keepNext w:val="0"/>
                    <w:keepLines w:val="0"/>
                    <w:suppressLineNumbers w:val="0"/>
                    <w:bidi w:val="0"/>
                    <w:spacing w:before="0" w:beforeAutospacing="0" w:after="0" w:afterAutospacing="0"/>
                    <w:jc w:val="center"/>
                    <w:rPr>
                      <w:rFonts w:hint="default"/>
                      <w:b w:val="0"/>
                      <w:bCs w:val="0"/>
                      <w:color w:val="0000FF"/>
                      <w:lang w:val="en-US" w:eastAsia="zh-CN"/>
                    </w:rPr>
                  </w:pPr>
                  <w:r>
                    <w:rPr>
                      <w:rFonts w:hint="eastAsia"/>
                      <w:b w:val="0"/>
                      <w:bCs w:val="0"/>
                      <w:color w:val="auto"/>
                      <w:lang w:val="en-US" w:eastAsia="zh-CN"/>
                    </w:rPr>
                    <w:t>符合</w:t>
                  </w:r>
                </w:p>
              </w:tc>
            </w:tr>
            <w:tr w14:paraId="56268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0F2BDCA2">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color w:val="auto"/>
                      <w:lang w:val="en-US" w:eastAsia="zh-CN"/>
                    </w:rPr>
                  </w:pPr>
                </w:p>
              </w:tc>
              <w:tc>
                <w:tcPr>
                  <w:tcW w:w="565" w:type="dxa"/>
                  <w:vMerge w:val="restart"/>
                  <w:tcBorders>
                    <w:left w:val="single" w:color="auto" w:sz="4" w:space="0"/>
                    <w:right w:val="single" w:color="auto" w:sz="4" w:space="0"/>
                  </w:tcBorders>
                  <w:noWrap w:val="0"/>
                  <w:vAlign w:val="center"/>
                </w:tcPr>
                <w:p w14:paraId="47A10C80">
                  <w:pPr>
                    <w:pStyle w:val="46"/>
                    <w:keepNext w:val="0"/>
                    <w:keepLines w:val="0"/>
                    <w:suppressLineNumbers w:val="0"/>
                    <w:bidi w:val="0"/>
                    <w:spacing w:before="0" w:beforeAutospacing="0" w:after="0" w:afterAutospacing="0"/>
                    <w:jc w:val="center"/>
                    <w:rPr>
                      <w:rFonts w:hint="default" w:cs="Times New Roman"/>
                      <w:color w:val="auto"/>
                      <w:lang w:val="en-US" w:eastAsia="zh-CN"/>
                    </w:rPr>
                  </w:pPr>
                  <w:r>
                    <w:rPr>
                      <w:rFonts w:hint="eastAsia" w:cs="Times New Roman"/>
                      <w:color w:val="auto"/>
                      <w:lang w:val="en-US" w:eastAsia="zh-CN"/>
                    </w:rPr>
                    <w:t>清洗要求</w:t>
                  </w:r>
                </w:p>
              </w:tc>
              <w:tc>
                <w:tcPr>
                  <w:tcW w:w="2965" w:type="dxa"/>
                  <w:tcBorders>
                    <w:top w:val="single" w:color="auto" w:sz="4" w:space="0"/>
                    <w:left w:val="single" w:color="auto" w:sz="4" w:space="0"/>
                    <w:bottom w:val="single" w:color="auto" w:sz="4" w:space="0"/>
                    <w:right w:val="single" w:color="auto" w:sz="4" w:space="0"/>
                  </w:tcBorders>
                  <w:noWrap w:val="0"/>
                  <w:vAlign w:val="center"/>
                </w:tcPr>
                <w:p w14:paraId="7F7619A3">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宜采用节水清洗工艺，清洗废水应统一收集、分类处理或集中处理，处理后应梯级利用或循环使用</w:t>
                  </w:r>
                </w:p>
              </w:tc>
              <w:tc>
                <w:tcPr>
                  <w:tcW w:w="2230" w:type="dxa"/>
                  <w:vMerge w:val="restart"/>
                  <w:tcBorders>
                    <w:left w:val="single" w:color="auto" w:sz="4" w:space="0"/>
                    <w:right w:val="single" w:color="auto" w:sz="4" w:space="0"/>
                  </w:tcBorders>
                  <w:noWrap w:val="0"/>
                  <w:vAlign w:val="center"/>
                </w:tcPr>
                <w:p w14:paraId="64408BCC">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本项目废塑料零部件仅进行破碎，不涉及水洗</w:t>
                  </w:r>
                  <w:r>
                    <w:rPr>
                      <w:rFonts w:hint="eastAsia"/>
                      <w:color w:val="auto"/>
                      <w:lang w:eastAsia="zh-CN"/>
                    </w:rPr>
                    <w:t>、</w:t>
                  </w:r>
                  <w:r>
                    <w:rPr>
                      <w:rFonts w:hint="eastAsia"/>
                      <w:b w:val="0"/>
                      <w:bCs w:val="0"/>
                      <w:color w:val="auto"/>
                      <w:lang w:val="en-US" w:eastAsia="zh-CN"/>
                    </w:rPr>
                    <w:t>清洗</w:t>
                  </w:r>
                  <w:r>
                    <w:rPr>
                      <w:rFonts w:hint="eastAsia"/>
                      <w:color w:val="auto"/>
                      <w:lang w:eastAsia="zh-CN"/>
                    </w:rPr>
                    <w:t>、</w:t>
                  </w:r>
                  <w:r>
                    <w:rPr>
                      <w:rFonts w:hint="eastAsia"/>
                      <w:b w:val="0"/>
                      <w:bCs w:val="0"/>
                      <w:color w:val="auto"/>
                      <w:lang w:val="en-US" w:eastAsia="zh-CN"/>
                    </w:rPr>
                    <w:t>干燥</w:t>
                  </w:r>
                  <w:r>
                    <w:rPr>
                      <w:rFonts w:hint="eastAsia"/>
                      <w:color w:val="auto"/>
                      <w:lang w:eastAsia="zh-CN"/>
                    </w:rPr>
                    <w:t>、</w:t>
                  </w:r>
                  <w:r>
                    <w:rPr>
                      <w:rFonts w:hint="eastAsia"/>
                      <w:b w:val="0"/>
                      <w:bCs w:val="0"/>
                      <w:color w:val="auto"/>
                      <w:lang w:val="en-US" w:eastAsia="zh-CN"/>
                    </w:rPr>
                    <w:t>分选工序</w:t>
                  </w:r>
                </w:p>
              </w:tc>
              <w:tc>
                <w:tcPr>
                  <w:tcW w:w="721" w:type="dxa"/>
                  <w:vMerge w:val="restart"/>
                  <w:tcBorders>
                    <w:left w:val="single" w:color="auto" w:sz="4" w:space="0"/>
                    <w:right w:val="single" w:color="auto" w:sz="4" w:space="0"/>
                  </w:tcBorders>
                  <w:noWrap w:val="0"/>
                  <w:vAlign w:val="center"/>
                </w:tcPr>
                <w:p w14:paraId="0521B54F">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22061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14E92C35">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color w:val="auto"/>
                      <w:lang w:val="en-US" w:eastAsia="zh-CN"/>
                    </w:rPr>
                  </w:pPr>
                </w:p>
              </w:tc>
              <w:tc>
                <w:tcPr>
                  <w:tcW w:w="565" w:type="dxa"/>
                  <w:vMerge w:val="continue"/>
                  <w:tcBorders>
                    <w:left w:val="single" w:color="auto" w:sz="4" w:space="0"/>
                    <w:right w:val="single" w:color="auto" w:sz="4" w:space="0"/>
                  </w:tcBorders>
                  <w:noWrap w:val="0"/>
                  <w:vAlign w:val="center"/>
                </w:tcPr>
                <w:p w14:paraId="2BC7B9A2">
                  <w:pPr>
                    <w:pStyle w:val="46"/>
                    <w:keepNext w:val="0"/>
                    <w:keepLines w:val="0"/>
                    <w:suppressLineNumbers w:val="0"/>
                    <w:bidi w:val="0"/>
                    <w:spacing w:before="0" w:beforeAutospacing="0" w:after="0" w:afterAutospacing="0"/>
                    <w:jc w:val="center"/>
                    <w:rPr>
                      <w:rFonts w:hint="eastAsia" w:cs="Times New Roman"/>
                      <w:color w:val="auto"/>
                      <w:lang w:val="en-US" w:eastAsia="zh-CN"/>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1F6A83BF">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应使用低残留、环境友好型清洗剂，不得使用有毒有害和国家严令禁止的清洗剂</w:t>
                  </w:r>
                </w:p>
              </w:tc>
              <w:tc>
                <w:tcPr>
                  <w:tcW w:w="2230" w:type="dxa"/>
                  <w:vMerge w:val="continue"/>
                  <w:tcBorders>
                    <w:left w:val="single" w:color="auto" w:sz="4" w:space="0"/>
                    <w:right w:val="single" w:color="auto" w:sz="4" w:space="0"/>
                  </w:tcBorders>
                  <w:noWrap w:val="0"/>
                  <w:vAlign w:val="center"/>
                </w:tcPr>
                <w:p w14:paraId="4444E221">
                  <w:pPr>
                    <w:pStyle w:val="46"/>
                    <w:keepNext w:val="0"/>
                    <w:keepLines w:val="0"/>
                    <w:suppressLineNumbers w:val="0"/>
                    <w:bidi w:val="0"/>
                    <w:spacing w:before="0" w:beforeAutospacing="0" w:after="0" w:afterAutospacing="0"/>
                    <w:jc w:val="center"/>
                    <w:rPr>
                      <w:rFonts w:hint="default"/>
                      <w:b w:val="0"/>
                      <w:bCs w:val="0"/>
                      <w:color w:val="0000FF"/>
                      <w:lang w:val="en-US" w:eastAsia="zh-CN"/>
                    </w:rPr>
                  </w:pPr>
                </w:p>
              </w:tc>
              <w:tc>
                <w:tcPr>
                  <w:tcW w:w="721" w:type="dxa"/>
                  <w:vMerge w:val="continue"/>
                  <w:tcBorders>
                    <w:left w:val="single" w:color="auto" w:sz="4" w:space="0"/>
                    <w:right w:val="single" w:color="auto" w:sz="4" w:space="0"/>
                  </w:tcBorders>
                  <w:noWrap w:val="0"/>
                  <w:vAlign w:val="center"/>
                </w:tcPr>
                <w:p w14:paraId="71C3972B">
                  <w:pPr>
                    <w:pStyle w:val="46"/>
                    <w:keepNext w:val="0"/>
                    <w:keepLines w:val="0"/>
                    <w:suppressLineNumbers w:val="0"/>
                    <w:bidi w:val="0"/>
                    <w:spacing w:before="0" w:beforeAutospacing="0" w:after="0" w:afterAutospacing="0"/>
                    <w:jc w:val="center"/>
                    <w:rPr>
                      <w:rFonts w:hint="default"/>
                      <w:b w:val="0"/>
                      <w:bCs w:val="0"/>
                      <w:color w:val="0000FF"/>
                      <w:lang w:val="en-US" w:eastAsia="zh-CN"/>
                    </w:rPr>
                  </w:pPr>
                </w:p>
              </w:tc>
            </w:tr>
            <w:tr w14:paraId="0F191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6B993E53">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color w:val="auto"/>
                      <w:lang w:val="en-US" w:eastAsia="zh-CN"/>
                    </w:rPr>
                  </w:pPr>
                </w:p>
              </w:tc>
              <w:tc>
                <w:tcPr>
                  <w:tcW w:w="565" w:type="dxa"/>
                  <w:vMerge w:val="continue"/>
                  <w:tcBorders>
                    <w:left w:val="single" w:color="auto" w:sz="4" w:space="0"/>
                    <w:bottom w:val="single" w:color="auto" w:sz="4" w:space="0"/>
                    <w:right w:val="single" w:color="auto" w:sz="4" w:space="0"/>
                  </w:tcBorders>
                  <w:noWrap w:val="0"/>
                  <w:vAlign w:val="center"/>
                </w:tcPr>
                <w:p w14:paraId="0AB77738">
                  <w:pPr>
                    <w:pStyle w:val="46"/>
                    <w:keepNext w:val="0"/>
                    <w:keepLines w:val="0"/>
                    <w:suppressLineNumbers w:val="0"/>
                    <w:bidi w:val="0"/>
                    <w:spacing w:before="0" w:beforeAutospacing="0" w:after="0" w:afterAutospacing="0"/>
                    <w:jc w:val="center"/>
                    <w:rPr>
                      <w:rFonts w:hint="eastAsia" w:cs="Times New Roman"/>
                      <w:color w:val="auto"/>
                      <w:lang w:val="en-US" w:eastAsia="zh-CN"/>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423F2BD0">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厂内处理后的排放废水，需进入城市污水收集管网的执行GB/T31962要求；直接排放的需满足当地环境保护管理要求</w:t>
                  </w:r>
                </w:p>
              </w:tc>
              <w:tc>
                <w:tcPr>
                  <w:tcW w:w="2230" w:type="dxa"/>
                  <w:vMerge w:val="continue"/>
                  <w:tcBorders>
                    <w:left w:val="single" w:color="auto" w:sz="4" w:space="0"/>
                    <w:right w:val="single" w:color="auto" w:sz="4" w:space="0"/>
                  </w:tcBorders>
                  <w:noWrap w:val="0"/>
                  <w:vAlign w:val="center"/>
                </w:tcPr>
                <w:p w14:paraId="772F7580">
                  <w:pPr>
                    <w:pStyle w:val="46"/>
                    <w:keepNext w:val="0"/>
                    <w:keepLines w:val="0"/>
                    <w:suppressLineNumbers w:val="0"/>
                    <w:bidi w:val="0"/>
                    <w:spacing w:before="0" w:beforeAutospacing="0" w:after="0" w:afterAutospacing="0"/>
                    <w:jc w:val="center"/>
                    <w:rPr>
                      <w:rFonts w:hint="default"/>
                      <w:b w:val="0"/>
                      <w:bCs w:val="0"/>
                      <w:color w:val="0000FF"/>
                      <w:lang w:val="en-US" w:eastAsia="zh-CN"/>
                    </w:rPr>
                  </w:pPr>
                </w:p>
              </w:tc>
              <w:tc>
                <w:tcPr>
                  <w:tcW w:w="721" w:type="dxa"/>
                  <w:vMerge w:val="continue"/>
                  <w:tcBorders>
                    <w:left w:val="single" w:color="auto" w:sz="4" w:space="0"/>
                    <w:right w:val="single" w:color="auto" w:sz="4" w:space="0"/>
                  </w:tcBorders>
                  <w:noWrap w:val="0"/>
                  <w:vAlign w:val="center"/>
                </w:tcPr>
                <w:p w14:paraId="6E2CC208">
                  <w:pPr>
                    <w:pStyle w:val="46"/>
                    <w:keepNext w:val="0"/>
                    <w:keepLines w:val="0"/>
                    <w:suppressLineNumbers w:val="0"/>
                    <w:bidi w:val="0"/>
                    <w:spacing w:before="0" w:beforeAutospacing="0" w:after="0" w:afterAutospacing="0"/>
                    <w:jc w:val="center"/>
                    <w:rPr>
                      <w:rFonts w:hint="default"/>
                      <w:b w:val="0"/>
                      <w:bCs w:val="0"/>
                      <w:color w:val="0000FF"/>
                      <w:lang w:val="en-US" w:eastAsia="zh-CN"/>
                    </w:rPr>
                  </w:pPr>
                </w:p>
              </w:tc>
            </w:tr>
            <w:tr w14:paraId="71CBE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46A50EAE">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color w:val="auto"/>
                      <w:lang w:val="en-US" w:eastAsia="zh-CN"/>
                    </w:rPr>
                  </w:pPr>
                </w:p>
              </w:tc>
              <w:tc>
                <w:tcPr>
                  <w:tcW w:w="565" w:type="dxa"/>
                  <w:vMerge w:val="restart"/>
                  <w:tcBorders>
                    <w:left w:val="single" w:color="auto" w:sz="4" w:space="0"/>
                    <w:right w:val="single" w:color="auto" w:sz="4" w:space="0"/>
                  </w:tcBorders>
                  <w:noWrap w:val="0"/>
                  <w:vAlign w:val="center"/>
                </w:tcPr>
                <w:p w14:paraId="7D8A9D65">
                  <w:pPr>
                    <w:pStyle w:val="46"/>
                    <w:keepNext w:val="0"/>
                    <w:keepLines w:val="0"/>
                    <w:suppressLineNumbers w:val="0"/>
                    <w:bidi w:val="0"/>
                    <w:spacing w:before="0" w:beforeAutospacing="0" w:after="0" w:afterAutospacing="0"/>
                    <w:jc w:val="center"/>
                    <w:rPr>
                      <w:rFonts w:hint="default" w:cs="Times New Roman"/>
                      <w:color w:val="auto"/>
                      <w:lang w:val="en-US" w:eastAsia="zh-CN"/>
                    </w:rPr>
                  </w:pPr>
                  <w:r>
                    <w:rPr>
                      <w:rFonts w:hint="eastAsia" w:cs="Times New Roman"/>
                      <w:color w:val="auto"/>
                      <w:lang w:val="en-US" w:eastAsia="zh-CN"/>
                    </w:rPr>
                    <w:t>干燥要求</w:t>
                  </w:r>
                </w:p>
              </w:tc>
              <w:tc>
                <w:tcPr>
                  <w:tcW w:w="2965" w:type="dxa"/>
                  <w:tcBorders>
                    <w:top w:val="single" w:color="auto" w:sz="4" w:space="0"/>
                    <w:left w:val="single" w:color="auto" w:sz="4" w:space="0"/>
                    <w:bottom w:val="single" w:color="auto" w:sz="4" w:space="0"/>
                    <w:right w:val="single" w:color="auto" w:sz="4" w:space="0"/>
                  </w:tcBorders>
                  <w:noWrap w:val="0"/>
                  <w:vAlign w:val="center"/>
                </w:tcPr>
                <w:p w14:paraId="2460EFCA">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宜采用离心脱水、鼓风干燥、流化床干燥等工艺，应使用低能耗设备</w:t>
                  </w:r>
                </w:p>
              </w:tc>
              <w:tc>
                <w:tcPr>
                  <w:tcW w:w="2230" w:type="dxa"/>
                  <w:vMerge w:val="continue"/>
                  <w:tcBorders>
                    <w:left w:val="single" w:color="auto" w:sz="4" w:space="0"/>
                    <w:right w:val="single" w:color="auto" w:sz="4" w:space="0"/>
                  </w:tcBorders>
                  <w:noWrap w:val="0"/>
                  <w:vAlign w:val="center"/>
                </w:tcPr>
                <w:p w14:paraId="1FB2248E">
                  <w:pPr>
                    <w:pStyle w:val="46"/>
                    <w:keepNext w:val="0"/>
                    <w:keepLines w:val="0"/>
                    <w:suppressLineNumbers w:val="0"/>
                    <w:bidi w:val="0"/>
                    <w:spacing w:before="0" w:beforeAutospacing="0" w:after="0" w:afterAutospacing="0"/>
                    <w:jc w:val="center"/>
                    <w:rPr>
                      <w:rFonts w:hint="default"/>
                      <w:b w:val="0"/>
                      <w:bCs w:val="0"/>
                      <w:color w:val="0000FF"/>
                      <w:lang w:val="en-US" w:eastAsia="zh-CN"/>
                    </w:rPr>
                  </w:pPr>
                </w:p>
              </w:tc>
              <w:tc>
                <w:tcPr>
                  <w:tcW w:w="721" w:type="dxa"/>
                  <w:vMerge w:val="continue"/>
                  <w:tcBorders>
                    <w:left w:val="single" w:color="auto" w:sz="4" w:space="0"/>
                    <w:right w:val="single" w:color="auto" w:sz="4" w:space="0"/>
                  </w:tcBorders>
                  <w:noWrap w:val="0"/>
                  <w:vAlign w:val="center"/>
                </w:tcPr>
                <w:p w14:paraId="797F5493">
                  <w:pPr>
                    <w:pStyle w:val="46"/>
                    <w:keepNext w:val="0"/>
                    <w:keepLines w:val="0"/>
                    <w:suppressLineNumbers w:val="0"/>
                    <w:bidi w:val="0"/>
                    <w:spacing w:before="0" w:beforeAutospacing="0" w:after="0" w:afterAutospacing="0"/>
                    <w:jc w:val="center"/>
                    <w:rPr>
                      <w:rFonts w:hint="default"/>
                      <w:b w:val="0"/>
                      <w:bCs w:val="0"/>
                      <w:color w:val="0000FF"/>
                      <w:lang w:val="en-US" w:eastAsia="zh-CN"/>
                    </w:rPr>
                  </w:pPr>
                </w:p>
              </w:tc>
            </w:tr>
            <w:tr w14:paraId="5C47CE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1E365650">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color w:val="auto"/>
                      <w:lang w:val="en-US" w:eastAsia="zh-CN"/>
                    </w:rPr>
                  </w:pPr>
                </w:p>
              </w:tc>
              <w:tc>
                <w:tcPr>
                  <w:tcW w:w="565" w:type="dxa"/>
                  <w:vMerge w:val="continue"/>
                  <w:tcBorders>
                    <w:left w:val="single" w:color="auto" w:sz="4" w:space="0"/>
                    <w:bottom w:val="single" w:color="auto" w:sz="4" w:space="0"/>
                    <w:right w:val="single" w:color="auto" w:sz="4" w:space="0"/>
                  </w:tcBorders>
                  <w:noWrap w:val="0"/>
                  <w:vAlign w:val="center"/>
                </w:tcPr>
                <w:p w14:paraId="29822785">
                  <w:pPr>
                    <w:pStyle w:val="46"/>
                    <w:keepNext w:val="0"/>
                    <w:keepLines w:val="0"/>
                    <w:suppressLineNumbers w:val="0"/>
                    <w:bidi w:val="0"/>
                    <w:spacing w:before="0" w:beforeAutospacing="0" w:after="0" w:afterAutospacing="0"/>
                    <w:jc w:val="center"/>
                    <w:rPr>
                      <w:rFonts w:hint="eastAsia" w:cs="Times New Roman"/>
                      <w:color w:val="auto"/>
                      <w:lang w:val="en-US" w:eastAsia="zh-CN"/>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793DA771">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干燥废气应集中收集，进入废气处理设施处理，不得随意排放</w:t>
                  </w:r>
                </w:p>
              </w:tc>
              <w:tc>
                <w:tcPr>
                  <w:tcW w:w="2230" w:type="dxa"/>
                  <w:vMerge w:val="continue"/>
                  <w:tcBorders>
                    <w:left w:val="single" w:color="auto" w:sz="4" w:space="0"/>
                    <w:right w:val="single" w:color="auto" w:sz="4" w:space="0"/>
                  </w:tcBorders>
                  <w:noWrap w:val="0"/>
                  <w:vAlign w:val="center"/>
                </w:tcPr>
                <w:p w14:paraId="667507AB">
                  <w:pPr>
                    <w:pStyle w:val="46"/>
                    <w:keepNext w:val="0"/>
                    <w:keepLines w:val="0"/>
                    <w:suppressLineNumbers w:val="0"/>
                    <w:bidi w:val="0"/>
                    <w:spacing w:before="0" w:beforeAutospacing="0" w:after="0" w:afterAutospacing="0"/>
                    <w:jc w:val="center"/>
                    <w:rPr>
                      <w:rFonts w:hint="eastAsia"/>
                      <w:b w:val="0"/>
                      <w:bCs w:val="0"/>
                      <w:color w:val="0000FF"/>
                      <w:lang w:val="en-US" w:eastAsia="zh-CN"/>
                    </w:rPr>
                  </w:pPr>
                </w:p>
              </w:tc>
              <w:tc>
                <w:tcPr>
                  <w:tcW w:w="721" w:type="dxa"/>
                  <w:vMerge w:val="continue"/>
                  <w:tcBorders>
                    <w:left w:val="single" w:color="auto" w:sz="4" w:space="0"/>
                    <w:right w:val="single" w:color="auto" w:sz="4" w:space="0"/>
                  </w:tcBorders>
                  <w:noWrap w:val="0"/>
                  <w:vAlign w:val="center"/>
                </w:tcPr>
                <w:p w14:paraId="3DCA6D84">
                  <w:pPr>
                    <w:pStyle w:val="46"/>
                    <w:keepNext w:val="0"/>
                    <w:keepLines w:val="0"/>
                    <w:suppressLineNumbers w:val="0"/>
                    <w:bidi w:val="0"/>
                    <w:spacing w:before="0" w:beforeAutospacing="0" w:after="0" w:afterAutospacing="0"/>
                    <w:jc w:val="center"/>
                    <w:rPr>
                      <w:rFonts w:hint="eastAsia"/>
                      <w:b w:val="0"/>
                      <w:bCs w:val="0"/>
                      <w:color w:val="0000FF"/>
                      <w:lang w:val="en-US" w:eastAsia="zh-CN"/>
                    </w:rPr>
                  </w:pPr>
                </w:p>
              </w:tc>
            </w:tr>
            <w:tr w14:paraId="5AF82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40BEF57F">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color w:val="auto"/>
                      <w:lang w:val="en-US" w:eastAsia="zh-CN"/>
                    </w:rPr>
                  </w:pPr>
                </w:p>
              </w:tc>
              <w:tc>
                <w:tcPr>
                  <w:tcW w:w="565" w:type="dxa"/>
                  <w:tcBorders>
                    <w:left w:val="single" w:color="auto" w:sz="4" w:space="0"/>
                    <w:bottom w:val="single" w:color="auto" w:sz="4" w:space="0"/>
                    <w:right w:val="single" w:color="auto" w:sz="4" w:space="0"/>
                  </w:tcBorders>
                  <w:noWrap w:val="0"/>
                  <w:vAlign w:val="center"/>
                </w:tcPr>
                <w:p w14:paraId="1554FF62">
                  <w:pPr>
                    <w:pStyle w:val="46"/>
                    <w:keepNext w:val="0"/>
                    <w:keepLines w:val="0"/>
                    <w:suppressLineNumbers w:val="0"/>
                    <w:bidi w:val="0"/>
                    <w:spacing w:before="0" w:beforeAutospacing="0" w:after="0" w:afterAutospacing="0"/>
                    <w:jc w:val="center"/>
                    <w:rPr>
                      <w:rFonts w:hint="default" w:cs="Times New Roman"/>
                      <w:color w:val="auto"/>
                      <w:lang w:val="en-US" w:eastAsia="zh-CN"/>
                    </w:rPr>
                  </w:pPr>
                  <w:r>
                    <w:rPr>
                      <w:rFonts w:hint="eastAsia" w:cs="Times New Roman"/>
                      <w:color w:val="auto"/>
                      <w:lang w:val="en-US" w:eastAsia="zh-CN"/>
                    </w:rPr>
                    <w:t>分选</w:t>
                  </w:r>
                </w:p>
              </w:tc>
              <w:tc>
                <w:tcPr>
                  <w:tcW w:w="2965" w:type="dxa"/>
                  <w:tcBorders>
                    <w:top w:val="single" w:color="auto" w:sz="4" w:space="0"/>
                    <w:left w:val="single" w:color="auto" w:sz="4" w:space="0"/>
                    <w:bottom w:val="single" w:color="auto" w:sz="4" w:space="0"/>
                    <w:right w:val="single" w:color="auto" w:sz="4" w:space="0"/>
                  </w:tcBorders>
                  <w:noWrap w:val="0"/>
                  <w:vAlign w:val="center"/>
                </w:tcPr>
                <w:p w14:paraId="7B102CF7">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应采用密度分选、旋风分选、播床分选等技术，目标塑料分选率：90%宜使用静电分选、近红外分选、X射线分选等先进技术，目标塑料分选率&gt;95%应选择低毒、无害的助剂分选废塑料。分选废水应集中收集处理，不得未经处理直接排放，采用密度分选工艺应有高浓度盐水处理方案和措施。</w:t>
                  </w:r>
                </w:p>
              </w:tc>
              <w:tc>
                <w:tcPr>
                  <w:tcW w:w="2230" w:type="dxa"/>
                  <w:vMerge w:val="continue"/>
                  <w:tcBorders>
                    <w:left w:val="single" w:color="auto" w:sz="4" w:space="0"/>
                    <w:bottom w:val="single" w:color="auto" w:sz="4" w:space="0"/>
                    <w:right w:val="single" w:color="auto" w:sz="4" w:space="0"/>
                  </w:tcBorders>
                  <w:noWrap w:val="0"/>
                  <w:vAlign w:val="center"/>
                </w:tcPr>
                <w:p w14:paraId="531C5F5B">
                  <w:pPr>
                    <w:pStyle w:val="46"/>
                    <w:keepNext w:val="0"/>
                    <w:keepLines w:val="0"/>
                    <w:suppressLineNumbers w:val="0"/>
                    <w:bidi w:val="0"/>
                    <w:spacing w:before="0" w:beforeAutospacing="0" w:after="0" w:afterAutospacing="0"/>
                    <w:jc w:val="center"/>
                    <w:rPr>
                      <w:rFonts w:hint="default"/>
                      <w:b w:val="0"/>
                      <w:bCs w:val="0"/>
                      <w:color w:val="0000FF"/>
                      <w:lang w:val="en-US" w:eastAsia="zh-CN"/>
                    </w:rPr>
                  </w:pPr>
                </w:p>
              </w:tc>
              <w:tc>
                <w:tcPr>
                  <w:tcW w:w="721" w:type="dxa"/>
                  <w:vMerge w:val="continue"/>
                  <w:tcBorders>
                    <w:left w:val="single" w:color="auto" w:sz="4" w:space="0"/>
                    <w:bottom w:val="single" w:color="auto" w:sz="4" w:space="0"/>
                    <w:right w:val="single" w:color="auto" w:sz="4" w:space="0"/>
                  </w:tcBorders>
                  <w:noWrap w:val="0"/>
                  <w:vAlign w:val="center"/>
                </w:tcPr>
                <w:p w14:paraId="0437824F">
                  <w:pPr>
                    <w:pStyle w:val="46"/>
                    <w:keepNext w:val="0"/>
                    <w:keepLines w:val="0"/>
                    <w:suppressLineNumbers w:val="0"/>
                    <w:bidi w:val="0"/>
                    <w:spacing w:before="0" w:beforeAutospacing="0" w:after="0" w:afterAutospacing="0"/>
                    <w:jc w:val="center"/>
                    <w:rPr>
                      <w:rFonts w:hint="default"/>
                      <w:b w:val="0"/>
                      <w:bCs w:val="0"/>
                      <w:color w:val="0000FF"/>
                      <w:lang w:val="en-US" w:eastAsia="zh-CN"/>
                    </w:rPr>
                  </w:pPr>
                </w:p>
              </w:tc>
            </w:tr>
            <w:tr w14:paraId="6C199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5F381CD3">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color w:val="0000FF"/>
                      <w:lang w:val="en-US" w:eastAsia="zh-CN"/>
                    </w:rPr>
                  </w:pPr>
                </w:p>
              </w:tc>
              <w:tc>
                <w:tcPr>
                  <w:tcW w:w="565" w:type="dxa"/>
                  <w:vMerge w:val="restart"/>
                  <w:tcBorders>
                    <w:left w:val="single" w:color="auto" w:sz="4" w:space="0"/>
                    <w:right w:val="single" w:color="auto" w:sz="4" w:space="0"/>
                  </w:tcBorders>
                  <w:noWrap w:val="0"/>
                  <w:vAlign w:val="center"/>
                </w:tcPr>
                <w:p w14:paraId="47B68D71">
                  <w:pPr>
                    <w:pStyle w:val="46"/>
                    <w:keepNext w:val="0"/>
                    <w:keepLines w:val="0"/>
                    <w:suppressLineNumbers w:val="0"/>
                    <w:bidi w:val="0"/>
                    <w:spacing w:before="0" w:beforeAutospacing="0" w:after="0" w:afterAutospacing="0"/>
                    <w:jc w:val="center"/>
                    <w:rPr>
                      <w:rFonts w:hint="default" w:cs="Times New Roman"/>
                      <w:color w:val="auto"/>
                      <w:lang w:val="en-US" w:eastAsia="zh-CN"/>
                    </w:rPr>
                  </w:pPr>
                  <w:r>
                    <w:rPr>
                      <w:rFonts w:hint="eastAsia" w:cs="Times New Roman"/>
                      <w:color w:val="auto"/>
                      <w:lang w:val="en-US" w:eastAsia="zh-CN"/>
                    </w:rPr>
                    <w:t>环境保护要求</w:t>
                  </w:r>
                </w:p>
              </w:tc>
              <w:tc>
                <w:tcPr>
                  <w:tcW w:w="2965" w:type="dxa"/>
                  <w:tcBorders>
                    <w:top w:val="single" w:color="auto" w:sz="4" w:space="0"/>
                    <w:left w:val="single" w:color="auto" w:sz="4" w:space="0"/>
                    <w:bottom w:val="single" w:color="auto" w:sz="4" w:space="0"/>
                    <w:right w:val="single" w:color="auto" w:sz="4" w:space="0"/>
                  </w:tcBorders>
                  <w:noWrap w:val="0"/>
                  <w:vAlign w:val="center"/>
                </w:tcPr>
                <w:p w14:paraId="51C9B389">
                  <w:pPr>
                    <w:pStyle w:val="46"/>
                    <w:keepNext w:val="0"/>
                    <w:keepLines w:val="0"/>
                    <w:suppressLineNumbers w:val="0"/>
                    <w:bidi w:val="0"/>
                    <w:spacing w:before="0" w:beforeAutospacing="0" w:after="0" w:afterAutospacing="0"/>
                    <w:jc w:val="both"/>
                    <w:rPr>
                      <w:rFonts w:hint="eastAsia"/>
                      <w:color w:val="auto"/>
                      <w:lang w:val="en-US" w:eastAsia="zh-CN"/>
                    </w:rPr>
                  </w:pPr>
                  <w:r>
                    <w:rPr>
                      <w:rFonts w:hint="eastAsia"/>
                      <w:color w:val="auto"/>
                      <w:lang w:val="en-US" w:eastAsia="zh-CN"/>
                    </w:rPr>
                    <w:t>收集到的清洗废水、分选废水、冷却水等，应根据废水污染物的情况选择分别处理或集中处理废水处理应采用物化、生化组合处理工艺、膜处理等技术，减少药剂的使用和污泥的产生</w:t>
                  </w:r>
                </w:p>
              </w:tc>
              <w:tc>
                <w:tcPr>
                  <w:tcW w:w="2230" w:type="dxa"/>
                  <w:tcBorders>
                    <w:left w:val="single" w:color="auto" w:sz="4" w:space="0"/>
                    <w:bottom w:val="single" w:color="auto" w:sz="4" w:space="0"/>
                    <w:right w:val="single" w:color="auto" w:sz="4" w:space="0"/>
                  </w:tcBorders>
                  <w:shd w:val="clear" w:color="auto" w:fill="auto"/>
                  <w:noWrap w:val="0"/>
                  <w:vAlign w:val="center"/>
                </w:tcPr>
                <w:p w14:paraId="0447248C">
                  <w:pPr>
                    <w:pStyle w:val="46"/>
                    <w:keepNext w:val="0"/>
                    <w:keepLines w:val="0"/>
                    <w:suppressLineNumbers w:val="0"/>
                    <w:bidi w:val="0"/>
                    <w:spacing w:before="0" w:beforeAutospacing="0" w:after="0" w:afterAutospacing="0"/>
                    <w:ind w:left="24" w:leftChars="10" w:right="24" w:rightChars="10" w:firstLine="0" w:firstLineChars="0"/>
                    <w:jc w:val="center"/>
                    <w:rPr>
                      <w:rFonts w:hint="default"/>
                      <w:b w:val="0"/>
                      <w:bCs w:val="0"/>
                      <w:color w:val="auto"/>
                      <w:lang w:val="en-US" w:eastAsia="zh-CN"/>
                    </w:rPr>
                  </w:pPr>
                  <w:r>
                    <w:rPr>
                      <w:rFonts w:hint="eastAsia"/>
                      <w:b w:val="0"/>
                      <w:bCs w:val="0"/>
                      <w:color w:val="auto"/>
                      <w:lang w:val="en-US" w:eastAsia="zh-CN"/>
                    </w:rPr>
                    <w:t>项目破碎废水经絮凝沉淀池处理</w:t>
                  </w:r>
                </w:p>
              </w:tc>
              <w:tc>
                <w:tcPr>
                  <w:tcW w:w="721" w:type="dxa"/>
                  <w:tcBorders>
                    <w:left w:val="single" w:color="auto" w:sz="4" w:space="0"/>
                    <w:bottom w:val="single" w:color="auto" w:sz="4" w:space="0"/>
                    <w:right w:val="single" w:color="auto" w:sz="4" w:space="0"/>
                  </w:tcBorders>
                  <w:noWrap w:val="0"/>
                  <w:vAlign w:val="center"/>
                </w:tcPr>
                <w:p w14:paraId="147D43ED">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204CF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49F88ABC">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color w:val="0000FF"/>
                      <w:lang w:val="en-US" w:eastAsia="zh-CN"/>
                    </w:rPr>
                  </w:pPr>
                </w:p>
              </w:tc>
              <w:tc>
                <w:tcPr>
                  <w:tcW w:w="565" w:type="dxa"/>
                  <w:vMerge w:val="continue"/>
                  <w:tcBorders>
                    <w:left w:val="single" w:color="auto" w:sz="4" w:space="0"/>
                    <w:right w:val="single" w:color="auto" w:sz="4" w:space="0"/>
                  </w:tcBorders>
                  <w:noWrap w:val="0"/>
                  <w:vAlign w:val="center"/>
                </w:tcPr>
                <w:p w14:paraId="1AA519D7">
                  <w:pPr>
                    <w:pStyle w:val="46"/>
                    <w:keepNext w:val="0"/>
                    <w:keepLines w:val="0"/>
                    <w:suppressLineNumbers w:val="0"/>
                    <w:bidi w:val="0"/>
                    <w:spacing w:before="0" w:beforeAutospacing="0" w:after="0" w:afterAutospacing="0"/>
                    <w:jc w:val="center"/>
                    <w:rPr>
                      <w:rFonts w:hint="eastAsia" w:cs="Times New Roman"/>
                      <w:color w:val="auto"/>
                      <w:lang w:val="en-US" w:eastAsia="zh-CN"/>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5541352D">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 xml:space="preserve"> 再生利用过程中收集的废气应根据废气的性质，采用催化氧化、低温等离子、喷淋等处理技术如再生利用过程的废气中含氯化氧等酸性气体，应增加喷淋处理设施，喷淋处理产生的污水按11.2执行</w:t>
                  </w:r>
                </w:p>
              </w:tc>
              <w:tc>
                <w:tcPr>
                  <w:tcW w:w="2230" w:type="dxa"/>
                  <w:tcBorders>
                    <w:left w:val="single" w:color="auto" w:sz="4" w:space="0"/>
                    <w:bottom w:val="single" w:color="auto" w:sz="4" w:space="0"/>
                    <w:right w:val="single" w:color="auto" w:sz="4" w:space="0"/>
                  </w:tcBorders>
                  <w:shd w:val="clear" w:color="auto" w:fill="auto"/>
                  <w:noWrap w:val="0"/>
                  <w:vAlign w:val="center"/>
                </w:tcPr>
                <w:p w14:paraId="16A0D035">
                  <w:pPr>
                    <w:pStyle w:val="46"/>
                    <w:keepNext w:val="0"/>
                    <w:keepLines w:val="0"/>
                    <w:suppressLineNumbers w:val="0"/>
                    <w:bidi w:val="0"/>
                    <w:spacing w:before="0" w:beforeAutospacing="0" w:after="0" w:afterAutospacing="0"/>
                    <w:ind w:left="24" w:leftChars="10" w:right="24" w:rightChars="10" w:firstLine="0" w:firstLineChars="0"/>
                    <w:jc w:val="center"/>
                    <w:rPr>
                      <w:rFonts w:hint="default"/>
                      <w:b w:val="0"/>
                      <w:bCs w:val="0"/>
                      <w:color w:val="auto"/>
                      <w:lang w:val="en-US" w:eastAsia="zh-CN"/>
                    </w:rPr>
                  </w:pPr>
                  <w:r>
                    <w:rPr>
                      <w:rFonts w:hint="eastAsia"/>
                      <w:b w:val="0"/>
                      <w:bCs w:val="0"/>
                      <w:color w:val="auto"/>
                      <w:lang w:val="en-US" w:eastAsia="zh-CN"/>
                    </w:rPr>
                    <w:t>项目采用湿法破碎，</w:t>
                  </w:r>
                  <w:r>
                    <w:rPr>
                      <w:rFonts w:hint="eastAsia"/>
                      <w:color w:val="auto"/>
                      <w:lang w:val="en-US" w:eastAsia="zh-CN"/>
                    </w:rPr>
                    <w:t>不进行塑料熔化造粒和改性生产，</w:t>
                  </w:r>
                  <w:r>
                    <w:rPr>
                      <w:rFonts w:hint="eastAsia" w:ascii="Calibri" w:hAnsi="Calibri" w:cs="Times New Roman"/>
                      <w:b w:val="0"/>
                      <w:bCs w:val="0"/>
                      <w:color w:val="auto"/>
                      <w:kern w:val="2"/>
                      <w:sz w:val="21"/>
                      <w:szCs w:val="20"/>
                      <w:lang w:val="en-US" w:eastAsia="zh-CN" w:bidi="ar-SA"/>
                    </w:rPr>
                    <w:t>废气主要为絮凝沉淀池少量的无组织恶臭气体，通过定期喷洒除臭剂、污泥脱水后使用封闭包装袋打包后暂存，及时清运、加强车间通风等措施可有效减少恶臭气体的产生</w:t>
                  </w:r>
                </w:p>
              </w:tc>
              <w:tc>
                <w:tcPr>
                  <w:tcW w:w="721" w:type="dxa"/>
                  <w:tcBorders>
                    <w:left w:val="single" w:color="auto" w:sz="4" w:space="0"/>
                    <w:bottom w:val="single" w:color="auto" w:sz="4" w:space="0"/>
                    <w:right w:val="single" w:color="auto" w:sz="4" w:space="0"/>
                  </w:tcBorders>
                  <w:noWrap w:val="0"/>
                  <w:vAlign w:val="center"/>
                </w:tcPr>
                <w:p w14:paraId="4F56D11B">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22EAA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0A73C162">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color w:val="0000FF"/>
                      <w:lang w:val="en-US" w:eastAsia="zh-CN"/>
                    </w:rPr>
                  </w:pPr>
                </w:p>
              </w:tc>
              <w:tc>
                <w:tcPr>
                  <w:tcW w:w="565" w:type="dxa"/>
                  <w:vMerge w:val="continue"/>
                  <w:tcBorders>
                    <w:left w:val="single" w:color="auto" w:sz="4" w:space="0"/>
                    <w:right w:val="single" w:color="auto" w:sz="4" w:space="0"/>
                  </w:tcBorders>
                  <w:noWrap w:val="0"/>
                  <w:vAlign w:val="center"/>
                </w:tcPr>
                <w:p w14:paraId="17180082">
                  <w:pPr>
                    <w:pStyle w:val="46"/>
                    <w:keepNext w:val="0"/>
                    <w:keepLines w:val="0"/>
                    <w:suppressLineNumbers w:val="0"/>
                    <w:bidi w:val="0"/>
                    <w:spacing w:before="0" w:beforeAutospacing="0" w:after="0" w:afterAutospacing="0"/>
                    <w:jc w:val="center"/>
                    <w:rPr>
                      <w:rFonts w:hint="eastAsia" w:cs="Times New Roman"/>
                      <w:color w:val="0000FF"/>
                      <w:lang w:val="en-US" w:eastAsia="zh-CN"/>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346C93DD">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废水处理过程产生的污泥，企业可自行处理，或交由污泥处理企业处理，不得随意丢弃，不得在缺乏必要的环保设施条件下焚烧废弃滤网、熔融渣</w:t>
                  </w:r>
                </w:p>
              </w:tc>
              <w:tc>
                <w:tcPr>
                  <w:tcW w:w="2230" w:type="dxa"/>
                  <w:tcBorders>
                    <w:left w:val="single" w:color="auto" w:sz="4" w:space="0"/>
                    <w:bottom w:val="single" w:color="auto" w:sz="4" w:space="0"/>
                    <w:right w:val="single" w:color="auto" w:sz="4" w:space="0"/>
                  </w:tcBorders>
                  <w:shd w:val="clear" w:color="auto" w:fill="auto"/>
                  <w:noWrap w:val="0"/>
                  <w:vAlign w:val="center"/>
                </w:tcPr>
                <w:p w14:paraId="33FED867">
                  <w:pPr>
                    <w:pStyle w:val="46"/>
                    <w:keepNext w:val="0"/>
                    <w:keepLines w:val="0"/>
                    <w:suppressLineNumbers w:val="0"/>
                    <w:bidi w:val="0"/>
                    <w:spacing w:before="0" w:beforeAutospacing="0" w:after="0" w:afterAutospacing="0"/>
                    <w:ind w:left="24" w:leftChars="10" w:right="24" w:rightChars="10" w:firstLine="0" w:firstLineChars="0"/>
                    <w:jc w:val="center"/>
                    <w:rPr>
                      <w:rFonts w:hint="default"/>
                      <w:b w:val="0"/>
                      <w:bCs w:val="0"/>
                      <w:color w:val="auto"/>
                      <w:lang w:val="en-US" w:eastAsia="zh-CN"/>
                    </w:rPr>
                  </w:pPr>
                  <w:r>
                    <w:rPr>
                      <w:rFonts w:hint="eastAsia"/>
                      <w:b w:val="0"/>
                      <w:bCs w:val="0"/>
                      <w:color w:val="auto"/>
                      <w:lang w:val="en-US" w:eastAsia="zh-CN"/>
                    </w:rPr>
                    <w:t>污水处理过程中产生的污泥委托污泥处置单位处置</w:t>
                  </w:r>
                </w:p>
              </w:tc>
              <w:tc>
                <w:tcPr>
                  <w:tcW w:w="721" w:type="dxa"/>
                  <w:tcBorders>
                    <w:left w:val="single" w:color="auto" w:sz="4" w:space="0"/>
                    <w:bottom w:val="single" w:color="auto" w:sz="4" w:space="0"/>
                    <w:right w:val="single" w:color="auto" w:sz="4" w:space="0"/>
                  </w:tcBorders>
                  <w:noWrap w:val="0"/>
                  <w:vAlign w:val="center"/>
                </w:tcPr>
                <w:p w14:paraId="1804CFFA">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43358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447CCAC6">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color w:val="0000FF"/>
                      <w:lang w:val="en-US" w:eastAsia="zh-CN"/>
                    </w:rPr>
                  </w:pPr>
                </w:p>
              </w:tc>
              <w:tc>
                <w:tcPr>
                  <w:tcW w:w="565" w:type="dxa"/>
                  <w:vMerge w:val="continue"/>
                  <w:tcBorders>
                    <w:left w:val="single" w:color="auto" w:sz="4" w:space="0"/>
                    <w:right w:val="single" w:color="auto" w:sz="4" w:space="0"/>
                  </w:tcBorders>
                  <w:noWrap w:val="0"/>
                  <w:vAlign w:val="center"/>
                </w:tcPr>
                <w:p w14:paraId="6760AF3E">
                  <w:pPr>
                    <w:pStyle w:val="46"/>
                    <w:keepNext w:val="0"/>
                    <w:keepLines w:val="0"/>
                    <w:suppressLineNumbers w:val="0"/>
                    <w:bidi w:val="0"/>
                    <w:spacing w:before="0" w:beforeAutospacing="0" w:after="0" w:afterAutospacing="0"/>
                    <w:jc w:val="center"/>
                    <w:rPr>
                      <w:rFonts w:hint="eastAsia" w:cs="Times New Roman"/>
                      <w:color w:val="0000FF"/>
                      <w:lang w:val="en-US" w:eastAsia="zh-CN"/>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1FB8263E">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再生利用过程应进行减噪处理，执行GB12318</w:t>
                  </w:r>
                </w:p>
              </w:tc>
              <w:tc>
                <w:tcPr>
                  <w:tcW w:w="2230" w:type="dxa"/>
                  <w:tcBorders>
                    <w:left w:val="single" w:color="auto" w:sz="4" w:space="0"/>
                    <w:bottom w:val="single" w:color="auto" w:sz="4" w:space="0"/>
                    <w:right w:val="single" w:color="auto" w:sz="4" w:space="0"/>
                  </w:tcBorders>
                  <w:shd w:val="clear" w:color="auto" w:fill="auto"/>
                  <w:noWrap w:val="0"/>
                  <w:vAlign w:val="center"/>
                </w:tcPr>
                <w:p w14:paraId="02301366">
                  <w:pPr>
                    <w:pStyle w:val="46"/>
                    <w:keepNext w:val="0"/>
                    <w:keepLines w:val="0"/>
                    <w:suppressLineNumbers w:val="0"/>
                    <w:bidi w:val="0"/>
                    <w:spacing w:before="0" w:beforeAutospacing="0" w:after="0" w:afterAutospacing="0"/>
                    <w:ind w:left="24" w:leftChars="10" w:right="24" w:rightChars="10" w:firstLine="0" w:firstLineChars="0"/>
                    <w:jc w:val="center"/>
                    <w:rPr>
                      <w:rFonts w:hint="eastAsia"/>
                      <w:b w:val="0"/>
                      <w:bCs w:val="0"/>
                      <w:color w:val="auto"/>
                      <w:lang w:val="en-US" w:eastAsia="zh-CN"/>
                    </w:rPr>
                  </w:pPr>
                  <w:r>
                    <w:rPr>
                      <w:rFonts w:hint="eastAsia"/>
                      <w:color w:val="auto"/>
                      <w:lang w:val="en-US" w:eastAsia="zh-CN"/>
                    </w:rPr>
                    <w:t>项目</w:t>
                  </w:r>
                  <w:r>
                    <w:rPr>
                      <w:rFonts w:hint="eastAsia"/>
                      <w:color w:val="auto"/>
                    </w:rPr>
                    <w:t>采用低噪声设备、减振措施及厂房隔声，满足《工业企业厂界环境噪声排放标准》</w:t>
                  </w:r>
                  <w:r>
                    <w:rPr>
                      <w:rFonts w:hint="eastAsia"/>
                      <w:color w:val="auto"/>
                      <w:lang w:eastAsia="zh-CN"/>
                    </w:rPr>
                    <w:t>（</w:t>
                  </w:r>
                  <w:r>
                    <w:rPr>
                      <w:rFonts w:hint="eastAsia"/>
                      <w:color w:val="auto"/>
                    </w:rPr>
                    <w:t>GB12348-2008</w:t>
                  </w:r>
                  <w:r>
                    <w:rPr>
                      <w:rFonts w:hint="eastAsia"/>
                      <w:color w:val="auto"/>
                      <w:lang w:eastAsia="zh-CN"/>
                    </w:rPr>
                    <w:t>）</w:t>
                  </w:r>
                  <w:r>
                    <w:rPr>
                      <w:rFonts w:hint="eastAsia"/>
                      <w:color w:val="auto"/>
                      <w:lang w:val="en-US" w:eastAsia="zh-CN"/>
                    </w:rPr>
                    <w:t>3</w:t>
                  </w:r>
                  <w:r>
                    <w:rPr>
                      <w:rFonts w:hint="eastAsia"/>
                      <w:color w:val="auto"/>
                    </w:rPr>
                    <w:t>类和 4类标准</w:t>
                  </w:r>
                </w:p>
              </w:tc>
              <w:tc>
                <w:tcPr>
                  <w:tcW w:w="721" w:type="dxa"/>
                  <w:tcBorders>
                    <w:left w:val="single" w:color="auto" w:sz="4" w:space="0"/>
                    <w:bottom w:val="single" w:color="auto" w:sz="4" w:space="0"/>
                    <w:right w:val="single" w:color="auto" w:sz="4" w:space="0"/>
                  </w:tcBorders>
                  <w:noWrap w:val="0"/>
                  <w:vAlign w:val="center"/>
                </w:tcPr>
                <w:p w14:paraId="7C78DD79">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422C5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116790D3">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color w:val="0000FF"/>
                      <w:lang w:val="en-US" w:eastAsia="zh-CN"/>
                    </w:rPr>
                  </w:pPr>
                </w:p>
              </w:tc>
              <w:tc>
                <w:tcPr>
                  <w:tcW w:w="565" w:type="dxa"/>
                  <w:vMerge w:val="continue"/>
                  <w:tcBorders>
                    <w:left w:val="single" w:color="auto" w:sz="4" w:space="0"/>
                    <w:bottom w:val="single" w:color="auto" w:sz="4" w:space="0"/>
                    <w:right w:val="single" w:color="auto" w:sz="4" w:space="0"/>
                  </w:tcBorders>
                  <w:noWrap w:val="0"/>
                  <w:vAlign w:val="center"/>
                </w:tcPr>
                <w:p w14:paraId="45659341">
                  <w:pPr>
                    <w:pStyle w:val="46"/>
                    <w:keepNext w:val="0"/>
                    <w:keepLines w:val="0"/>
                    <w:suppressLineNumbers w:val="0"/>
                    <w:bidi w:val="0"/>
                    <w:spacing w:before="0" w:beforeAutospacing="0" w:after="0" w:afterAutospacing="0"/>
                    <w:jc w:val="center"/>
                    <w:rPr>
                      <w:rFonts w:hint="eastAsia" w:cs="Times New Roman"/>
                      <w:color w:val="0000FF"/>
                      <w:lang w:val="en-US" w:eastAsia="zh-CN"/>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48634C06">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应建立完善的污染防治制度，定期维护环境保护设施，建立完整的废水处理、废气治理、固体废物处理处置等环境保护相关记录</w:t>
                  </w:r>
                </w:p>
              </w:tc>
              <w:tc>
                <w:tcPr>
                  <w:tcW w:w="2230" w:type="dxa"/>
                  <w:tcBorders>
                    <w:left w:val="single" w:color="auto" w:sz="4" w:space="0"/>
                    <w:bottom w:val="single" w:color="auto" w:sz="4" w:space="0"/>
                    <w:right w:val="single" w:color="auto" w:sz="4" w:space="0"/>
                  </w:tcBorders>
                  <w:shd w:val="clear" w:color="auto" w:fill="auto"/>
                  <w:noWrap w:val="0"/>
                  <w:vAlign w:val="center"/>
                </w:tcPr>
                <w:p w14:paraId="528A7DED">
                  <w:pPr>
                    <w:pStyle w:val="46"/>
                    <w:keepNext w:val="0"/>
                    <w:keepLines w:val="0"/>
                    <w:suppressLineNumbers w:val="0"/>
                    <w:bidi w:val="0"/>
                    <w:spacing w:before="0" w:beforeAutospacing="0" w:after="0" w:afterAutospacing="0"/>
                    <w:ind w:left="24" w:leftChars="10" w:right="24" w:rightChars="10" w:firstLine="0" w:firstLineChars="0"/>
                    <w:jc w:val="center"/>
                    <w:rPr>
                      <w:rFonts w:hint="default"/>
                      <w:b w:val="0"/>
                      <w:bCs w:val="0"/>
                      <w:color w:val="auto"/>
                      <w:lang w:val="en-US" w:eastAsia="zh-CN"/>
                    </w:rPr>
                  </w:pPr>
                  <w:r>
                    <w:rPr>
                      <w:rFonts w:hint="eastAsia"/>
                      <w:b w:val="0"/>
                      <w:bCs w:val="0"/>
                      <w:color w:val="auto"/>
                      <w:lang w:val="en-US" w:eastAsia="zh-CN"/>
                    </w:rPr>
                    <w:t>项目</w:t>
                  </w:r>
                  <w:r>
                    <w:rPr>
                      <w:rFonts w:hint="eastAsia"/>
                      <w:color w:val="auto"/>
                      <w:lang w:val="en-US" w:eastAsia="zh-CN"/>
                    </w:rPr>
                    <w:t>建立完善的污染防治制度，定期维护环境保护设施，建立完整的废水处理、废气治理、固体废物处理处置等环境保护相关记录</w:t>
                  </w:r>
                </w:p>
              </w:tc>
              <w:tc>
                <w:tcPr>
                  <w:tcW w:w="721" w:type="dxa"/>
                  <w:tcBorders>
                    <w:left w:val="single" w:color="auto" w:sz="4" w:space="0"/>
                    <w:bottom w:val="single" w:color="auto" w:sz="4" w:space="0"/>
                    <w:right w:val="single" w:color="auto" w:sz="4" w:space="0"/>
                  </w:tcBorders>
                  <w:noWrap w:val="0"/>
                  <w:vAlign w:val="center"/>
                </w:tcPr>
                <w:p w14:paraId="4C93A3CA">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14D8C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restart"/>
                  <w:tcBorders>
                    <w:left w:val="single" w:color="auto" w:sz="4" w:space="0"/>
                    <w:right w:val="single" w:color="auto" w:sz="4" w:space="0"/>
                  </w:tcBorders>
                  <w:noWrap w:val="0"/>
                  <w:vAlign w:val="center"/>
                </w:tcPr>
                <w:p w14:paraId="1C659F0F">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b w:val="0"/>
                      <w:color w:val="auto"/>
                      <w:kern w:val="2"/>
                      <w:szCs w:val="21"/>
                      <w:lang w:val="en-US" w:eastAsia="zh-CN" w:bidi="ar-SA"/>
                    </w:rPr>
                  </w:pPr>
                  <w:r>
                    <w:rPr>
                      <w:rFonts w:hint="eastAsia" w:ascii="Times New Roman" w:hAnsi="Times New Roman" w:eastAsia="宋体" w:cs="Times New Roman"/>
                      <w:color w:val="auto"/>
                      <w:lang w:val="en-US" w:eastAsia="zh-CN"/>
                    </w:rPr>
                    <w:t>《废塑料回收与再生利用污染控制技术规范》</w:t>
                  </w:r>
                  <w:r>
                    <w:rPr>
                      <w:rFonts w:hint="eastAsia" w:cs="Times New Roman"/>
                      <w:color w:val="auto"/>
                      <w:lang w:val="en-US" w:eastAsia="zh-CN"/>
                    </w:rPr>
                    <w:t>（</w:t>
                  </w:r>
                  <w:r>
                    <w:rPr>
                      <w:rFonts w:hint="eastAsia" w:ascii="Times New Roman" w:hAnsi="Times New Roman" w:eastAsia="宋体" w:cs="Times New Roman"/>
                      <w:color w:val="auto"/>
                      <w:lang w:val="en-US" w:eastAsia="zh-CN"/>
                    </w:rPr>
                    <w:t>试行</w:t>
                  </w:r>
                  <w:r>
                    <w:rPr>
                      <w:rFonts w:hint="eastAsia" w:cs="Times New Roman"/>
                      <w:color w:val="auto"/>
                      <w:lang w:val="en-US" w:eastAsia="zh-CN"/>
                    </w:rPr>
                    <w:t>）（</w:t>
                  </w:r>
                  <w:r>
                    <w:rPr>
                      <w:rFonts w:hint="eastAsia" w:ascii="Times New Roman" w:hAnsi="Times New Roman" w:eastAsia="宋体" w:cs="Times New Roman"/>
                      <w:color w:val="auto"/>
                      <w:lang w:val="en-US" w:eastAsia="zh-CN"/>
                    </w:rPr>
                    <w:t>HJ364-2022</w:t>
                  </w:r>
                  <w:r>
                    <w:rPr>
                      <w:rFonts w:hint="eastAsia" w:cs="Times New Roman"/>
                      <w:color w:val="auto"/>
                      <w:lang w:val="en-US" w:eastAsia="zh-CN"/>
                    </w:rPr>
                    <w:t>）</w:t>
                  </w:r>
                </w:p>
              </w:tc>
              <w:tc>
                <w:tcPr>
                  <w:tcW w:w="565" w:type="dxa"/>
                  <w:vMerge w:val="restart"/>
                  <w:tcBorders>
                    <w:left w:val="single" w:color="auto" w:sz="4" w:space="0"/>
                    <w:right w:val="single" w:color="auto" w:sz="4" w:space="0"/>
                  </w:tcBorders>
                  <w:noWrap w:val="0"/>
                  <w:vAlign w:val="center"/>
                </w:tcPr>
                <w:p w14:paraId="130DE7A2">
                  <w:pPr>
                    <w:pStyle w:val="46"/>
                    <w:keepNext w:val="0"/>
                    <w:keepLines w:val="0"/>
                    <w:suppressLineNumbers w:val="0"/>
                    <w:bidi w:val="0"/>
                    <w:spacing w:before="0" w:beforeAutospacing="0" w:after="0" w:afterAutospacing="0"/>
                    <w:jc w:val="center"/>
                    <w:rPr>
                      <w:rFonts w:hint="default" w:ascii="Times New Roman" w:hAnsi="Times New Roman" w:eastAsia="宋体" w:cs="Times New Roman"/>
                      <w:b w:val="0"/>
                      <w:color w:val="auto"/>
                      <w:kern w:val="2"/>
                      <w:sz w:val="21"/>
                      <w:szCs w:val="21"/>
                      <w:lang w:val="en-US" w:eastAsia="zh-CN" w:bidi="ar-SA"/>
                    </w:rPr>
                  </w:pPr>
                  <w:r>
                    <w:rPr>
                      <w:rFonts w:hint="eastAsia" w:ascii="Times New Roman" w:hAnsi="Times New Roman" w:eastAsia="宋体" w:cs="Times New Roman"/>
                      <w:b w:val="0"/>
                      <w:color w:val="auto"/>
                      <w:kern w:val="2"/>
                      <w:sz w:val="21"/>
                      <w:szCs w:val="21"/>
                      <w:lang w:val="en-US" w:eastAsia="zh-CN" w:bidi="ar-SA"/>
                    </w:rPr>
                    <w:t>回收要求</w:t>
                  </w:r>
                </w:p>
              </w:tc>
              <w:tc>
                <w:tcPr>
                  <w:tcW w:w="2965" w:type="dxa"/>
                  <w:tcBorders>
                    <w:top w:val="single" w:color="auto" w:sz="4" w:space="0"/>
                    <w:left w:val="single" w:color="auto" w:sz="4" w:space="0"/>
                    <w:bottom w:val="single" w:color="auto" w:sz="4" w:space="0"/>
                    <w:right w:val="single" w:color="auto" w:sz="4" w:space="0"/>
                  </w:tcBorders>
                  <w:noWrap w:val="0"/>
                  <w:vAlign w:val="center"/>
                </w:tcPr>
                <w:p w14:paraId="15E9C609">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废塑料的回收应按原料树脂种类进行分类回收，并严格区分废塑料来源和原用途。不得回收和再生利用属于医疗废物和危险废物的废塑料。</w:t>
                  </w:r>
                </w:p>
              </w:tc>
              <w:tc>
                <w:tcPr>
                  <w:tcW w:w="2230" w:type="dxa"/>
                  <w:vMerge w:val="restart"/>
                  <w:tcBorders>
                    <w:left w:val="single" w:color="auto" w:sz="4" w:space="0"/>
                    <w:right w:val="single" w:color="auto" w:sz="4" w:space="0"/>
                  </w:tcBorders>
                  <w:noWrap w:val="0"/>
                  <w:vAlign w:val="center"/>
                </w:tcPr>
                <w:p w14:paraId="45E9FA1A">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项目从事废旧电动自行车拆解，拆解过程中产生废塑料，主要涉及塑料种类为PP、ABS，原料不含沾染油、化学品、农药的物质</w:t>
                  </w:r>
                  <w:r>
                    <w:rPr>
                      <w:rFonts w:hint="eastAsia"/>
                      <w:color w:val="auto"/>
                      <w:lang w:val="en-US" w:eastAsia="zh-CN"/>
                    </w:rPr>
                    <w:t>，也不包含可产生恶臭和渗滤液的废弃物、氟等卤素塑料及纳入危险废物管理的废弃物，原料清洁程度相对较高</w:t>
                  </w:r>
                </w:p>
              </w:tc>
              <w:tc>
                <w:tcPr>
                  <w:tcW w:w="721" w:type="dxa"/>
                  <w:vMerge w:val="restart"/>
                  <w:tcBorders>
                    <w:left w:val="single" w:color="auto" w:sz="4" w:space="0"/>
                    <w:right w:val="single" w:color="auto" w:sz="4" w:space="0"/>
                  </w:tcBorders>
                  <w:noWrap w:val="0"/>
                  <w:vAlign w:val="center"/>
                </w:tcPr>
                <w:p w14:paraId="3EB2F607">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33BFA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6E45B161">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auto"/>
                      <w:kern w:val="2"/>
                      <w:sz w:val="21"/>
                      <w:szCs w:val="21"/>
                      <w:lang w:val="en-US" w:eastAsia="zh-CN" w:bidi="ar-SA"/>
                    </w:rPr>
                  </w:pPr>
                </w:p>
              </w:tc>
              <w:tc>
                <w:tcPr>
                  <w:tcW w:w="565" w:type="dxa"/>
                  <w:vMerge w:val="continue"/>
                  <w:tcBorders>
                    <w:left w:val="single" w:color="auto" w:sz="4" w:space="0"/>
                    <w:bottom w:val="single" w:color="auto" w:sz="4" w:space="0"/>
                    <w:right w:val="single" w:color="auto" w:sz="4" w:space="0"/>
                  </w:tcBorders>
                  <w:noWrap w:val="0"/>
                  <w:vAlign w:val="center"/>
                </w:tcPr>
                <w:p w14:paraId="0B1B1681">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b w:val="0"/>
                      <w:color w:val="auto"/>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5BF19AA1">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含卤素废塑料的回收和再生利用应与其他废塑料分开进行。</w:t>
                  </w:r>
                </w:p>
              </w:tc>
              <w:tc>
                <w:tcPr>
                  <w:tcW w:w="2230" w:type="dxa"/>
                  <w:vMerge w:val="continue"/>
                  <w:tcBorders>
                    <w:left w:val="single" w:color="auto" w:sz="4" w:space="0"/>
                    <w:bottom w:val="single" w:color="auto" w:sz="4" w:space="0"/>
                    <w:right w:val="single" w:color="auto" w:sz="4" w:space="0"/>
                  </w:tcBorders>
                  <w:noWrap w:val="0"/>
                  <w:vAlign w:val="center"/>
                </w:tcPr>
                <w:p w14:paraId="13B3F364">
                  <w:pPr>
                    <w:pStyle w:val="46"/>
                    <w:keepNext w:val="0"/>
                    <w:keepLines w:val="0"/>
                    <w:suppressLineNumbers w:val="0"/>
                    <w:bidi w:val="0"/>
                    <w:spacing w:before="0" w:beforeAutospacing="0" w:after="0" w:afterAutospacing="0"/>
                    <w:jc w:val="center"/>
                    <w:rPr>
                      <w:rFonts w:hint="eastAsia"/>
                      <w:b w:val="0"/>
                      <w:bCs w:val="0"/>
                      <w:color w:val="0000FF"/>
                      <w:lang w:val="en-US" w:eastAsia="zh-CN"/>
                    </w:rPr>
                  </w:pPr>
                </w:p>
              </w:tc>
              <w:tc>
                <w:tcPr>
                  <w:tcW w:w="721" w:type="dxa"/>
                  <w:vMerge w:val="continue"/>
                  <w:tcBorders>
                    <w:left w:val="single" w:color="auto" w:sz="4" w:space="0"/>
                    <w:bottom w:val="single" w:color="auto" w:sz="4" w:space="0"/>
                    <w:right w:val="single" w:color="auto" w:sz="4" w:space="0"/>
                  </w:tcBorders>
                  <w:noWrap w:val="0"/>
                  <w:vAlign w:val="center"/>
                </w:tcPr>
                <w:p w14:paraId="37B75349">
                  <w:pPr>
                    <w:pStyle w:val="46"/>
                    <w:keepNext w:val="0"/>
                    <w:keepLines w:val="0"/>
                    <w:suppressLineNumbers w:val="0"/>
                    <w:bidi w:val="0"/>
                    <w:spacing w:before="0" w:beforeAutospacing="0" w:after="0" w:afterAutospacing="0"/>
                    <w:jc w:val="center"/>
                    <w:rPr>
                      <w:rFonts w:hint="eastAsia"/>
                      <w:b w:val="0"/>
                      <w:bCs w:val="0"/>
                      <w:color w:val="0000FF"/>
                      <w:lang w:val="en-US" w:eastAsia="zh-CN"/>
                    </w:rPr>
                  </w:pPr>
                </w:p>
              </w:tc>
            </w:tr>
            <w:tr w14:paraId="27112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5" w:hRule="atLeast"/>
                <w:jc w:val="center"/>
              </w:trPr>
              <w:tc>
                <w:tcPr>
                  <w:tcW w:w="1124" w:type="dxa"/>
                  <w:vMerge w:val="continue"/>
                  <w:tcBorders>
                    <w:left w:val="single" w:color="auto" w:sz="4" w:space="0"/>
                    <w:right w:val="single" w:color="auto" w:sz="4" w:space="0"/>
                  </w:tcBorders>
                  <w:noWrap w:val="0"/>
                  <w:vAlign w:val="center"/>
                </w:tcPr>
                <w:p w14:paraId="5E36679E">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auto"/>
                      <w:kern w:val="2"/>
                      <w:sz w:val="21"/>
                      <w:szCs w:val="21"/>
                      <w:lang w:val="en-US" w:eastAsia="zh-CN" w:bidi="ar-SA"/>
                    </w:rPr>
                  </w:pPr>
                </w:p>
              </w:tc>
              <w:tc>
                <w:tcPr>
                  <w:tcW w:w="565" w:type="dxa"/>
                  <w:vMerge w:val="restart"/>
                  <w:tcBorders>
                    <w:left w:val="single" w:color="auto" w:sz="4" w:space="0"/>
                    <w:right w:val="single" w:color="auto" w:sz="4" w:space="0"/>
                  </w:tcBorders>
                  <w:noWrap w:val="0"/>
                  <w:vAlign w:val="center"/>
                </w:tcPr>
                <w:p w14:paraId="083A8467">
                  <w:pPr>
                    <w:pStyle w:val="46"/>
                    <w:keepNext w:val="0"/>
                    <w:keepLines w:val="0"/>
                    <w:suppressLineNumbers w:val="0"/>
                    <w:bidi w:val="0"/>
                    <w:spacing w:before="0" w:beforeAutospacing="0" w:after="0" w:afterAutospacing="0"/>
                    <w:jc w:val="center"/>
                    <w:rPr>
                      <w:rFonts w:hint="default" w:ascii="Times New Roman" w:hAnsi="Times New Roman" w:eastAsia="宋体" w:cs="Times New Roman"/>
                      <w:b w:val="0"/>
                      <w:color w:val="auto"/>
                      <w:kern w:val="2"/>
                      <w:sz w:val="21"/>
                      <w:szCs w:val="21"/>
                      <w:lang w:val="en-US" w:eastAsia="zh-CN" w:bidi="ar-SA"/>
                    </w:rPr>
                  </w:pPr>
                  <w:r>
                    <w:rPr>
                      <w:rFonts w:hint="eastAsia" w:ascii="Times New Roman" w:hAnsi="Times New Roman" w:eastAsia="宋体" w:cs="Times New Roman"/>
                      <w:b w:val="0"/>
                      <w:color w:val="auto"/>
                      <w:kern w:val="2"/>
                      <w:sz w:val="21"/>
                      <w:szCs w:val="21"/>
                      <w:lang w:val="en-US" w:eastAsia="zh-CN" w:bidi="ar-SA"/>
                    </w:rPr>
                    <w:t>包装和运输要求</w:t>
                  </w:r>
                </w:p>
              </w:tc>
              <w:tc>
                <w:tcPr>
                  <w:tcW w:w="296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7AA95A6">
                  <w:pPr>
                    <w:pStyle w:val="46"/>
                    <w:keepNext w:val="0"/>
                    <w:keepLines w:val="0"/>
                    <w:suppressLineNumbers w:val="0"/>
                    <w:bidi w:val="0"/>
                    <w:spacing w:before="0" w:beforeAutospacing="0" w:after="0" w:afterAutospacing="0"/>
                    <w:ind w:left="0" w:leftChars="0" w:right="0" w:rightChars="0" w:firstLine="0" w:firstLineChars="0"/>
                    <w:jc w:val="center"/>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废塑料包装物应防水、耐压、遮蔽性好，可多次重复使用：在装卸、运输过程中应确保包装完好，无废塑料遗洒</w:t>
                  </w:r>
                </w:p>
              </w:tc>
              <w:tc>
                <w:tcPr>
                  <w:tcW w:w="2230" w:type="dxa"/>
                  <w:vMerge w:val="restart"/>
                  <w:tcBorders>
                    <w:left w:val="single" w:color="auto" w:sz="4" w:space="0"/>
                    <w:right w:val="single" w:color="auto" w:sz="4" w:space="0"/>
                  </w:tcBorders>
                  <w:noWrap w:val="0"/>
                  <w:vAlign w:val="center"/>
                </w:tcPr>
                <w:p w14:paraId="4F77EA35">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项目破碎后塑料片使用吨袋封闭包装，封闭运输，且运输车辆包装物表面标明废塑料的来源、原用途和去向等信息，不超高、超载运输</w:t>
                  </w:r>
                </w:p>
              </w:tc>
              <w:tc>
                <w:tcPr>
                  <w:tcW w:w="721" w:type="dxa"/>
                  <w:vMerge w:val="restart"/>
                  <w:tcBorders>
                    <w:left w:val="single" w:color="auto" w:sz="4" w:space="0"/>
                    <w:right w:val="single" w:color="auto" w:sz="4" w:space="0"/>
                  </w:tcBorders>
                  <w:noWrap w:val="0"/>
                  <w:vAlign w:val="center"/>
                </w:tcPr>
                <w:p w14:paraId="684F30BD">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33C0E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5" w:hRule="atLeast"/>
                <w:jc w:val="center"/>
              </w:trPr>
              <w:tc>
                <w:tcPr>
                  <w:tcW w:w="1124" w:type="dxa"/>
                  <w:vMerge w:val="continue"/>
                  <w:tcBorders>
                    <w:left w:val="single" w:color="auto" w:sz="4" w:space="0"/>
                    <w:right w:val="single" w:color="auto" w:sz="4" w:space="0"/>
                  </w:tcBorders>
                  <w:noWrap w:val="0"/>
                  <w:vAlign w:val="center"/>
                </w:tcPr>
                <w:p w14:paraId="1F1EA2F1">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auto"/>
                      <w:kern w:val="2"/>
                      <w:sz w:val="21"/>
                      <w:szCs w:val="21"/>
                      <w:lang w:val="en-US" w:eastAsia="zh-CN" w:bidi="ar-SA"/>
                    </w:rPr>
                  </w:pPr>
                </w:p>
              </w:tc>
              <w:tc>
                <w:tcPr>
                  <w:tcW w:w="565" w:type="dxa"/>
                  <w:vMerge w:val="continue"/>
                  <w:tcBorders>
                    <w:left w:val="single" w:color="auto" w:sz="4" w:space="0"/>
                    <w:right w:val="single" w:color="auto" w:sz="4" w:space="0"/>
                  </w:tcBorders>
                  <w:noWrap w:val="0"/>
                  <w:vAlign w:val="center"/>
                </w:tcPr>
                <w:p w14:paraId="68C62873">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b w:val="0"/>
                      <w:color w:val="auto"/>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133C089">
                  <w:pPr>
                    <w:pStyle w:val="46"/>
                    <w:keepNext w:val="0"/>
                    <w:keepLines w:val="0"/>
                    <w:suppressLineNumbers w:val="0"/>
                    <w:bidi w:val="0"/>
                    <w:spacing w:before="0" w:beforeAutospacing="0" w:after="0" w:afterAutospacing="0"/>
                    <w:ind w:left="0" w:leftChars="0" w:right="0" w:rightChars="0" w:firstLine="0" w:firstLineChars="0"/>
                    <w:jc w:val="center"/>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包装物表面必须有回收标志和废塑料种类标志，标志应清晰、易于识别、不易擦掉，并应标明废塑料的来源、原用途和去向等信息。废塑料回收和种类标志执行 GB/T16288</w:t>
                  </w:r>
                </w:p>
              </w:tc>
              <w:tc>
                <w:tcPr>
                  <w:tcW w:w="2230" w:type="dxa"/>
                  <w:vMerge w:val="continue"/>
                  <w:tcBorders>
                    <w:left w:val="single" w:color="auto" w:sz="4" w:space="0"/>
                    <w:right w:val="single" w:color="auto" w:sz="4" w:space="0"/>
                  </w:tcBorders>
                  <w:noWrap w:val="0"/>
                  <w:vAlign w:val="center"/>
                </w:tcPr>
                <w:p w14:paraId="5FAE589F">
                  <w:pPr>
                    <w:pStyle w:val="46"/>
                    <w:keepNext w:val="0"/>
                    <w:keepLines w:val="0"/>
                    <w:suppressLineNumbers w:val="0"/>
                    <w:bidi w:val="0"/>
                    <w:spacing w:before="0" w:beforeAutospacing="0" w:after="0" w:afterAutospacing="0"/>
                    <w:jc w:val="center"/>
                    <w:rPr>
                      <w:rFonts w:hint="eastAsia"/>
                      <w:b w:val="0"/>
                      <w:bCs w:val="0"/>
                      <w:color w:val="auto"/>
                      <w:lang w:val="en-US" w:eastAsia="zh-CN"/>
                    </w:rPr>
                  </w:pPr>
                </w:p>
              </w:tc>
              <w:tc>
                <w:tcPr>
                  <w:tcW w:w="721" w:type="dxa"/>
                  <w:vMerge w:val="continue"/>
                  <w:tcBorders>
                    <w:left w:val="single" w:color="auto" w:sz="4" w:space="0"/>
                    <w:right w:val="single" w:color="auto" w:sz="4" w:space="0"/>
                  </w:tcBorders>
                  <w:noWrap w:val="0"/>
                  <w:vAlign w:val="center"/>
                </w:tcPr>
                <w:p w14:paraId="42E0EA60">
                  <w:pPr>
                    <w:pStyle w:val="46"/>
                    <w:keepNext w:val="0"/>
                    <w:keepLines w:val="0"/>
                    <w:suppressLineNumbers w:val="0"/>
                    <w:bidi w:val="0"/>
                    <w:spacing w:before="0" w:beforeAutospacing="0" w:after="0" w:afterAutospacing="0"/>
                    <w:jc w:val="center"/>
                    <w:rPr>
                      <w:rFonts w:hint="eastAsia"/>
                      <w:b w:val="0"/>
                      <w:bCs w:val="0"/>
                      <w:color w:val="auto"/>
                      <w:lang w:val="en-US" w:eastAsia="zh-CN"/>
                    </w:rPr>
                  </w:pPr>
                </w:p>
              </w:tc>
            </w:tr>
            <w:tr w14:paraId="2446D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5" w:hRule="atLeast"/>
                <w:jc w:val="center"/>
              </w:trPr>
              <w:tc>
                <w:tcPr>
                  <w:tcW w:w="1124" w:type="dxa"/>
                  <w:vMerge w:val="continue"/>
                  <w:tcBorders>
                    <w:left w:val="single" w:color="auto" w:sz="4" w:space="0"/>
                    <w:right w:val="single" w:color="auto" w:sz="4" w:space="0"/>
                  </w:tcBorders>
                  <w:noWrap w:val="0"/>
                  <w:vAlign w:val="center"/>
                </w:tcPr>
                <w:p w14:paraId="3CC34AB1">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auto"/>
                      <w:kern w:val="2"/>
                      <w:sz w:val="21"/>
                      <w:szCs w:val="21"/>
                      <w:lang w:val="en-US" w:eastAsia="zh-CN" w:bidi="ar-SA"/>
                    </w:rPr>
                  </w:pPr>
                </w:p>
              </w:tc>
              <w:tc>
                <w:tcPr>
                  <w:tcW w:w="565" w:type="dxa"/>
                  <w:vMerge w:val="continue"/>
                  <w:tcBorders>
                    <w:left w:val="single" w:color="auto" w:sz="4" w:space="0"/>
                    <w:right w:val="single" w:color="auto" w:sz="4" w:space="0"/>
                  </w:tcBorders>
                  <w:noWrap w:val="0"/>
                  <w:vAlign w:val="center"/>
                </w:tcPr>
                <w:p w14:paraId="5F7EF9B1">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b w:val="0"/>
                      <w:color w:val="auto"/>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4DE65B2">
                  <w:pPr>
                    <w:pStyle w:val="46"/>
                    <w:keepNext w:val="0"/>
                    <w:keepLines w:val="0"/>
                    <w:suppressLineNumbers w:val="0"/>
                    <w:bidi w:val="0"/>
                    <w:spacing w:before="0" w:beforeAutospacing="0" w:after="0" w:afterAutospacing="0"/>
                    <w:ind w:left="0" w:leftChars="0" w:right="0" w:rightChars="0" w:firstLine="0" w:firstLineChars="0"/>
                    <w:jc w:val="center"/>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不得超高、超宽、超载运输废塑料，宜采用密闭集装箱或带有压缩装置的箱式货车运输</w:t>
                  </w:r>
                </w:p>
              </w:tc>
              <w:tc>
                <w:tcPr>
                  <w:tcW w:w="2230" w:type="dxa"/>
                  <w:vMerge w:val="continue"/>
                  <w:tcBorders>
                    <w:left w:val="single" w:color="auto" w:sz="4" w:space="0"/>
                    <w:right w:val="single" w:color="auto" w:sz="4" w:space="0"/>
                  </w:tcBorders>
                  <w:noWrap w:val="0"/>
                  <w:vAlign w:val="center"/>
                </w:tcPr>
                <w:p w14:paraId="1E501DD3">
                  <w:pPr>
                    <w:pStyle w:val="46"/>
                    <w:keepNext w:val="0"/>
                    <w:keepLines w:val="0"/>
                    <w:suppressLineNumbers w:val="0"/>
                    <w:bidi w:val="0"/>
                    <w:spacing w:before="0" w:beforeAutospacing="0" w:after="0" w:afterAutospacing="0"/>
                    <w:jc w:val="center"/>
                    <w:rPr>
                      <w:rFonts w:hint="eastAsia"/>
                      <w:b w:val="0"/>
                      <w:bCs w:val="0"/>
                      <w:color w:val="auto"/>
                      <w:lang w:val="en-US" w:eastAsia="zh-CN"/>
                    </w:rPr>
                  </w:pPr>
                </w:p>
              </w:tc>
              <w:tc>
                <w:tcPr>
                  <w:tcW w:w="721" w:type="dxa"/>
                  <w:vMerge w:val="continue"/>
                  <w:tcBorders>
                    <w:left w:val="single" w:color="auto" w:sz="4" w:space="0"/>
                    <w:right w:val="single" w:color="auto" w:sz="4" w:space="0"/>
                  </w:tcBorders>
                  <w:noWrap w:val="0"/>
                  <w:vAlign w:val="center"/>
                </w:tcPr>
                <w:p w14:paraId="7CE77D73">
                  <w:pPr>
                    <w:pStyle w:val="46"/>
                    <w:keepNext w:val="0"/>
                    <w:keepLines w:val="0"/>
                    <w:suppressLineNumbers w:val="0"/>
                    <w:bidi w:val="0"/>
                    <w:spacing w:before="0" w:beforeAutospacing="0" w:after="0" w:afterAutospacing="0"/>
                    <w:jc w:val="center"/>
                    <w:rPr>
                      <w:rFonts w:hint="eastAsia"/>
                      <w:b w:val="0"/>
                      <w:bCs w:val="0"/>
                      <w:color w:val="auto"/>
                      <w:lang w:val="en-US" w:eastAsia="zh-CN"/>
                    </w:rPr>
                  </w:pPr>
                </w:p>
              </w:tc>
            </w:tr>
            <w:tr w14:paraId="770380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5" w:hRule="atLeast"/>
                <w:jc w:val="center"/>
              </w:trPr>
              <w:tc>
                <w:tcPr>
                  <w:tcW w:w="1124" w:type="dxa"/>
                  <w:vMerge w:val="continue"/>
                  <w:tcBorders>
                    <w:left w:val="single" w:color="auto" w:sz="4" w:space="0"/>
                    <w:right w:val="single" w:color="auto" w:sz="4" w:space="0"/>
                  </w:tcBorders>
                  <w:noWrap w:val="0"/>
                  <w:vAlign w:val="center"/>
                </w:tcPr>
                <w:p w14:paraId="1B8EE7F6">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auto"/>
                      <w:kern w:val="2"/>
                      <w:sz w:val="21"/>
                      <w:szCs w:val="21"/>
                      <w:lang w:val="en-US" w:eastAsia="zh-CN" w:bidi="ar-SA"/>
                    </w:rPr>
                  </w:pPr>
                </w:p>
              </w:tc>
              <w:tc>
                <w:tcPr>
                  <w:tcW w:w="565" w:type="dxa"/>
                  <w:vMerge w:val="restart"/>
                  <w:tcBorders>
                    <w:left w:val="single" w:color="auto" w:sz="4" w:space="0"/>
                    <w:right w:val="single" w:color="auto" w:sz="4" w:space="0"/>
                  </w:tcBorders>
                  <w:noWrap w:val="0"/>
                  <w:vAlign w:val="center"/>
                </w:tcPr>
                <w:p w14:paraId="43B32DF2">
                  <w:pPr>
                    <w:pStyle w:val="46"/>
                    <w:keepNext w:val="0"/>
                    <w:keepLines w:val="0"/>
                    <w:suppressLineNumbers w:val="0"/>
                    <w:bidi w:val="0"/>
                    <w:spacing w:before="0" w:beforeAutospacing="0" w:after="0" w:afterAutospacing="0"/>
                    <w:jc w:val="center"/>
                    <w:rPr>
                      <w:rFonts w:hint="default" w:ascii="Times New Roman" w:hAnsi="Times New Roman" w:eastAsia="宋体" w:cs="Times New Roman"/>
                      <w:b w:val="0"/>
                      <w:color w:val="auto"/>
                      <w:kern w:val="2"/>
                      <w:sz w:val="21"/>
                      <w:szCs w:val="21"/>
                      <w:lang w:val="en-US" w:eastAsia="zh-CN" w:bidi="ar-SA"/>
                    </w:rPr>
                  </w:pPr>
                  <w:r>
                    <w:rPr>
                      <w:rFonts w:hint="eastAsia" w:ascii="Times New Roman" w:hAnsi="Times New Roman" w:eastAsia="宋体" w:cs="Times New Roman"/>
                      <w:b w:val="0"/>
                      <w:color w:val="auto"/>
                      <w:kern w:val="2"/>
                      <w:sz w:val="21"/>
                      <w:szCs w:val="21"/>
                      <w:lang w:val="en-US" w:eastAsia="zh-CN" w:bidi="ar-SA"/>
                    </w:rPr>
                    <w:t>贮存要求</w:t>
                  </w:r>
                </w:p>
              </w:tc>
              <w:tc>
                <w:tcPr>
                  <w:tcW w:w="2965" w:type="dxa"/>
                  <w:tcBorders>
                    <w:top w:val="single" w:color="auto" w:sz="4" w:space="0"/>
                    <w:left w:val="single" w:color="auto" w:sz="4" w:space="0"/>
                    <w:bottom w:val="single" w:color="auto" w:sz="4" w:space="0"/>
                    <w:right w:val="single" w:color="auto" w:sz="4" w:space="0"/>
                  </w:tcBorders>
                  <w:noWrap w:val="0"/>
                  <w:vAlign w:val="center"/>
                </w:tcPr>
                <w:p w14:paraId="45F465AD">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废塑料应贮存在通过环保审批的专门贮存场所内。</w:t>
                  </w:r>
                </w:p>
              </w:tc>
              <w:tc>
                <w:tcPr>
                  <w:tcW w:w="2230" w:type="dxa"/>
                  <w:vMerge w:val="restart"/>
                  <w:tcBorders>
                    <w:left w:val="single" w:color="auto" w:sz="4" w:space="0"/>
                    <w:right w:val="single" w:color="auto" w:sz="4" w:space="0"/>
                  </w:tcBorders>
                  <w:noWrap w:val="0"/>
                  <w:vAlign w:val="center"/>
                </w:tcPr>
                <w:p w14:paraId="429351D9">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项目设置暂存车间对拆解零部件进行暂存，位于封闭式生产厂房内，暂存车间按要求进行分区防渗，具有</w:t>
                  </w:r>
                  <w:r>
                    <w:rPr>
                      <w:rFonts w:hint="eastAsia"/>
                      <w:color w:val="auto"/>
                      <w:lang w:val="en-US" w:eastAsia="zh-CN"/>
                    </w:rPr>
                    <w:t>防雨、防晒、防渗、防尘、防扬散和防火措施</w:t>
                  </w:r>
                </w:p>
              </w:tc>
              <w:tc>
                <w:tcPr>
                  <w:tcW w:w="721" w:type="dxa"/>
                  <w:vMerge w:val="restart"/>
                  <w:tcBorders>
                    <w:left w:val="single" w:color="auto" w:sz="4" w:space="0"/>
                    <w:right w:val="single" w:color="auto" w:sz="4" w:space="0"/>
                  </w:tcBorders>
                  <w:noWrap w:val="0"/>
                  <w:vAlign w:val="center"/>
                </w:tcPr>
                <w:p w14:paraId="3E407B52">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24600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5" w:hRule="atLeast"/>
                <w:jc w:val="center"/>
              </w:trPr>
              <w:tc>
                <w:tcPr>
                  <w:tcW w:w="1124" w:type="dxa"/>
                  <w:vMerge w:val="continue"/>
                  <w:tcBorders>
                    <w:left w:val="single" w:color="auto" w:sz="4" w:space="0"/>
                    <w:right w:val="single" w:color="auto" w:sz="4" w:space="0"/>
                  </w:tcBorders>
                  <w:noWrap w:val="0"/>
                  <w:vAlign w:val="center"/>
                </w:tcPr>
                <w:p w14:paraId="6D3BDF7A">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auto"/>
                      <w:kern w:val="2"/>
                      <w:sz w:val="21"/>
                      <w:szCs w:val="21"/>
                      <w:lang w:val="en-US" w:eastAsia="zh-CN" w:bidi="ar-SA"/>
                    </w:rPr>
                  </w:pPr>
                </w:p>
              </w:tc>
              <w:tc>
                <w:tcPr>
                  <w:tcW w:w="565" w:type="dxa"/>
                  <w:vMerge w:val="continue"/>
                  <w:tcBorders>
                    <w:left w:val="single" w:color="auto" w:sz="4" w:space="0"/>
                    <w:right w:val="single" w:color="auto" w:sz="4" w:space="0"/>
                  </w:tcBorders>
                  <w:noWrap w:val="0"/>
                  <w:vAlign w:val="center"/>
                </w:tcPr>
                <w:p w14:paraId="6C5C2923">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b w:val="0"/>
                      <w:color w:val="auto"/>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6BC05E91">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贮存场所必须为封闭或半封闭型设施，应有防雨、防晒、防渗、防尘、防扬散和防火措施</w:t>
                  </w:r>
                </w:p>
              </w:tc>
              <w:tc>
                <w:tcPr>
                  <w:tcW w:w="2230" w:type="dxa"/>
                  <w:vMerge w:val="continue"/>
                  <w:tcBorders>
                    <w:left w:val="single" w:color="auto" w:sz="4" w:space="0"/>
                    <w:right w:val="single" w:color="auto" w:sz="4" w:space="0"/>
                  </w:tcBorders>
                  <w:noWrap w:val="0"/>
                  <w:vAlign w:val="center"/>
                </w:tcPr>
                <w:p w14:paraId="72BA76F1">
                  <w:pPr>
                    <w:pStyle w:val="46"/>
                    <w:keepNext w:val="0"/>
                    <w:keepLines w:val="0"/>
                    <w:suppressLineNumbers w:val="0"/>
                    <w:bidi w:val="0"/>
                    <w:spacing w:before="0" w:beforeAutospacing="0" w:after="0" w:afterAutospacing="0"/>
                    <w:jc w:val="center"/>
                    <w:rPr>
                      <w:rFonts w:hint="eastAsia"/>
                      <w:b w:val="0"/>
                      <w:bCs w:val="0"/>
                      <w:color w:val="auto"/>
                      <w:lang w:val="en-US" w:eastAsia="zh-CN"/>
                    </w:rPr>
                  </w:pPr>
                </w:p>
              </w:tc>
              <w:tc>
                <w:tcPr>
                  <w:tcW w:w="721" w:type="dxa"/>
                  <w:vMerge w:val="continue"/>
                  <w:tcBorders>
                    <w:left w:val="single" w:color="auto" w:sz="4" w:space="0"/>
                    <w:right w:val="single" w:color="auto" w:sz="4" w:space="0"/>
                  </w:tcBorders>
                  <w:noWrap w:val="0"/>
                  <w:vAlign w:val="center"/>
                </w:tcPr>
                <w:p w14:paraId="0AD47360">
                  <w:pPr>
                    <w:pStyle w:val="46"/>
                    <w:keepNext w:val="0"/>
                    <w:keepLines w:val="0"/>
                    <w:suppressLineNumbers w:val="0"/>
                    <w:bidi w:val="0"/>
                    <w:spacing w:before="0" w:beforeAutospacing="0" w:after="0" w:afterAutospacing="0"/>
                    <w:jc w:val="center"/>
                    <w:rPr>
                      <w:rFonts w:hint="eastAsia"/>
                      <w:b w:val="0"/>
                      <w:bCs w:val="0"/>
                      <w:color w:val="auto"/>
                      <w:lang w:val="en-US" w:eastAsia="zh-CN"/>
                    </w:rPr>
                  </w:pPr>
                </w:p>
              </w:tc>
            </w:tr>
            <w:tr w14:paraId="681B8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5" w:hRule="atLeast"/>
                <w:jc w:val="center"/>
              </w:trPr>
              <w:tc>
                <w:tcPr>
                  <w:tcW w:w="1124" w:type="dxa"/>
                  <w:vMerge w:val="continue"/>
                  <w:tcBorders>
                    <w:left w:val="single" w:color="auto" w:sz="4" w:space="0"/>
                    <w:right w:val="single" w:color="auto" w:sz="4" w:space="0"/>
                  </w:tcBorders>
                  <w:noWrap w:val="0"/>
                  <w:vAlign w:val="center"/>
                </w:tcPr>
                <w:p w14:paraId="6E96A6FD">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auto"/>
                      <w:kern w:val="2"/>
                      <w:sz w:val="21"/>
                      <w:szCs w:val="21"/>
                      <w:lang w:val="en-US" w:eastAsia="zh-CN" w:bidi="ar-SA"/>
                    </w:rPr>
                  </w:pPr>
                </w:p>
              </w:tc>
              <w:tc>
                <w:tcPr>
                  <w:tcW w:w="565" w:type="dxa"/>
                  <w:vMerge w:val="continue"/>
                  <w:tcBorders>
                    <w:left w:val="single" w:color="auto" w:sz="4" w:space="0"/>
                    <w:bottom w:val="single" w:color="auto" w:sz="4" w:space="0"/>
                    <w:right w:val="single" w:color="auto" w:sz="4" w:space="0"/>
                  </w:tcBorders>
                  <w:noWrap w:val="0"/>
                  <w:vAlign w:val="center"/>
                </w:tcPr>
                <w:p w14:paraId="30D8CC53">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b w:val="0"/>
                      <w:color w:val="auto"/>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2B8EEC3C">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不同种类、不同来源的废塑料，应分开存放</w:t>
                  </w:r>
                </w:p>
              </w:tc>
              <w:tc>
                <w:tcPr>
                  <w:tcW w:w="2230" w:type="dxa"/>
                  <w:vMerge w:val="continue"/>
                  <w:tcBorders>
                    <w:left w:val="single" w:color="auto" w:sz="4" w:space="0"/>
                    <w:bottom w:val="single" w:color="auto" w:sz="4" w:space="0"/>
                    <w:right w:val="single" w:color="auto" w:sz="4" w:space="0"/>
                  </w:tcBorders>
                  <w:noWrap w:val="0"/>
                  <w:vAlign w:val="center"/>
                </w:tcPr>
                <w:p w14:paraId="08A90E68">
                  <w:pPr>
                    <w:pStyle w:val="46"/>
                    <w:keepNext w:val="0"/>
                    <w:keepLines w:val="0"/>
                    <w:suppressLineNumbers w:val="0"/>
                    <w:bidi w:val="0"/>
                    <w:spacing w:before="0" w:beforeAutospacing="0" w:after="0" w:afterAutospacing="0"/>
                    <w:jc w:val="center"/>
                    <w:rPr>
                      <w:rFonts w:hint="eastAsia"/>
                      <w:b w:val="0"/>
                      <w:bCs w:val="0"/>
                      <w:color w:val="auto"/>
                      <w:lang w:val="en-US" w:eastAsia="zh-CN"/>
                    </w:rPr>
                  </w:pPr>
                </w:p>
              </w:tc>
              <w:tc>
                <w:tcPr>
                  <w:tcW w:w="721" w:type="dxa"/>
                  <w:vMerge w:val="continue"/>
                  <w:tcBorders>
                    <w:left w:val="single" w:color="auto" w:sz="4" w:space="0"/>
                    <w:bottom w:val="single" w:color="auto" w:sz="4" w:space="0"/>
                    <w:right w:val="single" w:color="auto" w:sz="4" w:space="0"/>
                  </w:tcBorders>
                  <w:noWrap w:val="0"/>
                  <w:vAlign w:val="center"/>
                </w:tcPr>
                <w:p w14:paraId="2528C886">
                  <w:pPr>
                    <w:pStyle w:val="46"/>
                    <w:keepNext w:val="0"/>
                    <w:keepLines w:val="0"/>
                    <w:suppressLineNumbers w:val="0"/>
                    <w:bidi w:val="0"/>
                    <w:spacing w:before="0" w:beforeAutospacing="0" w:after="0" w:afterAutospacing="0"/>
                    <w:jc w:val="center"/>
                    <w:rPr>
                      <w:rFonts w:hint="eastAsia"/>
                      <w:b w:val="0"/>
                      <w:bCs w:val="0"/>
                      <w:color w:val="auto"/>
                      <w:lang w:val="en-US" w:eastAsia="zh-CN"/>
                    </w:rPr>
                  </w:pPr>
                </w:p>
              </w:tc>
            </w:tr>
            <w:tr w14:paraId="75D94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5" w:hRule="atLeast"/>
                <w:jc w:val="center"/>
              </w:trPr>
              <w:tc>
                <w:tcPr>
                  <w:tcW w:w="1124" w:type="dxa"/>
                  <w:vMerge w:val="continue"/>
                  <w:tcBorders>
                    <w:left w:val="single" w:color="auto" w:sz="4" w:space="0"/>
                    <w:right w:val="single" w:color="auto" w:sz="4" w:space="0"/>
                  </w:tcBorders>
                  <w:noWrap w:val="0"/>
                  <w:vAlign w:val="center"/>
                </w:tcPr>
                <w:p w14:paraId="14F22005">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restart"/>
                  <w:tcBorders>
                    <w:left w:val="single" w:color="auto" w:sz="4" w:space="0"/>
                    <w:right w:val="single" w:color="auto" w:sz="4" w:space="0"/>
                  </w:tcBorders>
                  <w:noWrap w:val="0"/>
                  <w:vAlign w:val="center"/>
                </w:tcPr>
                <w:p w14:paraId="2C528875">
                  <w:pPr>
                    <w:pStyle w:val="46"/>
                    <w:keepNext w:val="0"/>
                    <w:keepLines w:val="0"/>
                    <w:suppressLineNumbers w:val="0"/>
                    <w:bidi w:val="0"/>
                    <w:spacing w:before="0" w:beforeAutospacing="0" w:after="0" w:afterAutospacing="0"/>
                    <w:jc w:val="center"/>
                    <w:rPr>
                      <w:rFonts w:hint="default" w:ascii="Times New Roman" w:hAnsi="Times New Roman" w:eastAsia="宋体" w:cs="Times New Roman"/>
                      <w:b w:val="0"/>
                      <w:color w:val="auto"/>
                      <w:kern w:val="2"/>
                      <w:sz w:val="21"/>
                      <w:szCs w:val="21"/>
                      <w:lang w:val="en-US" w:eastAsia="zh-CN" w:bidi="ar-SA"/>
                    </w:rPr>
                  </w:pPr>
                  <w:r>
                    <w:rPr>
                      <w:rFonts w:hint="eastAsia" w:ascii="Times New Roman" w:hAnsi="Times New Roman" w:eastAsia="宋体" w:cs="Times New Roman"/>
                      <w:b w:val="0"/>
                      <w:color w:val="auto"/>
                      <w:kern w:val="2"/>
                      <w:sz w:val="21"/>
                      <w:szCs w:val="21"/>
                      <w:lang w:val="en-US" w:eastAsia="zh-CN" w:bidi="ar-SA"/>
                    </w:rPr>
                    <w:t>预处理工艺要求</w:t>
                  </w:r>
                </w:p>
              </w:tc>
              <w:tc>
                <w:tcPr>
                  <w:tcW w:w="2965" w:type="dxa"/>
                  <w:tcBorders>
                    <w:top w:val="single" w:color="auto" w:sz="4" w:space="0"/>
                    <w:left w:val="single" w:color="auto" w:sz="4" w:space="0"/>
                    <w:bottom w:val="single" w:color="auto" w:sz="4" w:space="0"/>
                    <w:right w:val="single" w:color="auto" w:sz="4" w:space="0"/>
                  </w:tcBorders>
                  <w:noWrap w:val="0"/>
                  <w:vAlign w:val="center"/>
                </w:tcPr>
                <w:p w14:paraId="2073BF22">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废塑料预处理工艺主要包括分选、清洗、破碎和干燥。</w:t>
                  </w:r>
                </w:p>
              </w:tc>
              <w:tc>
                <w:tcPr>
                  <w:tcW w:w="2230" w:type="dxa"/>
                  <w:tcBorders>
                    <w:left w:val="single" w:color="auto" w:sz="4" w:space="0"/>
                    <w:bottom w:val="single" w:color="auto" w:sz="4" w:space="0"/>
                    <w:right w:val="single" w:color="auto" w:sz="4" w:space="0"/>
                  </w:tcBorders>
                  <w:noWrap w:val="0"/>
                  <w:vAlign w:val="center"/>
                </w:tcPr>
                <w:p w14:paraId="2B0D0BEF">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本项目仅对拆解的废塑料零部件进行破碎</w:t>
                  </w:r>
                </w:p>
              </w:tc>
              <w:tc>
                <w:tcPr>
                  <w:tcW w:w="721" w:type="dxa"/>
                  <w:tcBorders>
                    <w:left w:val="single" w:color="auto" w:sz="4" w:space="0"/>
                    <w:bottom w:val="single" w:color="auto" w:sz="4" w:space="0"/>
                    <w:right w:val="single" w:color="auto" w:sz="4" w:space="0"/>
                  </w:tcBorders>
                  <w:noWrap w:val="0"/>
                  <w:vAlign w:val="center"/>
                </w:tcPr>
                <w:p w14:paraId="2DDAAE28">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42D14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5" w:hRule="atLeast"/>
                <w:jc w:val="center"/>
              </w:trPr>
              <w:tc>
                <w:tcPr>
                  <w:tcW w:w="1124" w:type="dxa"/>
                  <w:vMerge w:val="continue"/>
                  <w:tcBorders>
                    <w:left w:val="single" w:color="auto" w:sz="4" w:space="0"/>
                    <w:right w:val="single" w:color="auto" w:sz="4" w:space="0"/>
                  </w:tcBorders>
                  <w:noWrap w:val="0"/>
                  <w:vAlign w:val="center"/>
                </w:tcPr>
                <w:p w14:paraId="5BBE2B98">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continue"/>
                  <w:tcBorders>
                    <w:left w:val="single" w:color="auto" w:sz="4" w:space="0"/>
                    <w:right w:val="single" w:color="auto" w:sz="4" w:space="0"/>
                  </w:tcBorders>
                  <w:noWrap w:val="0"/>
                  <w:vAlign w:val="center"/>
                </w:tcPr>
                <w:p w14:paraId="7026F2F3">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b w:val="0"/>
                      <w:color w:val="auto"/>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6503B60A">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废塑料预处理工艺应当遵循先进、稳定、无二次污染的原则，应采用节水、</w:t>
                  </w:r>
                </w:p>
                <w:p w14:paraId="77431E45">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节能、高效、低污染的技术和设备；宜采用机械化和自动化作业，减少手工操作</w:t>
                  </w:r>
                </w:p>
              </w:tc>
              <w:tc>
                <w:tcPr>
                  <w:tcW w:w="2230" w:type="dxa"/>
                  <w:vMerge w:val="restart"/>
                  <w:tcBorders>
                    <w:left w:val="single" w:color="auto" w:sz="4" w:space="0"/>
                    <w:right w:val="single" w:color="auto" w:sz="4" w:space="0"/>
                  </w:tcBorders>
                  <w:noWrap w:val="0"/>
                  <w:vAlign w:val="center"/>
                </w:tcPr>
                <w:p w14:paraId="0CC22258">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本项目不涉及</w:t>
                  </w:r>
                </w:p>
              </w:tc>
              <w:tc>
                <w:tcPr>
                  <w:tcW w:w="721" w:type="dxa"/>
                  <w:vMerge w:val="restart"/>
                  <w:tcBorders>
                    <w:left w:val="single" w:color="auto" w:sz="4" w:space="0"/>
                    <w:right w:val="single" w:color="auto" w:sz="4" w:space="0"/>
                  </w:tcBorders>
                  <w:noWrap w:val="0"/>
                  <w:vAlign w:val="center"/>
                </w:tcPr>
                <w:p w14:paraId="61190DFA">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7A43E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5" w:hRule="atLeast"/>
                <w:jc w:val="center"/>
              </w:trPr>
              <w:tc>
                <w:tcPr>
                  <w:tcW w:w="1124" w:type="dxa"/>
                  <w:vMerge w:val="continue"/>
                  <w:tcBorders>
                    <w:left w:val="single" w:color="auto" w:sz="4" w:space="0"/>
                    <w:right w:val="single" w:color="auto" w:sz="4" w:space="0"/>
                  </w:tcBorders>
                  <w:noWrap w:val="0"/>
                  <w:vAlign w:val="center"/>
                </w:tcPr>
                <w:p w14:paraId="5ABEF1C5">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continue"/>
                  <w:tcBorders>
                    <w:left w:val="single" w:color="auto" w:sz="4" w:space="0"/>
                    <w:right w:val="single" w:color="auto" w:sz="4" w:space="0"/>
                  </w:tcBorders>
                  <w:noWrap w:val="0"/>
                  <w:vAlign w:val="center"/>
                </w:tcPr>
                <w:p w14:paraId="722F0377">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b w:val="0"/>
                      <w:color w:val="auto"/>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45027569">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废塑料的分选宜采用浮选和光学分选等先进技术；人工分选应采取措施确保操作人员的健康和安全</w:t>
                  </w:r>
                </w:p>
              </w:tc>
              <w:tc>
                <w:tcPr>
                  <w:tcW w:w="2230" w:type="dxa"/>
                  <w:vMerge w:val="continue"/>
                  <w:tcBorders>
                    <w:left w:val="single" w:color="auto" w:sz="4" w:space="0"/>
                    <w:right w:val="single" w:color="auto" w:sz="4" w:space="0"/>
                  </w:tcBorders>
                  <w:noWrap w:val="0"/>
                  <w:vAlign w:val="center"/>
                </w:tcPr>
                <w:p w14:paraId="5AB92550">
                  <w:pPr>
                    <w:pStyle w:val="46"/>
                    <w:keepNext w:val="0"/>
                    <w:keepLines w:val="0"/>
                    <w:suppressLineNumbers w:val="0"/>
                    <w:bidi w:val="0"/>
                    <w:spacing w:before="0" w:beforeAutospacing="0" w:after="0" w:afterAutospacing="0"/>
                    <w:jc w:val="center"/>
                    <w:rPr>
                      <w:rFonts w:hint="default"/>
                      <w:b w:val="0"/>
                      <w:bCs w:val="0"/>
                      <w:color w:val="auto"/>
                      <w:lang w:val="en-US" w:eastAsia="zh-CN"/>
                    </w:rPr>
                  </w:pPr>
                </w:p>
              </w:tc>
              <w:tc>
                <w:tcPr>
                  <w:tcW w:w="721" w:type="dxa"/>
                  <w:vMerge w:val="continue"/>
                  <w:tcBorders>
                    <w:left w:val="single" w:color="auto" w:sz="4" w:space="0"/>
                    <w:right w:val="single" w:color="auto" w:sz="4" w:space="0"/>
                  </w:tcBorders>
                  <w:noWrap w:val="0"/>
                  <w:vAlign w:val="center"/>
                </w:tcPr>
                <w:p w14:paraId="684BCE2A">
                  <w:pPr>
                    <w:pStyle w:val="46"/>
                    <w:keepNext w:val="0"/>
                    <w:keepLines w:val="0"/>
                    <w:suppressLineNumbers w:val="0"/>
                    <w:bidi w:val="0"/>
                    <w:spacing w:before="0" w:beforeAutospacing="0" w:after="0" w:afterAutospacing="0"/>
                    <w:jc w:val="center"/>
                    <w:rPr>
                      <w:rFonts w:hint="default"/>
                      <w:b w:val="0"/>
                      <w:bCs w:val="0"/>
                      <w:color w:val="auto"/>
                      <w:lang w:val="en-US" w:eastAsia="zh-CN"/>
                    </w:rPr>
                  </w:pPr>
                </w:p>
              </w:tc>
            </w:tr>
            <w:tr w14:paraId="053E1E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5" w:hRule="atLeast"/>
                <w:jc w:val="center"/>
              </w:trPr>
              <w:tc>
                <w:tcPr>
                  <w:tcW w:w="1124" w:type="dxa"/>
                  <w:vMerge w:val="continue"/>
                  <w:tcBorders>
                    <w:left w:val="single" w:color="auto" w:sz="4" w:space="0"/>
                    <w:right w:val="single" w:color="auto" w:sz="4" w:space="0"/>
                  </w:tcBorders>
                  <w:noWrap w:val="0"/>
                  <w:vAlign w:val="center"/>
                </w:tcPr>
                <w:p w14:paraId="6521D09D">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continue"/>
                  <w:tcBorders>
                    <w:left w:val="single" w:color="auto" w:sz="4" w:space="0"/>
                    <w:right w:val="single" w:color="auto" w:sz="4" w:space="0"/>
                  </w:tcBorders>
                  <w:noWrap w:val="0"/>
                  <w:vAlign w:val="center"/>
                </w:tcPr>
                <w:p w14:paraId="011FB610">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b w:val="0"/>
                      <w:color w:val="auto"/>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1E99AACE">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废塑料的清洗方法可分为物理清洗和化学清洗，应根据废塑料来源和污染情况选择清洗工艺：宜采用节水的机械清洗技术：化学清洗不得使用有毒有害的化学清洗剂，宜采用无磷清洗剂。</w:t>
                  </w:r>
                </w:p>
              </w:tc>
              <w:tc>
                <w:tcPr>
                  <w:tcW w:w="2230" w:type="dxa"/>
                  <w:vMerge w:val="continue"/>
                  <w:tcBorders>
                    <w:left w:val="single" w:color="auto" w:sz="4" w:space="0"/>
                    <w:bottom w:val="single" w:color="auto" w:sz="4" w:space="0"/>
                    <w:right w:val="single" w:color="auto" w:sz="4" w:space="0"/>
                  </w:tcBorders>
                  <w:noWrap w:val="0"/>
                  <w:vAlign w:val="center"/>
                </w:tcPr>
                <w:p w14:paraId="084F760C">
                  <w:pPr>
                    <w:pStyle w:val="46"/>
                    <w:keepNext w:val="0"/>
                    <w:keepLines w:val="0"/>
                    <w:suppressLineNumbers w:val="0"/>
                    <w:bidi w:val="0"/>
                    <w:spacing w:before="0" w:beforeAutospacing="0" w:after="0" w:afterAutospacing="0"/>
                    <w:jc w:val="center"/>
                    <w:rPr>
                      <w:rFonts w:hint="default"/>
                      <w:b w:val="0"/>
                      <w:bCs w:val="0"/>
                      <w:color w:val="auto"/>
                      <w:lang w:val="en-US" w:eastAsia="zh-CN"/>
                    </w:rPr>
                  </w:pPr>
                </w:p>
              </w:tc>
              <w:tc>
                <w:tcPr>
                  <w:tcW w:w="721" w:type="dxa"/>
                  <w:vMerge w:val="continue"/>
                  <w:tcBorders>
                    <w:left w:val="single" w:color="auto" w:sz="4" w:space="0"/>
                    <w:bottom w:val="single" w:color="auto" w:sz="4" w:space="0"/>
                    <w:right w:val="single" w:color="auto" w:sz="4" w:space="0"/>
                  </w:tcBorders>
                  <w:noWrap w:val="0"/>
                  <w:vAlign w:val="center"/>
                </w:tcPr>
                <w:p w14:paraId="0F3885CD">
                  <w:pPr>
                    <w:pStyle w:val="46"/>
                    <w:keepNext w:val="0"/>
                    <w:keepLines w:val="0"/>
                    <w:suppressLineNumbers w:val="0"/>
                    <w:bidi w:val="0"/>
                    <w:spacing w:before="0" w:beforeAutospacing="0" w:after="0" w:afterAutospacing="0"/>
                    <w:jc w:val="center"/>
                    <w:rPr>
                      <w:rFonts w:hint="default"/>
                      <w:b w:val="0"/>
                      <w:bCs w:val="0"/>
                      <w:color w:val="auto"/>
                      <w:lang w:val="en-US" w:eastAsia="zh-CN"/>
                    </w:rPr>
                  </w:pPr>
                </w:p>
              </w:tc>
            </w:tr>
            <w:tr w14:paraId="78BCA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5" w:hRule="atLeast"/>
                <w:jc w:val="center"/>
              </w:trPr>
              <w:tc>
                <w:tcPr>
                  <w:tcW w:w="1124" w:type="dxa"/>
                  <w:vMerge w:val="continue"/>
                  <w:tcBorders>
                    <w:left w:val="single" w:color="auto" w:sz="4" w:space="0"/>
                    <w:right w:val="single" w:color="auto" w:sz="4" w:space="0"/>
                  </w:tcBorders>
                  <w:noWrap w:val="0"/>
                  <w:vAlign w:val="center"/>
                </w:tcPr>
                <w:p w14:paraId="243B271F">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continue"/>
                  <w:tcBorders>
                    <w:left w:val="single" w:color="auto" w:sz="4" w:space="0"/>
                    <w:right w:val="single" w:color="auto" w:sz="4" w:space="0"/>
                  </w:tcBorders>
                  <w:noWrap w:val="0"/>
                  <w:vAlign w:val="center"/>
                </w:tcPr>
                <w:p w14:paraId="1B23634C">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b w:val="0"/>
                      <w:color w:val="auto"/>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539D32DE">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废塑料的破碎宜采用干法破碎技术，并应配有防治粉尘和噪声污染的设备</w:t>
                  </w:r>
                </w:p>
              </w:tc>
              <w:tc>
                <w:tcPr>
                  <w:tcW w:w="2230" w:type="dxa"/>
                  <w:tcBorders>
                    <w:left w:val="single" w:color="auto" w:sz="4" w:space="0"/>
                    <w:bottom w:val="single" w:color="auto" w:sz="4" w:space="0"/>
                    <w:right w:val="single" w:color="auto" w:sz="4" w:space="0"/>
                  </w:tcBorders>
                  <w:noWrap w:val="0"/>
                  <w:vAlign w:val="center"/>
                </w:tcPr>
                <w:p w14:paraId="4DF6CC88">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项目使用湿法破碎工艺，破碎机为密闭式，配有防噪声设备</w:t>
                  </w:r>
                </w:p>
              </w:tc>
              <w:tc>
                <w:tcPr>
                  <w:tcW w:w="721" w:type="dxa"/>
                  <w:tcBorders>
                    <w:left w:val="single" w:color="auto" w:sz="4" w:space="0"/>
                    <w:bottom w:val="single" w:color="auto" w:sz="4" w:space="0"/>
                    <w:right w:val="single" w:color="auto" w:sz="4" w:space="0"/>
                  </w:tcBorders>
                  <w:noWrap w:val="0"/>
                  <w:vAlign w:val="center"/>
                </w:tcPr>
                <w:p w14:paraId="238BE9AA">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74100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68BC5603">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continue"/>
                  <w:tcBorders>
                    <w:left w:val="single" w:color="auto" w:sz="4" w:space="0"/>
                    <w:bottom w:val="single" w:color="auto" w:sz="4" w:space="0"/>
                    <w:right w:val="single" w:color="auto" w:sz="4" w:space="0"/>
                  </w:tcBorders>
                  <w:noWrap w:val="0"/>
                  <w:vAlign w:val="center"/>
                </w:tcPr>
                <w:p w14:paraId="5192232C">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b w:val="0"/>
                      <w:color w:val="auto"/>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2EE0924C">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废塑料的干燥方法可分为人工干燥和自然干燥。人工干燥宜采用节能、高效的干燥技术，如冷凝干燥、真空干燥等：自然干燥的场所应采取防风措施。</w:t>
                  </w:r>
                </w:p>
              </w:tc>
              <w:tc>
                <w:tcPr>
                  <w:tcW w:w="2230" w:type="dxa"/>
                  <w:tcBorders>
                    <w:left w:val="single" w:color="auto" w:sz="4" w:space="0"/>
                    <w:bottom w:val="single" w:color="auto" w:sz="4" w:space="0"/>
                    <w:right w:val="single" w:color="auto" w:sz="4" w:space="0"/>
                  </w:tcBorders>
                  <w:noWrap w:val="0"/>
                  <w:vAlign w:val="center"/>
                </w:tcPr>
                <w:p w14:paraId="5CF5831E">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项目废塑料破碎后自然干燥，位于已建封闭式厂房内</w:t>
                  </w:r>
                </w:p>
              </w:tc>
              <w:tc>
                <w:tcPr>
                  <w:tcW w:w="721" w:type="dxa"/>
                  <w:tcBorders>
                    <w:left w:val="single" w:color="auto" w:sz="4" w:space="0"/>
                    <w:bottom w:val="single" w:color="auto" w:sz="4" w:space="0"/>
                    <w:right w:val="single" w:color="auto" w:sz="4" w:space="0"/>
                  </w:tcBorders>
                  <w:noWrap w:val="0"/>
                  <w:vAlign w:val="center"/>
                </w:tcPr>
                <w:p w14:paraId="530B5947">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3DFA4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7178B510">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tcBorders>
                    <w:left w:val="single" w:color="auto" w:sz="4" w:space="0"/>
                    <w:bottom w:val="single" w:color="auto" w:sz="4" w:space="0"/>
                    <w:right w:val="single" w:color="auto" w:sz="4" w:space="0"/>
                  </w:tcBorders>
                  <w:noWrap w:val="0"/>
                  <w:vAlign w:val="center"/>
                </w:tcPr>
                <w:p w14:paraId="04D8EEB0">
                  <w:pPr>
                    <w:pStyle w:val="46"/>
                    <w:keepNext w:val="0"/>
                    <w:keepLines w:val="0"/>
                    <w:suppressLineNumbers w:val="0"/>
                    <w:bidi w:val="0"/>
                    <w:spacing w:before="0" w:beforeAutospacing="0" w:after="0" w:afterAutospacing="0"/>
                    <w:jc w:val="center"/>
                    <w:rPr>
                      <w:rFonts w:hint="default" w:ascii="Times New Roman" w:hAnsi="Times New Roman" w:eastAsia="宋体"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再生利用技术要求</w:t>
                  </w:r>
                </w:p>
              </w:tc>
              <w:tc>
                <w:tcPr>
                  <w:tcW w:w="2965" w:type="dxa"/>
                  <w:tcBorders>
                    <w:top w:val="single" w:color="auto" w:sz="4" w:space="0"/>
                    <w:left w:val="single" w:color="auto" w:sz="4" w:space="0"/>
                    <w:bottom w:val="single" w:color="auto" w:sz="4" w:space="0"/>
                    <w:right w:val="single" w:color="auto" w:sz="4" w:space="0"/>
                  </w:tcBorders>
                  <w:noWrap w:val="0"/>
                  <w:vAlign w:val="center"/>
                </w:tcPr>
                <w:p w14:paraId="7BC4A9D7">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废塑料应按照直接再生、改性再生、能量回收的优先顺序进行再生利用</w:t>
                  </w:r>
                </w:p>
              </w:tc>
              <w:tc>
                <w:tcPr>
                  <w:tcW w:w="2230" w:type="dxa"/>
                  <w:tcBorders>
                    <w:left w:val="single" w:color="auto" w:sz="4" w:space="0"/>
                    <w:bottom w:val="single" w:color="auto" w:sz="4" w:space="0"/>
                    <w:right w:val="single" w:color="auto" w:sz="4" w:space="0"/>
                  </w:tcBorders>
                  <w:noWrap w:val="0"/>
                  <w:vAlign w:val="center"/>
                </w:tcPr>
                <w:p w14:paraId="0731F188">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本项目废塑料零部件仅经破碎，不经过化学改性和结构重组，为直接再生技术</w:t>
                  </w:r>
                </w:p>
              </w:tc>
              <w:tc>
                <w:tcPr>
                  <w:tcW w:w="721" w:type="dxa"/>
                  <w:tcBorders>
                    <w:left w:val="single" w:color="auto" w:sz="4" w:space="0"/>
                    <w:bottom w:val="single" w:color="auto" w:sz="4" w:space="0"/>
                    <w:right w:val="single" w:color="auto" w:sz="4" w:space="0"/>
                  </w:tcBorders>
                  <w:noWrap w:val="0"/>
                  <w:vAlign w:val="center"/>
                </w:tcPr>
                <w:p w14:paraId="59B91388">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7DE6B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14AA9A1B">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restart"/>
                  <w:tcBorders>
                    <w:left w:val="single" w:color="auto" w:sz="4" w:space="0"/>
                    <w:right w:val="single" w:color="auto" w:sz="4" w:space="0"/>
                  </w:tcBorders>
                  <w:noWrap w:val="0"/>
                  <w:vAlign w:val="center"/>
                </w:tcPr>
                <w:p w14:paraId="5F2CC880">
                  <w:pPr>
                    <w:pStyle w:val="46"/>
                    <w:keepNext w:val="0"/>
                    <w:keepLines w:val="0"/>
                    <w:suppressLineNumbers w:val="0"/>
                    <w:bidi w:val="0"/>
                    <w:spacing w:before="0" w:beforeAutospacing="0" w:after="0" w:afterAutospacing="0"/>
                    <w:jc w:val="center"/>
                    <w:rPr>
                      <w:rFonts w:hint="default" w:ascii="Times New Roman" w:hAnsi="Times New Roman" w:eastAsia="宋体"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环境保护要求</w:t>
                  </w:r>
                </w:p>
              </w:tc>
              <w:tc>
                <w:tcPr>
                  <w:tcW w:w="2965" w:type="dxa"/>
                  <w:tcBorders>
                    <w:top w:val="single" w:color="auto" w:sz="4" w:space="0"/>
                    <w:left w:val="single" w:color="auto" w:sz="4" w:space="0"/>
                    <w:bottom w:val="single" w:color="auto" w:sz="4" w:space="0"/>
                    <w:right w:val="single" w:color="auto" w:sz="4" w:space="0"/>
                  </w:tcBorders>
                  <w:noWrap w:val="0"/>
                  <w:vAlign w:val="center"/>
                </w:tcPr>
                <w:p w14:paraId="27B1C8FA">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废塑料的再生利用项目必须经过县级以上地方人民政府环境保护行政主管部门的环保审批，严格执行环境影响评价和“三同时”制度。未获环保审批的企业或个人不得从事废塑料的处理和加工</w:t>
                  </w:r>
                </w:p>
              </w:tc>
              <w:tc>
                <w:tcPr>
                  <w:tcW w:w="2230" w:type="dxa"/>
                  <w:tcBorders>
                    <w:left w:val="single" w:color="auto" w:sz="4" w:space="0"/>
                    <w:bottom w:val="single" w:color="auto" w:sz="4" w:space="0"/>
                    <w:right w:val="single" w:color="auto" w:sz="4" w:space="0"/>
                  </w:tcBorders>
                  <w:noWrap w:val="0"/>
                  <w:vAlign w:val="center"/>
                </w:tcPr>
                <w:p w14:paraId="1268C93C">
                  <w:pPr>
                    <w:pStyle w:val="46"/>
                    <w:keepNext w:val="0"/>
                    <w:keepLines w:val="0"/>
                    <w:suppressLineNumbers w:val="0"/>
                    <w:bidi w:val="0"/>
                    <w:spacing w:before="0" w:beforeAutospacing="0" w:after="0" w:afterAutospacing="0"/>
                    <w:jc w:val="center"/>
                    <w:rPr>
                      <w:rFonts w:hint="eastAsia"/>
                      <w:b w:val="0"/>
                      <w:bCs w:val="0"/>
                      <w:color w:val="auto"/>
                      <w:lang w:val="en-US" w:eastAsia="zh-CN"/>
                    </w:rPr>
                  </w:pPr>
                  <w:r>
                    <w:rPr>
                      <w:rFonts w:hint="eastAsia"/>
                      <w:b w:val="0"/>
                      <w:bCs w:val="0"/>
                      <w:color w:val="auto"/>
                      <w:lang w:val="en-US" w:eastAsia="zh-CN"/>
                    </w:rPr>
                    <w:t>项目严格</w:t>
                  </w:r>
                  <w:r>
                    <w:rPr>
                      <w:rFonts w:hint="eastAsia"/>
                      <w:color w:val="auto"/>
                    </w:rPr>
                    <w:t>按照环境保护主管部门的相关规定报批环境影响评价文件。按照环境保护“三同时</w:t>
                  </w:r>
                  <w:r>
                    <w:rPr>
                      <w:rFonts w:hint="eastAsia"/>
                      <w:color w:val="auto"/>
                      <w:lang w:eastAsia="zh-CN"/>
                    </w:rPr>
                    <w:t>”的要求建设配套的环境保护设施</w:t>
                  </w:r>
                </w:p>
              </w:tc>
              <w:tc>
                <w:tcPr>
                  <w:tcW w:w="721" w:type="dxa"/>
                  <w:tcBorders>
                    <w:left w:val="single" w:color="auto" w:sz="4" w:space="0"/>
                    <w:bottom w:val="single" w:color="auto" w:sz="4" w:space="0"/>
                    <w:right w:val="single" w:color="auto" w:sz="4" w:space="0"/>
                  </w:tcBorders>
                  <w:noWrap w:val="0"/>
                  <w:vAlign w:val="center"/>
                </w:tcPr>
                <w:p w14:paraId="79EEADF5">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28A19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7E1B8559">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continue"/>
                  <w:tcBorders>
                    <w:left w:val="single" w:color="auto" w:sz="4" w:space="0"/>
                    <w:right w:val="single" w:color="auto" w:sz="4" w:space="0"/>
                  </w:tcBorders>
                  <w:noWrap w:val="0"/>
                  <w:vAlign w:val="center"/>
                </w:tcPr>
                <w:p w14:paraId="7524001E">
                  <w:pPr>
                    <w:pStyle w:val="46"/>
                    <w:keepNext w:val="0"/>
                    <w:keepLines w:val="0"/>
                    <w:suppressLineNumbers w:val="0"/>
                    <w:bidi w:val="0"/>
                    <w:spacing w:before="0" w:beforeAutospacing="0" w:after="0" w:afterAutospacing="0"/>
                    <w:jc w:val="center"/>
                    <w:rPr>
                      <w:rFonts w:hint="eastAsia" w:cs="Times New Roman"/>
                      <w:b w:val="0"/>
                      <w:color w:val="auto"/>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19F3DA34">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新建废塑料再生利用项目的选址应符合环境保护要求，不得建在城市居民区、商业区及其他环境敏感区内</w:t>
                  </w:r>
                </w:p>
              </w:tc>
              <w:tc>
                <w:tcPr>
                  <w:tcW w:w="2230" w:type="dxa"/>
                  <w:tcBorders>
                    <w:left w:val="single" w:color="auto" w:sz="4" w:space="0"/>
                    <w:bottom w:val="single" w:color="auto" w:sz="4" w:space="0"/>
                    <w:right w:val="single" w:color="auto" w:sz="4" w:space="0"/>
                  </w:tcBorders>
                  <w:noWrap w:val="0"/>
                  <w:vAlign w:val="center"/>
                </w:tcPr>
                <w:p w14:paraId="77436A4E">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本项目位于淮南市高新技术开发区区块二，为合规园区，不在</w:t>
                  </w:r>
                  <w:r>
                    <w:rPr>
                      <w:rFonts w:hint="eastAsia"/>
                      <w:color w:val="auto"/>
                      <w:lang w:val="en-US" w:eastAsia="zh-CN"/>
                    </w:rPr>
                    <w:t>城市居民区、商业区及其他环境敏感区内</w:t>
                  </w:r>
                </w:p>
              </w:tc>
              <w:tc>
                <w:tcPr>
                  <w:tcW w:w="721" w:type="dxa"/>
                  <w:tcBorders>
                    <w:left w:val="single" w:color="auto" w:sz="4" w:space="0"/>
                    <w:bottom w:val="single" w:color="auto" w:sz="4" w:space="0"/>
                    <w:right w:val="single" w:color="auto" w:sz="4" w:space="0"/>
                  </w:tcBorders>
                  <w:noWrap w:val="0"/>
                  <w:vAlign w:val="center"/>
                </w:tcPr>
                <w:p w14:paraId="20D0BCBB">
                  <w:pPr>
                    <w:pStyle w:val="46"/>
                    <w:keepNext w:val="0"/>
                    <w:keepLines w:val="0"/>
                    <w:suppressLineNumbers w:val="0"/>
                    <w:bidi w:val="0"/>
                    <w:spacing w:before="0" w:beforeAutospacing="0" w:after="0" w:afterAutospacing="0"/>
                    <w:jc w:val="center"/>
                    <w:rPr>
                      <w:rFonts w:hint="eastAsia"/>
                      <w:b w:val="0"/>
                      <w:bCs w:val="0"/>
                      <w:color w:val="auto"/>
                      <w:lang w:val="en-US" w:eastAsia="zh-CN"/>
                    </w:rPr>
                  </w:pPr>
                </w:p>
              </w:tc>
            </w:tr>
            <w:tr w14:paraId="160DF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137CA2E9">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continue"/>
                  <w:tcBorders>
                    <w:left w:val="single" w:color="auto" w:sz="4" w:space="0"/>
                    <w:right w:val="single" w:color="auto" w:sz="4" w:space="0"/>
                  </w:tcBorders>
                  <w:noWrap w:val="0"/>
                  <w:vAlign w:val="center"/>
                </w:tcPr>
                <w:p w14:paraId="462997E7">
                  <w:pPr>
                    <w:pStyle w:val="46"/>
                    <w:keepNext w:val="0"/>
                    <w:keepLines w:val="0"/>
                    <w:suppressLineNumbers w:val="0"/>
                    <w:bidi w:val="0"/>
                    <w:spacing w:before="0" w:beforeAutospacing="0" w:after="0" w:afterAutospacing="0"/>
                    <w:jc w:val="center"/>
                    <w:rPr>
                      <w:rFonts w:hint="eastAsia" w:cs="Times New Roman"/>
                      <w:b w:val="0"/>
                      <w:color w:val="auto"/>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10D7542F">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再生利用项目必须建有用墙并按功能划分厂区，包括管理区、原料区、生产区、产品贮存区、污染控制区（包括不可利用的废物的贮存和处理区）。各功能区应有明显的界线和标志</w:t>
                  </w:r>
                </w:p>
              </w:tc>
              <w:tc>
                <w:tcPr>
                  <w:tcW w:w="2230" w:type="dxa"/>
                  <w:tcBorders>
                    <w:left w:val="single" w:color="auto" w:sz="4" w:space="0"/>
                    <w:bottom w:val="single" w:color="auto" w:sz="4" w:space="0"/>
                    <w:right w:val="single" w:color="auto" w:sz="4" w:space="0"/>
                  </w:tcBorders>
                  <w:noWrap w:val="0"/>
                  <w:vAlign w:val="center"/>
                </w:tcPr>
                <w:p w14:paraId="29F50EB3">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项目租赁已建厂房，厂房为封闭式结构，按照功能分为拆解车间及暂存车间，办公区租赁</w:t>
                  </w:r>
                  <w:r>
                    <w:rPr>
                      <w:rFonts w:hint="eastAsia" w:eastAsiaTheme="minorEastAsia"/>
                      <w:color w:val="auto"/>
                      <w:szCs w:val="21"/>
                      <w:lang w:val="en-US" w:eastAsia="zh-CN"/>
                    </w:rPr>
                    <w:t>祥瑞木业</w:t>
                  </w:r>
                  <w:r>
                    <w:rPr>
                      <w:rFonts w:hint="eastAsia"/>
                      <w:b w:val="0"/>
                      <w:bCs w:val="0"/>
                      <w:color w:val="auto"/>
                      <w:lang w:val="en-US" w:eastAsia="zh-CN"/>
                    </w:rPr>
                    <w:t>办公楼与厂房相对分开，各功能区有明显的界线和标志。</w:t>
                  </w:r>
                </w:p>
              </w:tc>
              <w:tc>
                <w:tcPr>
                  <w:tcW w:w="721" w:type="dxa"/>
                  <w:tcBorders>
                    <w:left w:val="single" w:color="auto" w:sz="4" w:space="0"/>
                    <w:bottom w:val="single" w:color="auto" w:sz="4" w:space="0"/>
                    <w:right w:val="single" w:color="auto" w:sz="4" w:space="0"/>
                  </w:tcBorders>
                  <w:noWrap w:val="0"/>
                  <w:vAlign w:val="center"/>
                </w:tcPr>
                <w:p w14:paraId="046B2F9B">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7D8CD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134D708C">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continue"/>
                  <w:tcBorders>
                    <w:left w:val="single" w:color="auto" w:sz="4" w:space="0"/>
                    <w:bottom w:val="single" w:color="auto" w:sz="4" w:space="0"/>
                    <w:right w:val="single" w:color="auto" w:sz="4" w:space="0"/>
                  </w:tcBorders>
                  <w:noWrap w:val="0"/>
                  <w:vAlign w:val="center"/>
                </w:tcPr>
                <w:p w14:paraId="34D9AC09">
                  <w:pPr>
                    <w:pStyle w:val="46"/>
                    <w:keepNext w:val="0"/>
                    <w:keepLines w:val="0"/>
                    <w:suppressLineNumbers w:val="0"/>
                    <w:bidi w:val="0"/>
                    <w:spacing w:before="0" w:beforeAutospacing="0" w:after="0" w:afterAutospacing="0"/>
                    <w:jc w:val="center"/>
                    <w:rPr>
                      <w:rFonts w:hint="eastAsia" w:cs="Times New Roman"/>
                      <w:b w:val="0"/>
                      <w:color w:val="auto"/>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68CA52D8">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所有功能区必须有封闭或半封闭设施，采取防风、防雨、防渗、防火等措施，并有足够的疏散通道</w:t>
                  </w:r>
                </w:p>
              </w:tc>
              <w:tc>
                <w:tcPr>
                  <w:tcW w:w="2230" w:type="dxa"/>
                  <w:tcBorders>
                    <w:left w:val="single" w:color="auto" w:sz="4" w:space="0"/>
                    <w:bottom w:val="single" w:color="auto" w:sz="4" w:space="0"/>
                    <w:right w:val="single" w:color="auto" w:sz="4" w:space="0"/>
                  </w:tcBorders>
                  <w:noWrap w:val="0"/>
                  <w:vAlign w:val="center"/>
                </w:tcPr>
                <w:p w14:paraId="47FA3475">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厂房为封闭式结构，</w:t>
                  </w:r>
                  <w:r>
                    <w:rPr>
                      <w:rFonts w:hint="eastAsia"/>
                      <w:color w:val="auto"/>
                      <w:lang w:val="en-US" w:eastAsia="zh-CN"/>
                    </w:rPr>
                    <w:t>采取防风、防雨、防渗、防火等措施，并有足够的疏散通道</w:t>
                  </w:r>
                </w:p>
              </w:tc>
              <w:tc>
                <w:tcPr>
                  <w:tcW w:w="721" w:type="dxa"/>
                  <w:tcBorders>
                    <w:left w:val="single" w:color="auto" w:sz="4" w:space="0"/>
                    <w:bottom w:val="single" w:color="auto" w:sz="4" w:space="0"/>
                    <w:right w:val="single" w:color="auto" w:sz="4" w:space="0"/>
                  </w:tcBorders>
                  <w:noWrap w:val="0"/>
                  <w:vAlign w:val="center"/>
                </w:tcPr>
                <w:p w14:paraId="7A6A905C">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2F5C69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4109202B">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restart"/>
                  <w:tcBorders>
                    <w:left w:val="single" w:color="auto" w:sz="4" w:space="0"/>
                    <w:right w:val="single" w:color="auto" w:sz="4" w:space="0"/>
                  </w:tcBorders>
                  <w:noWrap w:val="0"/>
                  <w:vAlign w:val="center"/>
                </w:tcPr>
                <w:p w14:paraId="462E39D1">
                  <w:pPr>
                    <w:pStyle w:val="46"/>
                    <w:keepNext w:val="0"/>
                    <w:keepLines w:val="0"/>
                    <w:suppressLineNumbers w:val="0"/>
                    <w:bidi w:val="0"/>
                    <w:spacing w:before="0" w:beforeAutospacing="0" w:after="0" w:afterAutospacing="0"/>
                    <w:jc w:val="center"/>
                    <w:rPr>
                      <w:rFonts w:hint="default"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污染控制要求</w:t>
                  </w:r>
                </w:p>
              </w:tc>
              <w:tc>
                <w:tcPr>
                  <w:tcW w:w="2965" w:type="dxa"/>
                  <w:tcBorders>
                    <w:top w:val="single" w:color="auto" w:sz="4" w:space="0"/>
                    <w:left w:val="single" w:color="auto" w:sz="4" w:space="0"/>
                    <w:bottom w:val="single" w:color="auto" w:sz="4" w:space="0"/>
                    <w:right w:val="single" w:color="auto" w:sz="4" w:space="0"/>
                  </w:tcBorders>
                  <w:noWrap w:val="0"/>
                  <w:vAlign w:val="center"/>
                </w:tcPr>
                <w:p w14:paraId="4B8AD68A">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废塑料预处理、再生利用等过程中产生的废水和厂区产生的生活废水，企业应有配套的废水收集设施。</w:t>
                  </w:r>
                </w:p>
              </w:tc>
              <w:tc>
                <w:tcPr>
                  <w:tcW w:w="2230" w:type="dxa"/>
                  <w:tcBorders>
                    <w:left w:val="single" w:color="auto" w:sz="4" w:space="0"/>
                    <w:bottom w:val="single" w:color="auto" w:sz="4" w:space="0"/>
                    <w:right w:val="single" w:color="auto" w:sz="4" w:space="0"/>
                  </w:tcBorders>
                  <w:noWrap w:val="0"/>
                  <w:vAlign w:val="center"/>
                </w:tcPr>
                <w:p w14:paraId="5F4D1D6F">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项目生活污水经厂区化粪池处理后经园区污水管网排入淮南首创八公山污水处理厂，破碎废水经絮凝沉淀池处理后回用</w:t>
                  </w:r>
                </w:p>
              </w:tc>
              <w:tc>
                <w:tcPr>
                  <w:tcW w:w="721" w:type="dxa"/>
                  <w:tcBorders>
                    <w:left w:val="single" w:color="auto" w:sz="4" w:space="0"/>
                    <w:bottom w:val="single" w:color="auto" w:sz="4" w:space="0"/>
                    <w:right w:val="single" w:color="auto" w:sz="4" w:space="0"/>
                  </w:tcBorders>
                  <w:noWrap w:val="0"/>
                  <w:vAlign w:val="center"/>
                </w:tcPr>
                <w:p w14:paraId="0274B6B3">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2FAE0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2A7135A7">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continue"/>
                  <w:tcBorders>
                    <w:left w:val="single" w:color="auto" w:sz="4" w:space="0"/>
                    <w:right w:val="single" w:color="auto" w:sz="4" w:space="0"/>
                  </w:tcBorders>
                  <w:noWrap w:val="0"/>
                  <w:vAlign w:val="center"/>
                </w:tcPr>
                <w:p w14:paraId="6AD0C483">
                  <w:pPr>
                    <w:pStyle w:val="46"/>
                    <w:keepNext w:val="0"/>
                    <w:keepLines w:val="0"/>
                    <w:suppressLineNumbers w:val="0"/>
                    <w:bidi w:val="0"/>
                    <w:spacing w:before="0" w:beforeAutospacing="0" w:after="0" w:afterAutospacing="0"/>
                    <w:jc w:val="center"/>
                    <w:rPr>
                      <w:rFonts w:hint="eastAsia" w:cs="Times New Roman"/>
                      <w:b w:val="0"/>
                      <w:color w:val="auto"/>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0F25C62A">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预处理和再生利用过程中应控制噪声污染，排放噪声应符合GB12348的要求。</w:t>
                  </w:r>
                </w:p>
              </w:tc>
              <w:tc>
                <w:tcPr>
                  <w:tcW w:w="2230" w:type="dxa"/>
                  <w:tcBorders>
                    <w:left w:val="single" w:color="auto" w:sz="4" w:space="0"/>
                    <w:bottom w:val="single" w:color="auto" w:sz="4" w:space="0"/>
                    <w:right w:val="single" w:color="auto" w:sz="4" w:space="0"/>
                  </w:tcBorders>
                  <w:noWrap w:val="0"/>
                  <w:vAlign w:val="center"/>
                </w:tcPr>
                <w:p w14:paraId="72F074B4">
                  <w:pPr>
                    <w:pStyle w:val="46"/>
                    <w:keepNext w:val="0"/>
                    <w:keepLines w:val="0"/>
                    <w:suppressLineNumbers w:val="0"/>
                    <w:bidi w:val="0"/>
                    <w:spacing w:before="0" w:beforeAutospacing="0" w:after="0" w:afterAutospacing="0"/>
                    <w:jc w:val="center"/>
                    <w:rPr>
                      <w:rFonts w:hint="eastAsia"/>
                      <w:b w:val="0"/>
                      <w:bCs w:val="0"/>
                      <w:color w:val="auto"/>
                      <w:lang w:val="en-US" w:eastAsia="zh-CN"/>
                    </w:rPr>
                  </w:pPr>
                  <w:r>
                    <w:rPr>
                      <w:rFonts w:hint="eastAsia"/>
                      <w:color w:val="auto"/>
                      <w:lang w:val="en-US" w:eastAsia="zh-CN"/>
                    </w:rPr>
                    <w:t>项目</w:t>
                  </w:r>
                  <w:r>
                    <w:rPr>
                      <w:rFonts w:hint="eastAsia"/>
                      <w:color w:val="auto"/>
                    </w:rPr>
                    <w:t>采用低噪声设备、减振措施及厂房隔声，满足《工业企业厂界环境噪声排放标准》</w:t>
                  </w:r>
                  <w:r>
                    <w:rPr>
                      <w:rFonts w:hint="eastAsia"/>
                      <w:color w:val="auto"/>
                      <w:lang w:eastAsia="zh-CN"/>
                    </w:rPr>
                    <w:t>（</w:t>
                  </w:r>
                  <w:r>
                    <w:rPr>
                      <w:rFonts w:hint="eastAsia"/>
                      <w:color w:val="auto"/>
                    </w:rPr>
                    <w:t>GB12348-2008</w:t>
                  </w:r>
                  <w:r>
                    <w:rPr>
                      <w:rFonts w:hint="eastAsia"/>
                      <w:color w:val="auto"/>
                      <w:lang w:eastAsia="zh-CN"/>
                    </w:rPr>
                    <w:t>）</w:t>
                  </w:r>
                  <w:r>
                    <w:rPr>
                      <w:rFonts w:hint="eastAsia"/>
                      <w:color w:val="auto"/>
                      <w:lang w:val="en-US" w:eastAsia="zh-CN"/>
                    </w:rPr>
                    <w:t>3</w:t>
                  </w:r>
                  <w:r>
                    <w:rPr>
                      <w:rFonts w:hint="eastAsia"/>
                      <w:color w:val="auto"/>
                    </w:rPr>
                    <w:t>类和 4类标准</w:t>
                  </w:r>
                </w:p>
              </w:tc>
              <w:tc>
                <w:tcPr>
                  <w:tcW w:w="721" w:type="dxa"/>
                  <w:tcBorders>
                    <w:left w:val="single" w:color="auto" w:sz="4" w:space="0"/>
                    <w:bottom w:val="single" w:color="auto" w:sz="4" w:space="0"/>
                    <w:right w:val="single" w:color="auto" w:sz="4" w:space="0"/>
                  </w:tcBorders>
                  <w:noWrap w:val="0"/>
                  <w:vAlign w:val="center"/>
                </w:tcPr>
                <w:p w14:paraId="3CBB888D">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653095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11BA95BD">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restart"/>
                  <w:tcBorders>
                    <w:left w:val="single" w:color="auto" w:sz="4" w:space="0"/>
                    <w:right w:val="single" w:color="auto" w:sz="4" w:space="0"/>
                  </w:tcBorders>
                  <w:noWrap w:val="0"/>
                  <w:vAlign w:val="center"/>
                </w:tcPr>
                <w:p w14:paraId="51B7F5C0">
                  <w:pPr>
                    <w:pStyle w:val="46"/>
                    <w:keepNext w:val="0"/>
                    <w:keepLines w:val="0"/>
                    <w:suppressLineNumbers w:val="0"/>
                    <w:bidi w:val="0"/>
                    <w:spacing w:before="0" w:beforeAutospacing="0" w:after="0" w:afterAutospacing="0"/>
                    <w:jc w:val="center"/>
                    <w:rPr>
                      <w:rFonts w:hint="default"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管理要求</w:t>
                  </w:r>
                </w:p>
              </w:tc>
              <w:tc>
                <w:tcPr>
                  <w:tcW w:w="2965" w:type="dxa"/>
                  <w:tcBorders>
                    <w:top w:val="single" w:color="auto" w:sz="4" w:space="0"/>
                    <w:left w:val="single" w:color="auto" w:sz="4" w:space="0"/>
                    <w:bottom w:val="single" w:color="auto" w:sz="4" w:space="0"/>
                    <w:right w:val="single" w:color="auto" w:sz="4" w:space="0"/>
                  </w:tcBorders>
                  <w:noWrap w:val="0"/>
                  <w:vAlign w:val="center"/>
                </w:tcPr>
                <w:p w14:paraId="6FC104F8">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废塑料的回收和再生利用企业应建立、健全环境保护管理责任制度，设置环境保护部门或者专（兼）职人员，负责监督废塑料回收和再生利用过程中的环境保护及相关管理工作</w:t>
                  </w:r>
                </w:p>
              </w:tc>
              <w:tc>
                <w:tcPr>
                  <w:tcW w:w="2230" w:type="dxa"/>
                  <w:tcBorders>
                    <w:left w:val="single" w:color="auto" w:sz="4" w:space="0"/>
                    <w:bottom w:val="single" w:color="auto" w:sz="4" w:space="0"/>
                    <w:right w:val="single" w:color="auto" w:sz="4" w:space="0"/>
                  </w:tcBorders>
                  <w:noWrap w:val="0"/>
                  <w:vAlign w:val="center"/>
                </w:tcPr>
                <w:p w14:paraId="1DB1DAD3">
                  <w:pPr>
                    <w:pStyle w:val="46"/>
                    <w:keepNext w:val="0"/>
                    <w:keepLines w:val="0"/>
                    <w:suppressLineNumbers w:val="0"/>
                    <w:bidi w:val="0"/>
                    <w:spacing w:before="0" w:beforeAutospacing="0" w:after="0" w:afterAutospacing="0"/>
                    <w:jc w:val="center"/>
                    <w:rPr>
                      <w:rFonts w:hint="eastAsia"/>
                      <w:b w:val="0"/>
                      <w:bCs w:val="0"/>
                      <w:color w:val="auto"/>
                      <w:lang w:val="en-US" w:eastAsia="zh-CN"/>
                    </w:rPr>
                  </w:pPr>
                  <w:r>
                    <w:rPr>
                      <w:rFonts w:hint="eastAsia"/>
                      <w:b w:val="0"/>
                      <w:bCs w:val="0"/>
                      <w:color w:val="auto"/>
                      <w:lang w:val="en-US" w:eastAsia="zh-CN"/>
                    </w:rPr>
                    <w:t>项目建立管理体系，建立劳动保护、消防安全责任管理制度和环境保护管理制度</w:t>
                  </w:r>
                </w:p>
              </w:tc>
              <w:tc>
                <w:tcPr>
                  <w:tcW w:w="721" w:type="dxa"/>
                  <w:tcBorders>
                    <w:left w:val="single" w:color="auto" w:sz="4" w:space="0"/>
                    <w:bottom w:val="single" w:color="auto" w:sz="4" w:space="0"/>
                    <w:right w:val="single" w:color="auto" w:sz="4" w:space="0"/>
                  </w:tcBorders>
                  <w:noWrap w:val="0"/>
                  <w:vAlign w:val="center"/>
                </w:tcPr>
                <w:p w14:paraId="0102B1EB">
                  <w:pPr>
                    <w:pStyle w:val="46"/>
                    <w:keepNext w:val="0"/>
                    <w:keepLines w:val="0"/>
                    <w:suppressLineNumbers w:val="0"/>
                    <w:bidi w:val="0"/>
                    <w:spacing w:before="0" w:beforeAutospacing="0" w:after="0" w:afterAutospacing="0"/>
                    <w:jc w:val="center"/>
                    <w:rPr>
                      <w:rFonts w:hint="eastAsia"/>
                      <w:b w:val="0"/>
                      <w:bCs w:val="0"/>
                      <w:color w:val="auto"/>
                      <w:lang w:val="en-US" w:eastAsia="zh-CN"/>
                    </w:rPr>
                  </w:pPr>
                  <w:r>
                    <w:rPr>
                      <w:rFonts w:hint="eastAsia"/>
                      <w:b w:val="0"/>
                      <w:bCs w:val="0"/>
                      <w:color w:val="auto"/>
                      <w:lang w:val="en-US" w:eastAsia="zh-CN"/>
                    </w:rPr>
                    <w:t>符合</w:t>
                  </w:r>
                </w:p>
              </w:tc>
            </w:tr>
            <w:tr w14:paraId="6412B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5EDBB817">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continue"/>
                  <w:tcBorders>
                    <w:left w:val="single" w:color="auto" w:sz="4" w:space="0"/>
                    <w:right w:val="single" w:color="auto" w:sz="4" w:space="0"/>
                  </w:tcBorders>
                  <w:noWrap w:val="0"/>
                  <w:vAlign w:val="center"/>
                </w:tcPr>
                <w:p w14:paraId="01C73FF6">
                  <w:pPr>
                    <w:pStyle w:val="46"/>
                    <w:keepNext w:val="0"/>
                    <w:keepLines w:val="0"/>
                    <w:suppressLineNumbers w:val="0"/>
                    <w:bidi w:val="0"/>
                    <w:spacing w:before="0" w:beforeAutospacing="0" w:after="0" w:afterAutospacing="0"/>
                    <w:jc w:val="center"/>
                    <w:rPr>
                      <w:rFonts w:hint="eastAsia" w:cs="Times New Roman"/>
                      <w:b w:val="0"/>
                      <w:color w:val="auto"/>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7A0780E2">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废塑料的回收和再生利用企业应对所有工作人员进行环境保护培训</w:t>
                  </w:r>
                </w:p>
              </w:tc>
              <w:tc>
                <w:tcPr>
                  <w:tcW w:w="2230" w:type="dxa"/>
                  <w:tcBorders>
                    <w:left w:val="single" w:color="auto" w:sz="4" w:space="0"/>
                    <w:bottom w:val="single" w:color="auto" w:sz="4" w:space="0"/>
                    <w:right w:val="single" w:color="auto" w:sz="4" w:space="0"/>
                  </w:tcBorders>
                  <w:noWrap w:val="0"/>
                  <w:vAlign w:val="center"/>
                </w:tcPr>
                <w:p w14:paraId="5431C494">
                  <w:pPr>
                    <w:pStyle w:val="46"/>
                    <w:keepNext w:val="0"/>
                    <w:keepLines w:val="0"/>
                    <w:suppressLineNumbers w:val="0"/>
                    <w:bidi w:val="0"/>
                    <w:spacing w:before="0" w:beforeAutospacing="0" w:after="0" w:afterAutospacing="0"/>
                    <w:jc w:val="center"/>
                    <w:rPr>
                      <w:rFonts w:hint="eastAsia"/>
                      <w:b w:val="0"/>
                      <w:bCs w:val="0"/>
                      <w:color w:val="auto"/>
                      <w:lang w:val="en-US" w:eastAsia="zh-CN"/>
                    </w:rPr>
                  </w:pPr>
                  <w:r>
                    <w:rPr>
                      <w:rFonts w:hint="eastAsia"/>
                      <w:b w:val="0"/>
                      <w:bCs w:val="0"/>
                      <w:color w:val="auto"/>
                      <w:lang w:val="en-US" w:eastAsia="zh-CN"/>
                    </w:rPr>
                    <w:t>企业设置人员培训制度，对从业人员进行岗前培训</w:t>
                  </w:r>
                </w:p>
              </w:tc>
              <w:tc>
                <w:tcPr>
                  <w:tcW w:w="721" w:type="dxa"/>
                  <w:tcBorders>
                    <w:left w:val="single" w:color="auto" w:sz="4" w:space="0"/>
                    <w:bottom w:val="single" w:color="auto" w:sz="4" w:space="0"/>
                    <w:right w:val="single" w:color="auto" w:sz="4" w:space="0"/>
                  </w:tcBorders>
                  <w:noWrap w:val="0"/>
                  <w:vAlign w:val="center"/>
                </w:tcPr>
                <w:p w14:paraId="58564EB7">
                  <w:pPr>
                    <w:pStyle w:val="46"/>
                    <w:keepNext w:val="0"/>
                    <w:keepLines w:val="0"/>
                    <w:suppressLineNumbers w:val="0"/>
                    <w:bidi w:val="0"/>
                    <w:spacing w:before="0" w:beforeAutospacing="0" w:after="0" w:afterAutospacing="0"/>
                    <w:jc w:val="center"/>
                    <w:rPr>
                      <w:rFonts w:hint="eastAsia"/>
                      <w:b w:val="0"/>
                      <w:bCs w:val="0"/>
                      <w:color w:val="auto"/>
                      <w:lang w:val="en-US" w:eastAsia="zh-CN"/>
                    </w:rPr>
                  </w:pPr>
                  <w:r>
                    <w:rPr>
                      <w:rFonts w:hint="eastAsia"/>
                      <w:b w:val="0"/>
                      <w:bCs w:val="0"/>
                      <w:color w:val="auto"/>
                      <w:lang w:val="en-US" w:eastAsia="zh-CN"/>
                    </w:rPr>
                    <w:t>符合</w:t>
                  </w:r>
                </w:p>
              </w:tc>
            </w:tr>
            <w:tr w14:paraId="74773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10AD1985">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continue"/>
                  <w:tcBorders>
                    <w:left w:val="single" w:color="auto" w:sz="4" w:space="0"/>
                    <w:right w:val="single" w:color="auto" w:sz="4" w:space="0"/>
                  </w:tcBorders>
                  <w:noWrap w:val="0"/>
                  <w:vAlign w:val="center"/>
                </w:tcPr>
                <w:p w14:paraId="232DDBF3">
                  <w:pPr>
                    <w:pStyle w:val="46"/>
                    <w:keepNext w:val="0"/>
                    <w:keepLines w:val="0"/>
                    <w:suppressLineNumbers w:val="0"/>
                    <w:bidi w:val="0"/>
                    <w:spacing w:before="0" w:beforeAutospacing="0" w:after="0" w:afterAutospacing="0"/>
                    <w:jc w:val="center"/>
                    <w:rPr>
                      <w:rFonts w:hint="eastAsia" w:cs="Times New Roman"/>
                      <w:b w:val="0"/>
                      <w:color w:val="auto"/>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18E0D5D9">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废塑料的回收和再生利用企业应建立废塑料回收和再生利用情况记录制度，内容包括每批次废塑料的回收时间、地点、来源（包括名称和联系方式）、数量、种类、预处理情况、再生利用时间、再生制品名称、再生制品数量、再生制品流向、再生制品用途，并做好月度和年度汇总工作</w:t>
                  </w:r>
                </w:p>
              </w:tc>
              <w:tc>
                <w:tcPr>
                  <w:tcW w:w="2230" w:type="dxa"/>
                  <w:tcBorders>
                    <w:left w:val="single" w:color="auto" w:sz="4" w:space="0"/>
                    <w:bottom w:val="single" w:color="auto" w:sz="4" w:space="0"/>
                    <w:right w:val="single" w:color="auto" w:sz="4" w:space="0"/>
                  </w:tcBorders>
                  <w:noWrap w:val="0"/>
                  <w:vAlign w:val="center"/>
                </w:tcPr>
                <w:p w14:paraId="56C2652E">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color w:val="auto"/>
                      <w:lang w:val="en-US" w:eastAsia="zh-CN"/>
                    </w:rPr>
                    <w:t>企业设专人记录台账信息，并将有关信息记录</w:t>
                  </w:r>
                </w:p>
              </w:tc>
              <w:tc>
                <w:tcPr>
                  <w:tcW w:w="721" w:type="dxa"/>
                  <w:tcBorders>
                    <w:left w:val="single" w:color="auto" w:sz="4" w:space="0"/>
                    <w:bottom w:val="single" w:color="auto" w:sz="4" w:space="0"/>
                    <w:right w:val="single" w:color="auto" w:sz="4" w:space="0"/>
                  </w:tcBorders>
                  <w:noWrap w:val="0"/>
                  <w:vAlign w:val="center"/>
                </w:tcPr>
                <w:p w14:paraId="0ACFD2A8">
                  <w:pPr>
                    <w:pStyle w:val="46"/>
                    <w:keepNext w:val="0"/>
                    <w:keepLines w:val="0"/>
                    <w:suppressLineNumbers w:val="0"/>
                    <w:bidi w:val="0"/>
                    <w:spacing w:before="0" w:beforeAutospacing="0" w:after="0" w:afterAutospacing="0"/>
                    <w:jc w:val="center"/>
                    <w:rPr>
                      <w:rFonts w:hint="eastAsia"/>
                      <w:b w:val="0"/>
                      <w:bCs w:val="0"/>
                      <w:color w:val="auto"/>
                      <w:lang w:val="en-US" w:eastAsia="zh-CN"/>
                    </w:rPr>
                  </w:pPr>
                  <w:r>
                    <w:rPr>
                      <w:rFonts w:hint="eastAsia"/>
                      <w:b w:val="0"/>
                      <w:bCs w:val="0"/>
                      <w:color w:val="auto"/>
                      <w:lang w:val="en-US" w:eastAsia="zh-CN"/>
                    </w:rPr>
                    <w:t>符合</w:t>
                  </w:r>
                </w:p>
              </w:tc>
            </w:tr>
            <w:tr w14:paraId="6A94B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65711E39">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continue"/>
                  <w:tcBorders>
                    <w:left w:val="single" w:color="auto" w:sz="4" w:space="0"/>
                    <w:right w:val="single" w:color="auto" w:sz="4" w:space="0"/>
                  </w:tcBorders>
                  <w:noWrap w:val="0"/>
                  <w:vAlign w:val="center"/>
                </w:tcPr>
                <w:p w14:paraId="1291699C">
                  <w:pPr>
                    <w:pStyle w:val="46"/>
                    <w:keepNext w:val="0"/>
                    <w:keepLines w:val="0"/>
                    <w:suppressLineNumbers w:val="0"/>
                    <w:bidi w:val="0"/>
                    <w:spacing w:before="0" w:beforeAutospacing="0" w:after="0" w:afterAutospacing="0"/>
                    <w:jc w:val="center"/>
                    <w:rPr>
                      <w:rFonts w:hint="eastAsia" w:cs="Times New Roman"/>
                      <w:b w:val="0"/>
                      <w:color w:val="auto"/>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3BB4CA93">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废塑料的回收和再生利用企业应建立环境保护监测制度，不同污染物的采样监测方法和频次执行相关国家或行业标准，并做好监测记录以及特殊情况记录</w:t>
                  </w:r>
                </w:p>
              </w:tc>
              <w:tc>
                <w:tcPr>
                  <w:tcW w:w="2230" w:type="dxa"/>
                  <w:tcBorders>
                    <w:left w:val="single" w:color="auto" w:sz="4" w:space="0"/>
                    <w:bottom w:val="single" w:color="auto" w:sz="4" w:space="0"/>
                    <w:right w:val="single" w:color="auto" w:sz="4" w:space="0"/>
                  </w:tcBorders>
                  <w:noWrap w:val="0"/>
                  <w:vAlign w:val="center"/>
                </w:tcPr>
                <w:p w14:paraId="1995787C">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项目定期委托有资质环境监测单位进行环保监测</w:t>
                  </w:r>
                </w:p>
              </w:tc>
              <w:tc>
                <w:tcPr>
                  <w:tcW w:w="721" w:type="dxa"/>
                  <w:tcBorders>
                    <w:left w:val="single" w:color="auto" w:sz="4" w:space="0"/>
                    <w:bottom w:val="single" w:color="auto" w:sz="4" w:space="0"/>
                    <w:right w:val="single" w:color="auto" w:sz="4" w:space="0"/>
                  </w:tcBorders>
                  <w:noWrap w:val="0"/>
                  <w:vAlign w:val="center"/>
                </w:tcPr>
                <w:p w14:paraId="663B91EC">
                  <w:pPr>
                    <w:pStyle w:val="46"/>
                    <w:keepNext w:val="0"/>
                    <w:keepLines w:val="0"/>
                    <w:suppressLineNumbers w:val="0"/>
                    <w:bidi w:val="0"/>
                    <w:spacing w:before="0" w:beforeAutospacing="0" w:after="0" w:afterAutospacing="0"/>
                    <w:jc w:val="center"/>
                    <w:rPr>
                      <w:rFonts w:hint="eastAsia"/>
                      <w:b w:val="0"/>
                      <w:bCs w:val="0"/>
                      <w:color w:val="auto"/>
                      <w:lang w:val="en-US" w:eastAsia="zh-CN"/>
                    </w:rPr>
                  </w:pPr>
                  <w:r>
                    <w:rPr>
                      <w:rFonts w:hint="eastAsia"/>
                      <w:b w:val="0"/>
                      <w:bCs w:val="0"/>
                      <w:color w:val="auto"/>
                      <w:lang w:val="en-US" w:eastAsia="zh-CN"/>
                    </w:rPr>
                    <w:t>符合</w:t>
                  </w:r>
                </w:p>
              </w:tc>
            </w:tr>
            <w:tr w14:paraId="63124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78049521">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continue"/>
                  <w:tcBorders>
                    <w:left w:val="single" w:color="auto" w:sz="4" w:space="0"/>
                    <w:right w:val="single" w:color="auto" w:sz="4" w:space="0"/>
                  </w:tcBorders>
                  <w:noWrap w:val="0"/>
                  <w:vAlign w:val="center"/>
                </w:tcPr>
                <w:p w14:paraId="438DC667">
                  <w:pPr>
                    <w:pStyle w:val="46"/>
                    <w:keepNext w:val="0"/>
                    <w:keepLines w:val="0"/>
                    <w:suppressLineNumbers w:val="0"/>
                    <w:bidi w:val="0"/>
                    <w:spacing w:before="0" w:beforeAutospacing="0" w:after="0" w:afterAutospacing="0"/>
                    <w:jc w:val="center"/>
                    <w:rPr>
                      <w:rFonts w:hint="eastAsia" w:cs="Times New Roman"/>
                      <w:b w:val="0"/>
                      <w:color w:val="auto"/>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4E335A4A">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废塑料的回收和再生利用企业应建立废塑料回收和再生利用企业建设、生产、消防、环保、工商、税务等档案台账，并设专人管理，资料至少应保存五年</w:t>
                  </w:r>
                </w:p>
              </w:tc>
              <w:tc>
                <w:tcPr>
                  <w:tcW w:w="2230" w:type="dxa"/>
                  <w:tcBorders>
                    <w:left w:val="single" w:color="auto" w:sz="4" w:space="0"/>
                    <w:bottom w:val="single" w:color="auto" w:sz="4" w:space="0"/>
                    <w:right w:val="single" w:color="auto" w:sz="4" w:space="0"/>
                  </w:tcBorders>
                  <w:noWrap w:val="0"/>
                  <w:vAlign w:val="center"/>
                </w:tcPr>
                <w:p w14:paraId="066D80F0">
                  <w:pPr>
                    <w:pStyle w:val="46"/>
                    <w:keepNext w:val="0"/>
                    <w:keepLines w:val="0"/>
                    <w:suppressLineNumbers w:val="0"/>
                    <w:bidi w:val="0"/>
                    <w:spacing w:before="0" w:beforeAutospacing="0" w:after="0" w:afterAutospacing="0"/>
                    <w:jc w:val="center"/>
                    <w:rPr>
                      <w:rFonts w:hint="eastAsia"/>
                      <w:b w:val="0"/>
                      <w:bCs w:val="0"/>
                      <w:color w:val="auto"/>
                      <w:lang w:val="en-US" w:eastAsia="zh-CN"/>
                    </w:rPr>
                  </w:pPr>
                  <w:r>
                    <w:rPr>
                      <w:rFonts w:hint="eastAsia"/>
                      <w:color w:val="auto"/>
                      <w:lang w:val="en-US" w:eastAsia="zh-CN"/>
                    </w:rPr>
                    <w:t>企业设专人记录台账信息，并将有关信息保存五年以上</w:t>
                  </w:r>
                </w:p>
              </w:tc>
              <w:tc>
                <w:tcPr>
                  <w:tcW w:w="721" w:type="dxa"/>
                  <w:tcBorders>
                    <w:left w:val="single" w:color="auto" w:sz="4" w:space="0"/>
                    <w:bottom w:val="single" w:color="auto" w:sz="4" w:space="0"/>
                    <w:right w:val="single" w:color="auto" w:sz="4" w:space="0"/>
                  </w:tcBorders>
                  <w:noWrap w:val="0"/>
                  <w:vAlign w:val="center"/>
                </w:tcPr>
                <w:p w14:paraId="6518D6A3">
                  <w:pPr>
                    <w:pStyle w:val="46"/>
                    <w:keepNext w:val="0"/>
                    <w:keepLines w:val="0"/>
                    <w:suppressLineNumbers w:val="0"/>
                    <w:bidi w:val="0"/>
                    <w:spacing w:before="0" w:beforeAutospacing="0" w:after="0" w:afterAutospacing="0"/>
                    <w:jc w:val="center"/>
                    <w:rPr>
                      <w:rFonts w:hint="eastAsia"/>
                      <w:b w:val="0"/>
                      <w:bCs w:val="0"/>
                      <w:color w:val="auto"/>
                      <w:lang w:val="en-US" w:eastAsia="zh-CN"/>
                    </w:rPr>
                  </w:pPr>
                  <w:r>
                    <w:rPr>
                      <w:rFonts w:hint="eastAsia"/>
                      <w:b w:val="0"/>
                      <w:bCs w:val="0"/>
                      <w:color w:val="auto"/>
                      <w:lang w:val="en-US" w:eastAsia="zh-CN"/>
                    </w:rPr>
                    <w:t>符合</w:t>
                  </w:r>
                </w:p>
              </w:tc>
            </w:tr>
            <w:tr w14:paraId="1C709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34F27E3D">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continue"/>
                  <w:tcBorders>
                    <w:left w:val="single" w:color="auto" w:sz="4" w:space="0"/>
                    <w:right w:val="single" w:color="auto" w:sz="4" w:space="0"/>
                  </w:tcBorders>
                  <w:noWrap w:val="0"/>
                  <w:vAlign w:val="center"/>
                </w:tcPr>
                <w:p w14:paraId="1526E083">
                  <w:pPr>
                    <w:pStyle w:val="46"/>
                    <w:keepNext w:val="0"/>
                    <w:keepLines w:val="0"/>
                    <w:suppressLineNumbers w:val="0"/>
                    <w:bidi w:val="0"/>
                    <w:spacing w:before="0" w:beforeAutospacing="0" w:after="0" w:afterAutospacing="0"/>
                    <w:jc w:val="center"/>
                    <w:rPr>
                      <w:rFonts w:hint="eastAsia" w:cs="Times New Roman"/>
                      <w:b w:val="0"/>
                      <w:color w:val="auto"/>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2BA3D959">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废塑料的回收和再生利用企业应建立污染预防机制和处理环境污染事故的应急预案制度</w:t>
                  </w:r>
                </w:p>
              </w:tc>
              <w:tc>
                <w:tcPr>
                  <w:tcW w:w="2230" w:type="dxa"/>
                  <w:tcBorders>
                    <w:left w:val="single" w:color="auto" w:sz="4" w:space="0"/>
                    <w:bottom w:val="single" w:color="auto" w:sz="4" w:space="0"/>
                    <w:right w:val="single" w:color="auto" w:sz="4" w:space="0"/>
                  </w:tcBorders>
                  <w:noWrap w:val="0"/>
                  <w:vAlign w:val="center"/>
                </w:tcPr>
                <w:p w14:paraId="1ACF3BC7">
                  <w:pPr>
                    <w:pStyle w:val="46"/>
                    <w:keepNext w:val="0"/>
                    <w:keepLines w:val="0"/>
                    <w:suppressLineNumbers w:val="0"/>
                    <w:bidi w:val="0"/>
                    <w:spacing w:before="0" w:beforeAutospacing="0" w:after="0" w:afterAutospacing="0"/>
                    <w:jc w:val="center"/>
                    <w:rPr>
                      <w:rFonts w:hint="eastAsia"/>
                      <w:b w:val="0"/>
                      <w:bCs w:val="0"/>
                      <w:color w:val="auto"/>
                      <w:lang w:val="en-US" w:eastAsia="zh-CN"/>
                    </w:rPr>
                  </w:pPr>
                  <w:r>
                    <w:rPr>
                      <w:rFonts w:hint="eastAsia"/>
                      <w:b w:val="0"/>
                      <w:bCs w:val="0"/>
                      <w:color w:val="auto"/>
                      <w:lang w:val="en-US" w:eastAsia="zh-CN"/>
                    </w:rPr>
                    <w:t>项目按要求</w:t>
                  </w:r>
                  <w:r>
                    <w:rPr>
                      <w:rFonts w:hint="eastAsia"/>
                      <w:color w:val="auto"/>
                      <w:lang w:val="en-US" w:eastAsia="zh-CN"/>
                    </w:rPr>
                    <w:t>制定应急预案及环境污染预防机制；开展应急培训及应急演练</w:t>
                  </w:r>
                </w:p>
              </w:tc>
              <w:tc>
                <w:tcPr>
                  <w:tcW w:w="721" w:type="dxa"/>
                  <w:tcBorders>
                    <w:left w:val="single" w:color="auto" w:sz="4" w:space="0"/>
                    <w:bottom w:val="single" w:color="auto" w:sz="4" w:space="0"/>
                    <w:right w:val="single" w:color="auto" w:sz="4" w:space="0"/>
                  </w:tcBorders>
                  <w:noWrap w:val="0"/>
                  <w:vAlign w:val="center"/>
                </w:tcPr>
                <w:p w14:paraId="2EF65CAE">
                  <w:pPr>
                    <w:pStyle w:val="46"/>
                    <w:keepNext w:val="0"/>
                    <w:keepLines w:val="0"/>
                    <w:suppressLineNumbers w:val="0"/>
                    <w:bidi w:val="0"/>
                    <w:spacing w:before="0" w:beforeAutospacing="0" w:after="0" w:afterAutospacing="0"/>
                    <w:jc w:val="center"/>
                    <w:rPr>
                      <w:rFonts w:hint="eastAsia"/>
                      <w:b w:val="0"/>
                      <w:bCs w:val="0"/>
                      <w:color w:val="auto"/>
                      <w:lang w:val="en-US" w:eastAsia="zh-CN"/>
                    </w:rPr>
                  </w:pPr>
                  <w:r>
                    <w:rPr>
                      <w:rFonts w:hint="eastAsia"/>
                      <w:b w:val="0"/>
                      <w:bCs w:val="0"/>
                      <w:color w:val="auto"/>
                      <w:lang w:val="en-US" w:eastAsia="zh-CN"/>
                    </w:rPr>
                    <w:t>符合</w:t>
                  </w:r>
                </w:p>
              </w:tc>
            </w:tr>
            <w:tr w14:paraId="23533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491D63ED">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color w:val="0000FF"/>
                      <w:kern w:val="2"/>
                      <w:sz w:val="21"/>
                      <w:szCs w:val="21"/>
                      <w:lang w:val="en-US" w:eastAsia="zh-CN" w:bidi="ar-SA"/>
                    </w:rPr>
                  </w:pPr>
                </w:p>
              </w:tc>
              <w:tc>
                <w:tcPr>
                  <w:tcW w:w="565" w:type="dxa"/>
                  <w:vMerge w:val="continue"/>
                  <w:tcBorders>
                    <w:left w:val="single" w:color="auto" w:sz="4" w:space="0"/>
                    <w:bottom w:val="single" w:color="auto" w:sz="4" w:space="0"/>
                    <w:right w:val="single" w:color="auto" w:sz="4" w:space="0"/>
                  </w:tcBorders>
                  <w:noWrap w:val="0"/>
                  <w:vAlign w:val="center"/>
                </w:tcPr>
                <w:p w14:paraId="145F31B2">
                  <w:pPr>
                    <w:pStyle w:val="46"/>
                    <w:keepNext w:val="0"/>
                    <w:keepLines w:val="0"/>
                    <w:suppressLineNumbers w:val="0"/>
                    <w:bidi w:val="0"/>
                    <w:spacing w:before="0" w:beforeAutospacing="0" w:after="0" w:afterAutospacing="0"/>
                    <w:jc w:val="center"/>
                    <w:rPr>
                      <w:rFonts w:hint="eastAsia" w:cs="Times New Roman"/>
                      <w:b w:val="0"/>
                      <w:color w:val="auto"/>
                      <w:kern w:val="2"/>
                      <w:sz w:val="21"/>
                      <w:szCs w:val="21"/>
                      <w:lang w:val="en-US" w:eastAsia="zh-CN" w:bidi="ar-SA"/>
                    </w:rPr>
                  </w:pPr>
                </w:p>
              </w:tc>
              <w:tc>
                <w:tcPr>
                  <w:tcW w:w="2965" w:type="dxa"/>
                  <w:tcBorders>
                    <w:top w:val="single" w:color="auto" w:sz="4" w:space="0"/>
                    <w:left w:val="single" w:color="auto" w:sz="4" w:space="0"/>
                    <w:bottom w:val="single" w:color="auto" w:sz="4" w:space="0"/>
                    <w:right w:val="single" w:color="auto" w:sz="4" w:space="0"/>
                  </w:tcBorders>
                  <w:noWrap w:val="0"/>
                  <w:vAlign w:val="center"/>
                </w:tcPr>
                <w:p w14:paraId="7777A2C3">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废塑料的回收和再生利用企业应认真执行排污申报制度，按时缴纳排污费</w:t>
                  </w:r>
                </w:p>
              </w:tc>
              <w:tc>
                <w:tcPr>
                  <w:tcW w:w="2230" w:type="dxa"/>
                  <w:tcBorders>
                    <w:left w:val="single" w:color="auto" w:sz="4" w:space="0"/>
                    <w:bottom w:val="single" w:color="auto" w:sz="4" w:space="0"/>
                    <w:right w:val="single" w:color="auto" w:sz="4" w:space="0"/>
                  </w:tcBorders>
                  <w:noWrap w:val="0"/>
                  <w:vAlign w:val="center"/>
                </w:tcPr>
                <w:p w14:paraId="4E0DE4DE">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项目运营前按照要求申领排污许可证</w:t>
                  </w:r>
                </w:p>
              </w:tc>
              <w:tc>
                <w:tcPr>
                  <w:tcW w:w="721" w:type="dxa"/>
                  <w:tcBorders>
                    <w:left w:val="single" w:color="auto" w:sz="4" w:space="0"/>
                    <w:bottom w:val="single" w:color="auto" w:sz="4" w:space="0"/>
                    <w:right w:val="single" w:color="auto" w:sz="4" w:space="0"/>
                  </w:tcBorders>
                  <w:noWrap w:val="0"/>
                  <w:vAlign w:val="center"/>
                </w:tcPr>
                <w:p w14:paraId="71AE242E">
                  <w:pPr>
                    <w:pStyle w:val="46"/>
                    <w:keepNext w:val="0"/>
                    <w:keepLines w:val="0"/>
                    <w:suppressLineNumbers w:val="0"/>
                    <w:bidi w:val="0"/>
                    <w:spacing w:before="0" w:beforeAutospacing="0" w:after="0" w:afterAutospacing="0"/>
                    <w:jc w:val="center"/>
                    <w:rPr>
                      <w:rFonts w:hint="eastAsia"/>
                      <w:b w:val="0"/>
                      <w:bCs w:val="0"/>
                      <w:color w:val="auto"/>
                      <w:lang w:val="en-US" w:eastAsia="zh-CN"/>
                    </w:rPr>
                  </w:pPr>
                  <w:r>
                    <w:rPr>
                      <w:rFonts w:hint="eastAsia"/>
                      <w:b w:val="0"/>
                      <w:bCs w:val="0"/>
                      <w:color w:val="auto"/>
                      <w:lang w:val="en-US" w:eastAsia="zh-CN"/>
                    </w:rPr>
                    <w:t>符合</w:t>
                  </w:r>
                </w:p>
              </w:tc>
            </w:tr>
            <w:tr w14:paraId="72B1D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restart"/>
                  <w:tcBorders>
                    <w:left w:val="single" w:color="auto" w:sz="4" w:space="0"/>
                    <w:right w:val="single" w:color="auto" w:sz="4" w:space="0"/>
                  </w:tcBorders>
                  <w:noWrap w:val="0"/>
                  <w:vAlign w:val="center"/>
                </w:tcPr>
                <w:p w14:paraId="0531D8F0">
                  <w:pPr>
                    <w:pStyle w:val="46"/>
                    <w:keepNext w:val="0"/>
                    <w:keepLines w:val="0"/>
                    <w:suppressLineNumbers w:val="0"/>
                    <w:bidi w:val="0"/>
                    <w:spacing w:before="0" w:beforeAutospacing="0" w:after="0" w:afterAutospacing="0"/>
                    <w:jc w:val="center"/>
                    <w:rPr>
                      <w:rFonts w:hint="eastAsia" w:ascii="Times New Roman" w:hAnsi="Times New Roman" w:eastAsia="宋体" w:cs="Times New Roman"/>
                      <w:b w:val="0"/>
                      <w:color w:val="auto"/>
                      <w:kern w:val="2"/>
                      <w:szCs w:val="21"/>
                      <w:lang w:val="en-US" w:eastAsia="zh-CN" w:bidi="ar-SA"/>
                    </w:rPr>
                  </w:pPr>
                  <w:r>
                    <w:rPr>
                      <w:rFonts w:hint="eastAsia"/>
                      <w:color w:val="auto"/>
                      <w:lang w:val="en-US" w:eastAsia="zh-CN"/>
                    </w:rPr>
                    <w:t>《废塑料加工利用污染防治管理规定》（公告2012年第55号）</w:t>
                  </w:r>
                  <w:commentRangeStart w:id="6"/>
                  <w:commentRangeStart w:id="7"/>
                  <w:r>
                    <w:commentReference w:id="6"/>
                  </w:r>
                  <w:commentRangeEnd w:id="6"/>
                  <w:commentRangeEnd w:id="7"/>
                  <w:r>
                    <w:commentReference w:id="7"/>
                  </w:r>
                </w:p>
              </w:tc>
              <w:tc>
                <w:tcPr>
                  <w:tcW w:w="3530" w:type="dxa"/>
                  <w:gridSpan w:val="2"/>
                  <w:tcBorders>
                    <w:left w:val="single" w:color="auto" w:sz="4" w:space="0"/>
                    <w:bottom w:val="single" w:color="auto" w:sz="4" w:space="0"/>
                    <w:right w:val="single" w:color="auto" w:sz="4" w:space="0"/>
                  </w:tcBorders>
                  <w:noWrap w:val="0"/>
                  <w:vAlign w:val="center"/>
                </w:tcPr>
                <w:p w14:paraId="4AE3AE77">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废塑料加工利用必须符合国家相关产业政策规定及《废塑料回收与再生利用污染控制技术规范》，防止二次污染</w:t>
                  </w:r>
                </w:p>
              </w:tc>
              <w:tc>
                <w:tcPr>
                  <w:tcW w:w="2230" w:type="dxa"/>
                  <w:tcBorders>
                    <w:left w:val="single" w:color="auto" w:sz="4" w:space="0"/>
                    <w:bottom w:val="single" w:color="auto" w:sz="4" w:space="0"/>
                    <w:right w:val="single" w:color="auto" w:sz="4" w:space="0"/>
                  </w:tcBorders>
                  <w:noWrap w:val="0"/>
                  <w:vAlign w:val="center"/>
                </w:tcPr>
                <w:p w14:paraId="1957E032">
                  <w:pPr>
                    <w:pStyle w:val="46"/>
                    <w:keepNext w:val="0"/>
                    <w:keepLines w:val="0"/>
                    <w:suppressLineNumbers w:val="0"/>
                    <w:bidi w:val="0"/>
                    <w:spacing w:before="0" w:beforeAutospacing="0" w:after="0" w:afterAutospacing="0"/>
                    <w:jc w:val="center"/>
                    <w:rPr>
                      <w:rFonts w:hint="eastAsia"/>
                      <w:color w:val="auto"/>
                      <w:lang w:val="en-US" w:eastAsia="zh-CN"/>
                    </w:rPr>
                  </w:pPr>
                  <w:r>
                    <w:rPr>
                      <w:rFonts w:hint="eastAsia"/>
                      <w:color w:val="auto"/>
                      <w:lang w:val="en-US" w:eastAsia="zh-CN"/>
                    </w:rPr>
                    <w:t>本项目废塑料加工符合国家相关产业政策规定及《废塑料回收与再生利用污染控制技术规范》</w:t>
                  </w:r>
                </w:p>
              </w:tc>
              <w:tc>
                <w:tcPr>
                  <w:tcW w:w="721" w:type="dxa"/>
                  <w:tcBorders>
                    <w:left w:val="single" w:color="auto" w:sz="4" w:space="0"/>
                    <w:bottom w:val="single" w:color="auto" w:sz="4" w:space="0"/>
                    <w:right w:val="single" w:color="auto" w:sz="4" w:space="0"/>
                  </w:tcBorders>
                  <w:noWrap w:val="0"/>
                  <w:vAlign w:val="center"/>
                </w:tcPr>
                <w:p w14:paraId="5C90A2B3">
                  <w:pPr>
                    <w:pStyle w:val="46"/>
                    <w:keepNext w:val="0"/>
                    <w:keepLines w:val="0"/>
                    <w:suppressLineNumbers w:val="0"/>
                    <w:bidi w:val="0"/>
                    <w:spacing w:before="0" w:beforeAutospacing="0" w:after="0" w:afterAutospacing="0"/>
                    <w:jc w:val="center"/>
                    <w:rPr>
                      <w:rFonts w:hint="default"/>
                      <w:b w:val="0"/>
                      <w:bCs w:val="0"/>
                      <w:color w:val="auto"/>
                      <w:lang w:val="en-US" w:eastAsia="zh-CN"/>
                    </w:rPr>
                  </w:pPr>
                  <w:r>
                    <w:rPr>
                      <w:rFonts w:hint="eastAsia"/>
                      <w:b w:val="0"/>
                      <w:bCs w:val="0"/>
                      <w:color w:val="auto"/>
                      <w:lang w:val="en-US" w:eastAsia="zh-CN"/>
                    </w:rPr>
                    <w:t>符合</w:t>
                  </w:r>
                </w:p>
              </w:tc>
            </w:tr>
            <w:tr w14:paraId="7A22CE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72A8E1C4">
                  <w:pPr>
                    <w:pStyle w:val="46"/>
                    <w:keepNext w:val="0"/>
                    <w:keepLines w:val="0"/>
                    <w:suppressLineNumbers w:val="0"/>
                    <w:bidi w:val="0"/>
                    <w:spacing w:before="0" w:beforeAutospacing="0" w:after="0" w:afterAutospacing="0"/>
                    <w:jc w:val="center"/>
                    <w:rPr>
                      <w:rFonts w:hint="eastAsia"/>
                      <w:color w:val="auto"/>
                      <w:lang w:val="en-US" w:eastAsia="zh-CN"/>
                    </w:rPr>
                  </w:pPr>
                </w:p>
              </w:tc>
              <w:tc>
                <w:tcPr>
                  <w:tcW w:w="3530" w:type="dxa"/>
                  <w:gridSpan w:val="2"/>
                  <w:tcBorders>
                    <w:left w:val="single" w:color="auto" w:sz="4" w:space="0"/>
                    <w:bottom w:val="single" w:color="auto" w:sz="4" w:space="0"/>
                    <w:right w:val="single" w:color="auto" w:sz="4" w:space="0"/>
                  </w:tcBorders>
                  <w:shd w:val="clear" w:color="auto" w:fill="auto"/>
                  <w:noWrap w:val="0"/>
                  <w:vAlign w:val="center"/>
                </w:tcPr>
                <w:p w14:paraId="34CBC5D3">
                  <w:pPr>
                    <w:pStyle w:val="46"/>
                    <w:keepNext w:val="0"/>
                    <w:keepLines w:val="0"/>
                    <w:suppressLineNumbers w:val="0"/>
                    <w:bidi w:val="0"/>
                    <w:spacing w:before="0" w:beforeAutospacing="0" w:after="0" w:afterAutospacing="0"/>
                    <w:ind w:left="24" w:leftChars="10" w:right="24" w:rightChars="10" w:firstLine="0" w:firstLineChars="0"/>
                    <w:jc w:val="center"/>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禁止在居民区加工利用废塑料。禁止利用废塑料生产厚度小于 0.025mm 的超薄塑料购物袋和厚度小于0.015mm 超薄塑料袋。禁止利用废塑料生产食品用塑料袋。禁止无危险废物经营许可证从事废塑料类危险废物的回收利用活动，包括被危险化学品、医药等污染的废弃塑料包装物，废弃的一次性医疗用塑料制品（如输液器、血袋）等</w:t>
                  </w:r>
                </w:p>
              </w:tc>
              <w:tc>
                <w:tcPr>
                  <w:tcW w:w="2230" w:type="dxa"/>
                  <w:tcBorders>
                    <w:left w:val="single" w:color="auto" w:sz="4" w:space="0"/>
                    <w:bottom w:val="single" w:color="auto" w:sz="4" w:space="0"/>
                    <w:right w:val="single" w:color="auto" w:sz="4" w:space="0"/>
                  </w:tcBorders>
                  <w:shd w:val="clear" w:color="auto" w:fill="auto"/>
                  <w:noWrap w:val="0"/>
                  <w:vAlign w:val="center"/>
                </w:tcPr>
                <w:p w14:paraId="296D5609">
                  <w:pPr>
                    <w:pStyle w:val="46"/>
                    <w:keepNext w:val="0"/>
                    <w:keepLines w:val="0"/>
                    <w:suppressLineNumbers w:val="0"/>
                    <w:bidi w:val="0"/>
                    <w:spacing w:before="0" w:beforeAutospacing="0" w:after="0" w:afterAutospacing="0"/>
                    <w:ind w:left="24" w:leftChars="10" w:right="24" w:rightChars="10" w:firstLine="0" w:firstLineChars="0"/>
                    <w:jc w:val="center"/>
                    <w:rPr>
                      <w:rFonts w:hint="eastAsia" w:ascii="Times New Roman" w:hAnsi="Times New Roman" w:eastAsia="宋体" w:cs="Times New Roman"/>
                      <w:b w:val="0"/>
                      <w:color w:val="auto"/>
                      <w:kern w:val="2"/>
                      <w:sz w:val="21"/>
                      <w:szCs w:val="21"/>
                      <w:lang w:val="en-US" w:eastAsia="zh-CN" w:bidi="ar-SA"/>
                    </w:rPr>
                  </w:pPr>
                  <w:r>
                    <w:rPr>
                      <w:rFonts w:hint="eastAsia"/>
                      <w:b w:val="0"/>
                      <w:bCs w:val="0"/>
                      <w:color w:val="auto"/>
                      <w:lang w:val="en-US" w:eastAsia="zh-CN"/>
                    </w:rPr>
                    <w:t>本项目位于淮南市高新技术开发区区块二，为工业用地。本项目从事废旧电动自行车拆解，拆解过程中产生废塑料，对废塑料进行破碎，不生产塑料袋及食品塑料袋类产品。项目原材料为废旧电动自行车，不含沾染油、化学品、农药的物质</w:t>
                  </w:r>
                  <w:r>
                    <w:rPr>
                      <w:rFonts w:hint="eastAsia"/>
                      <w:color w:val="auto"/>
                      <w:lang w:val="en-US" w:eastAsia="zh-CN"/>
                    </w:rPr>
                    <w:t>，也不包含可产生恶臭和渗滤液的废弃物、氟等卤素塑料及纳入危险废物管理的废弃物</w:t>
                  </w:r>
                </w:p>
              </w:tc>
              <w:tc>
                <w:tcPr>
                  <w:tcW w:w="721" w:type="dxa"/>
                  <w:tcBorders>
                    <w:left w:val="single" w:color="auto" w:sz="4" w:space="0"/>
                    <w:bottom w:val="single" w:color="auto" w:sz="4" w:space="0"/>
                    <w:right w:val="single" w:color="auto" w:sz="4" w:space="0"/>
                  </w:tcBorders>
                  <w:shd w:val="clear" w:color="auto" w:fill="auto"/>
                  <w:noWrap w:val="0"/>
                  <w:vAlign w:val="center"/>
                </w:tcPr>
                <w:p w14:paraId="05AF6C09">
                  <w:pPr>
                    <w:pStyle w:val="46"/>
                    <w:keepNext w:val="0"/>
                    <w:keepLines w:val="0"/>
                    <w:suppressLineNumbers w:val="0"/>
                    <w:bidi w:val="0"/>
                    <w:spacing w:before="0" w:beforeAutospacing="0" w:after="0" w:afterAutospacing="0"/>
                    <w:ind w:left="24" w:leftChars="10" w:right="24" w:rightChars="10" w:firstLine="0" w:firstLineChars="0"/>
                    <w:jc w:val="center"/>
                    <w:rPr>
                      <w:rFonts w:hint="eastAsia" w:ascii="Times New Roman" w:hAnsi="Times New Roman" w:eastAsia="宋体" w:cs="Times New Roman"/>
                      <w:b w:val="0"/>
                      <w:bCs w:val="0"/>
                      <w:color w:val="auto"/>
                      <w:kern w:val="2"/>
                      <w:sz w:val="21"/>
                      <w:szCs w:val="21"/>
                      <w:lang w:val="en-US" w:eastAsia="zh-CN" w:bidi="ar-SA"/>
                    </w:rPr>
                  </w:pPr>
                  <w:r>
                    <w:rPr>
                      <w:rFonts w:hint="eastAsia"/>
                      <w:b w:val="0"/>
                      <w:bCs w:val="0"/>
                      <w:color w:val="auto"/>
                      <w:lang w:val="en-US" w:eastAsia="zh-CN"/>
                    </w:rPr>
                    <w:t>符合</w:t>
                  </w:r>
                </w:p>
              </w:tc>
            </w:tr>
            <w:tr w14:paraId="3DD8F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7F37BDCC">
                  <w:pPr>
                    <w:pStyle w:val="46"/>
                    <w:keepNext w:val="0"/>
                    <w:keepLines w:val="0"/>
                    <w:suppressLineNumbers w:val="0"/>
                    <w:bidi w:val="0"/>
                    <w:spacing w:before="0" w:beforeAutospacing="0" w:after="0" w:afterAutospacing="0"/>
                    <w:jc w:val="center"/>
                    <w:rPr>
                      <w:rFonts w:hint="eastAsia"/>
                      <w:color w:val="auto"/>
                      <w:lang w:val="en-US" w:eastAsia="zh-CN"/>
                    </w:rPr>
                  </w:pPr>
                </w:p>
              </w:tc>
              <w:tc>
                <w:tcPr>
                  <w:tcW w:w="3530" w:type="dxa"/>
                  <w:gridSpan w:val="2"/>
                  <w:tcBorders>
                    <w:left w:val="single" w:color="auto" w:sz="4" w:space="0"/>
                    <w:bottom w:val="single" w:color="auto" w:sz="4" w:space="0"/>
                    <w:right w:val="single" w:color="auto" w:sz="4" w:space="0"/>
                  </w:tcBorders>
                  <w:shd w:val="clear" w:color="auto" w:fill="auto"/>
                  <w:noWrap w:val="0"/>
                  <w:vAlign w:val="center"/>
                </w:tcPr>
                <w:p w14:paraId="75827064">
                  <w:pPr>
                    <w:pStyle w:val="46"/>
                    <w:keepNext w:val="0"/>
                    <w:keepLines w:val="0"/>
                    <w:suppressLineNumbers w:val="0"/>
                    <w:bidi w:val="0"/>
                    <w:spacing w:before="0" w:beforeAutospacing="0" w:after="0" w:afterAutospacing="0"/>
                    <w:ind w:left="24" w:leftChars="10" w:right="24" w:rightChars="10" w:firstLine="0" w:firstLineChars="0"/>
                    <w:jc w:val="center"/>
                    <w:rPr>
                      <w:rFonts w:hint="eastAsia"/>
                      <w:color w:val="auto"/>
                      <w:lang w:val="en-US" w:eastAsia="zh-CN"/>
                    </w:rPr>
                  </w:pPr>
                  <w:r>
                    <w:rPr>
                      <w:rFonts w:hint="eastAsia"/>
                      <w:color w:val="auto"/>
                      <w:lang w:val="en-US" w:eastAsia="zh-CN"/>
                    </w:rPr>
                    <w:t>无符合环保要求污水治理设施的，禁止从事废编织袋造粒、缸脚料淘洗、废塑料退镀（涂）、盐卤分拣等加工活动</w:t>
                  </w:r>
                </w:p>
              </w:tc>
              <w:tc>
                <w:tcPr>
                  <w:tcW w:w="2230" w:type="dxa"/>
                  <w:tcBorders>
                    <w:left w:val="single" w:color="auto" w:sz="4" w:space="0"/>
                    <w:bottom w:val="single" w:color="auto" w:sz="4" w:space="0"/>
                    <w:right w:val="single" w:color="auto" w:sz="4" w:space="0"/>
                  </w:tcBorders>
                  <w:shd w:val="clear" w:color="auto" w:fill="auto"/>
                  <w:noWrap w:val="0"/>
                  <w:vAlign w:val="center"/>
                </w:tcPr>
                <w:p w14:paraId="2A76339A">
                  <w:pPr>
                    <w:pStyle w:val="46"/>
                    <w:keepNext w:val="0"/>
                    <w:keepLines w:val="0"/>
                    <w:suppressLineNumbers w:val="0"/>
                    <w:bidi w:val="0"/>
                    <w:spacing w:before="0" w:beforeAutospacing="0" w:after="0" w:afterAutospacing="0"/>
                    <w:ind w:left="24" w:leftChars="10" w:right="24" w:rightChars="10" w:firstLine="0" w:firstLineChars="0"/>
                    <w:jc w:val="center"/>
                    <w:rPr>
                      <w:rFonts w:hint="default"/>
                      <w:b w:val="0"/>
                      <w:bCs w:val="0"/>
                      <w:color w:val="auto"/>
                      <w:lang w:val="en-US" w:eastAsia="zh-CN"/>
                    </w:rPr>
                  </w:pPr>
                  <w:r>
                    <w:rPr>
                      <w:rFonts w:hint="eastAsia"/>
                      <w:b w:val="0"/>
                      <w:bCs w:val="0"/>
                      <w:color w:val="auto"/>
                      <w:lang w:val="en-US" w:eastAsia="zh-CN"/>
                    </w:rPr>
                    <w:t>项目破碎废水经絮凝沉淀池处理后回用，不涉及</w:t>
                  </w:r>
                  <w:r>
                    <w:rPr>
                      <w:rFonts w:hint="eastAsia"/>
                      <w:color w:val="auto"/>
                      <w:lang w:val="en-US" w:eastAsia="zh-CN"/>
                    </w:rPr>
                    <w:t>废编织袋造粒、缸脚料淘洗、废塑料退镀（涂）、盐卤分拣等活动</w:t>
                  </w:r>
                </w:p>
              </w:tc>
              <w:tc>
                <w:tcPr>
                  <w:tcW w:w="721" w:type="dxa"/>
                  <w:tcBorders>
                    <w:left w:val="single" w:color="auto" w:sz="4" w:space="0"/>
                    <w:bottom w:val="single" w:color="auto" w:sz="4" w:space="0"/>
                    <w:right w:val="single" w:color="auto" w:sz="4" w:space="0"/>
                  </w:tcBorders>
                  <w:shd w:val="clear" w:color="auto" w:fill="auto"/>
                  <w:noWrap w:val="0"/>
                  <w:vAlign w:val="center"/>
                </w:tcPr>
                <w:p w14:paraId="2B861BD3">
                  <w:pPr>
                    <w:pStyle w:val="46"/>
                    <w:keepNext w:val="0"/>
                    <w:keepLines w:val="0"/>
                    <w:suppressLineNumbers w:val="0"/>
                    <w:bidi w:val="0"/>
                    <w:spacing w:before="0" w:beforeAutospacing="0" w:after="0" w:afterAutospacing="0"/>
                    <w:ind w:left="24" w:leftChars="10" w:right="24" w:rightChars="10" w:firstLine="0" w:firstLineChars="0"/>
                    <w:jc w:val="center"/>
                    <w:rPr>
                      <w:rFonts w:hint="default"/>
                      <w:b w:val="0"/>
                      <w:bCs w:val="0"/>
                      <w:color w:val="auto"/>
                      <w:lang w:val="en-US" w:eastAsia="zh-CN"/>
                    </w:rPr>
                  </w:pPr>
                  <w:r>
                    <w:rPr>
                      <w:rFonts w:hint="eastAsia"/>
                      <w:b w:val="0"/>
                      <w:bCs w:val="0"/>
                      <w:color w:val="auto"/>
                      <w:lang w:val="en-US" w:eastAsia="zh-CN"/>
                    </w:rPr>
                    <w:t>符合</w:t>
                  </w:r>
                </w:p>
              </w:tc>
            </w:tr>
            <w:tr w14:paraId="12904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2" w:hRule="atLeast"/>
                <w:jc w:val="center"/>
              </w:trPr>
              <w:tc>
                <w:tcPr>
                  <w:tcW w:w="1124" w:type="dxa"/>
                  <w:vMerge w:val="continue"/>
                  <w:tcBorders>
                    <w:left w:val="single" w:color="auto" w:sz="4" w:space="0"/>
                    <w:right w:val="single" w:color="auto" w:sz="4" w:space="0"/>
                  </w:tcBorders>
                  <w:noWrap w:val="0"/>
                  <w:vAlign w:val="center"/>
                </w:tcPr>
                <w:p w14:paraId="7481D383">
                  <w:pPr>
                    <w:pStyle w:val="46"/>
                    <w:keepNext w:val="0"/>
                    <w:keepLines w:val="0"/>
                    <w:suppressLineNumbers w:val="0"/>
                    <w:bidi w:val="0"/>
                    <w:spacing w:before="0" w:beforeAutospacing="0" w:after="0" w:afterAutospacing="0"/>
                    <w:jc w:val="center"/>
                    <w:rPr>
                      <w:rFonts w:hint="eastAsia"/>
                      <w:color w:val="auto"/>
                      <w:lang w:val="en-US" w:eastAsia="zh-CN"/>
                    </w:rPr>
                  </w:pPr>
                </w:p>
              </w:tc>
              <w:tc>
                <w:tcPr>
                  <w:tcW w:w="3530" w:type="dxa"/>
                  <w:gridSpan w:val="2"/>
                  <w:tcBorders>
                    <w:left w:val="single" w:color="auto" w:sz="4" w:space="0"/>
                    <w:bottom w:val="single" w:color="auto" w:sz="4" w:space="0"/>
                    <w:right w:val="single" w:color="auto" w:sz="4" w:space="0"/>
                  </w:tcBorders>
                  <w:shd w:val="clear" w:color="auto" w:fill="auto"/>
                  <w:noWrap w:val="0"/>
                  <w:vAlign w:val="center"/>
                </w:tcPr>
                <w:p w14:paraId="4F3B2505">
                  <w:pPr>
                    <w:pStyle w:val="46"/>
                    <w:keepNext w:val="0"/>
                    <w:keepLines w:val="0"/>
                    <w:suppressLineNumbers w:val="0"/>
                    <w:bidi w:val="0"/>
                    <w:spacing w:before="0" w:beforeAutospacing="0" w:after="0" w:afterAutospacing="0"/>
                    <w:ind w:left="24" w:leftChars="10" w:right="24" w:rightChars="10" w:firstLine="0" w:firstLineChars="0"/>
                    <w:jc w:val="center"/>
                    <w:rPr>
                      <w:rFonts w:hint="eastAsia"/>
                      <w:color w:val="auto"/>
                      <w:lang w:val="en-US" w:eastAsia="zh-CN"/>
                    </w:rPr>
                  </w:pPr>
                  <w:r>
                    <w:rPr>
                      <w:rFonts w:hint="eastAsia"/>
                      <w:color w:val="auto"/>
                      <w:lang w:val="en-US" w:eastAsia="zh-CN"/>
                    </w:rPr>
                    <w:t>废塑料加工利用单位应当以环境无害化方式处理废塑料加工利用过程产生的残余垃圾、滤网；禁止交不符合环保要求的单位或个人处置；禁止露天焚烧废塑料及加工利用过程产生的残余垃圾、滤网</w:t>
                  </w:r>
                </w:p>
              </w:tc>
              <w:tc>
                <w:tcPr>
                  <w:tcW w:w="2230" w:type="dxa"/>
                  <w:tcBorders>
                    <w:left w:val="single" w:color="auto" w:sz="4" w:space="0"/>
                    <w:bottom w:val="single" w:color="auto" w:sz="4" w:space="0"/>
                    <w:right w:val="single" w:color="auto" w:sz="4" w:space="0"/>
                  </w:tcBorders>
                  <w:shd w:val="clear" w:color="auto" w:fill="auto"/>
                  <w:noWrap w:val="0"/>
                  <w:vAlign w:val="center"/>
                </w:tcPr>
                <w:p w14:paraId="2C1B955B">
                  <w:pPr>
                    <w:pStyle w:val="46"/>
                    <w:keepNext w:val="0"/>
                    <w:keepLines w:val="0"/>
                    <w:suppressLineNumbers w:val="0"/>
                    <w:bidi w:val="0"/>
                    <w:spacing w:before="0" w:beforeAutospacing="0" w:after="0" w:afterAutospacing="0"/>
                    <w:ind w:left="24" w:leftChars="10" w:right="24" w:rightChars="10" w:firstLine="0" w:firstLineChars="0"/>
                    <w:jc w:val="center"/>
                    <w:rPr>
                      <w:rFonts w:hint="default"/>
                      <w:b w:val="0"/>
                      <w:bCs w:val="0"/>
                      <w:color w:val="auto"/>
                      <w:lang w:val="en-US" w:eastAsia="zh-CN"/>
                    </w:rPr>
                  </w:pPr>
                  <w:r>
                    <w:rPr>
                      <w:rFonts w:hint="eastAsia"/>
                      <w:b w:val="0"/>
                      <w:bCs w:val="0"/>
                      <w:color w:val="auto"/>
                      <w:lang w:val="en-US" w:eastAsia="zh-CN"/>
                    </w:rPr>
                    <w:t>项目破碎机废滤网为一般工业固体废物，外售相关单位处置</w:t>
                  </w:r>
                </w:p>
              </w:tc>
              <w:tc>
                <w:tcPr>
                  <w:tcW w:w="721" w:type="dxa"/>
                  <w:tcBorders>
                    <w:left w:val="single" w:color="auto" w:sz="4" w:space="0"/>
                    <w:bottom w:val="single" w:color="auto" w:sz="4" w:space="0"/>
                    <w:right w:val="single" w:color="auto" w:sz="4" w:space="0"/>
                  </w:tcBorders>
                  <w:shd w:val="clear" w:color="auto" w:fill="auto"/>
                  <w:noWrap w:val="0"/>
                  <w:vAlign w:val="center"/>
                </w:tcPr>
                <w:p w14:paraId="76234444">
                  <w:pPr>
                    <w:pStyle w:val="46"/>
                    <w:keepNext w:val="0"/>
                    <w:keepLines w:val="0"/>
                    <w:suppressLineNumbers w:val="0"/>
                    <w:bidi w:val="0"/>
                    <w:spacing w:before="0" w:beforeAutospacing="0" w:after="0" w:afterAutospacing="0"/>
                    <w:ind w:left="24" w:leftChars="10" w:right="24" w:rightChars="10" w:firstLine="0" w:firstLineChars="0"/>
                    <w:jc w:val="center"/>
                    <w:rPr>
                      <w:rFonts w:hint="default"/>
                      <w:b w:val="0"/>
                      <w:bCs w:val="0"/>
                      <w:color w:val="auto"/>
                      <w:lang w:val="en-US" w:eastAsia="zh-CN"/>
                    </w:rPr>
                  </w:pPr>
                  <w:r>
                    <w:rPr>
                      <w:rFonts w:hint="eastAsia"/>
                      <w:b w:val="0"/>
                      <w:bCs w:val="0"/>
                      <w:color w:val="auto"/>
                      <w:lang w:val="en-US" w:eastAsia="zh-CN"/>
                    </w:rPr>
                    <w:t>符合</w:t>
                  </w:r>
                </w:p>
              </w:tc>
            </w:tr>
          </w:tbl>
          <w:p w14:paraId="0448216D">
            <w:pPr>
              <w:keepNext w:val="0"/>
              <w:keepLines w:val="0"/>
              <w:suppressLineNumbers w:val="0"/>
              <w:bidi w:val="0"/>
              <w:spacing w:before="0" w:beforeAutospacing="0" w:after="0" w:afterAutospacing="0"/>
              <w:ind w:left="0" w:right="0"/>
              <w:rPr>
                <w:rFonts w:hint="default"/>
                <w:b/>
                <w:bCs/>
                <w:color w:val="auto"/>
              </w:rPr>
            </w:pPr>
            <w:r>
              <w:rPr>
                <w:rFonts w:hint="eastAsia"/>
                <w:b/>
                <w:bCs/>
                <w:color w:val="auto"/>
                <w:lang w:val="en-US" w:eastAsia="zh-CN"/>
              </w:rPr>
              <w:t>4、</w:t>
            </w:r>
            <w:r>
              <w:rPr>
                <w:rFonts w:hint="default"/>
                <w:b/>
                <w:bCs/>
                <w:color w:val="auto"/>
              </w:rPr>
              <w:t>项目选址合理性及周边环境相容性分析</w:t>
            </w:r>
          </w:p>
          <w:p w14:paraId="111DB3AE">
            <w:pPr>
              <w:keepNext w:val="0"/>
              <w:keepLines w:val="0"/>
              <w:suppressLineNumbers w:val="0"/>
              <w:bidi w:val="0"/>
              <w:spacing w:before="0" w:beforeAutospacing="0" w:after="0" w:afterAutospacing="0"/>
              <w:ind w:left="0" w:right="0"/>
              <w:rPr>
                <w:rFonts w:hint="default"/>
                <w:b/>
                <w:bCs/>
                <w:color w:val="auto"/>
                <w:lang w:val="zh-CN"/>
              </w:rPr>
            </w:pPr>
            <w:r>
              <w:rPr>
                <w:rFonts w:hint="default"/>
                <w:b/>
                <w:bCs/>
                <w:color w:val="auto"/>
                <w:lang w:val="zh-CN"/>
              </w:rPr>
              <w:t>（</w:t>
            </w:r>
            <w:r>
              <w:rPr>
                <w:rFonts w:hint="default"/>
                <w:b/>
                <w:bCs/>
                <w:color w:val="auto"/>
              </w:rPr>
              <w:t>1</w:t>
            </w:r>
            <w:r>
              <w:rPr>
                <w:rFonts w:hint="default"/>
                <w:b/>
                <w:bCs/>
                <w:color w:val="auto"/>
                <w:lang w:val="zh-CN"/>
              </w:rPr>
              <w:t>）环境相容性分析</w:t>
            </w:r>
          </w:p>
          <w:p w14:paraId="0860F8CA">
            <w:pPr>
              <w:keepNext w:val="0"/>
              <w:keepLines w:val="0"/>
              <w:suppressLineNumbers w:val="0"/>
              <w:bidi w:val="0"/>
              <w:spacing w:before="0" w:beforeAutospacing="0" w:after="0" w:afterAutospacing="0"/>
              <w:ind w:left="0" w:right="0"/>
              <w:rPr>
                <w:rFonts w:hint="eastAsia"/>
                <w:color w:val="0000FF"/>
                <w:lang w:val="en-US" w:eastAsia="zh-CN"/>
              </w:rPr>
            </w:pPr>
            <w:r>
              <w:rPr>
                <w:rFonts w:hint="default"/>
                <w:color w:val="auto"/>
              </w:rPr>
              <w:t>本项目建设地点</w:t>
            </w:r>
            <w:r>
              <w:rPr>
                <w:rFonts w:hint="eastAsia"/>
                <w:color w:val="auto"/>
                <w:lang w:val="en-US" w:eastAsia="zh-CN"/>
              </w:rPr>
              <w:t>位于安徽淮南高新技术产业开发区区块二</w:t>
            </w:r>
            <w:r>
              <w:rPr>
                <w:rFonts w:hint="default"/>
                <w:color w:val="auto"/>
              </w:rPr>
              <w:t>，</w:t>
            </w:r>
            <w:r>
              <w:rPr>
                <w:rFonts w:hint="eastAsia"/>
                <w:color w:val="auto"/>
                <w:lang w:val="en-US" w:eastAsia="zh-CN"/>
              </w:rPr>
              <w:t>根据《淮南高新技术产业开发区总体发展规划（2024-2035年）（主导产业变更）》及土地证，项目</w:t>
            </w:r>
            <w:r>
              <w:rPr>
                <w:rFonts w:hint="default"/>
                <w:color w:val="auto"/>
              </w:rPr>
              <w:t>用地</w:t>
            </w:r>
            <w:r>
              <w:rPr>
                <w:rFonts w:hint="eastAsia"/>
                <w:color w:val="auto"/>
              </w:rPr>
              <w:t>性质</w:t>
            </w:r>
            <w:r>
              <w:rPr>
                <w:rFonts w:hint="default"/>
                <w:color w:val="auto"/>
              </w:rPr>
              <w:t>属于工业用地</w:t>
            </w:r>
            <w:r>
              <w:rPr>
                <w:rFonts w:hint="eastAsia"/>
                <w:color w:val="auto"/>
                <w:lang w:eastAsia="zh-CN"/>
              </w:rPr>
              <w:t>。</w:t>
            </w:r>
          </w:p>
          <w:p w14:paraId="4C9947A0">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本项目租赁淮南市祥瑞木业有限责任公司现有空置厂房</w:t>
            </w:r>
            <w:r>
              <w:rPr>
                <w:rFonts w:hint="eastAsia"/>
                <w:lang w:eastAsia="zh-CN"/>
              </w:rPr>
              <w:t>，</w:t>
            </w:r>
            <w:r>
              <w:rPr>
                <w:rFonts w:hint="eastAsia"/>
                <w:lang w:val="en-US" w:eastAsia="zh-CN"/>
              </w:rPr>
              <w:t>北侧跨滁新高速为淮南普特机械有限公司，东侧为淮南力聚塔环保服务有限公司（从事危废处理）及安徽奥思丽建材科技有限公司（从事新型墙体建材生产）、南侧为淮南市超艺喷涂加工厂（从事家用电器配套加工），西侧为厂区办公楼及空置厂房。项目厂界周边主要为生产厂房，无限制建设因素</w:t>
            </w:r>
            <w:r>
              <w:rPr>
                <w:rFonts w:hint="default"/>
                <w:lang w:val="en-US" w:eastAsia="zh-CN"/>
              </w:rPr>
              <w:t>。</w:t>
            </w:r>
          </w:p>
          <w:p w14:paraId="26A03480">
            <w:pPr>
              <w:keepNext w:val="0"/>
              <w:keepLines w:val="0"/>
              <w:suppressLineNumbers w:val="0"/>
              <w:bidi w:val="0"/>
              <w:spacing w:before="0" w:beforeAutospacing="0" w:after="0" w:afterAutospacing="0"/>
              <w:ind w:left="0" w:right="0"/>
              <w:rPr>
                <w:rFonts w:hint="default"/>
                <w:b/>
                <w:bCs/>
                <w:color w:val="auto"/>
              </w:rPr>
            </w:pPr>
            <w:r>
              <w:rPr>
                <w:rFonts w:hint="default"/>
                <w:b/>
                <w:bCs/>
                <w:color w:val="auto"/>
              </w:rPr>
              <w:t>（2）区域配套</w:t>
            </w:r>
          </w:p>
          <w:p w14:paraId="4F1CC047">
            <w:pPr>
              <w:keepNext w:val="0"/>
              <w:keepLines w:val="0"/>
              <w:suppressLineNumbers w:val="0"/>
              <w:bidi w:val="0"/>
              <w:spacing w:before="0" w:beforeAutospacing="0" w:after="0" w:afterAutospacing="0"/>
              <w:ind w:left="0" w:right="0"/>
              <w:rPr>
                <w:rFonts w:hint="default"/>
                <w:color w:val="auto"/>
              </w:rPr>
            </w:pPr>
            <w:r>
              <w:rPr>
                <w:rFonts w:hint="default"/>
                <w:color w:val="auto"/>
              </w:rPr>
              <w:t>项目位于</w:t>
            </w:r>
            <w:r>
              <w:rPr>
                <w:rFonts w:hint="eastAsia"/>
                <w:color w:val="auto"/>
                <w:lang w:val="en-US" w:eastAsia="zh-CN"/>
              </w:rPr>
              <w:t>安徽淮南高新技术产业开发区区块二</w:t>
            </w:r>
            <w:r>
              <w:rPr>
                <w:rFonts w:hint="default"/>
                <w:color w:val="auto"/>
              </w:rPr>
              <w:t>，项目区域范围内供水、排水、电力、电讯等基础设施完善、交通便利。</w:t>
            </w:r>
          </w:p>
          <w:p w14:paraId="2E39C5BA">
            <w:pPr>
              <w:keepNext w:val="0"/>
              <w:keepLines w:val="0"/>
              <w:suppressLineNumbers w:val="0"/>
              <w:bidi w:val="0"/>
              <w:spacing w:before="0" w:beforeAutospacing="0" w:after="0" w:afterAutospacing="0"/>
              <w:ind w:left="0" w:right="0"/>
              <w:rPr>
                <w:rFonts w:hint="default"/>
                <w:b/>
                <w:bCs/>
                <w:color w:val="auto"/>
              </w:rPr>
            </w:pPr>
            <w:r>
              <w:rPr>
                <w:rFonts w:hint="default"/>
                <w:b/>
                <w:bCs/>
                <w:color w:val="auto"/>
              </w:rPr>
              <w:t>（3）对外环境的影响</w:t>
            </w:r>
          </w:p>
          <w:p w14:paraId="170A4029">
            <w:pPr>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本项目生活污水经化粪池处理后经园区污水管网进入淮南八公山污水处理厂，</w:t>
            </w:r>
            <w:r>
              <w:rPr>
                <w:rFonts w:hint="eastAsia"/>
                <w:b w:val="0"/>
                <w:bCs w:val="0"/>
                <w:color w:val="auto"/>
                <w:lang w:val="en-US" w:eastAsia="zh-CN"/>
              </w:rPr>
              <w:t>项目破碎废水经絮凝沉淀池处理后回用</w:t>
            </w:r>
            <w:r>
              <w:rPr>
                <w:rFonts w:hint="eastAsia"/>
                <w:color w:val="auto"/>
                <w:lang w:val="en-US" w:eastAsia="zh-CN"/>
              </w:rPr>
              <w:t>；</w:t>
            </w:r>
            <w:r>
              <w:rPr>
                <w:rFonts w:hint="eastAsia"/>
                <w:color w:val="auto"/>
                <w:highlight w:val="none"/>
                <w:lang w:val="en-US" w:eastAsia="zh-CN"/>
              </w:rPr>
              <w:t>项目废塑料零部件采用湿法破碎，</w:t>
            </w:r>
            <w:r>
              <w:rPr>
                <w:rFonts w:hint="eastAsia" w:ascii="Calibri" w:hAnsi="Calibri" w:cs="Times New Roman"/>
                <w:b w:val="0"/>
                <w:bCs w:val="0"/>
                <w:color w:val="auto"/>
                <w:kern w:val="2"/>
                <w:sz w:val="24"/>
                <w:szCs w:val="24"/>
                <w:lang w:val="en-US" w:eastAsia="zh-CN" w:bidi="ar-SA"/>
              </w:rPr>
              <w:t>生产废气主要</w:t>
            </w:r>
            <w:r>
              <w:rPr>
                <w:rFonts w:hint="eastAsia" w:ascii="Times New Roman" w:hAnsi="Times New Roman" w:eastAsia="宋体" w:cs="Times New Roman"/>
                <w:b w:val="0"/>
                <w:bCs w:val="0"/>
                <w:color w:val="auto"/>
                <w:lang w:val="en-US" w:eastAsia="zh-CN"/>
              </w:rPr>
              <w:t>为</w:t>
            </w:r>
            <w:r>
              <w:rPr>
                <w:rFonts w:hint="eastAsia" w:cs="Times New Roman"/>
                <w:b w:val="0"/>
                <w:bCs w:val="0"/>
                <w:color w:val="auto"/>
                <w:lang w:val="en-US" w:eastAsia="zh-CN"/>
              </w:rPr>
              <w:t>角磨</w:t>
            </w:r>
            <w:r>
              <w:rPr>
                <w:rFonts w:hint="eastAsia" w:ascii="Times New Roman" w:hAnsi="Times New Roman" w:eastAsia="宋体" w:cs="Times New Roman"/>
                <w:b w:val="0"/>
                <w:bCs w:val="0"/>
                <w:color w:val="auto"/>
                <w:lang w:val="en-US" w:eastAsia="zh-CN"/>
              </w:rPr>
              <w:t>切割</w:t>
            </w:r>
            <w:r>
              <w:rPr>
                <w:rFonts w:hint="eastAsia" w:cs="Times New Roman"/>
                <w:b w:val="0"/>
                <w:bCs w:val="0"/>
                <w:color w:val="auto"/>
                <w:lang w:val="en-US" w:eastAsia="zh-CN"/>
              </w:rPr>
              <w:t>剪切及打包</w:t>
            </w:r>
            <w:r>
              <w:rPr>
                <w:rFonts w:hint="eastAsia" w:ascii="Times New Roman" w:hAnsi="Times New Roman" w:eastAsia="宋体" w:cs="Times New Roman"/>
                <w:b w:val="0"/>
                <w:bCs w:val="0"/>
                <w:color w:val="auto"/>
                <w:lang w:val="en-US" w:eastAsia="zh-CN"/>
              </w:rPr>
              <w:t>粉尘、</w:t>
            </w:r>
            <w:r>
              <w:rPr>
                <w:rFonts w:hint="eastAsia" w:ascii="Calibri" w:hAnsi="Calibri" w:cs="Times New Roman"/>
                <w:b w:val="0"/>
                <w:bCs w:val="0"/>
                <w:color w:val="auto"/>
                <w:kern w:val="2"/>
                <w:sz w:val="24"/>
                <w:szCs w:val="24"/>
                <w:lang w:val="en-US" w:eastAsia="zh-CN" w:bidi="ar-SA"/>
              </w:rPr>
              <w:t>絮凝沉淀池产生的少量无组织恶臭气体</w:t>
            </w:r>
            <w:r>
              <w:rPr>
                <w:rFonts w:hint="eastAsia" w:ascii="Calibri" w:hAnsi="Calibri" w:eastAsia="宋体" w:cs="Times New Roman"/>
                <w:b w:val="0"/>
                <w:bCs w:val="0"/>
                <w:color w:val="auto"/>
                <w:kern w:val="2"/>
                <w:sz w:val="24"/>
                <w:szCs w:val="24"/>
                <w:lang w:val="en-US" w:eastAsia="zh-CN" w:bidi="ar-SA"/>
              </w:rPr>
              <w:t>，</w:t>
            </w:r>
            <w:r>
              <w:rPr>
                <w:rFonts w:hint="eastAsia" w:cs="Times New Roman"/>
                <w:b w:val="0"/>
                <w:bCs w:val="0"/>
                <w:color w:val="auto"/>
                <w:lang w:val="en-US" w:eastAsia="zh-CN"/>
              </w:rPr>
              <w:t>角磨</w:t>
            </w:r>
            <w:r>
              <w:rPr>
                <w:rFonts w:hint="eastAsia" w:ascii="Times New Roman" w:hAnsi="Times New Roman" w:eastAsia="宋体" w:cs="Times New Roman"/>
                <w:b w:val="0"/>
                <w:bCs w:val="0"/>
                <w:color w:val="auto"/>
                <w:lang w:val="en-US" w:eastAsia="zh-CN"/>
              </w:rPr>
              <w:t>切割</w:t>
            </w:r>
            <w:r>
              <w:rPr>
                <w:rFonts w:hint="eastAsia" w:cs="Times New Roman"/>
                <w:b w:val="0"/>
                <w:bCs w:val="0"/>
                <w:color w:val="auto"/>
                <w:lang w:val="en-US" w:eastAsia="zh-CN"/>
              </w:rPr>
              <w:t>剪切打包</w:t>
            </w:r>
            <w:r>
              <w:rPr>
                <w:rFonts w:hint="eastAsia" w:ascii="Calibri" w:hAnsi="Calibri" w:eastAsia="宋体" w:cs="Times New Roman"/>
                <w:b w:val="0"/>
                <w:bCs w:val="0"/>
                <w:color w:val="auto"/>
                <w:kern w:val="2"/>
                <w:sz w:val="24"/>
                <w:szCs w:val="24"/>
                <w:lang w:val="en-US" w:eastAsia="zh-CN" w:bidi="ar-SA"/>
              </w:rPr>
              <w:t>粉尘经</w:t>
            </w:r>
            <w:r>
              <w:rPr>
                <w:rFonts w:hint="eastAsia" w:ascii="Calibri" w:hAnsi="Calibri" w:cs="Times New Roman"/>
                <w:b w:val="0"/>
                <w:bCs w:val="0"/>
                <w:color w:val="auto"/>
                <w:kern w:val="2"/>
                <w:sz w:val="24"/>
                <w:szCs w:val="24"/>
                <w:lang w:val="en-US" w:eastAsia="zh-CN" w:bidi="ar-SA"/>
              </w:rPr>
              <w:t>袋式除尘器</w:t>
            </w:r>
            <w:r>
              <w:rPr>
                <w:rFonts w:hint="eastAsia" w:ascii="Calibri" w:hAnsi="Calibri" w:eastAsia="宋体" w:cs="Times New Roman"/>
                <w:b w:val="0"/>
                <w:bCs w:val="0"/>
                <w:color w:val="auto"/>
                <w:kern w:val="2"/>
                <w:sz w:val="24"/>
                <w:szCs w:val="24"/>
                <w:lang w:val="en-US" w:eastAsia="zh-CN" w:bidi="ar-SA"/>
              </w:rPr>
              <w:t>处理后</w:t>
            </w:r>
            <w:r>
              <w:rPr>
                <w:rFonts w:hint="eastAsia" w:ascii="Calibri" w:hAnsi="Calibri" w:cs="Times New Roman"/>
                <w:b w:val="0"/>
                <w:bCs w:val="0"/>
                <w:color w:val="auto"/>
                <w:kern w:val="2"/>
                <w:sz w:val="24"/>
                <w:szCs w:val="24"/>
                <w:lang w:val="en-US" w:eastAsia="zh-CN" w:bidi="ar-SA"/>
              </w:rPr>
              <w:t>达标</w:t>
            </w:r>
            <w:r>
              <w:rPr>
                <w:rFonts w:hint="eastAsia" w:ascii="Calibri" w:hAnsi="Calibri" w:eastAsia="宋体" w:cs="Times New Roman"/>
                <w:b w:val="0"/>
                <w:bCs w:val="0"/>
                <w:color w:val="auto"/>
                <w:kern w:val="2"/>
                <w:sz w:val="24"/>
                <w:szCs w:val="24"/>
                <w:lang w:val="en-US" w:eastAsia="zh-CN" w:bidi="ar-SA"/>
              </w:rPr>
              <w:t>排放，</w:t>
            </w:r>
            <w:r>
              <w:rPr>
                <w:rFonts w:hint="eastAsia" w:ascii="Calibri" w:hAnsi="Calibri" w:cs="Times New Roman"/>
                <w:b w:val="0"/>
                <w:bCs w:val="0"/>
                <w:color w:val="auto"/>
                <w:kern w:val="2"/>
                <w:sz w:val="24"/>
                <w:szCs w:val="24"/>
                <w:lang w:val="en-US" w:eastAsia="zh-CN" w:bidi="ar-SA"/>
              </w:rPr>
              <w:t>通过定期喷洒除臭剂、污泥脱水后使用封闭包装袋打包后暂存，及时清运、废塑料及时处理，减少暂存周期，加强车间通风等措施可有效减少恶臭气体的产生</w:t>
            </w:r>
            <w:r>
              <w:rPr>
                <w:rFonts w:hint="eastAsia"/>
                <w:color w:val="auto"/>
                <w:highlight w:val="none"/>
                <w:lang w:val="en-US" w:eastAsia="zh-CN"/>
              </w:rPr>
              <w:t>；</w:t>
            </w:r>
            <w:r>
              <w:rPr>
                <w:rFonts w:hint="default"/>
                <w:color w:val="auto"/>
              </w:rPr>
              <w:t>项目生产设备均置于车间内，</w:t>
            </w:r>
            <w:r>
              <w:rPr>
                <w:rFonts w:hint="eastAsia"/>
                <w:color w:val="auto"/>
                <w:lang w:val="en-US" w:eastAsia="zh-CN"/>
              </w:rPr>
              <w:t>厂界噪声满足执行《工业企业厂界环境噪声排放标准》（GB12348-2008）中相应标准要求</w:t>
            </w:r>
            <w:r>
              <w:rPr>
                <w:rFonts w:hint="eastAsia"/>
                <w:color w:val="auto"/>
                <w:lang w:eastAsia="zh-CN"/>
              </w:rPr>
              <w:t>；</w:t>
            </w:r>
            <w:r>
              <w:rPr>
                <w:rFonts w:hint="eastAsia"/>
                <w:color w:val="auto"/>
                <w:lang w:val="en-US" w:eastAsia="zh-CN"/>
              </w:rPr>
              <w:t>生活垃圾交由环卫部门处置。设拆解车间对产生的一般工业固体废物及危险废物分区暂存，</w:t>
            </w:r>
            <w:r>
              <w:rPr>
                <w:rFonts w:hint="eastAsia"/>
                <w:color w:val="auto"/>
                <w:kern w:val="0"/>
                <w:szCs w:val="21"/>
                <w:lang w:val="en-US" w:eastAsia="zh-CN"/>
              </w:rPr>
              <w:t>各污染物</w:t>
            </w:r>
            <w:r>
              <w:rPr>
                <w:rFonts w:hint="eastAsia"/>
                <w:color w:val="auto"/>
                <w:lang w:val="en-US" w:eastAsia="zh-CN"/>
              </w:rPr>
              <w:t>对周围环境影响较小，对外环境的影响可以接受。</w:t>
            </w:r>
          </w:p>
          <w:p w14:paraId="507B4BE1">
            <w:pPr>
              <w:keepNext w:val="0"/>
              <w:keepLines w:val="0"/>
              <w:suppressLineNumbers w:val="0"/>
              <w:bidi w:val="0"/>
              <w:spacing w:before="0" w:beforeAutospacing="0" w:after="0" w:afterAutospacing="0"/>
              <w:ind w:left="0" w:right="0"/>
              <w:rPr>
                <w:rFonts w:hint="default"/>
                <w:color w:val="auto"/>
              </w:rPr>
            </w:pPr>
            <w:r>
              <w:rPr>
                <w:rFonts w:hint="default"/>
                <w:color w:val="auto"/>
              </w:rPr>
              <w:t>综上，从环境相容性、区域配套</w:t>
            </w:r>
            <w:r>
              <w:rPr>
                <w:rFonts w:hint="eastAsia"/>
                <w:color w:val="auto"/>
                <w:lang w:eastAsia="zh-CN"/>
              </w:rPr>
              <w:t>、</w:t>
            </w:r>
            <w:r>
              <w:rPr>
                <w:rFonts w:hint="eastAsia"/>
                <w:color w:val="auto"/>
                <w:lang w:val="en-US" w:eastAsia="zh-CN"/>
              </w:rPr>
              <w:t>对外环境影响</w:t>
            </w:r>
            <w:r>
              <w:rPr>
                <w:rFonts w:hint="default"/>
                <w:color w:val="auto"/>
              </w:rPr>
              <w:t>等方面考量，本项目的选址较为合理。</w:t>
            </w:r>
          </w:p>
          <w:p w14:paraId="3960A1F5">
            <w:pPr>
              <w:keepNext w:val="0"/>
              <w:keepLines w:val="0"/>
              <w:suppressLineNumbers w:val="0"/>
              <w:spacing w:before="0" w:beforeAutospacing="0" w:after="0" w:afterAutospacing="0"/>
              <w:ind w:left="0" w:leftChars="0" w:right="0" w:firstLine="0" w:firstLineChars="0"/>
              <w:rPr>
                <w:rFonts w:hint="default"/>
                <w:color w:val="0000FF"/>
                <w:lang w:val="zh-CN"/>
              </w:rPr>
            </w:pPr>
          </w:p>
          <w:p w14:paraId="07DD60E7">
            <w:pPr>
              <w:pStyle w:val="12"/>
              <w:keepNext w:val="0"/>
              <w:keepLines w:val="0"/>
              <w:suppressLineNumbers w:val="0"/>
              <w:spacing w:before="0" w:beforeAutospacing="0" w:after="0" w:afterAutospacing="0"/>
              <w:ind w:right="0"/>
              <w:rPr>
                <w:rFonts w:hint="default"/>
                <w:color w:val="0000FF"/>
                <w:lang w:val="zh-CN"/>
              </w:rPr>
            </w:pPr>
          </w:p>
          <w:p w14:paraId="53A65674">
            <w:pPr>
              <w:keepNext w:val="0"/>
              <w:keepLines w:val="0"/>
              <w:suppressLineNumbers w:val="0"/>
              <w:spacing w:before="0" w:beforeAutospacing="0" w:after="0" w:afterAutospacing="0"/>
              <w:ind w:left="0" w:right="0"/>
              <w:rPr>
                <w:rFonts w:hint="default"/>
                <w:color w:val="0000FF"/>
                <w:lang w:val="zh-CN"/>
              </w:rPr>
            </w:pPr>
          </w:p>
          <w:p w14:paraId="5698234B">
            <w:pPr>
              <w:pStyle w:val="12"/>
              <w:keepNext w:val="0"/>
              <w:keepLines w:val="0"/>
              <w:suppressLineNumbers w:val="0"/>
              <w:spacing w:before="0" w:beforeAutospacing="0" w:after="0" w:afterAutospacing="0"/>
              <w:ind w:right="0"/>
              <w:rPr>
                <w:rFonts w:hint="default"/>
                <w:color w:val="0000FF"/>
                <w:lang w:val="zh-CN"/>
              </w:rPr>
            </w:pPr>
          </w:p>
          <w:p w14:paraId="1F7E8F5A">
            <w:pPr>
              <w:keepNext w:val="0"/>
              <w:keepLines w:val="0"/>
              <w:suppressLineNumbers w:val="0"/>
              <w:spacing w:before="0" w:beforeAutospacing="0" w:after="0" w:afterAutospacing="0"/>
              <w:ind w:left="0" w:right="0"/>
              <w:rPr>
                <w:rFonts w:hint="default"/>
                <w:color w:val="0000FF"/>
                <w:lang w:val="zh-CN"/>
              </w:rPr>
            </w:pPr>
          </w:p>
          <w:p w14:paraId="2DA72DB7">
            <w:pPr>
              <w:pStyle w:val="12"/>
              <w:keepNext w:val="0"/>
              <w:keepLines w:val="0"/>
              <w:suppressLineNumbers w:val="0"/>
              <w:spacing w:before="0" w:beforeAutospacing="0" w:after="0" w:afterAutospacing="0"/>
              <w:ind w:right="0"/>
              <w:rPr>
                <w:rFonts w:hint="default"/>
                <w:color w:val="0000FF"/>
                <w:lang w:val="zh-CN"/>
              </w:rPr>
            </w:pPr>
          </w:p>
          <w:p w14:paraId="7860995C">
            <w:pPr>
              <w:keepNext w:val="0"/>
              <w:keepLines w:val="0"/>
              <w:suppressLineNumbers w:val="0"/>
              <w:spacing w:before="0" w:beforeAutospacing="0" w:after="0" w:afterAutospacing="0"/>
              <w:ind w:left="0" w:leftChars="0" w:right="0" w:firstLine="0" w:firstLineChars="0"/>
              <w:rPr>
                <w:rFonts w:hint="default"/>
                <w:color w:val="0000FF"/>
                <w:lang w:val="zh-CN"/>
              </w:rPr>
            </w:pPr>
          </w:p>
          <w:p w14:paraId="2D1DCEA6">
            <w:pPr>
              <w:keepNext w:val="0"/>
              <w:keepLines w:val="0"/>
              <w:suppressLineNumbers w:val="0"/>
              <w:spacing w:before="0" w:beforeAutospacing="0" w:after="0" w:afterAutospacing="0"/>
              <w:ind w:left="0" w:leftChars="0" w:right="0" w:firstLine="0" w:firstLineChars="0"/>
              <w:rPr>
                <w:rFonts w:hint="default"/>
                <w:color w:val="0000FF"/>
                <w:lang w:val="zh-CN"/>
              </w:rPr>
            </w:pPr>
          </w:p>
          <w:p w14:paraId="472ACB45">
            <w:pPr>
              <w:keepNext w:val="0"/>
              <w:keepLines w:val="0"/>
              <w:suppressLineNumbers w:val="0"/>
              <w:spacing w:before="0" w:beforeAutospacing="0" w:after="0" w:afterAutospacing="0"/>
              <w:ind w:left="0" w:leftChars="0" w:right="0" w:firstLine="0" w:firstLineChars="0"/>
              <w:rPr>
                <w:rFonts w:hint="default"/>
                <w:color w:val="0000FF"/>
                <w:lang w:val="zh-CN"/>
              </w:rPr>
            </w:pPr>
          </w:p>
          <w:p w14:paraId="5A038E8A">
            <w:pPr>
              <w:keepNext w:val="0"/>
              <w:keepLines w:val="0"/>
              <w:suppressLineNumbers w:val="0"/>
              <w:spacing w:before="0" w:beforeAutospacing="0" w:after="0" w:afterAutospacing="0"/>
              <w:ind w:left="0" w:leftChars="0" w:right="0" w:firstLine="0" w:firstLineChars="0"/>
              <w:rPr>
                <w:rFonts w:hint="default"/>
                <w:color w:val="0000FF"/>
                <w:lang w:val="zh-CN"/>
              </w:rPr>
            </w:pPr>
          </w:p>
          <w:p w14:paraId="137C59DD">
            <w:pPr>
              <w:pStyle w:val="12"/>
              <w:keepNext w:val="0"/>
              <w:keepLines w:val="0"/>
              <w:suppressLineNumbers w:val="0"/>
              <w:spacing w:before="0" w:beforeAutospacing="0" w:after="0" w:afterAutospacing="0"/>
              <w:ind w:right="0"/>
              <w:rPr>
                <w:rFonts w:hint="default"/>
                <w:color w:val="0000FF"/>
                <w:lang w:val="zh-CN"/>
              </w:rPr>
            </w:pPr>
          </w:p>
          <w:p w14:paraId="6595F82D">
            <w:pPr>
              <w:keepNext w:val="0"/>
              <w:keepLines w:val="0"/>
              <w:suppressLineNumbers w:val="0"/>
              <w:spacing w:before="0" w:beforeAutospacing="0" w:after="0" w:afterAutospacing="0"/>
              <w:ind w:left="0" w:right="0"/>
              <w:rPr>
                <w:rFonts w:hint="default"/>
                <w:color w:val="0000FF"/>
                <w:lang w:val="zh-CN"/>
              </w:rPr>
            </w:pPr>
          </w:p>
          <w:p w14:paraId="4CC327EF">
            <w:pPr>
              <w:pStyle w:val="12"/>
              <w:keepNext w:val="0"/>
              <w:keepLines w:val="0"/>
              <w:suppressLineNumbers w:val="0"/>
              <w:spacing w:before="0" w:beforeAutospacing="0" w:after="0" w:afterAutospacing="0"/>
              <w:ind w:right="0"/>
              <w:rPr>
                <w:rFonts w:hint="default"/>
                <w:color w:val="0000FF"/>
                <w:lang w:val="zh-CN"/>
              </w:rPr>
            </w:pPr>
          </w:p>
          <w:p w14:paraId="5FFFE9B5">
            <w:pPr>
              <w:keepNext w:val="0"/>
              <w:keepLines w:val="0"/>
              <w:suppressLineNumbers w:val="0"/>
              <w:spacing w:before="0" w:beforeAutospacing="0" w:after="0" w:afterAutospacing="0"/>
              <w:ind w:left="0" w:leftChars="0" w:right="0" w:firstLine="0" w:firstLineChars="0"/>
              <w:rPr>
                <w:rFonts w:hint="default"/>
                <w:lang w:val="zh-CN"/>
              </w:rPr>
            </w:pPr>
          </w:p>
          <w:p w14:paraId="25427CBB">
            <w:pPr>
              <w:keepNext w:val="0"/>
              <w:keepLines w:val="0"/>
              <w:suppressLineNumbers w:val="0"/>
              <w:spacing w:before="0" w:beforeAutospacing="0" w:after="0" w:afterAutospacing="0"/>
              <w:ind w:left="0" w:leftChars="0" w:right="0" w:firstLine="0" w:firstLineChars="0"/>
              <w:rPr>
                <w:rFonts w:hint="default"/>
                <w:lang w:val="zh-CN"/>
              </w:rPr>
            </w:pPr>
          </w:p>
        </w:tc>
      </w:tr>
    </w:tbl>
    <w:p w14:paraId="2F8E3B2C">
      <w:pPr>
        <w:rPr>
          <w:rFonts w:hint="eastAsia"/>
          <w:color w:val="auto"/>
          <w:highlight w:val="none"/>
        </w:rPr>
      </w:pPr>
      <w:r>
        <w:rPr>
          <w:rFonts w:hint="eastAsia"/>
          <w:color w:val="auto"/>
          <w:highlight w:val="none"/>
        </w:rPr>
        <w:br w:type="page"/>
      </w:r>
    </w:p>
    <w:p w14:paraId="3752CEAB">
      <w:pPr>
        <w:pStyle w:val="2"/>
        <w:keepNext w:val="0"/>
        <w:keepLines w:val="0"/>
        <w:pageBreakBefore w:val="0"/>
        <w:widowControl w:val="0"/>
        <w:kinsoku/>
        <w:wordWrap w:val="0"/>
        <w:overflowPunct/>
        <w:topLinePunct w:val="0"/>
        <w:autoSpaceDE/>
        <w:autoSpaceDN/>
        <w:bidi w:val="0"/>
        <w:adjustRightInd/>
        <w:snapToGrid/>
        <w:jc w:val="center"/>
        <w:textAlignment w:val="auto"/>
        <w:rPr>
          <w:color w:val="auto"/>
          <w:highlight w:val="none"/>
        </w:rPr>
      </w:pPr>
      <w:bookmarkStart w:id="4" w:name="_Toc23815"/>
      <w:r>
        <w:rPr>
          <w:rFonts w:hint="eastAsia"/>
          <w:color w:val="auto"/>
          <w:highlight w:val="none"/>
        </w:rPr>
        <w:t>二</w:t>
      </w:r>
      <w:r>
        <w:rPr>
          <w:color w:val="auto"/>
          <w:highlight w:val="none"/>
        </w:rPr>
        <w:t>、</w:t>
      </w:r>
      <w:r>
        <w:rPr>
          <w:rFonts w:hint="eastAsia"/>
          <w:color w:val="auto"/>
          <w:highlight w:val="none"/>
        </w:rPr>
        <w:t>建设项目工程分析</w:t>
      </w:r>
      <w:bookmarkEnd w:id="4"/>
    </w:p>
    <w:tbl>
      <w:tblPr>
        <w:tblStyle w:val="19"/>
        <w:tblW w:w="503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68"/>
        <w:gridCol w:w="8568"/>
      </w:tblGrid>
      <w:tr w14:paraId="41323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567" w:type="dxa"/>
            <w:tcBorders>
              <w:tl2br w:val="nil"/>
              <w:tr2bl w:val="nil"/>
            </w:tcBorders>
            <w:vAlign w:val="center"/>
          </w:tcPr>
          <w:p w14:paraId="5AABEC62">
            <w:pPr>
              <w:keepNext w:val="0"/>
              <w:keepLines w:val="0"/>
              <w:suppressLineNumbers w:val="0"/>
              <w:spacing w:before="0" w:beforeAutospacing="0" w:after="0" w:afterAutospacing="0"/>
              <w:ind w:left="0" w:right="0" w:firstLine="0" w:firstLineChars="0"/>
              <w:jc w:val="center"/>
              <w:rPr>
                <w:rFonts w:hint="default"/>
                <w:color w:val="1D70F5"/>
                <w:highlight w:val="none"/>
              </w:rPr>
            </w:pPr>
            <w:r>
              <w:rPr>
                <w:rFonts w:hint="eastAsia" w:ascii="宋体"/>
                <w:color w:val="auto"/>
                <w:highlight w:val="none"/>
              </w:rPr>
              <w:t>建设内容</w:t>
            </w:r>
          </w:p>
        </w:tc>
        <w:tc>
          <w:tcPr>
            <w:tcW w:w="8560" w:type="dxa"/>
            <w:tcBorders>
              <w:tl2br w:val="nil"/>
              <w:tr2bl w:val="nil"/>
            </w:tcBorders>
            <w:shd w:val="clear" w:color="auto" w:fill="auto"/>
          </w:tcPr>
          <w:p w14:paraId="198A7BD9">
            <w:pPr>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eastAsia="zh-CN"/>
              </w:rPr>
              <w:t>淮南市奇锐再生资源有限公司</w:t>
            </w:r>
            <w:r>
              <w:rPr>
                <w:rFonts w:hint="eastAsia"/>
                <w:color w:val="auto"/>
                <w:lang w:val="en-US" w:eastAsia="zh-CN"/>
              </w:rPr>
              <w:t>成立于2026年</w:t>
            </w:r>
            <w:r>
              <w:rPr>
                <w:rFonts w:hint="eastAsia" w:ascii="Times New Roman" w:hAnsi="Times New Roman" w:eastAsia="宋体" w:cs="Times New Roman"/>
                <w:color w:val="auto"/>
                <w:lang w:val="en-US" w:eastAsia="zh-CN"/>
              </w:rPr>
              <w:t>，位于安徽省淮南市谢家集经济开发区祥瑞林业院内</w:t>
            </w:r>
            <w:r>
              <w:rPr>
                <w:rFonts w:hint="eastAsia" w:ascii="Times New Roman" w:hAnsi="Times New Roman" w:eastAsia="宋体" w:cs="Times New Roman"/>
                <w:color w:val="auto"/>
                <w:lang w:eastAsia="zh-CN"/>
              </w:rPr>
              <w:t>，</w:t>
            </w:r>
            <w:r>
              <w:rPr>
                <w:rFonts w:hint="eastAsia"/>
                <w:color w:val="auto"/>
                <w:lang w:val="en-US" w:eastAsia="zh-CN"/>
              </w:rPr>
              <w:t>是一家专门从事电动自行车回收处理的生产企业。随着电动车的保有量增加，废旧电动车产生量越来越多，为满足淮南市电动自行车拆解需求，</w:t>
            </w:r>
            <w:r>
              <w:rPr>
                <w:rFonts w:hint="eastAsia"/>
                <w:color w:val="auto"/>
                <w:lang w:eastAsia="zh-CN"/>
              </w:rPr>
              <w:t>淮南市奇锐再生资源有限公司</w:t>
            </w:r>
            <w:r>
              <w:rPr>
                <w:rFonts w:hint="eastAsia"/>
                <w:color w:val="auto"/>
                <w:lang w:val="en-US" w:eastAsia="zh-CN"/>
              </w:rPr>
              <w:t>拟投资500万元建设“谢家集经济开发区新能源拆解基地项目”，项目租赁</w:t>
            </w:r>
            <w:r>
              <w:rPr>
                <w:rFonts w:hint="eastAsia" w:ascii="Times New Roman" w:hAnsi="Times New Roman" w:eastAsia="宋体" w:cs="Times New Roman"/>
                <w:color w:val="auto"/>
                <w:lang w:val="en-US" w:eastAsia="zh-CN"/>
              </w:rPr>
              <w:t>淮南市谢家集经济开发区祥瑞林业院内空置厂房</w:t>
            </w:r>
            <w:r>
              <w:rPr>
                <w:rFonts w:hint="eastAsia"/>
                <w:color w:val="auto"/>
                <w:lang w:val="en-US" w:eastAsia="zh-CN"/>
              </w:rPr>
              <w:t>，建筑面积约1900㎡，项目建成后，年拆解电动自行车10万辆。</w:t>
            </w:r>
          </w:p>
          <w:p w14:paraId="1B54D03E">
            <w:pPr>
              <w:keepNext w:val="0"/>
              <w:keepLines w:val="0"/>
              <w:suppressLineNumbers w:val="0"/>
              <w:spacing w:before="0" w:beforeAutospacing="0" w:after="0" w:afterAutospacing="0"/>
              <w:ind w:left="0" w:right="0" w:firstLine="482"/>
              <w:rPr>
                <w:rFonts w:hint="default"/>
                <w:b/>
                <w:bCs/>
                <w:color w:val="auto"/>
                <w:highlight w:val="none"/>
              </w:rPr>
            </w:pPr>
            <w:bookmarkStart w:id="5" w:name="OLE_LINK14"/>
            <w:r>
              <w:rPr>
                <w:rFonts w:hint="eastAsia"/>
                <w:b/>
                <w:bCs/>
                <w:color w:val="auto"/>
                <w:highlight w:val="none"/>
              </w:rPr>
              <w:t>1、项目概况</w:t>
            </w:r>
          </w:p>
          <w:p w14:paraId="38B3DD84">
            <w:pPr>
              <w:keepNext w:val="0"/>
              <w:keepLines w:val="0"/>
              <w:suppressLineNumbers w:val="0"/>
              <w:spacing w:before="0" w:beforeAutospacing="0" w:after="0" w:afterAutospacing="0"/>
              <w:ind w:left="0" w:right="0" w:firstLine="482"/>
              <w:rPr>
                <w:rFonts w:hint="default"/>
                <w:color w:val="auto"/>
                <w:highlight w:val="none"/>
              </w:rPr>
            </w:pPr>
            <w:r>
              <w:rPr>
                <w:rFonts w:hint="eastAsia"/>
                <w:b/>
                <w:bCs/>
                <w:color w:val="auto"/>
                <w:highlight w:val="none"/>
              </w:rPr>
              <w:t>项目名称：</w:t>
            </w:r>
            <w:r>
              <w:rPr>
                <w:rFonts w:hint="eastAsia"/>
                <w:color w:val="auto"/>
                <w:highlight w:val="none"/>
                <w:lang w:eastAsia="zh-CN"/>
              </w:rPr>
              <w:t>谢家集经济开发区新能源拆解基地项目</w:t>
            </w:r>
          </w:p>
          <w:p w14:paraId="74F54FE8">
            <w:pPr>
              <w:keepNext w:val="0"/>
              <w:keepLines w:val="0"/>
              <w:suppressLineNumbers w:val="0"/>
              <w:spacing w:before="0" w:beforeAutospacing="0" w:after="0" w:afterAutospacing="0"/>
              <w:ind w:left="0" w:right="0" w:firstLine="482"/>
              <w:rPr>
                <w:rFonts w:hint="eastAsia" w:eastAsia="宋体"/>
                <w:color w:val="auto"/>
                <w:highlight w:val="none"/>
                <w:lang w:eastAsia="zh-CN"/>
              </w:rPr>
            </w:pPr>
            <w:r>
              <w:rPr>
                <w:rFonts w:hint="eastAsia"/>
                <w:b/>
                <w:bCs/>
                <w:color w:val="auto"/>
                <w:highlight w:val="none"/>
              </w:rPr>
              <w:t>建设单位：</w:t>
            </w:r>
            <w:r>
              <w:rPr>
                <w:rFonts w:hint="eastAsia"/>
                <w:color w:val="auto"/>
                <w:highlight w:val="none"/>
                <w:lang w:eastAsia="zh-CN"/>
              </w:rPr>
              <w:t>淮南市奇锐再生资源有限公司</w:t>
            </w:r>
          </w:p>
          <w:p w14:paraId="3E09328C">
            <w:pPr>
              <w:keepNext w:val="0"/>
              <w:keepLines w:val="0"/>
              <w:suppressLineNumbers w:val="0"/>
              <w:spacing w:before="0" w:beforeAutospacing="0" w:after="0" w:afterAutospacing="0"/>
              <w:ind w:left="0" w:right="0" w:firstLine="482"/>
              <w:rPr>
                <w:rFonts w:hint="default" w:eastAsia="宋体"/>
                <w:color w:val="auto"/>
                <w:highlight w:val="none"/>
                <w:lang w:val="en-US" w:eastAsia="zh-CN"/>
              </w:rPr>
            </w:pPr>
            <w:r>
              <w:rPr>
                <w:rFonts w:hint="eastAsia"/>
                <w:b/>
                <w:bCs/>
                <w:color w:val="auto"/>
                <w:highlight w:val="none"/>
              </w:rPr>
              <w:t>建设地址：</w:t>
            </w:r>
            <w:r>
              <w:rPr>
                <w:rFonts w:hint="eastAsia"/>
                <w:color w:val="auto"/>
                <w:highlight w:val="none"/>
                <w:lang w:val="zh-CN"/>
              </w:rPr>
              <w:t>本项目</w:t>
            </w:r>
            <w:r>
              <w:rPr>
                <w:rFonts w:hint="eastAsia"/>
                <w:color w:val="auto"/>
                <w:highlight w:val="none"/>
              </w:rPr>
              <w:t>位于</w:t>
            </w:r>
            <w:r>
              <w:rPr>
                <w:rFonts w:hint="eastAsia"/>
                <w:color w:val="auto"/>
                <w:highlight w:val="none"/>
                <w:lang w:eastAsia="zh-CN"/>
              </w:rPr>
              <w:t>安徽省淮南市谢家集经济开发区祥瑞林业院内1号</w:t>
            </w:r>
            <w:r>
              <w:rPr>
                <w:rFonts w:hint="eastAsia"/>
                <w:color w:val="auto"/>
                <w:highlight w:val="none"/>
              </w:rPr>
              <w:t>（详</w:t>
            </w:r>
            <w:r>
              <w:rPr>
                <w:rFonts w:hint="default"/>
                <w:color w:val="auto"/>
                <w:highlight w:val="none"/>
              </w:rPr>
              <w:t>见附图</w:t>
            </w:r>
            <w:r>
              <w:rPr>
                <w:rFonts w:hint="eastAsia"/>
                <w:color w:val="auto"/>
                <w:highlight w:val="none"/>
              </w:rPr>
              <w:t>1项目地理位置图）。</w:t>
            </w:r>
          </w:p>
          <w:p w14:paraId="222B83AE">
            <w:pPr>
              <w:keepNext w:val="0"/>
              <w:keepLines w:val="0"/>
              <w:suppressLineNumbers w:val="0"/>
              <w:spacing w:before="0" w:beforeAutospacing="0" w:after="0" w:afterAutospacing="0"/>
              <w:ind w:left="0" w:right="0"/>
              <w:rPr>
                <w:rFonts w:hint="eastAsia" w:eastAsia="宋体"/>
                <w:color w:val="auto"/>
                <w:highlight w:val="none"/>
                <w:lang w:val="en-US" w:eastAsia="zh-CN"/>
              </w:rPr>
            </w:pPr>
            <w:r>
              <w:rPr>
                <w:rFonts w:hint="eastAsia"/>
                <w:b/>
                <w:bCs/>
                <w:color w:val="auto"/>
                <w:highlight w:val="none"/>
              </w:rPr>
              <w:t>建设性质：</w:t>
            </w:r>
            <w:r>
              <w:rPr>
                <w:rFonts w:hint="eastAsia"/>
                <w:b w:val="0"/>
                <w:bCs w:val="0"/>
                <w:color w:val="auto"/>
                <w:highlight w:val="none"/>
                <w:lang w:val="en-US" w:eastAsia="zh-CN"/>
              </w:rPr>
              <w:t>新建</w:t>
            </w:r>
          </w:p>
          <w:p w14:paraId="42AE3431">
            <w:pPr>
              <w:keepNext w:val="0"/>
              <w:keepLines w:val="0"/>
              <w:suppressLineNumbers w:val="0"/>
              <w:spacing w:before="0" w:beforeAutospacing="0" w:after="0" w:afterAutospacing="0"/>
              <w:ind w:left="0" w:right="0" w:firstLine="482"/>
              <w:rPr>
                <w:rFonts w:hint="eastAsia"/>
                <w:color w:val="auto"/>
                <w:highlight w:val="none"/>
              </w:rPr>
            </w:pPr>
            <w:r>
              <w:rPr>
                <w:rFonts w:hint="eastAsia"/>
                <w:b/>
                <w:bCs/>
                <w:color w:val="auto"/>
                <w:highlight w:val="none"/>
              </w:rPr>
              <w:t>项目环评管理类别判定：</w:t>
            </w:r>
            <w:r>
              <w:rPr>
                <w:rFonts w:hint="eastAsia"/>
                <w:color w:val="auto"/>
                <w:highlight w:val="none"/>
              </w:rPr>
              <w:t>202</w:t>
            </w:r>
            <w:r>
              <w:rPr>
                <w:rFonts w:hint="eastAsia"/>
                <w:color w:val="auto"/>
                <w:highlight w:val="none"/>
                <w:lang w:val="en-US" w:eastAsia="zh-CN"/>
              </w:rPr>
              <w:t>6</w:t>
            </w:r>
            <w:r>
              <w:rPr>
                <w:rFonts w:hint="eastAsia"/>
                <w:color w:val="auto"/>
                <w:highlight w:val="none"/>
              </w:rPr>
              <w:t>年</w:t>
            </w:r>
            <w:r>
              <w:rPr>
                <w:rFonts w:hint="eastAsia"/>
                <w:color w:val="auto"/>
                <w:highlight w:val="none"/>
                <w:lang w:val="en-US" w:eastAsia="zh-CN"/>
              </w:rPr>
              <w:t>4月</w:t>
            </w:r>
            <w:r>
              <w:rPr>
                <w:rFonts w:hint="eastAsia" w:ascii="Times New Roman" w:hAnsi="Times New Roman" w:eastAsia="宋体" w:cs="Times New Roman"/>
                <w:color w:val="auto"/>
                <w:sz w:val="24"/>
                <w:highlight w:val="none"/>
              </w:rPr>
              <w:t>淮南市谢家集区</w:t>
            </w:r>
            <w:r>
              <w:rPr>
                <w:rFonts w:hint="default" w:ascii="Times New Roman" w:hAnsi="Times New Roman" w:eastAsia="宋体" w:cs="Times New Roman"/>
                <w:color w:val="auto"/>
                <w:sz w:val="24"/>
                <w:highlight w:val="none"/>
              </w:rPr>
              <w:t>发展和改革委员会</w:t>
            </w:r>
            <w:r>
              <w:rPr>
                <w:rFonts w:hint="default"/>
                <w:color w:val="auto"/>
                <w:highlight w:val="none"/>
              </w:rPr>
              <w:t>同意</w:t>
            </w:r>
            <w:r>
              <w:rPr>
                <w:rFonts w:hint="eastAsia"/>
                <w:color w:val="auto"/>
                <w:highlight w:val="none"/>
              </w:rPr>
              <w:t>关于</w:t>
            </w:r>
            <w:r>
              <w:rPr>
                <w:rFonts w:hint="eastAsia"/>
                <w:color w:val="auto"/>
                <w:highlight w:val="none"/>
                <w:lang w:eastAsia="zh-CN"/>
              </w:rPr>
              <w:t>“谢家集经济开发区新能源拆解基地项目”</w:t>
            </w:r>
            <w:r>
              <w:rPr>
                <w:rFonts w:hint="eastAsia"/>
                <w:color w:val="auto"/>
                <w:highlight w:val="none"/>
              </w:rPr>
              <w:t>的</w:t>
            </w:r>
            <w:r>
              <w:rPr>
                <w:rFonts w:hint="default"/>
                <w:color w:val="auto"/>
                <w:highlight w:val="none"/>
              </w:rPr>
              <w:t>备案</w:t>
            </w:r>
            <w:r>
              <w:rPr>
                <w:rFonts w:hint="eastAsia"/>
                <w:color w:val="auto"/>
                <w:highlight w:val="none"/>
              </w:rPr>
              <w:t>，</w:t>
            </w:r>
            <w:r>
              <w:rPr>
                <w:rFonts w:hint="eastAsia"/>
                <w:color w:val="auto"/>
                <w:highlight w:val="none"/>
                <w:lang w:val="en-US" w:eastAsia="zh-CN"/>
              </w:rPr>
              <w:t>项目备案号2604-340404-04-01-528750</w:t>
            </w:r>
            <w:r>
              <w:rPr>
                <w:rFonts w:hint="eastAsia"/>
                <w:color w:val="auto"/>
                <w:highlight w:val="none"/>
              </w:rPr>
              <w:t>。</w:t>
            </w:r>
          </w:p>
          <w:p w14:paraId="0A15D837">
            <w:pPr>
              <w:keepNext w:val="0"/>
              <w:keepLines w:val="0"/>
              <w:suppressLineNumbers w:val="0"/>
              <w:bidi w:val="0"/>
              <w:spacing w:before="0" w:beforeAutospacing="0" w:after="0" w:afterAutospacing="0"/>
              <w:ind w:left="0" w:right="0"/>
              <w:rPr>
                <w:rFonts w:hint="default"/>
              </w:rPr>
            </w:pPr>
            <w:r>
              <w:rPr>
                <w:rFonts w:hint="default"/>
              </w:rPr>
              <w:t>根据建设单位提供资料，本项目仅针对报废</w:t>
            </w:r>
            <w:r>
              <w:rPr>
                <w:rFonts w:hint="eastAsia"/>
                <w:lang w:val="en-US" w:eastAsia="zh-CN"/>
              </w:rPr>
              <w:t>电动自行车</w:t>
            </w:r>
            <w:r>
              <w:rPr>
                <w:rFonts w:hint="default"/>
              </w:rPr>
              <w:t>进行拆解，不对拆解后的产品进行再利用，即拆解后的废旧钢材</w:t>
            </w:r>
            <w:r>
              <w:rPr>
                <w:rFonts w:hint="eastAsia"/>
                <w:lang w:val="en-US" w:eastAsia="zh-CN"/>
              </w:rPr>
              <w:t>剪切</w:t>
            </w:r>
            <w:r>
              <w:rPr>
                <w:rFonts w:hint="default"/>
              </w:rPr>
              <w:t>打包压块后直接外售，</w:t>
            </w:r>
            <w:r>
              <w:rPr>
                <w:rFonts w:hint="eastAsia"/>
                <w:lang w:val="en-US" w:eastAsia="zh-CN"/>
              </w:rPr>
              <w:t>废旧塑料经破碎机破碎后直接外售，</w:t>
            </w:r>
            <w:r>
              <w:rPr>
                <w:rFonts w:hint="default"/>
              </w:rPr>
              <w:t>废旧轮胎、橡胶制品</w:t>
            </w:r>
            <w:r>
              <w:rPr>
                <w:rFonts w:hint="eastAsia"/>
                <w:lang w:val="en-US" w:eastAsia="zh-CN"/>
              </w:rPr>
              <w:t>、废锂电池</w:t>
            </w:r>
            <w:r>
              <w:rPr>
                <w:rFonts w:hint="default"/>
              </w:rPr>
              <w:t>收集后直接作为外售，</w:t>
            </w:r>
            <w:r>
              <w:rPr>
                <w:rFonts w:hint="eastAsia"/>
                <w:lang w:val="en-US" w:eastAsia="zh-CN"/>
              </w:rPr>
              <w:t>废电子器件、废铅蓄电池、废液压油、废电解液中和</w:t>
            </w:r>
            <w:r>
              <w:rPr>
                <w:rFonts w:hint="default"/>
              </w:rPr>
              <w:t>收集后直接作为危废委托有资质单位进行处理。</w:t>
            </w:r>
          </w:p>
          <w:p w14:paraId="0C15F74C">
            <w:pPr>
              <w:keepNext w:val="0"/>
              <w:keepLines w:val="0"/>
              <w:suppressLineNumbers w:val="0"/>
              <w:spacing w:before="0" w:beforeAutospacing="0" w:after="0" w:afterAutospacing="0"/>
              <w:ind w:left="0" w:right="0" w:firstLine="482"/>
              <w:rPr>
                <w:rFonts w:hint="default" w:ascii="Times New Roman" w:hAnsi="Times New Roman" w:eastAsia="宋体" w:cs="Times New Roman"/>
                <w:color w:val="1D70F5"/>
                <w:highlight w:val="none"/>
                <w:lang w:val="en-US" w:eastAsia="zh-CN"/>
              </w:rPr>
            </w:pPr>
            <w:r>
              <w:rPr>
                <w:rFonts w:hint="eastAsia"/>
                <w:color w:val="auto"/>
                <w:highlight w:val="none"/>
              </w:rPr>
              <w:t>根据项目备案文件可知</w:t>
            </w:r>
            <w:r>
              <w:rPr>
                <w:rFonts w:hint="eastAsia"/>
                <w:color w:val="auto"/>
                <w:highlight w:val="none"/>
                <w:lang w:val="en-US" w:eastAsia="zh-CN"/>
              </w:rPr>
              <w:t>项目主要从事电动自行车拆解，</w:t>
            </w:r>
            <w:r>
              <w:rPr>
                <w:rFonts w:hint="eastAsia"/>
                <w:color w:val="auto"/>
                <w:highlight w:val="none"/>
              </w:rPr>
              <w:t>属于《国民经济行业分类》</w:t>
            </w:r>
            <w:r>
              <w:rPr>
                <w:rFonts w:hint="eastAsia"/>
                <w:color w:val="auto"/>
              </w:rPr>
              <w:t>（2</w:t>
            </w:r>
            <w:r>
              <w:rPr>
                <w:rFonts w:hint="default"/>
                <w:color w:val="auto"/>
              </w:rPr>
              <w:t>017</w:t>
            </w:r>
            <w:r>
              <w:rPr>
                <w:rFonts w:hint="eastAsia"/>
                <w:color w:val="auto"/>
              </w:rPr>
              <w:t>年版）的4210金属废料和碎屑加工处理</w:t>
            </w:r>
            <w:r>
              <w:rPr>
                <w:rFonts w:hint="eastAsia"/>
                <w:color w:val="auto"/>
                <w:lang w:val="en-US" w:eastAsia="zh-CN"/>
              </w:rPr>
              <w:t>及</w:t>
            </w:r>
            <w:r>
              <w:rPr>
                <w:rFonts w:hint="eastAsia" w:ascii="Times New Roman" w:hAnsi="Times New Roman" w:eastAsia="宋体"/>
                <w:color w:val="auto"/>
                <w:sz w:val="24"/>
              </w:rPr>
              <w:t>C</w:t>
            </w:r>
            <w:r>
              <w:rPr>
                <w:rFonts w:hint="eastAsia"/>
                <w:color w:val="auto"/>
                <w:sz w:val="24"/>
                <w:lang w:val="en-US" w:eastAsia="zh-CN"/>
              </w:rPr>
              <w:t>4220非金属废料和碎屑加工处理</w:t>
            </w:r>
            <w:r>
              <w:rPr>
                <w:rFonts w:hint="eastAsia" w:ascii="Times New Roman" w:hAnsi="Times New Roman" w:eastAsia="宋体" w:cs="Times New Roman"/>
                <w:color w:val="1D70F5"/>
                <w:highlight w:val="none"/>
                <w:lang w:eastAsia="zh-CN"/>
              </w:rPr>
              <w:t>。</w:t>
            </w:r>
          </w:p>
          <w:p w14:paraId="663F698C">
            <w:pPr>
              <w:keepNext w:val="0"/>
              <w:keepLines w:val="0"/>
              <w:suppressLineNumbers w:val="0"/>
              <w:spacing w:before="0" w:beforeAutospacing="0" w:after="0" w:afterAutospacing="0"/>
              <w:ind w:left="0" w:right="0" w:firstLine="482"/>
              <w:rPr>
                <w:rFonts w:hint="eastAsia" w:ascii="Times New Roman" w:hAnsi="Times New Roman" w:eastAsia="宋体" w:cs="Times New Roman"/>
                <w:color w:val="auto"/>
                <w:highlight w:val="none"/>
                <w:lang w:eastAsia="zh-CN"/>
              </w:rPr>
            </w:pPr>
            <w:r>
              <w:rPr>
                <w:rFonts w:hint="eastAsia" w:ascii="Times New Roman" w:hAnsi="Times New Roman" w:eastAsia="宋体" w:cs="Times New Roman"/>
                <w:color w:val="auto"/>
                <w:highlight w:val="none"/>
                <w:lang w:eastAsia="zh-CN"/>
              </w:rPr>
              <w:t>根据《建设项目环境影响评价分类管理名录（2021年版）》可知，</w:t>
            </w:r>
            <w:r>
              <w:rPr>
                <w:rFonts w:hint="eastAsia" w:ascii="Times New Roman" w:hAnsi="Times New Roman" w:eastAsia="宋体" w:cs="Times New Roman"/>
                <w:color w:val="auto"/>
                <w:highlight w:val="none"/>
                <w:lang w:val="en-US" w:eastAsia="zh-CN"/>
              </w:rPr>
              <w:t>项目</w:t>
            </w:r>
            <w:r>
              <w:rPr>
                <w:rFonts w:hint="eastAsia" w:cs="Times New Roman"/>
                <w:color w:val="auto"/>
                <w:highlight w:val="none"/>
                <w:lang w:val="en-US" w:eastAsia="zh-CN"/>
              </w:rPr>
              <w:t>从事废旧电动自行车拆解</w:t>
            </w:r>
            <w:r>
              <w:rPr>
                <w:rFonts w:hint="eastAsia" w:ascii="Times New Roman" w:hAnsi="Times New Roman" w:eastAsia="宋体" w:cs="Times New Roman"/>
                <w:color w:val="auto"/>
                <w:highlight w:val="none"/>
                <w:lang w:val="en-US" w:eastAsia="zh-CN"/>
              </w:rPr>
              <w:t>属于</w:t>
            </w:r>
            <w:r>
              <w:rPr>
                <w:rFonts w:hint="eastAsia" w:ascii="Times New Roman" w:hAnsi="Times New Roman" w:eastAsia="宋体" w:cs="Times New Roman"/>
                <w:color w:val="auto"/>
                <w:highlight w:val="none"/>
                <w:lang w:eastAsia="zh-CN"/>
              </w:rPr>
              <w:t>名录表中的“</w:t>
            </w:r>
            <w:r>
              <w:rPr>
                <w:rFonts w:hint="eastAsia" w:ascii="Times New Roman" w:hAnsi="Times New Roman" w:eastAsia="宋体" w:cs="Times New Roman"/>
                <w:color w:val="auto"/>
                <w:highlight w:val="none"/>
                <w:lang w:val="en-US" w:eastAsia="zh-CN"/>
              </w:rPr>
              <w:t>三十九、废弃资源综合利用业 42金属废料和碎屑加工处理421</w:t>
            </w:r>
            <w:r>
              <w:rPr>
                <w:rFonts w:hint="eastAsia" w:cs="Times New Roman"/>
                <w:color w:val="auto"/>
                <w:highlight w:val="none"/>
                <w:lang w:val="en-US" w:eastAsia="zh-CN"/>
              </w:rPr>
              <w:t>；</w:t>
            </w:r>
            <w:r>
              <w:rPr>
                <w:rFonts w:hint="eastAsia" w:ascii="Times New Roman" w:hAnsi="Times New Roman" w:eastAsia="宋体" w:cs="Times New Roman"/>
                <w:color w:val="auto"/>
                <w:highlight w:val="none"/>
                <w:lang w:val="en-US" w:eastAsia="zh-CN"/>
              </w:rPr>
              <w:t>非金属废料和碎屑加工处理422(421和422均不含原料为危险废物的，均不含仅分拣、破碎的</w:t>
            </w:r>
            <w:r>
              <w:rPr>
                <w:rFonts w:hint="eastAsia" w:cs="Times New Roman"/>
                <w:color w:val="auto"/>
                <w:highlight w:val="none"/>
                <w:lang w:val="en-US" w:eastAsia="zh-CN"/>
              </w:rPr>
              <w:t>）</w:t>
            </w:r>
            <w:r>
              <w:rPr>
                <w:rFonts w:hint="eastAsia" w:ascii="Times New Roman" w:hAnsi="Times New Roman" w:eastAsia="宋体" w:cs="Times New Roman"/>
                <w:color w:val="auto"/>
                <w:highlight w:val="none"/>
                <w:lang w:eastAsia="zh-CN"/>
              </w:rPr>
              <w:t>”的报告表项</w:t>
            </w:r>
            <w:r>
              <w:rPr>
                <w:rFonts w:hint="eastAsia" w:cs="Times New Roman"/>
                <w:color w:val="auto"/>
                <w:highlight w:val="none"/>
                <w:lang w:eastAsia="zh-CN"/>
              </w:rPr>
              <w:t>，</w:t>
            </w:r>
            <w:r>
              <w:rPr>
                <w:rFonts w:hint="eastAsia" w:ascii="Times New Roman" w:hAnsi="Times New Roman" w:eastAsia="宋体" w:cs="Times New Roman"/>
                <w:color w:val="auto"/>
                <w:highlight w:val="none"/>
                <w:lang w:eastAsia="zh-CN"/>
              </w:rPr>
              <w:t>故项目需编制报告表。</w:t>
            </w:r>
          </w:p>
          <w:p w14:paraId="447FBA2E">
            <w:pPr>
              <w:pStyle w:val="43"/>
              <w:keepNext w:val="0"/>
              <w:keepLines w:val="0"/>
              <w:suppressLineNumbers w:val="0"/>
              <w:bidi w:val="0"/>
              <w:spacing w:before="0" w:beforeAutospacing="0" w:after="0" w:afterAutospacing="0"/>
              <w:ind w:left="0" w:right="0"/>
              <w:rPr>
                <w:color w:val="auto"/>
              </w:rPr>
            </w:pPr>
            <w:r>
              <w:rPr>
                <w:rFonts w:hint="eastAsia"/>
                <w:color w:val="auto"/>
              </w:rPr>
              <w:t>表2-1</w:t>
            </w:r>
            <w:r>
              <w:rPr>
                <w:rFonts w:hint="eastAsia"/>
                <w:color w:val="auto"/>
                <w:lang w:eastAsia="zh-CN"/>
              </w:rPr>
              <w:t xml:space="preserve">  </w:t>
            </w:r>
            <w:r>
              <w:rPr>
                <w:rFonts w:hint="eastAsia"/>
                <w:color w:val="auto"/>
              </w:rPr>
              <w:t>项目环评分类管理类别判定</w:t>
            </w:r>
          </w:p>
          <w:tbl>
            <w:tblPr>
              <w:tblStyle w:val="19"/>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37"/>
              <w:gridCol w:w="1593"/>
              <w:gridCol w:w="1243"/>
              <w:gridCol w:w="3390"/>
              <w:gridCol w:w="915"/>
              <w:gridCol w:w="1069"/>
            </w:tblGrid>
            <w:tr w14:paraId="580B81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930" w:type="dxa"/>
                  <w:gridSpan w:val="2"/>
                  <w:tcBorders>
                    <w:tl2br w:val="single" w:color="auto" w:sz="4" w:space="0"/>
                  </w:tcBorders>
                  <w:noWrap w:val="0"/>
                  <w:vAlign w:val="center"/>
                </w:tcPr>
                <w:p w14:paraId="6635AE87">
                  <w:pPr>
                    <w:pStyle w:val="46"/>
                    <w:keepNext w:val="0"/>
                    <w:keepLines w:val="0"/>
                    <w:suppressLineNumbers w:val="0"/>
                    <w:bidi w:val="0"/>
                    <w:spacing w:before="0" w:beforeAutospacing="0" w:after="0" w:afterAutospacing="0"/>
                    <w:jc w:val="right"/>
                    <w:rPr>
                      <w:b/>
                      <w:bCs/>
                      <w:color w:val="auto"/>
                    </w:rPr>
                  </w:pPr>
                  <w:r>
                    <w:rPr>
                      <w:rFonts w:hint="eastAsia"/>
                      <w:b/>
                      <w:bCs/>
                      <w:color w:val="auto"/>
                    </w:rPr>
                    <w:t>环评类别</w:t>
                  </w:r>
                </w:p>
                <w:p w14:paraId="5A5B5127">
                  <w:pPr>
                    <w:pStyle w:val="46"/>
                    <w:keepNext w:val="0"/>
                    <w:keepLines w:val="0"/>
                    <w:suppressLineNumbers w:val="0"/>
                    <w:bidi w:val="0"/>
                    <w:spacing w:before="0" w:beforeAutospacing="0" w:after="0" w:afterAutospacing="0"/>
                    <w:jc w:val="left"/>
                    <w:rPr>
                      <w:b/>
                      <w:bCs/>
                      <w:color w:val="auto"/>
                    </w:rPr>
                  </w:pPr>
                  <w:r>
                    <w:rPr>
                      <w:rFonts w:hint="eastAsia"/>
                      <w:b/>
                      <w:bCs/>
                      <w:color w:val="auto"/>
                    </w:rPr>
                    <w:t>项目类别</w:t>
                  </w:r>
                </w:p>
              </w:tc>
              <w:tc>
                <w:tcPr>
                  <w:tcW w:w="1243" w:type="dxa"/>
                  <w:noWrap w:val="0"/>
                  <w:vAlign w:val="center"/>
                </w:tcPr>
                <w:p w14:paraId="617B64F9">
                  <w:pPr>
                    <w:pStyle w:val="46"/>
                    <w:keepNext w:val="0"/>
                    <w:keepLines w:val="0"/>
                    <w:suppressLineNumbers w:val="0"/>
                    <w:bidi w:val="0"/>
                    <w:spacing w:before="0" w:beforeAutospacing="0" w:after="0" w:afterAutospacing="0"/>
                    <w:rPr>
                      <w:b/>
                      <w:bCs/>
                      <w:color w:val="auto"/>
                    </w:rPr>
                  </w:pPr>
                  <w:r>
                    <w:rPr>
                      <w:rFonts w:hint="eastAsia"/>
                      <w:b/>
                      <w:bCs/>
                      <w:color w:val="auto"/>
                    </w:rPr>
                    <w:t>报告书</w:t>
                  </w:r>
                </w:p>
              </w:tc>
              <w:tc>
                <w:tcPr>
                  <w:tcW w:w="3390" w:type="dxa"/>
                  <w:noWrap w:val="0"/>
                  <w:vAlign w:val="center"/>
                </w:tcPr>
                <w:p w14:paraId="510D1F30">
                  <w:pPr>
                    <w:pStyle w:val="46"/>
                    <w:keepNext w:val="0"/>
                    <w:keepLines w:val="0"/>
                    <w:suppressLineNumbers w:val="0"/>
                    <w:bidi w:val="0"/>
                    <w:spacing w:before="0" w:beforeAutospacing="0" w:after="0" w:afterAutospacing="0"/>
                    <w:rPr>
                      <w:b/>
                      <w:bCs/>
                      <w:color w:val="auto"/>
                    </w:rPr>
                  </w:pPr>
                  <w:r>
                    <w:rPr>
                      <w:rFonts w:hint="eastAsia"/>
                      <w:b/>
                      <w:bCs/>
                      <w:color w:val="auto"/>
                    </w:rPr>
                    <w:t>报告表</w:t>
                  </w:r>
                </w:p>
              </w:tc>
              <w:tc>
                <w:tcPr>
                  <w:tcW w:w="915" w:type="dxa"/>
                  <w:noWrap w:val="0"/>
                  <w:vAlign w:val="center"/>
                </w:tcPr>
                <w:p w14:paraId="13553210">
                  <w:pPr>
                    <w:pStyle w:val="46"/>
                    <w:keepNext w:val="0"/>
                    <w:keepLines w:val="0"/>
                    <w:suppressLineNumbers w:val="0"/>
                    <w:bidi w:val="0"/>
                    <w:spacing w:before="0" w:beforeAutospacing="0" w:after="0" w:afterAutospacing="0"/>
                    <w:rPr>
                      <w:b/>
                      <w:bCs/>
                      <w:color w:val="auto"/>
                    </w:rPr>
                  </w:pPr>
                  <w:r>
                    <w:rPr>
                      <w:rFonts w:hint="eastAsia"/>
                      <w:b/>
                      <w:bCs/>
                      <w:color w:val="auto"/>
                    </w:rPr>
                    <w:t>登记表</w:t>
                  </w:r>
                </w:p>
              </w:tc>
              <w:tc>
                <w:tcPr>
                  <w:tcW w:w="1069" w:type="dxa"/>
                  <w:noWrap w:val="0"/>
                  <w:vAlign w:val="center"/>
                </w:tcPr>
                <w:p w14:paraId="1EFE740E">
                  <w:pPr>
                    <w:pStyle w:val="46"/>
                    <w:keepNext w:val="0"/>
                    <w:keepLines w:val="0"/>
                    <w:suppressLineNumbers w:val="0"/>
                    <w:bidi w:val="0"/>
                    <w:spacing w:before="0" w:beforeAutospacing="0" w:after="0" w:afterAutospacing="0"/>
                    <w:rPr>
                      <w:rFonts w:hint="eastAsia" w:eastAsia="宋体"/>
                      <w:b/>
                      <w:bCs/>
                      <w:color w:val="auto"/>
                      <w:lang w:val="en-US" w:eastAsia="zh-CN"/>
                    </w:rPr>
                  </w:pPr>
                  <w:r>
                    <w:rPr>
                      <w:rFonts w:hint="eastAsia"/>
                      <w:b/>
                      <w:bCs/>
                      <w:color w:val="auto"/>
                      <w:lang w:val="en-US" w:eastAsia="zh-CN"/>
                    </w:rPr>
                    <w:t>本项目</w:t>
                  </w:r>
                </w:p>
              </w:tc>
            </w:tr>
            <w:tr w14:paraId="5D9E1A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8547" w:type="dxa"/>
                  <w:gridSpan w:val="6"/>
                  <w:noWrap w:val="0"/>
                  <w:vAlign w:val="center"/>
                </w:tcPr>
                <w:p w14:paraId="00230E8D">
                  <w:pPr>
                    <w:pStyle w:val="46"/>
                    <w:keepNext w:val="0"/>
                    <w:keepLines w:val="0"/>
                    <w:suppressLineNumbers w:val="0"/>
                    <w:bidi w:val="0"/>
                    <w:spacing w:before="0" w:beforeAutospacing="0" w:after="0" w:afterAutospacing="0"/>
                    <w:jc w:val="left"/>
                    <w:rPr>
                      <w:rFonts w:hint="eastAsia"/>
                      <w:color w:val="auto"/>
                      <w:lang w:val="en-US" w:eastAsia="zh-CN"/>
                    </w:rPr>
                  </w:pPr>
                  <w:r>
                    <w:rPr>
                      <w:rFonts w:hint="eastAsia"/>
                      <w:color w:val="auto"/>
                      <w:lang w:val="en-US" w:eastAsia="zh-CN"/>
                    </w:rPr>
                    <w:t>三十九、废弃资源综合利用业 42</w:t>
                  </w:r>
                </w:p>
              </w:tc>
            </w:tr>
            <w:tr w14:paraId="68C43E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37" w:type="dxa"/>
                  <w:noWrap w:val="0"/>
                  <w:vAlign w:val="center"/>
                </w:tcPr>
                <w:p w14:paraId="3A2B9363">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85</w:t>
                  </w:r>
                </w:p>
              </w:tc>
              <w:tc>
                <w:tcPr>
                  <w:tcW w:w="1593" w:type="dxa"/>
                  <w:noWrap w:val="0"/>
                  <w:vAlign w:val="center"/>
                </w:tcPr>
                <w:p w14:paraId="5EC511FB">
                  <w:pPr>
                    <w:pStyle w:val="46"/>
                    <w:keepNext w:val="0"/>
                    <w:keepLines w:val="0"/>
                    <w:suppressLineNumbers w:val="0"/>
                    <w:bidi w:val="0"/>
                    <w:spacing w:before="0" w:beforeAutospacing="0" w:after="0" w:afterAutospacing="0"/>
                    <w:rPr>
                      <w:rFonts w:hint="default" w:eastAsia="宋体"/>
                      <w:color w:val="auto"/>
                      <w:lang w:val="en-US" w:eastAsia="zh-CN"/>
                    </w:rPr>
                  </w:pPr>
                  <w:r>
                    <w:rPr>
                      <w:rFonts w:hint="eastAsia"/>
                      <w:color w:val="auto"/>
                      <w:lang w:val="en-US" w:eastAsia="zh-CN"/>
                    </w:rPr>
                    <w:t>金属废料和碎屑加工处理421；非金属废料和碎屑加工处理422(421和422均不含原料为危险废物的，均不含仅分拣、破碎的）</w:t>
                  </w:r>
                </w:p>
              </w:tc>
              <w:tc>
                <w:tcPr>
                  <w:tcW w:w="1243" w:type="dxa"/>
                  <w:noWrap w:val="0"/>
                  <w:vAlign w:val="center"/>
                </w:tcPr>
                <w:p w14:paraId="4F9929F0">
                  <w:pPr>
                    <w:pStyle w:val="46"/>
                    <w:keepNext w:val="0"/>
                    <w:keepLines w:val="0"/>
                    <w:suppressLineNumbers w:val="0"/>
                    <w:bidi w:val="0"/>
                    <w:spacing w:before="0" w:beforeAutospacing="0" w:after="0" w:afterAutospacing="0"/>
                    <w:rPr>
                      <w:rFonts w:hint="default" w:eastAsia="宋体"/>
                      <w:color w:val="auto"/>
                      <w:lang w:val="en-US" w:eastAsia="zh-CN"/>
                    </w:rPr>
                  </w:pPr>
                  <w:r>
                    <w:rPr>
                      <w:rFonts w:hint="eastAsia"/>
                      <w:color w:val="auto"/>
                      <w:lang w:val="en-US" w:eastAsia="zh-CN"/>
                    </w:rPr>
                    <w:t>废电池、废油加工处理</w:t>
                  </w:r>
                </w:p>
              </w:tc>
              <w:tc>
                <w:tcPr>
                  <w:tcW w:w="3390" w:type="dxa"/>
                  <w:shd w:val="clear" w:color="auto" w:fill="D7D7D7" w:themeFill="background1" w:themeFillShade="D8"/>
                  <w:noWrap w:val="0"/>
                  <w:vAlign w:val="center"/>
                </w:tcPr>
                <w:p w14:paraId="79AB224A">
                  <w:pPr>
                    <w:pStyle w:val="46"/>
                    <w:keepNext w:val="0"/>
                    <w:keepLines w:val="0"/>
                    <w:suppressLineNumbers w:val="0"/>
                    <w:bidi w:val="0"/>
                    <w:spacing w:before="0" w:beforeAutospacing="0" w:after="0" w:afterAutospacing="0"/>
                    <w:rPr>
                      <w:color w:val="auto"/>
                    </w:rPr>
                  </w:pPr>
                  <w:r>
                    <w:rPr>
                      <w:rFonts w:hint="eastAsia"/>
                      <w:color w:val="auto"/>
                    </w:rPr>
                    <w:t>废弃电器电子产品、废机动车、废电机、废电线电缆、废钢、废铁、金属和金属化合物矿灰及残渣、有色金属废料与碎屑、废塑料、废轮胎、废船、含水洗工艺的其他废料和碎屑加工处理</w:t>
                  </w:r>
                  <w:r>
                    <w:rPr>
                      <w:rFonts w:hint="eastAsia"/>
                      <w:color w:val="auto"/>
                      <w:lang w:eastAsia="zh-CN"/>
                    </w:rPr>
                    <w:t>（</w:t>
                  </w:r>
                  <w:r>
                    <w:rPr>
                      <w:rFonts w:hint="eastAsia"/>
                      <w:color w:val="auto"/>
                    </w:rPr>
                    <w:t>农业生产产生的废旧秧盘、薄膜破碎和清洗工艺的除外</w:t>
                  </w:r>
                  <w:r>
                    <w:rPr>
                      <w:rFonts w:hint="eastAsia"/>
                      <w:color w:val="auto"/>
                      <w:lang w:eastAsia="zh-CN"/>
                    </w:rPr>
                    <w:t>）</w:t>
                  </w:r>
                </w:p>
              </w:tc>
              <w:tc>
                <w:tcPr>
                  <w:tcW w:w="915" w:type="dxa"/>
                  <w:noWrap w:val="0"/>
                  <w:vAlign w:val="center"/>
                </w:tcPr>
                <w:p w14:paraId="7F14222B">
                  <w:pPr>
                    <w:pStyle w:val="46"/>
                    <w:keepNext w:val="0"/>
                    <w:keepLines w:val="0"/>
                    <w:suppressLineNumbers w:val="0"/>
                    <w:bidi w:val="0"/>
                    <w:spacing w:before="0" w:beforeAutospacing="0" w:after="0" w:afterAutospacing="0"/>
                    <w:rPr>
                      <w:color w:val="auto"/>
                    </w:rPr>
                  </w:pPr>
                  <w:r>
                    <w:rPr>
                      <w:rFonts w:hint="eastAsia"/>
                      <w:color w:val="auto"/>
                    </w:rPr>
                    <w:t>/</w:t>
                  </w:r>
                </w:p>
              </w:tc>
              <w:tc>
                <w:tcPr>
                  <w:tcW w:w="1069" w:type="dxa"/>
                  <w:noWrap w:val="0"/>
                  <w:vAlign w:val="center"/>
                </w:tcPr>
                <w:p w14:paraId="0EC47061">
                  <w:pPr>
                    <w:pStyle w:val="46"/>
                    <w:keepNext w:val="0"/>
                    <w:keepLines w:val="0"/>
                    <w:suppressLineNumbers w:val="0"/>
                    <w:bidi w:val="0"/>
                    <w:spacing w:before="0" w:beforeAutospacing="0" w:after="0" w:afterAutospacing="0"/>
                    <w:rPr>
                      <w:rFonts w:hint="default" w:eastAsia="宋体"/>
                      <w:color w:val="auto"/>
                      <w:lang w:val="en-US" w:eastAsia="zh-CN"/>
                    </w:rPr>
                  </w:pPr>
                  <w:r>
                    <w:rPr>
                      <w:rFonts w:hint="eastAsia"/>
                      <w:color w:val="auto"/>
                      <w:lang w:val="en-US" w:eastAsia="zh-CN"/>
                    </w:rPr>
                    <w:t>本项目</w:t>
                  </w:r>
                  <w:r>
                    <w:rPr>
                      <w:rFonts w:hint="eastAsia" w:cs="Times New Roman"/>
                      <w:color w:val="auto"/>
                      <w:highlight w:val="none"/>
                      <w:lang w:val="en-US" w:eastAsia="zh-CN"/>
                    </w:rPr>
                    <w:t>从事废旧电动自行车拆解，对废钢铁件进行剪切打包、对废塑料进行破碎</w:t>
                  </w:r>
                </w:p>
              </w:tc>
            </w:tr>
          </w:tbl>
          <w:p w14:paraId="29416878">
            <w:pPr>
              <w:keepNext w:val="0"/>
              <w:keepLines w:val="0"/>
              <w:suppressLineNumbers w:val="0"/>
              <w:bidi w:val="0"/>
              <w:spacing w:before="0" w:beforeAutospacing="0" w:after="0" w:afterAutospacing="0"/>
              <w:ind w:left="0" w:right="0"/>
              <w:rPr>
                <w:rFonts w:hint="eastAsia"/>
                <w:color w:val="auto"/>
              </w:rPr>
            </w:pPr>
            <w:r>
              <w:rPr>
                <w:rFonts w:hint="eastAsia"/>
                <w:b/>
                <w:bCs/>
                <w:color w:val="auto"/>
              </w:rPr>
              <w:t>项目排污许可管理类别判定：</w:t>
            </w:r>
            <w:r>
              <w:rPr>
                <w:rFonts w:hint="eastAsia"/>
                <w:color w:val="auto"/>
              </w:rPr>
              <w:t>根据</w:t>
            </w:r>
            <w:r>
              <w:rPr>
                <w:rFonts w:hint="eastAsia"/>
                <w:color w:val="auto"/>
                <w:lang w:eastAsia="zh-CN"/>
              </w:rPr>
              <w:t>《</w:t>
            </w:r>
            <w:r>
              <w:rPr>
                <w:rFonts w:hint="eastAsia"/>
                <w:color w:val="auto"/>
                <w:lang w:val="en-US" w:eastAsia="zh-CN"/>
              </w:rPr>
              <w:t>固定污染源排污许可分类管理名录</w:t>
            </w:r>
            <w:r>
              <w:rPr>
                <w:rFonts w:hint="eastAsia"/>
                <w:color w:val="auto"/>
                <w:lang w:eastAsia="zh-CN"/>
              </w:rPr>
              <w:t>》</w:t>
            </w:r>
            <w:r>
              <w:rPr>
                <w:rFonts w:hint="eastAsia"/>
                <w:color w:val="auto"/>
              </w:rPr>
              <w:t>，可知本项目</w:t>
            </w:r>
            <w:r>
              <w:rPr>
                <w:rFonts w:hint="eastAsia"/>
                <w:color w:val="auto"/>
                <w:lang w:val="en-US" w:eastAsia="zh-CN"/>
              </w:rPr>
              <w:t>排污许可证管理类别如下所示</w:t>
            </w:r>
            <w:r>
              <w:rPr>
                <w:rFonts w:hint="eastAsia"/>
                <w:color w:val="auto"/>
              </w:rPr>
              <w:t>，</w:t>
            </w:r>
            <w:r>
              <w:rPr>
                <w:rFonts w:hint="eastAsia"/>
                <w:color w:val="auto"/>
                <w:lang w:val="en-US" w:eastAsia="zh-CN"/>
              </w:rPr>
              <w:t>本</w:t>
            </w:r>
            <w:r>
              <w:rPr>
                <w:rFonts w:hint="eastAsia"/>
                <w:color w:val="auto"/>
              </w:rPr>
              <w:t>项目</w:t>
            </w:r>
            <w:r>
              <w:rPr>
                <w:rFonts w:hint="eastAsia"/>
                <w:color w:val="auto"/>
                <w:lang w:val="en-US" w:eastAsia="zh-CN"/>
              </w:rPr>
              <w:t>实际生产排污前须履行排污许可简化</w:t>
            </w:r>
            <w:r>
              <w:rPr>
                <w:rFonts w:hint="eastAsia"/>
                <w:color w:val="auto"/>
                <w:highlight w:val="none"/>
              </w:rPr>
              <w:t>管理</w:t>
            </w:r>
            <w:r>
              <w:rPr>
                <w:rFonts w:hint="eastAsia"/>
                <w:color w:val="auto"/>
                <w:highlight w:val="none"/>
                <w:lang w:val="en-US" w:eastAsia="zh-CN"/>
              </w:rPr>
              <w:t>手续</w:t>
            </w:r>
            <w:r>
              <w:rPr>
                <w:rFonts w:hint="eastAsia"/>
                <w:color w:val="auto"/>
                <w:highlight w:val="none"/>
              </w:rPr>
              <w:t>。</w:t>
            </w:r>
          </w:p>
          <w:p w14:paraId="53B111E9">
            <w:pPr>
              <w:pStyle w:val="43"/>
              <w:keepNext w:val="0"/>
              <w:keepLines w:val="0"/>
              <w:suppressLineNumbers w:val="0"/>
              <w:bidi w:val="0"/>
              <w:spacing w:before="0" w:beforeAutospacing="0" w:after="0" w:afterAutospacing="0"/>
              <w:ind w:left="0" w:right="0"/>
              <w:rPr>
                <w:color w:val="auto"/>
              </w:rPr>
            </w:pPr>
            <w:r>
              <w:rPr>
                <w:rFonts w:hint="eastAsia"/>
                <w:color w:val="auto"/>
              </w:rPr>
              <w:t>表2-2</w:t>
            </w:r>
            <w:r>
              <w:rPr>
                <w:rFonts w:hint="eastAsia"/>
                <w:color w:val="auto"/>
                <w:lang w:eastAsia="zh-CN"/>
              </w:rPr>
              <w:t xml:space="preserve">  </w:t>
            </w:r>
            <w:r>
              <w:rPr>
                <w:rFonts w:hint="eastAsia"/>
                <w:color w:val="auto"/>
              </w:rPr>
              <w:t>项目排污许可管理类别判定</w:t>
            </w:r>
          </w:p>
          <w:tbl>
            <w:tblPr>
              <w:tblStyle w:val="19"/>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89"/>
              <w:gridCol w:w="1298"/>
              <w:gridCol w:w="1756"/>
              <w:gridCol w:w="2555"/>
              <w:gridCol w:w="1260"/>
              <w:gridCol w:w="239"/>
              <w:gridCol w:w="950"/>
            </w:tblGrid>
            <w:tr w14:paraId="5D902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89" w:type="dxa"/>
                  <w:noWrap w:val="0"/>
                  <w:vAlign w:val="center"/>
                </w:tcPr>
                <w:p w14:paraId="34CF2486">
                  <w:pPr>
                    <w:pStyle w:val="46"/>
                    <w:keepNext w:val="0"/>
                    <w:keepLines w:val="0"/>
                    <w:suppressLineNumbers w:val="0"/>
                    <w:bidi w:val="0"/>
                    <w:spacing w:before="0" w:beforeAutospacing="0" w:after="0" w:afterAutospacing="0"/>
                    <w:rPr>
                      <w:b/>
                      <w:bCs/>
                      <w:color w:val="auto"/>
                    </w:rPr>
                  </w:pPr>
                  <w:r>
                    <w:rPr>
                      <w:rFonts w:hint="eastAsia"/>
                      <w:b/>
                      <w:bCs/>
                      <w:color w:val="auto"/>
                    </w:rPr>
                    <w:t>序号</w:t>
                  </w:r>
                </w:p>
              </w:tc>
              <w:tc>
                <w:tcPr>
                  <w:tcW w:w="1298" w:type="dxa"/>
                  <w:noWrap w:val="0"/>
                  <w:vAlign w:val="center"/>
                </w:tcPr>
                <w:p w14:paraId="03115925">
                  <w:pPr>
                    <w:pStyle w:val="46"/>
                    <w:keepNext w:val="0"/>
                    <w:keepLines w:val="0"/>
                    <w:suppressLineNumbers w:val="0"/>
                    <w:bidi w:val="0"/>
                    <w:spacing w:before="0" w:beforeAutospacing="0" w:after="0" w:afterAutospacing="0"/>
                    <w:rPr>
                      <w:b/>
                      <w:bCs/>
                      <w:color w:val="auto"/>
                    </w:rPr>
                  </w:pPr>
                  <w:r>
                    <w:rPr>
                      <w:rFonts w:hint="eastAsia"/>
                      <w:b/>
                      <w:bCs/>
                      <w:color w:val="auto"/>
                    </w:rPr>
                    <w:t>行业类别</w:t>
                  </w:r>
                </w:p>
              </w:tc>
              <w:tc>
                <w:tcPr>
                  <w:tcW w:w="1756" w:type="dxa"/>
                  <w:noWrap w:val="0"/>
                  <w:vAlign w:val="center"/>
                </w:tcPr>
                <w:p w14:paraId="235F208B">
                  <w:pPr>
                    <w:pStyle w:val="46"/>
                    <w:keepNext w:val="0"/>
                    <w:keepLines w:val="0"/>
                    <w:suppressLineNumbers w:val="0"/>
                    <w:bidi w:val="0"/>
                    <w:spacing w:before="0" w:beforeAutospacing="0" w:after="0" w:afterAutospacing="0"/>
                    <w:rPr>
                      <w:b/>
                      <w:bCs/>
                      <w:color w:val="auto"/>
                    </w:rPr>
                  </w:pPr>
                  <w:r>
                    <w:rPr>
                      <w:rFonts w:hint="eastAsia"/>
                      <w:b/>
                      <w:bCs/>
                      <w:color w:val="auto"/>
                    </w:rPr>
                    <w:t>重点管理</w:t>
                  </w:r>
                </w:p>
              </w:tc>
              <w:tc>
                <w:tcPr>
                  <w:tcW w:w="2555" w:type="dxa"/>
                  <w:noWrap w:val="0"/>
                  <w:vAlign w:val="center"/>
                </w:tcPr>
                <w:p w14:paraId="79C1F280">
                  <w:pPr>
                    <w:pStyle w:val="46"/>
                    <w:keepNext w:val="0"/>
                    <w:keepLines w:val="0"/>
                    <w:suppressLineNumbers w:val="0"/>
                    <w:bidi w:val="0"/>
                    <w:spacing w:before="0" w:beforeAutospacing="0" w:after="0" w:afterAutospacing="0"/>
                    <w:rPr>
                      <w:b/>
                      <w:bCs/>
                      <w:color w:val="auto"/>
                    </w:rPr>
                  </w:pPr>
                  <w:r>
                    <w:rPr>
                      <w:rFonts w:hint="eastAsia"/>
                      <w:b/>
                      <w:bCs/>
                      <w:color w:val="auto"/>
                    </w:rPr>
                    <w:t>简化管理</w:t>
                  </w:r>
                </w:p>
              </w:tc>
              <w:tc>
                <w:tcPr>
                  <w:tcW w:w="1499" w:type="dxa"/>
                  <w:gridSpan w:val="2"/>
                  <w:noWrap w:val="0"/>
                  <w:vAlign w:val="center"/>
                </w:tcPr>
                <w:p w14:paraId="62CCE83E">
                  <w:pPr>
                    <w:pStyle w:val="46"/>
                    <w:keepNext w:val="0"/>
                    <w:keepLines w:val="0"/>
                    <w:suppressLineNumbers w:val="0"/>
                    <w:bidi w:val="0"/>
                    <w:spacing w:before="0" w:beforeAutospacing="0" w:after="0" w:afterAutospacing="0"/>
                    <w:rPr>
                      <w:b/>
                      <w:bCs/>
                      <w:color w:val="auto"/>
                    </w:rPr>
                  </w:pPr>
                  <w:r>
                    <w:rPr>
                      <w:rFonts w:hint="eastAsia"/>
                      <w:b/>
                      <w:bCs/>
                      <w:color w:val="auto"/>
                    </w:rPr>
                    <w:t>登记管理</w:t>
                  </w:r>
                </w:p>
              </w:tc>
              <w:tc>
                <w:tcPr>
                  <w:tcW w:w="950" w:type="dxa"/>
                  <w:noWrap w:val="0"/>
                  <w:vAlign w:val="center"/>
                </w:tcPr>
                <w:p w14:paraId="16504C7F">
                  <w:pPr>
                    <w:pStyle w:val="46"/>
                    <w:keepNext w:val="0"/>
                    <w:keepLines w:val="0"/>
                    <w:suppressLineNumbers w:val="0"/>
                    <w:bidi w:val="0"/>
                    <w:spacing w:before="0" w:beforeAutospacing="0" w:after="0" w:afterAutospacing="0"/>
                    <w:rPr>
                      <w:rFonts w:hint="eastAsia" w:eastAsia="宋体"/>
                      <w:b/>
                      <w:bCs/>
                      <w:color w:val="auto"/>
                      <w:lang w:val="en-US" w:eastAsia="zh-CN"/>
                    </w:rPr>
                  </w:pPr>
                  <w:r>
                    <w:rPr>
                      <w:rFonts w:hint="eastAsia"/>
                      <w:b/>
                      <w:bCs/>
                      <w:color w:val="auto"/>
                      <w:lang w:val="en-US" w:eastAsia="zh-CN"/>
                    </w:rPr>
                    <w:t>本项目</w:t>
                  </w:r>
                </w:p>
              </w:tc>
            </w:tr>
            <w:tr w14:paraId="637F0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8547" w:type="dxa"/>
                  <w:gridSpan w:val="7"/>
                  <w:noWrap w:val="0"/>
                  <w:vAlign w:val="center"/>
                </w:tcPr>
                <w:p w14:paraId="30A33B33">
                  <w:pPr>
                    <w:pStyle w:val="46"/>
                    <w:keepNext w:val="0"/>
                    <w:keepLines w:val="0"/>
                    <w:suppressLineNumbers w:val="0"/>
                    <w:bidi w:val="0"/>
                    <w:spacing w:before="0" w:beforeAutospacing="0" w:after="0" w:afterAutospacing="0"/>
                    <w:ind w:left="0" w:leftChars="0" w:firstLine="0" w:firstLineChars="0"/>
                    <w:jc w:val="left"/>
                    <w:rPr>
                      <w:rFonts w:hint="eastAsia"/>
                      <w:color w:val="auto"/>
                    </w:rPr>
                  </w:pPr>
                  <w:r>
                    <w:rPr>
                      <w:rFonts w:hint="eastAsia"/>
                      <w:color w:val="auto"/>
                    </w:rPr>
                    <w:t>三十七、废弃资源综合利用业 42</w:t>
                  </w:r>
                </w:p>
              </w:tc>
            </w:tr>
            <w:tr w14:paraId="398F7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489" w:type="dxa"/>
                  <w:shd w:val="clear" w:color="auto" w:fill="auto"/>
                  <w:noWrap w:val="0"/>
                  <w:vAlign w:val="center"/>
                </w:tcPr>
                <w:p w14:paraId="3B0C61E8">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93</w:t>
                  </w:r>
                </w:p>
              </w:tc>
              <w:tc>
                <w:tcPr>
                  <w:tcW w:w="1298" w:type="dxa"/>
                  <w:shd w:val="clear" w:color="auto" w:fill="auto"/>
                  <w:noWrap w:val="0"/>
                  <w:vAlign w:val="center"/>
                </w:tcPr>
                <w:p w14:paraId="41AC262C">
                  <w:pPr>
                    <w:pStyle w:val="46"/>
                    <w:keepNext w:val="0"/>
                    <w:keepLines w:val="0"/>
                    <w:suppressLineNumbers w:val="0"/>
                    <w:bidi w:val="0"/>
                    <w:spacing w:before="0" w:beforeAutospacing="0" w:after="0" w:afterAutospacing="0"/>
                    <w:rPr>
                      <w:rFonts w:hint="default" w:eastAsia="宋体"/>
                      <w:color w:val="auto"/>
                      <w:lang w:val="en-US" w:eastAsia="zh-CN"/>
                    </w:rPr>
                  </w:pPr>
                  <w:r>
                    <w:rPr>
                      <w:rFonts w:hint="default" w:eastAsia="宋体"/>
                      <w:color w:val="auto"/>
                      <w:lang w:val="en-US" w:eastAsia="zh-CN"/>
                    </w:rPr>
                    <w:t>金属废料和碎屑加工处理 421，非金属废料和碎屑加工处理 422</w:t>
                  </w:r>
                </w:p>
              </w:tc>
              <w:tc>
                <w:tcPr>
                  <w:tcW w:w="1756" w:type="dxa"/>
                  <w:shd w:val="clear" w:color="auto" w:fill="auto"/>
                  <w:noWrap w:val="0"/>
                  <w:vAlign w:val="center"/>
                </w:tcPr>
                <w:p w14:paraId="75FFFC17">
                  <w:pPr>
                    <w:pStyle w:val="46"/>
                    <w:keepNext w:val="0"/>
                    <w:keepLines w:val="0"/>
                    <w:suppressLineNumbers w:val="0"/>
                    <w:bidi w:val="0"/>
                    <w:spacing w:before="0" w:beforeAutospacing="0" w:after="0" w:afterAutospacing="0"/>
                    <w:rPr>
                      <w:rFonts w:hint="eastAsia"/>
                      <w:color w:val="auto"/>
                    </w:rPr>
                  </w:pPr>
                  <w:r>
                    <w:rPr>
                      <w:rFonts w:hint="eastAsia"/>
                      <w:color w:val="auto"/>
                    </w:rPr>
                    <w:t>废电池、废油、废轮胎加工处理</w:t>
                  </w:r>
                </w:p>
              </w:tc>
              <w:tc>
                <w:tcPr>
                  <w:tcW w:w="2555" w:type="dxa"/>
                  <w:shd w:val="clear" w:color="auto" w:fill="D7D7D7" w:themeFill="background1" w:themeFillShade="D8"/>
                  <w:noWrap w:val="0"/>
                  <w:vAlign w:val="center"/>
                </w:tcPr>
                <w:p w14:paraId="218DDA0C">
                  <w:pPr>
                    <w:pStyle w:val="46"/>
                    <w:keepNext w:val="0"/>
                    <w:keepLines w:val="0"/>
                    <w:suppressLineNumbers w:val="0"/>
                    <w:bidi w:val="0"/>
                    <w:spacing w:before="0" w:beforeAutospacing="0" w:after="0" w:afterAutospacing="0"/>
                    <w:rPr>
                      <w:rFonts w:hint="eastAsia"/>
                      <w:color w:val="auto"/>
                    </w:rPr>
                  </w:pPr>
                  <w:r>
                    <w:rPr>
                      <w:rFonts w:hint="eastAsia"/>
                      <w:color w:val="auto"/>
                    </w:rPr>
                    <w:t>废弃电器电子产品、废机动车、废电机、废电线电缆、废塑料、废船、含水洗工艺的其他废料和碎屑加工处理</w:t>
                  </w:r>
                </w:p>
              </w:tc>
              <w:tc>
                <w:tcPr>
                  <w:tcW w:w="1260" w:type="dxa"/>
                  <w:shd w:val="clear" w:color="auto" w:fill="auto"/>
                  <w:noWrap w:val="0"/>
                  <w:vAlign w:val="center"/>
                </w:tcPr>
                <w:p w14:paraId="677943D7">
                  <w:pPr>
                    <w:pStyle w:val="46"/>
                    <w:keepNext w:val="0"/>
                    <w:keepLines w:val="0"/>
                    <w:suppressLineNumbers w:val="0"/>
                    <w:bidi w:val="0"/>
                    <w:spacing w:before="0" w:beforeAutospacing="0" w:after="0" w:afterAutospacing="0"/>
                    <w:rPr>
                      <w:rFonts w:hint="eastAsia"/>
                      <w:color w:val="auto"/>
                    </w:rPr>
                  </w:pPr>
                  <w:r>
                    <w:rPr>
                      <w:rFonts w:hint="eastAsia"/>
                      <w:color w:val="auto"/>
                      <w:lang w:val="en-US" w:eastAsia="zh-CN"/>
                    </w:rPr>
                    <w:t>其他</w:t>
                  </w:r>
                </w:p>
              </w:tc>
              <w:tc>
                <w:tcPr>
                  <w:tcW w:w="1189" w:type="dxa"/>
                  <w:gridSpan w:val="2"/>
                  <w:shd w:val="clear" w:color="auto" w:fill="auto"/>
                  <w:noWrap w:val="0"/>
                  <w:vAlign w:val="center"/>
                </w:tcPr>
                <w:p w14:paraId="55424A57">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本项目</w:t>
                  </w:r>
                  <w:r>
                    <w:rPr>
                      <w:rFonts w:hint="eastAsia" w:cs="Times New Roman"/>
                      <w:color w:val="auto"/>
                      <w:highlight w:val="none"/>
                      <w:lang w:val="en-US" w:eastAsia="zh-CN"/>
                    </w:rPr>
                    <w:t>从事废旧电动自行车拆解，对废钢铁件进行剪切打包、对废塑料进行破碎</w:t>
                  </w:r>
                </w:p>
              </w:tc>
            </w:tr>
          </w:tbl>
          <w:p w14:paraId="60ED3056">
            <w:pPr>
              <w:keepNext w:val="0"/>
              <w:keepLines w:val="0"/>
              <w:suppressLineNumbers w:val="0"/>
              <w:bidi w:val="0"/>
              <w:spacing w:before="0" w:beforeAutospacing="0" w:after="0" w:afterAutospacing="0"/>
              <w:ind w:left="0" w:right="0"/>
              <w:rPr>
                <w:rFonts w:hint="default"/>
                <w:color w:val="auto"/>
              </w:rPr>
            </w:pPr>
            <w:r>
              <w:rPr>
                <w:rFonts w:hint="eastAsia"/>
                <w:color w:val="auto"/>
              </w:rPr>
              <w:t>受</w:t>
            </w:r>
            <w:r>
              <w:rPr>
                <w:rFonts w:hint="eastAsia"/>
                <w:color w:val="auto"/>
                <w:lang w:eastAsia="zh-CN"/>
              </w:rPr>
              <w:t>淮南市奇锐再生资源有限公司</w:t>
            </w:r>
            <w:r>
              <w:rPr>
                <w:rFonts w:hint="eastAsia"/>
                <w:color w:val="auto"/>
              </w:rPr>
              <w:t>委托，</w:t>
            </w:r>
            <w:r>
              <w:rPr>
                <w:rFonts w:hint="eastAsia"/>
                <w:color w:val="auto"/>
                <w:lang w:eastAsia="zh-CN"/>
              </w:rPr>
              <w:t>安徽环晟环保科技有限公司</w:t>
            </w:r>
            <w:r>
              <w:rPr>
                <w:rFonts w:hint="eastAsia"/>
                <w:color w:val="auto"/>
              </w:rPr>
              <w:t>承担本项目的环境影响评价工作。我单位通过现场踏勘调查、资料收集，并依据《建设项目环境影响报告表编制技术指南》（污染影响类）的要求编制了本项目的环境影响报告表，报请生态环境主管部门审批。</w:t>
            </w:r>
          </w:p>
          <w:p w14:paraId="378AA718">
            <w:pPr>
              <w:keepNext w:val="0"/>
              <w:keepLines w:val="0"/>
              <w:suppressLineNumbers w:val="0"/>
              <w:spacing w:before="0" w:beforeAutospacing="0" w:after="0" w:afterAutospacing="0"/>
              <w:ind w:left="0" w:right="0" w:firstLine="482"/>
              <w:rPr>
                <w:rFonts w:hint="default"/>
                <w:b/>
                <w:bCs/>
                <w:color w:val="auto"/>
                <w:highlight w:val="none"/>
              </w:rPr>
            </w:pPr>
            <w:r>
              <w:rPr>
                <w:rFonts w:hint="eastAsia"/>
                <w:b/>
                <w:bCs/>
                <w:color w:val="auto"/>
                <w:highlight w:val="none"/>
              </w:rPr>
              <w:t>2、项目主要</w:t>
            </w:r>
            <w:r>
              <w:rPr>
                <w:rFonts w:hint="default"/>
                <w:b/>
                <w:bCs/>
                <w:color w:val="auto"/>
                <w:highlight w:val="none"/>
              </w:rPr>
              <w:t>建设内容及规模</w:t>
            </w:r>
          </w:p>
          <w:p w14:paraId="29D75130">
            <w:pPr>
              <w:keepNext w:val="0"/>
              <w:keepLines w:val="0"/>
              <w:suppressLineNumbers w:val="0"/>
              <w:bidi w:val="0"/>
              <w:spacing w:before="0" w:beforeAutospacing="0" w:after="0" w:afterAutospacing="0"/>
              <w:ind w:left="0" w:right="0"/>
              <w:rPr>
                <w:rFonts w:hint="default"/>
              </w:rPr>
            </w:pPr>
            <w:r>
              <w:rPr>
                <w:rFonts w:hint="eastAsia"/>
                <w:color w:val="auto"/>
                <w:highlight w:val="none"/>
                <w:lang w:val="en-US" w:eastAsia="zh-CN"/>
              </w:rPr>
              <w:t>企业租赁厂房1900平方米，建设电动自行车拆解生产线，配备起重机械、等离子切割机、扒胎机、破碎机、金属打包机等设备，建设预处理、拆解、分拣及固废暂存功能区，年拆解废旧电动自行车10万辆</w:t>
            </w:r>
            <w:commentRangeStart w:id="8"/>
            <w:commentRangeStart w:id="9"/>
            <w:r>
              <w:rPr>
                <w:rFonts w:hint="eastAsia"/>
                <w:color w:val="auto"/>
                <w:highlight w:val="none"/>
                <w:lang w:val="en-US" w:eastAsia="zh-CN"/>
              </w:rPr>
              <w:t>。</w:t>
            </w:r>
            <w:commentRangeEnd w:id="8"/>
            <w:r>
              <w:rPr>
                <w:rFonts w:hint="default"/>
              </w:rPr>
              <w:commentReference w:id="8"/>
            </w:r>
            <w:commentRangeEnd w:id="9"/>
            <w:r>
              <w:rPr>
                <w:rFonts w:hint="default"/>
              </w:rPr>
              <w:commentReference w:id="9"/>
            </w:r>
          </w:p>
          <w:p w14:paraId="3B76445E">
            <w:pPr>
              <w:keepNext w:val="0"/>
              <w:keepLines w:val="0"/>
              <w:suppressLineNumbers w:val="0"/>
              <w:bidi w:val="0"/>
              <w:spacing w:before="0" w:beforeAutospacing="0" w:after="0" w:afterAutospacing="0"/>
              <w:ind w:left="0" w:right="0"/>
              <w:rPr>
                <w:rFonts w:hint="eastAsia"/>
                <w:color w:val="0000FF"/>
                <w:lang w:val="en-US" w:eastAsia="zh-CN"/>
              </w:rPr>
            </w:pPr>
            <w:r>
              <w:rPr>
                <w:rFonts w:hint="eastAsia"/>
                <w:color w:val="0000FF"/>
                <w:lang w:val="en-US" w:eastAsia="zh-CN"/>
              </w:rPr>
              <w:t>根据企业市场调查数据可知，淮南市现有登记电动自行车95万辆、电动三轮车35万辆、电动四轮车5.9万辆，合计保有量达 135.9 万辆，按电动自行车行业通用的10年报废年限测算，淮南市年理论报废量约为13.59万辆；经调研，淮南市目前从事电动自行车拆解的企业数量较少，仅有3家企业涉及相关业务，且均非专一从事电动自行车拆解。市场饱和度较低，现有产能远不能满足年报废13.59万辆的市场需求。本项目的投建，可以填补淮南市在电动自行车专业拆解领域的需求缺口，具备较强的市场进入条件</w:t>
            </w:r>
            <w:commentRangeStart w:id="10"/>
            <w:commentRangeStart w:id="11"/>
            <w:r>
              <w:rPr>
                <w:rFonts w:hint="default"/>
                <w:color w:val="0000FF"/>
                <w:lang w:val="en-US" w:eastAsia="zh-CN"/>
              </w:rPr>
              <w:commentReference w:id="10"/>
            </w:r>
            <w:commentRangeEnd w:id="10"/>
            <w:commentRangeEnd w:id="11"/>
            <w:r>
              <w:rPr>
                <w:rFonts w:hint="eastAsia"/>
                <w:color w:val="0000FF"/>
                <w:lang w:val="en-US" w:eastAsia="zh-CN"/>
              </w:rPr>
              <w:commentReference w:id="11"/>
            </w:r>
            <w:r>
              <w:rPr>
                <w:rFonts w:hint="eastAsia"/>
                <w:color w:val="0000FF"/>
                <w:lang w:val="en-US" w:eastAsia="zh-CN"/>
              </w:rPr>
              <w:t>。</w:t>
            </w:r>
          </w:p>
          <w:p w14:paraId="3A212936">
            <w:pPr>
              <w:keepNext w:val="0"/>
              <w:keepLines w:val="0"/>
              <w:numPr>
                <w:ilvl w:val="0"/>
                <w:numId w:val="3"/>
              </w:numPr>
              <w:suppressLineNumbers w:val="0"/>
              <w:spacing w:before="0" w:beforeAutospacing="0" w:after="0" w:afterAutospacing="0"/>
              <w:ind w:left="0" w:right="0" w:firstLine="480"/>
              <w:rPr>
                <w:rFonts w:hint="eastAsia"/>
                <w:b/>
                <w:bCs/>
                <w:color w:val="auto"/>
                <w:highlight w:val="none"/>
              </w:rPr>
            </w:pPr>
            <w:r>
              <w:rPr>
                <w:rFonts w:hint="eastAsia"/>
                <w:b/>
                <w:bCs/>
                <w:color w:val="auto"/>
                <w:highlight w:val="none"/>
              </w:rPr>
              <w:t>项目主要建设内容及规模见下表：</w:t>
            </w:r>
            <w:bookmarkEnd w:id="5"/>
          </w:p>
          <w:p w14:paraId="6989A1F2">
            <w:pPr>
              <w:pStyle w:val="43"/>
              <w:keepNext w:val="0"/>
              <w:keepLines w:val="0"/>
              <w:suppressLineNumbers w:val="0"/>
              <w:bidi w:val="0"/>
              <w:spacing w:before="0" w:beforeAutospacing="0" w:after="0" w:afterAutospacing="0"/>
              <w:ind w:left="0" w:right="0"/>
              <w:jc w:val="center"/>
              <w:rPr>
                <w:color w:val="auto"/>
              </w:rPr>
            </w:pPr>
            <w:r>
              <w:rPr>
                <w:rFonts w:hint="eastAsia"/>
                <w:color w:val="auto"/>
              </w:rPr>
              <w:t>表2-</w:t>
            </w:r>
            <w:r>
              <w:rPr>
                <w:rFonts w:hint="eastAsia"/>
                <w:color w:val="auto"/>
                <w:lang w:val="en-US" w:eastAsia="zh-CN"/>
              </w:rPr>
              <w:t xml:space="preserve">3  </w:t>
            </w:r>
            <w:r>
              <w:rPr>
                <w:rFonts w:hint="eastAsia"/>
                <w:color w:val="auto"/>
              </w:rPr>
              <w:t>项目组成一览表</w:t>
            </w:r>
          </w:p>
          <w:tbl>
            <w:tblPr>
              <w:tblStyle w:val="1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32"/>
              <w:gridCol w:w="238"/>
              <w:gridCol w:w="662"/>
              <w:gridCol w:w="4269"/>
              <w:gridCol w:w="1487"/>
              <w:gridCol w:w="1257"/>
            </w:tblGrid>
            <w:tr w14:paraId="0B908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69" w:type="pct"/>
                  <w:noWrap w:val="0"/>
                  <w:vAlign w:val="center"/>
                </w:tcPr>
                <w:p w14:paraId="12E7AD78">
                  <w:pPr>
                    <w:pStyle w:val="46"/>
                    <w:keepNext w:val="0"/>
                    <w:keepLines w:val="0"/>
                    <w:suppressLineNumbers w:val="0"/>
                    <w:bidi w:val="0"/>
                    <w:spacing w:before="0" w:beforeAutospacing="0" w:after="0" w:afterAutospacing="0"/>
                    <w:rPr>
                      <w:b/>
                      <w:bCs/>
                      <w:color w:val="auto"/>
                    </w:rPr>
                  </w:pPr>
                  <w:r>
                    <w:rPr>
                      <w:b/>
                      <w:bCs/>
                      <w:color w:val="auto"/>
                    </w:rPr>
                    <w:t>工程类别</w:t>
                  </w:r>
                </w:p>
              </w:tc>
              <w:tc>
                <w:tcPr>
                  <w:tcW w:w="526" w:type="pct"/>
                  <w:gridSpan w:val="2"/>
                  <w:noWrap w:val="0"/>
                  <w:vAlign w:val="center"/>
                </w:tcPr>
                <w:p w14:paraId="1E71511D">
                  <w:pPr>
                    <w:pStyle w:val="46"/>
                    <w:keepNext w:val="0"/>
                    <w:keepLines w:val="0"/>
                    <w:suppressLineNumbers w:val="0"/>
                    <w:bidi w:val="0"/>
                    <w:spacing w:before="0" w:beforeAutospacing="0" w:after="0" w:afterAutospacing="0"/>
                    <w:rPr>
                      <w:b/>
                      <w:bCs/>
                      <w:color w:val="auto"/>
                    </w:rPr>
                  </w:pPr>
                  <w:r>
                    <w:rPr>
                      <w:b/>
                      <w:bCs/>
                      <w:color w:val="auto"/>
                    </w:rPr>
                    <w:t>工程名称</w:t>
                  </w:r>
                </w:p>
              </w:tc>
              <w:tc>
                <w:tcPr>
                  <w:tcW w:w="2497" w:type="pct"/>
                  <w:noWrap w:val="0"/>
                  <w:vAlign w:val="center"/>
                </w:tcPr>
                <w:p w14:paraId="22CB25EB">
                  <w:pPr>
                    <w:pStyle w:val="46"/>
                    <w:keepNext w:val="0"/>
                    <w:keepLines w:val="0"/>
                    <w:suppressLineNumbers w:val="0"/>
                    <w:bidi w:val="0"/>
                    <w:spacing w:before="0" w:beforeAutospacing="0" w:after="0" w:afterAutospacing="0"/>
                    <w:rPr>
                      <w:b/>
                      <w:bCs/>
                      <w:color w:val="auto"/>
                    </w:rPr>
                  </w:pPr>
                  <w:r>
                    <w:rPr>
                      <w:b/>
                      <w:bCs/>
                      <w:color w:val="auto"/>
                    </w:rPr>
                    <w:t>工程建设内容</w:t>
                  </w:r>
                </w:p>
              </w:tc>
              <w:tc>
                <w:tcPr>
                  <w:tcW w:w="870" w:type="pct"/>
                  <w:noWrap w:val="0"/>
                  <w:vAlign w:val="center"/>
                </w:tcPr>
                <w:p w14:paraId="0AAA0A30">
                  <w:pPr>
                    <w:pStyle w:val="46"/>
                    <w:keepNext w:val="0"/>
                    <w:keepLines w:val="0"/>
                    <w:suppressLineNumbers w:val="0"/>
                    <w:bidi w:val="0"/>
                    <w:spacing w:before="0" w:beforeAutospacing="0" w:after="0" w:afterAutospacing="0"/>
                    <w:rPr>
                      <w:b/>
                      <w:bCs/>
                      <w:color w:val="auto"/>
                    </w:rPr>
                  </w:pPr>
                  <w:r>
                    <w:rPr>
                      <w:b/>
                      <w:bCs/>
                      <w:color w:val="auto"/>
                    </w:rPr>
                    <w:t>工程建设规模</w:t>
                  </w:r>
                </w:p>
              </w:tc>
              <w:tc>
                <w:tcPr>
                  <w:tcW w:w="735" w:type="pct"/>
                  <w:noWrap w:val="0"/>
                  <w:vAlign w:val="center"/>
                </w:tcPr>
                <w:p w14:paraId="7FA1FA51">
                  <w:pPr>
                    <w:pStyle w:val="46"/>
                    <w:keepNext w:val="0"/>
                    <w:keepLines w:val="0"/>
                    <w:suppressLineNumbers w:val="0"/>
                    <w:bidi w:val="0"/>
                    <w:spacing w:before="0" w:beforeAutospacing="0" w:after="0" w:afterAutospacing="0"/>
                    <w:rPr>
                      <w:b/>
                      <w:bCs/>
                      <w:color w:val="auto"/>
                    </w:rPr>
                  </w:pPr>
                  <w:r>
                    <w:rPr>
                      <w:rFonts w:hint="eastAsia"/>
                      <w:b/>
                      <w:bCs/>
                      <w:color w:val="auto"/>
                      <w:lang w:val="en-US" w:eastAsia="zh-CN"/>
                    </w:rPr>
                    <w:t>与现有依托性</w:t>
                  </w:r>
                </w:p>
              </w:tc>
            </w:tr>
            <w:tr w14:paraId="4A3C9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69" w:type="pct"/>
                  <w:vMerge w:val="restart"/>
                  <w:noWrap w:val="0"/>
                  <w:vAlign w:val="center"/>
                </w:tcPr>
                <w:p w14:paraId="21E1916F">
                  <w:pPr>
                    <w:pStyle w:val="46"/>
                    <w:keepNext w:val="0"/>
                    <w:keepLines w:val="0"/>
                    <w:suppressLineNumbers w:val="0"/>
                    <w:bidi w:val="0"/>
                    <w:spacing w:before="0" w:beforeAutospacing="0" w:after="0" w:afterAutospacing="0"/>
                    <w:rPr>
                      <w:rFonts w:hint="eastAsia"/>
                      <w:color w:val="auto"/>
                    </w:rPr>
                  </w:pPr>
                  <w:r>
                    <w:rPr>
                      <w:color w:val="auto"/>
                    </w:rPr>
                    <w:t>主体</w:t>
                  </w:r>
                </w:p>
                <w:p w14:paraId="321D4433">
                  <w:pPr>
                    <w:pStyle w:val="46"/>
                    <w:keepNext w:val="0"/>
                    <w:keepLines w:val="0"/>
                    <w:suppressLineNumbers w:val="0"/>
                    <w:bidi w:val="0"/>
                    <w:spacing w:before="0" w:beforeAutospacing="0" w:after="0" w:afterAutospacing="0"/>
                    <w:rPr>
                      <w:color w:val="auto"/>
                    </w:rPr>
                  </w:pPr>
                  <w:r>
                    <w:rPr>
                      <w:color w:val="auto"/>
                    </w:rPr>
                    <w:t>工程</w:t>
                  </w:r>
                </w:p>
              </w:tc>
              <w:tc>
                <w:tcPr>
                  <w:tcW w:w="526" w:type="pct"/>
                  <w:gridSpan w:val="2"/>
                  <w:noWrap w:val="0"/>
                  <w:vAlign w:val="center"/>
                </w:tcPr>
                <w:p w14:paraId="31CCD660">
                  <w:pPr>
                    <w:pStyle w:val="46"/>
                    <w:keepNext w:val="0"/>
                    <w:keepLines w:val="0"/>
                    <w:suppressLineNumbers w:val="0"/>
                    <w:bidi w:val="0"/>
                    <w:spacing w:before="0" w:beforeAutospacing="0" w:after="0" w:afterAutospacing="0"/>
                    <w:rPr>
                      <w:rFonts w:hint="default" w:eastAsia="宋体"/>
                      <w:color w:val="auto"/>
                      <w:lang w:val="en-US" w:eastAsia="zh-CN"/>
                    </w:rPr>
                  </w:pPr>
                  <w:r>
                    <w:rPr>
                      <w:rFonts w:hint="eastAsia"/>
                      <w:color w:val="auto"/>
                      <w:lang w:val="en-US" w:eastAsia="zh-CN"/>
                    </w:rPr>
                    <w:t>废电动自行车拆解车间</w:t>
                  </w:r>
                </w:p>
              </w:tc>
              <w:tc>
                <w:tcPr>
                  <w:tcW w:w="2497" w:type="pct"/>
                  <w:noWrap w:val="0"/>
                  <w:vAlign w:val="center"/>
                </w:tcPr>
                <w:p w14:paraId="0DC99979">
                  <w:pPr>
                    <w:pStyle w:val="46"/>
                    <w:keepNext w:val="0"/>
                    <w:keepLines w:val="0"/>
                    <w:suppressLineNumbers w:val="0"/>
                    <w:bidi w:val="0"/>
                    <w:spacing w:before="0" w:beforeAutospacing="0" w:after="0" w:afterAutospacing="0"/>
                    <w:rPr>
                      <w:rFonts w:hint="default"/>
                      <w:color w:val="1D70F5"/>
                      <w:lang w:val="en-US"/>
                    </w:rPr>
                  </w:pPr>
                  <w:r>
                    <w:rPr>
                      <w:rFonts w:hint="eastAsia"/>
                      <w:color w:val="auto"/>
                      <w:lang w:val="en-US" w:eastAsia="zh-CN"/>
                    </w:rPr>
                    <w:t>1#厂房，</w:t>
                  </w:r>
                  <w:r>
                    <w:rPr>
                      <w:rFonts w:hint="eastAsia"/>
                      <w:color w:val="auto"/>
                    </w:rPr>
                    <w:t>1F</w:t>
                  </w:r>
                  <w:r>
                    <w:rPr>
                      <w:rFonts w:hint="eastAsia"/>
                      <w:color w:val="auto"/>
                      <w:lang w:eastAsia="zh-CN"/>
                    </w:rPr>
                    <w:t>，</w:t>
                  </w:r>
                  <w:r>
                    <w:rPr>
                      <w:rFonts w:hint="eastAsia"/>
                      <w:color w:val="auto"/>
                      <w:lang w:val="en-US" w:eastAsia="zh-CN"/>
                    </w:rPr>
                    <w:t>高8</w:t>
                  </w:r>
                  <w:r>
                    <w:rPr>
                      <w:rFonts w:hint="eastAsia"/>
                      <w:color w:val="auto"/>
                    </w:rPr>
                    <w:t>m钢结构厂房，</w:t>
                  </w:r>
                  <w:r>
                    <w:rPr>
                      <w:rFonts w:hint="eastAsia"/>
                      <w:color w:val="auto"/>
                      <w:lang w:val="en-US" w:eastAsia="zh-CN"/>
                    </w:rPr>
                    <w:t>长42m，宽22m，</w:t>
                  </w:r>
                  <w:r>
                    <w:rPr>
                      <w:rFonts w:hint="eastAsia"/>
                      <w:color w:val="auto"/>
                    </w:rPr>
                    <w:t>总建设面积</w:t>
                  </w:r>
                  <w:r>
                    <w:rPr>
                      <w:rFonts w:hint="eastAsia"/>
                      <w:color w:val="auto"/>
                      <w:lang w:val="en-US" w:eastAsia="zh-CN"/>
                    </w:rPr>
                    <w:t>924</w:t>
                  </w:r>
                  <w:r>
                    <w:rPr>
                      <w:color w:val="auto"/>
                    </w:rPr>
                    <w:t>m</w:t>
                  </w:r>
                  <w:r>
                    <w:rPr>
                      <w:color w:val="auto"/>
                      <w:vertAlign w:val="superscript"/>
                    </w:rPr>
                    <w:t>2</w:t>
                  </w:r>
                  <w:r>
                    <w:rPr>
                      <w:rFonts w:hint="eastAsia"/>
                      <w:color w:val="auto"/>
                    </w:rPr>
                    <w:t>，地面</w:t>
                  </w:r>
                  <w:r>
                    <w:rPr>
                      <w:rFonts w:hint="eastAsia"/>
                      <w:color w:val="auto"/>
                      <w:lang w:val="en-US" w:eastAsia="zh-CN"/>
                    </w:rPr>
                    <w:t>已</w:t>
                  </w:r>
                  <w:r>
                    <w:rPr>
                      <w:rFonts w:hint="eastAsia"/>
                      <w:color w:val="auto"/>
                    </w:rPr>
                    <w:t>硬化</w:t>
                  </w:r>
                  <w:r>
                    <w:rPr>
                      <w:rFonts w:hint="eastAsia"/>
                      <w:color w:val="auto"/>
                      <w:highlight w:val="none"/>
                    </w:rPr>
                    <w:t>，主要布设</w:t>
                  </w:r>
                  <w:r>
                    <w:rPr>
                      <w:rFonts w:hint="eastAsia"/>
                      <w:color w:val="auto"/>
                      <w:highlight w:val="none"/>
                      <w:lang w:val="en-US" w:eastAsia="zh-CN"/>
                    </w:rPr>
                    <w:t>拆解区</w:t>
                  </w:r>
                  <w:r>
                    <w:rPr>
                      <w:rFonts w:hint="eastAsia"/>
                      <w:color w:val="auto"/>
                      <w:highlight w:val="none"/>
                      <w:lang w:eastAsia="zh-CN"/>
                    </w:rPr>
                    <w:t>、</w:t>
                  </w:r>
                  <w:r>
                    <w:rPr>
                      <w:rFonts w:hint="eastAsia"/>
                      <w:color w:val="auto"/>
                      <w:highlight w:val="none"/>
                      <w:lang w:val="en-US" w:eastAsia="zh-CN"/>
                    </w:rPr>
                    <w:t>打包区、破碎区、废旧电动车暂存区</w:t>
                  </w:r>
                  <w:r>
                    <w:rPr>
                      <w:rFonts w:hint="eastAsia"/>
                      <w:color w:val="auto"/>
                      <w:lang w:val="en-US" w:eastAsia="zh-CN"/>
                    </w:rPr>
                    <w:t>，购置起重机械、等离子切割机、扒胎机、破碎机、金属打包</w:t>
                  </w:r>
                  <w:r>
                    <w:rPr>
                      <w:rFonts w:hint="eastAsia"/>
                      <w:color w:val="auto"/>
                      <w:highlight w:val="none"/>
                      <w:lang w:val="en-US" w:eastAsia="zh-CN"/>
                    </w:rPr>
                    <w:t>机等设备</w:t>
                  </w:r>
                </w:p>
              </w:tc>
              <w:tc>
                <w:tcPr>
                  <w:tcW w:w="870" w:type="pct"/>
                  <w:vMerge w:val="restart"/>
                  <w:noWrap w:val="0"/>
                  <w:vAlign w:val="center"/>
                </w:tcPr>
                <w:p w14:paraId="49228A21">
                  <w:pPr>
                    <w:pStyle w:val="61"/>
                    <w:keepNext w:val="0"/>
                    <w:keepLines w:val="0"/>
                    <w:suppressLineNumbers w:val="0"/>
                    <w:bidi w:val="0"/>
                    <w:spacing w:before="0" w:beforeAutospacing="0" w:after="0" w:afterAutospacing="0"/>
                    <w:ind w:left="0" w:right="0"/>
                    <w:rPr>
                      <w:rFonts w:hint="eastAsia"/>
                      <w:color w:val="auto"/>
                      <w:lang w:val="en-US" w:eastAsia="zh-CN"/>
                    </w:rPr>
                  </w:pPr>
                  <w:r>
                    <w:rPr>
                      <w:rFonts w:hint="eastAsia"/>
                      <w:color w:val="auto"/>
                      <w:lang w:val="en-US" w:eastAsia="zh-CN"/>
                    </w:rPr>
                    <w:t>年拆解废旧电动自行车10万辆</w:t>
                  </w:r>
                </w:p>
                <w:p w14:paraId="42B09B5C">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年压块包装废钢铁件5357吨</w:t>
                  </w:r>
                </w:p>
                <w:p w14:paraId="6427F906">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年破碎塑料293吨</w:t>
                  </w:r>
                </w:p>
              </w:tc>
              <w:tc>
                <w:tcPr>
                  <w:tcW w:w="735" w:type="pct"/>
                  <w:vMerge w:val="restart"/>
                  <w:noWrap w:val="0"/>
                  <w:vAlign w:val="center"/>
                </w:tcPr>
                <w:p w14:paraId="1749F027">
                  <w:pPr>
                    <w:pStyle w:val="61"/>
                    <w:keepNext w:val="0"/>
                    <w:keepLines w:val="0"/>
                    <w:suppressLineNumbers w:val="0"/>
                    <w:bidi w:val="0"/>
                    <w:spacing w:before="0" w:beforeAutospacing="0" w:after="0" w:afterAutospacing="0"/>
                    <w:ind w:left="0" w:right="0"/>
                    <w:rPr>
                      <w:rFonts w:hint="eastAsia"/>
                      <w:color w:val="auto"/>
                      <w:lang w:eastAsia="zh-CN"/>
                    </w:rPr>
                  </w:pPr>
                  <w:r>
                    <w:rPr>
                      <w:rFonts w:hint="eastAsia"/>
                      <w:color w:val="auto"/>
                      <w:lang w:val="en-US" w:eastAsia="zh-CN"/>
                    </w:rPr>
                    <w:t>依托现有已建厂房</w:t>
                  </w:r>
                </w:p>
              </w:tc>
            </w:tr>
            <w:tr w14:paraId="70788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69" w:type="pct"/>
                  <w:vMerge w:val="continue"/>
                  <w:noWrap w:val="0"/>
                  <w:vAlign w:val="center"/>
                </w:tcPr>
                <w:p w14:paraId="33AEC10F">
                  <w:pPr>
                    <w:pStyle w:val="46"/>
                    <w:keepNext w:val="0"/>
                    <w:keepLines w:val="0"/>
                    <w:suppressLineNumbers w:val="0"/>
                    <w:bidi w:val="0"/>
                    <w:spacing w:before="0" w:beforeAutospacing="0" w:after="0" w:afterAutospacing="0"/>
                    <w:rPr>
                      <w:color w:val="auto"/>
                    </w:rPr>
                  </w:pPr>
                </w:p>
              </w:tc>
              <w:tc>
                <w:tcPr>
                  <w:tcW w:w="139" w:type="pct"/>
                  <w:vMerge w:val="restart"/>
                  <w:noWrap w:val="0"/>
                  <w:vAlign w:val="center"/>
                </w:tcPr>
                <w:p w14:paraId="0D85935D">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其中</w:t>
                  </w:r>
                </w:p>
              </w:tc>
              <w:tc>
                <w:tcPr>
                  <w:tcW w:w="387" w:type="pct"/>
                  <w:noWrap w:val="0"/>
                  <w:vAlign w:val="center"/>
                </w:tcPr>
                <w:p w14:paraId="055EB3DD">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拆解区</w:t>
                  </w:r>
                </w:p>
              </w:tc>
              <w:tc>
                <w:tcPr>
                  <w:tcW w:w="2497" w:type="pct"/>
                  <w:noWrap w:val="0"/>
                  <w:vAlign w:val="center"/>
                </w:tcPr>
                <w:p w14:paraId="33E3807C">
                  <w:pPr>
                    <w:pStyle w:val="46"/>
                    <w:keepNext w:val="0"/>
                    <w:keepLines w:val="0"/>
                    <w:suppressLineNumbers w:val="0"/>
                    <w:bidi w:val="0"/>
                    <w:spacing w:before="0" w:beforeAutospacing="0" w:after="0" w:afterAutospacing="0"/>
                    <w:rPr>
                      <w:rFonts w:hint="default" w:eastAsia="宋体"/>
                      <w:color w:val="auto"/>
                      <w:lang w:val="en-US" w:eastAsia="zh-CN"/>
                    </w:rPr>
                  </w:pPr>
                  <w:r>
                    <w:rPr>
                      <w:rFonts w:hint="eastAsia"/>
                      <w:color w:val="auto"/>
                      <w:lang w:val="en-US" w:eastAsia="zh-CN"/>
                    </w:rPr>
                    <w:t>位于1#厂房中部，建筑面积约200㎡，设置8个拆解工位，配备扒胎机、起重机械、电动扳手、角磨机、气钻枪</w:t>
                  </w:r>
                  <w:r>
                    <w:rPr>
                      <w:rFonts w:hint="eastAsia" w:ascii="Times New Roman" w:hAnsi="Times New Roman" w:cs="Times New Roman"/>
                      <w:b w:val="0"/>
                      <w:bCs w:val="0"/>
                      <w:color w:val="auto"/>
                      <w:kern w:val="2"/>
                      <w:sz w:val="21"/>
                      <w:szCs w:val="21"/>
                      <w:highlight w:val="none"/>
                      <w:u w:val="none"/>
                      <w:lang w:val="en-US" w:eastAsia="zh-CN" w:bidi="ar-SA"/>
                    </w:rPr>
                    <w:t>等</w:t>
                  </w:r>
                  <w:r>
                    <w:rPr>
                      <w:rFonts w:hint="eastAsia" w:cs="Times New Roman"/>
                      <w:b w:val="0"/>
                      <w:bCs w:val="0"/>
                      <w:color w:val="auto"/>
                      <w:kern w:val="2"/>
                      <w:sz w:val="21"/>
                      <w:szCs w:val="21"/>
                      <w:highlight w:val="none"/>
                      <w:u w:val="none"/>
                      <w:lang w:val="en-US" w:eastAsia="zh-CN" w:bidi="ar-SA"/>
                    </w:rPr>
                    <w:t>设备，对电动自行车进行拆解</w:t>
                  </w:r>
                </w:p>
              </w:tc>
              <w:tc>
                <w:tcPr>
                  <w:tcW w:w="870" w:type="pct"/>
                  <w:vMerge w:val="continue"/>
                  <w:noWrap w:val="0"/>
                  <w:vAlign w:val="center"/>
                </w:tcPr>
                <w:p w14:paraId="64943770">
                  <w:pPr>
                    <w:pStyle w:val="46"/>
                    <w:keepNext w:val="0"/>
                    <w:keepLines w:val="0"/>
                    <w:suppressLineNumbers w:val="0"/>
                    <w:bidi w:val="0"/>
                    <w:spacing w:before="0" w:beforeAutospacing="0" w:after="0" w:afterAutospacing="0"/>
                    <w:rPr>
                      <w:rFonts w:hint="eastAsia"/>
                      <w:color w:val="auto"/>
                      <w:lang w:val="en-US" w:eastAsia="zh-CN"/>
                    </w:rPr>
                  </w:pPr>
                </w:p>
              </w:tc>
              <w:tc>
                <w:tcPr>
                  <w:tcW w:w="735" w:type="pct"/>
                  <w:vMerge w:val="continue"/>
                  <w:noWrap w:val="0"/>
                  <w:vAlign w:val="center"/>
                </w:tcPr>
                <w:p w14:paraId="13EEDD13">
                  <w:pPr>
                    <w:pStyle w:val="46"/>
                    <w:keepNext w:val="0"/>
                    <w:keepLines w:val="0"/>
                    <w:suppressLineNumbers w:val="0"/>
                    <w:bidi w:val="0"/>
                    <w:spacing w:before="0" w:beforeAutospacing="0" w:after="0" w:afterAutospacing="0"/>
                    <w:rPr>
                      <w:rFonts w:hint="eastAsia"/>
                      <w:color w:val="auto"/>
                      <w:lang w:val="en-US" w:eastAsia="zh-CN"/>
                    </w:rPr>
                  </w:pPr>
                </w:p>
              </w:tc>
            </w:tr>
            <w:tr w14:paraId="00816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69" w:type="pct"/>
                  <w:vMerge w:val="continue"/>
                  <w:noWrap w:val="0"/>
                  <w:vAlign w:val="center"/>
                </w:tcPr>
                <w:p w14:paraId="6052DF6F">
                  <w:pPr>
                    <w:pStyle w:val="46"/>
                    <w:keepNext w:val="0"/>
                    <w:keepLines w:val="0"/>
                    <w:suppressLineNumbers w:val="0"/>
                    <w:bidi w:val="0"/>
                    <w:spacing w:before="0" w:beforeAutospacing="0" w:after="0" w:afterAutospacing="0"/>
                    <w:rPr>
                      <w:color w:val="auto"/>
                    </w:rPr>
                  </w:pPr>
                </w:p>
              </w:tc>
              <w:tc>
                <w:tcPr>
                  <w:tcW w:w="139" w:type="pct"/>
                  <w:vMerge w:val="continue"/>
                  <w:noWrap w:val="0"/>
                  <w:vAlign w:val="center"/>
                </w:tcPr>
                <w:p w14:paraId="490C9556">
                  <w:pPr>
                    <w:pStyle w:val="46"/>
                    <w:keepNext w:val="0"/>
                    <w:keepLines w:val="0"/>
                    <w:suppressLineNumbers w:val="0"/>
                    <w:bidi w:val="0"/>
                    <w:spacing w:before="0" w:beforeAutospacing="0" w:after="0" w:afterAutospacing="0"/>
                    <w:rPr>
                      <w:rFonts w:hint="eastAsia"/>
                      <w:color w:val="auto"/>
                      <w:lang w:val="en-US" w:eastAsia="zh-CN"/>
                    </w:rPr>
                  </w:pPr>
                </w:p>
              </w:tc>
              <w:tc>
                <w:tcPr>
                  <w:tcW w:w="387" w:type="pct"/>
                  <w:noWrap w:val="0"/>
                  <w:vAlign w:val="center"/>
                </w:tcPr>
                <w:p w14:paraId="2A4E46A1">
                  <w:pPr>
                    <w:pStyle w:val="46"/>
                    <w:keepNext w:val="0"/>
                    <w:keepLines w:val="0"/>
                    <w:suppressLineNumbers w:val="0"/>
                    <w:bidi w:val="0"/>
                    <w:spacing w:before="0" w:beforeAutospacing="0" w:after="0" w:afterAutospacing="0"/>
                    <w:rPr>
                      <w:rFonts w:hint="eastAsia"/>
                      <w:color w:val="auto"/>
                      <w:lang w:val="en-US" w:eastAsia="zh-CN"/>
                    </w:rPr>
                  </w:pPr>
                  <w:r>
                    <w:rPr>
                      <w:rFonts w:hint="eastAsia"/>
                      <w:color w:val="auto"/>
                      <w:lang w:val="en-US" w:eastAsia="zh-CN"/>
                    </w:rPr>
                    <w:t>打包区</w:t>
                  </w:r>
                </w:p>
              </w:tc>
              <w:tc>
                <w:tcPr>
                  <w:tcW w:w="2497" w:type="pct"/>
                  <w:noWrap w:val="0"/>
                  <w:vAlign w:val="center"/>
                </w:tcPr>
                <w:p w14:paraId="1AD5FDE7">
                  <w:pPr>
                    <w:pStyle w:val="46"/>
                    <w:keepNext w:val="0"/>
                    <w:keepLines w:val="0"/>
                    <w:suppressLineNumbers w:val="0"/>
                    <w:bidi w:val="0"/>
                    <w:spacing w:before="0" w:beforeAutospacing="0" w:after="0" w:afterAutospacing="0"/>
                    <w:rPr>
                      <w:rFonts w:hint="default" w:eastAsia="宋体"/>
                      <w:color w:val="auto"/>
                      <w:lang w:val="en-US" w:eastAsia="zh-CN"/>
                    </w:rPr>
                  </w:pPr>
                  <w:r>
                    <w:rPr>
                      <w:rFonts w:hint="eastAsia"/>
                      <w:color w:val="auto"/>
                      <w:lang w:val="en-US" w:eastAsia="zh-CN"/>
                    </w:rPr>
                    <w:t>位于1#厂房西南侧，建筑面积约60㎡，配备液压压块机、金属打包机对拆解的</w:t>
                  </w:r>
                  <w:r>
                    <w:rPr>
                      <w:rFonts w:hint="eastAsia" w:cs="Times New Roman"/>
                      <w:b w:val="0"/>
                      <w:bCs w:val="0"/>
                      <w:color w:val="auto"/>
                      <w:u w:val="none"/>
                      <w:lang w:val="en-US" w:eastAsia="zh-CN"/>
                    </w:rPr>
                    <w:t>车架、轮毂、钢圈等钢铁件进行压块打包</w:t>
                  </w:r>
                </w:p>
              </w:tc>
              <w:tc>
                <w:tcPr>
                  <w:tcW w:w="870" w:type="pct"/>
                  <w:vMerge w:val="continue"/>
                  <w:noWrap w:val="0"/>
                  <w:vAlign w:val="center"/>
                </w:tcPr>
                <w:p w14:paraId="1869D305">
                  <w:pPr>
                    <w:pStyle w:val="46"/>
                    <w:keepNext w:val="0"/>
                    <w:keepLines w:val="0"/>
                    <w:suppressLineNumbers w:val="0"/>
                    <w:bidi w:val="0"/>
                    <w:spacing w:before="0" w:beforeAutospacing="0" w:after="0" w:afterAutospacing="0"/>
                    <w:rPr>
                      <w:rFonts w:hint="default"/>
                      <w:color w:val="auto"/>
                      <w:lang w:val="en-US" w:eastAsia="zh-CN"/>
                    </w:rPr>
                  </w:pPr>
                </w:p>
              </w:tc>
              <w:tc>
                <w:tcPr>
                  <w:tcW w:w="735" w:type="pct"/>
                  <w:vMerge w:val="continue"/>
                  <w:noWrap w:val="0"/>
                  <w:vAlign w:val="center"/>
                </w:tcPr>
                <w:p w14:paraId="57D50861">
                  <w:pPr>
                    <w:pStyle w:val="46"/>
                    <w:keepNext w:val="0"/>
                    <w:keepLines w:val="0"/>
                    <w:suppressLineNumbers w:val="0"/>
                    <w:bidi w:val="0"/>
                    <w:spacing w:before="0" w:beforeAutospacing="0" w:after="0" w:afterAutospacing="0"/>
                    <w:rPr>
                      <w:rFonts w:hint="eastAsia"/>
                      <w:color w:val="auto"/>
                      <w:lang w:val="en-US" w:eastAsia="zh-CN"/>
                    </w:rPr>
                  </w:pPr>
                </w:p>
              </w:tc>
            </w:tr>
            <w:tr w14:paraId="1F5A5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69" w:type="pct"/>
                  <w:vMerge w:val="continue"/>
                  <w:noWrap w:val="0"/>
                  <w:vAlign w:val="center"/>
                </w:tcPr>
                <w:p w14:paraId="6D0749A9">
                  <w:pPr>
                    <w:pStyle w:val="46"/>
                    <w:keepNext w:val="0"/>
                    <w:keepLines w:val="0"/>
                    <w:suppressLineNumbers w:val="0"/>
                    <w:bidi w:val="0"/>
                    <w:spacing w:before="0" w:beforeAutospacing="0" w:after="0" w:afterAutospacing="0"/>
                    <w:rPr>
                      <w:color w:val="auto"/>
                    </w:rPr>
                  </w:pPr>
                </w:p>
              </w:tc>
              <w:tc>
                <w:tcPr>
                  <w:tcW w:w="139" w:type="pct"/>
                  <w:vMerge w:val="continue"/>
                  <w:noWrap w:val="0"/>
                  <w:vAlign w:val="center"/>
                </w:tcPr>
                <w:p w14:paraId="5E5E9221">
                  <w:pPr>
                    <w:pStyle w:val="46"/>
                    <w:keepNext w:val="0"/>
                    <w:keepLines w:val="0"/>
                    <w:suppressLineNumbers w:val="0"/>
                    <w:bidi w:val="0"/>
                    <w:spacing w:before="0" w:beforeAutospacing="0" w:after="0" w:afterAutospacing="0"/>
                    <w:rPr>
                      <w:rFonts w:hint="eastAsia"/>
                      <w:color w:val="auto"/>
                      <w:lang w:val="en-US" w:eastAsia="zh-CN"/>
                    </w:rPr>
                  </w:pPr>
                </w:p>
              </w:tc>
              <w:tc>
                <w:tcPr>
                  <w:tcW w:w="387" w:type="pct"/>
                  <w:shd w:val="clear" w:color="auto" w:fill="auto"/>
                  <w:noWrap w:val="0"/>
                  <w:vAlign w:val="center"/>
                </w:tcPr>
                <w:p w14:paraId="52FB336C">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破碎区</w:t>
                  </w:r>
                </w:p>
              </w:tc>
              <w:tc>
                <w:tcPr>
                  <w:tcW w:w="2497" w:type="pct"/>
                  <w:shd w:val="clear" w:color="auto" w:fill="auto"/>
                  <w:noWrap w:val="0"/>
                  <w:vAlign w:val="center"/>
                </w:tcPr>
                <w:p w14:paraId="7F3249EB">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位于1#厂房西北侧，建筑面积约60㎡，设置破碎机对拆解下来的废塑料进行破碎</w:t>
                  </w:r>
                </w:p>
              </w:tc>
              <w:tc>
                <w:tcPr>
                  <w:tcW w:w="870" w:type="pct"/>
                  <w:vMerge w:val="continue"/>
                  <w:shd w:val="clear" w:color="auto" w:fill="auto"/>
                  <w:noWrap w:val="0"/>
                  <w:vAlign w:val="center"/>
                </w:tcPr>
                <w:p w14:paraId="2E47866A">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auto"/>
                      <w:kern w:val="2"/>
                      <w:sz w:val="21"/>
                      <w:szCs w:val="21"/>
                      <w:lang w:val="en-US" w:eastAsia="zh-CN" w:bidi="ar-SA"/>
                    </w:rPr>
                  </w:pPr>
                </w:p>
              </w:tc>
              <w:tc>
                <w:tcPr>
                  <w:tcW w:w="735" w:type="pct"/>
                  <w:vMerge w:val="continue"/>
                  <w:noWrap w:val="0"/>
                  <w:vAlign w:val="center"/>
                </w:tcPr>
                <w:p w14:paraId="332A1AEC">
                  <w:pPr>
                    <w:pStyle w:val="46"/>
                    <w:keepNext w:val="0"/>
                    <w:keepLines w:val="0"/>
                    <w:suppressLineNumbers w:val="0"/>
                    <w:bidi w:val="0"/>
                    <w:spacing w:before="0" w:beforeAutospacing="0" w:after="0" w:afterAutospacing="0"/>
                    <w:rPr>
                      <w:rFonts w:hint="eastAsia"/>
                      <w:color w:val="auto"/>
                      <w:lang w:val="en-US" w:eastAsia="zh-CN"/>
                    </w:rPr>
                  </w:pPr>
                </w:p>
              </w:tc>
            </w:tr>
            <w:tr w14:paraId="60C4A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69" w:type="pct"/>
                  <w:vMerge w:val="continue"/>
                  <w:noWrap w:val="0"/>
                  <w:vAlign w:val="center"/>
                </w:tcPr>
                <w:p w14:paraId="50B7ADC6">
                  <w:pPr>
                    <w:pStyle w:val="46"/>
                    <w:keepNext w:val="0"/>
                    <w:keepLines w:val="0"/>
                    <w:suppressLineNumbers w:val="0"/>
                    <w:bidi w:val="0"/>
                    <w:spacing w:before="0" w:beforeAutospacing="0" w:after="0" w:afterAutospacing="0"/>
                    <w:rPr>
                      <w:color w:val="auto"/>
                    </w:rPr>
                  </w:pPr>
                </w:p>
              </w:tc>
              <w:tc>
                <w:tcPr>
                  <w:tcW w:w="139" w:type="pct"/>
                  <w:vMerge w:val="continue"/>
                  <w:noWrap w:val="0"/>
                  <w:vAlign w:val="center"/>
                </w:tcPr>
                <w:p w14:paraId="67E816B7">
                  <w:pPr>
                    <w:pStyle w:val="46"/>
                    <w:keepNext w:val="0"/>
                    <w:keepLines w:val="0"/>
                    <w:suppressLineNumbers w:val="0"/>
                    <w:bidi w:val="0"/>
                    <w:spacing w:before="0" w:beforeAutospacing="0" w:after="0" w:afterAutospacing="0"/>
                    <w:rPr>
                      <w:rFonts w:hint="eastAsia"/>
                      <w:color w:val="auto"/>
                      <w:lang w:val="en-US" w:eastAsia="zh-CN"/>
                    </w:rPr>
                  </w:pPr>
                </w:p>
              </w:tc>
              <w:tc>
                <w:tcPr>
                  <w:tcW w:w="387" w:type="pct"/>
                  <w:noWrap w:val="0"/>
                  <w:vAlign w:val="center"/>
                </w:tcPr>
                <w:p w14:paraId="4834D7C3">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highlight w:val="none"/>
                      <w:lang w:val="en-US" w:eastAsia="zh-CN"/>
                    </w:rPr>
                    <w:t>废旧电动车暂存区</w:t>
                  </w:r>
                </w:p>
              </w:tc>
              <w:tc>
                <w:tcPr>
                  <w:tcW w:w="2497" w:type="pct"/>
                  <w:noWrap w:val="0"/>
                  <w:vAlign w:val="center"/>
                </w:tcPr>
                <w:p w14:paraId="65248C69">
                  <w:pPr>
                    <w:pStyle w:val="46"/>
                    <w:keepNext w:val="0"/>
                    <w:keepLines w:val="0"/>
                    <w:suppressLineNumbers w:val="0"/>
                    <w:bidi w:val="0"/>
                    <w:spacing w:before="0" w:beforeAutospacing="0" w:after="0" w:afterAutospacing="0"/>
                    <w:rPr>
                      <w:rFonts w:hint="default" w:eastAsia="宋体"/>
                      <w:color w:val="auto"/>
                      <w:lang w:val="en-US" w:eastAsia="zh-CN"/>
                    </w:rPr>
                  </w:pPr>
                  <w:r>
                    <w:rPr>
                      <w:rFonts w:hint="eastAsia"/>
                      <w:color w:val="auto"/>
                      <w:lang w:val="en-US" w:eastAsia="zh-CN"/>
                    </w:rPr>
                    <w:t>位于1#厂房东侧，建筑面积约400㎡，用于暂存废旧电动自行车</w:t>
                  </w:r>
                </w:p>
              </w:tc>
              <w:tc>
                <w:tcPr>
                  <w:tcW w:w="870" w:type="pct"/>
                  <w:vMerge w:val="continue"/>
                  <w:noWrap w:val="0"/>
                  <w:vAlign w:val="center"/>
                </w:tcPr>
                <w:p w14:paraId="3CF3D4D1">
                  <w:pPr>
                    <w:pStyle w:val="46"/>
                    <w:keepNext w:val="0"/>
                    <w:keepLines w:val="0"/>
                    <w:suppressLineNumbers w:val="0"/>
                    <w:bidi w:val="0"/>
                    <w:spacing w:before="0" w:beforeAutospacing="0" w:after="0" w:afterAutospacing="0"/>
                    <w:rPr>
                      <w:rFonts w:hint="default"/>
                      <w:color w:val="auto"/>
                      <w:lang w:val="en-US" w:eastAsia="zh-CN"/>
                    </w:rPr>
                  </w:pPr>
                </w:p>
              </w:tc>
              <w:tc>
                <w:tcPr>
                  <w:tcW w:w="735" w:type="pct"/>
                  <w:vMerge w:val="continue"/>
                  <w:noWrap w:val="0"/>
                  <w:vAlign w:val="center"/>
                </w:tcPr>
                <w:p w14:paraId="7163649D">
                  <w:pPr>
                    <w:pStyle w:val="46"/>
                    <w:keepNext w:val="0"/>
                    <w:keepLines w:val="0"/>
                    <w:suppressLineNumbers w:val="0"/>
                    <w:bidi w:val="0"/>
                    <w:spacing w:before="0" w:beforeAutospacing="0" w:after="0" w:afterAutospacing="0"/>
                    <w:rPr>
                      <w:rFonts w:hint="eastAsia"/>
                      <w:color w:val="auto"/>
                      <w:lang w:val="en-US" w:eastAsia="zh-CN"/>
                    </w:rPr>
                  </w:pPr>
                </w:p>
              </w:tc>
            </w:tr>
            <w:tr w14:paraId="10D95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69" w:type="pct"/>
                  <w:vMerge w:val="continue"/>
                  <w:noWrap w:val="0"/>
                  <w:vAlign w:val="center"/>
                </w:tcPr>
                <w:p w14:paraId="39ADF23E">
                  <w:pPr>
                    <w:pStyle w:val="46"/>
                    <w:keepNext w:val="0"/>
                    <w:keepLines w:val="0"/>
                    <w:suppressLineNumbers w:val="0"/>
                    <w:bidi w:val="0"/>
                    <w:spacing w:before="0" w:beforeAutospacing="0" w:after="0" w:afterAutospacing="0"/>
                    <w:rPr>
                      <w:color w:val="auto"/>
                    </w:rPr>
                  </w:pPr>
                </w:p>
              </w:tc>
              <w:tc>
                <w:tcPr>
                  <w:tcW w:w="526" w:type="pct"/>
                  <w:gridSpan w:val="2"/>
                  <w:noWrap w:val="0"/>
                  <w:vAlign w:val="center"/>
                </w:tcPr>
                <w:p w14:paraId="06D1EB96">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暂存车间</w:t>
                  </w:r>
                </w:p>
              </w:tc>
              <w:tc>
                <w:tcPr>
                  <w:tcW w:w="2497" w:type="pct"/>
                  <w:noWrap w:val="0"/>
                  <w:vAlign w:val="center"/>
                </w:tcPr>
                <w:p w14:paraId="6CF45FA6">
                  <w:pPr>
                    <w:pStyle w:val="46"/>
                    <w:keepNext w:val="0"/>
                    <w:keepLines w:val="0"/>
                    <w:suppressLineNumbers w:val="0"/>
                    <w:bidi w:val="0"/>
                    <w:spacing w:before="0" w:beforeAutospacing="0" w:after="0" w:afterAutospacing="0"/>
                    <w:rPr>
                      <w:rFonts w:hint="default" w:eastAsia="宋体"/>
                      <w:color w:val="auto"/>
                      <w:lang w:val="en-US" w:eastAsia="zh-CN"/>
                    </w:rPr>
                  </w:pPr>
                  <w:r>
                    <w:rPr>
                      <w:rFonts w:hint="eastAsia"/>
                      <w:color w:val="auto"/>
                      <w:lang w:val="en-US" w:eastAsia="zh-CN"/>
                    </w:rPr>
                    <w:t>2#厂房，1F，高8</w:t>
                  </w:r>
                  <w:r>
                    <w:rPr>
                      <w:rFonts w:hint="eastAsia"/>
                      <w:color w:val="auto"/>
                    </w:rPr>
                    <w:t>m钢结构厂房</w:t>
                  </w:r>
                  <w:r>
                    <w:rPr>
                      <w:rFonts w:hint="eastAsia"/>
                      <w:color w:val="auto"/>
                      <w:lang w:eastAsia="zh-CN"/>
                    </w:rPr>
                    <w:t>，</w:t>
                  </w:r>
                  <w:r>
                    <w:rPr>
                      <w:rFonts w:hint="eastAsia"/>
                      <w:color w:val="auto"/>
                    </w:rPr>
                    <w:t>总建设面积</w:t>
                  </w:r>
                  <w:r>
                    <w:rPr>
                      <w:rFonts w:hint="eastAsia"/>
                      <w:color w:val="auto"/>
                      <w:lang w:val="en-US" w:eastAsia="zh-CN"/>
                    </w:rPr>
                    <w:t>约1000</w:t>
                  </w:r>
                  <w:r>
                    <w:rPr>
                      <w:color w:val="auto"/>
                    </w:rPr>
                    <w:t>m</w:t>
                  </w:r>
                  <w:r>
                    <w:rPr>
                      <w:color w:val="auto"/>
                      <w:vertAlign w:val="superscript"/>
                    </w:rPr>
                    <w:t>2</w:t>
                  </w:r>
                  <w:r>
                    <w:rPr>
                      <w:rFonts w:hint="eastAsia"/>
                      <w:color w:val="auto"/>
                    </w:rPr>
                    <w:t>，地面</w:t>
                  </w:r>
                  <w:r>
                    <w:rPr>
                      <w:rFonts w:hint="eastAsia"/>
                      <w:color w:val="auto"/>
                      <w:lang w:val="en-US" w:eastAsia="zh-CN"/>
                    </w:rPr>
                    <w:t>已</w:t>
                  </w:r>
                  <w:r>
                    <w:rPr>
                      <w:rFonts w:hint="eastAsia"/>
                      <w:color w:val="auto"/>
                    </w:rPr>
                    <w:t>硬化</w:t>
                  </w:r>
                  <w:r>
                    <w:rPr>
                      <w:rFonts w:hint="eastAsia"/>
                      <w:color w:val="auto"/>
                      <w:highlight w:val="none"/>
                    </w:rPr>
                    <w:t>，</w:t>
                  </w:r>
                  <w:r>
                    <w:rPr>
                      <w:rFonts w:hint="eastAsia"/>
                      <w:color w:val="auto"/>
                      <w:highlight w:val="none"/>
                      <w:lang w:val="en-US" w:eastAsia="zh-CN"/>
                    </w:rPr>
                    <w:t>主要布设一般固废暂存区、危废暂存区，其中一般固废暂存区包含废线、废钢铁件、废电机、废塑料片、废橡胶、废玻璃、废皮布制品及废锂电池暂存区等</w:t>
                  </w:r>
                </w:p>
              </w:tc>
              <w:tc>
                <w:tcPr>
                  <w:tcW w:w="870" w:type="pct"/>
                  <w:noWrap w:val="0"/>
                  <w:vAlign w:val="center"/>
                </w:tcPr>
                <w:p w14:paraId="61BA187A">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年暂存一般固废8005吨，危险废物418.195吨</w:t>
                  </w:r>
                </w:p>
              </w:tc>
              <w:tc>
                <w:tcPr>
                  <w:tcW w:w="735" w:type="pct"/>
                  <w:vMerge w:val="continue"/>
                  <w:noWrap w:val="0"/>
                  <w:vAlign w:val="center"/>
                </w:tcPr>
                <w:p w14:paraId="4FD27ADF">
                  <w:pPr>
                    <w:pStyle w:val="46"/>
                    <w:keepNext w:val="0"/>
                    <w:keepLines w:val="0"/>
                    <w:suppressLineNumbers w:val="0"/>
                    <w:bidi w:val="0"/>
                    <w:spacing w:before="0" w:beforeAutospacing="0" w:after="0" w:afterAutospacing="0"/>
                    <w:rPr>
                      <w:rFonts w:hint="eastAsia"/>
                      <w:color w:val="auto"/>
                      <w:lang w:val="en-US" w:eastAsia="zh-CN"/>
                    </w:rPr>
                  </w:pPr>
                </w:p>
              </w:tc>
            </w:tr>
            <w:tr w14:paraId="606CD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69" w:type="pct"/>
                  <w:noWrap w:val="0"/>
                  <w:vAlign w:val="center"/>
                </w:tcPr>
                <w:p w14:paraId="1398E788">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辅助</w:t>
                  </w:r>
                </w:p>
                <w:p w14:paraId="31F0959F">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工程</w:t>
                  </w:r>
                </w:p>
              </w:tc>
              <w:tc>
                <w:tcPr>
                  <w:tcW w:w="526" w:type="pct"/>
                  <w:gridSpan w:val="2"/>
                  <w:noWrap w:val="0"/>
                  <w:vAlign w:val="center"/>
                </w:tcPr>
                <w:p w14:paraId="1EF7E23F">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办公室</w:t>
                  </w:r>
                </w:p>
              </w:tc>
              <w:tc>
                <w:tcPr>
                  <w:tcW w:w="2497" w:type="pct"/>
                  <w:noWrap w:val="0"/>
                  <w:vAlign w:val="center"/>
                </w:tcPr>
                <w:p w14:paraId="051AD311">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位于祥瑞林业办公楼</w:t>
                  </w:r>
                  <w:r>
                    <w:rPr>
                      <w:rFonts w:hint="eastAsia" w:cs="Times New Roman"/>
                      <w:color w:val="auto"/>
                      <w:lang w:val="en-US" w:eastAsia="zh-CN"/>
                    </w:rPr>
                    <w:t>内</w:t>
                  </w:r>
                  <w:r>
                    <w:rPr>
                      <w:rFonts w:hint="eastAsia" w:ascii="Times New Roman" w:hAnsi="Times New Roman" w:eastAsia="宋体" w:cs="Times New Roman"/>
                      <w:color w:val="auto"/>
                      <w:lang w:val="en-US" w:eastAsia="zh-CN"/>
                    </w:rPr>
                    <w:t>，用于生产人员办公</w:t>
                  </w:r>
                </w:p>
              </w:tc>
              <w:tc>
                <w:tcPr>
                  <w:tcW w:w="870" w:type="pct"/>
                  <w:noWrap w:val="0"/>
                  <w:vAlign w:val="center"/>
                </w:tcPr>
                <w:p w14:paraId="13F7E37B">
                  <w:pPr>
                    <w:pStyle w:val="46"/>
                    <w:keepNext w:val="0"/>
                    <w:keepLines w:val="0"/>
                    <w:suppressLineNumbers w:val="0"/>
                    <w:bidi w:val="0"/>
                    <w:spacing w:before="0" w:beforeAutospacing="0" w:after="0" w:afterAutospacing="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建筑面积约100㎡</w:t>
                  </w:r>
                </w:p>
              </w:tc>
              <w:tc>
                <w:tcPr>
                  <w:tcW w:w="735" w:type="pct"/>
                  <w:noWrap w:val="0"/>
                  <w:vAlign w:val="center"/>
                </w:tcPr>
                <w:p w14:paraId="016E4CC0">
                  <w:pPr>
                    <w:pStyle w:val="46"/>
                    <w:keepNext w:val="0"/>
                    <w:keepLines w:val="0"/>
                    <w:suppressLineNumbers w:val="0"/>
                    <w:bidi w:val="0"/>
                    <w:spacing w:before="0" w:beforeAutospacing="0" w:after="0" w:afterAutospacing="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位于租赁厂房外，依托现有已建办公楼</w:t>
                  </w:r>
                </w:p>
              </w:tc>
            </w:tr>
            <w:tr w14:paraId="2E81D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69" w:type="pct"/>
                  <w:vMerge w:val="restart"/>
                  <w:noWrap w:val="0"/>
                  <w:vAlign w:val="center"/>
                </w:tcPr>
                <w:p w14:paraId="7DFBB122">
                  <w:pPr>
                    <w:pStyle w:val="46"/>
                    <w:keepNext w:val="0"/>
                    <w:keepLines w:val="0"/>
                    <w:suppressLineNumbers w:val="0"/>
                    <w:bidi w:val="0"/>
                    <w:spacing w:before="0" w:beforeAutospacing="0" w:after="0" w:afterAutospacing="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储运工程</w:t>
                  </w:r>
                </w:p>
              </w:tc>
              <w:tc>
                <w:tcPr>
                  <w:tcW w:w="526" w:type="pct"/>
                  <w:gridSpan w:val="2"/>
                  <w:noWrap w:val="0"/>
                  <w:vAlign w:val="center"/>
                </w:tcPr>
                <w:p w14:paraId="370DF11E">
                  <w:pPr>
                    <w:pStyle w:val="46"/>
                    <w:keepNext w:val="0"/>
                    <w:keepLines w:val="0"/>
                    <w:suppressLineNumbers w:val="0"/>
                    <w:bidi w:val="0"/>
                    <w:spacing w:before="0" w:beforeAutospacing="0" w:after="0" w:afterAutospacing="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废旧电动车暂存区</w:t>
                  </w:r>
                </w:p>
              </w:tc>
              <w:tc>
                <w:tcPr>
                  <w:tcW w:w="2497" w:type="pct"/>
                  <w:shd w:val="clear" w:color="auto" w:fill="auto"/>
                  <w:noWrap w:val="0"/>
                  <w:vAlign w:val="center"/>
                </w:tcPr>
                <w:p w14:paraId="2C5F208F">
                  <w:pPr>
                    <w:pStyle w:val="46"/>
                    <w:keepNext w:val="0"/>
                    <w:keepLines w:val="0"/>
                    <w:suppressLineNumbers w:val="0"/>
                    <w:bidi w:val="0"/>
                    <w:spacing w:before="0" w:beforeAutospacing="0" w:after="0" w:afterAutospacing="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位于1#厂房东北侧，用于暂存废旧电动自行车，</w:t>
                  </w:r>
                  <w:r>
                    <w:rPr>
                      <w:rFonts w:hint="eastAsia"/>
                      <w:color w:val="auto"/>
                      <w:lang w:val="en-US" w:eastAsia="zh-CN"/>
                    </w:rPr>
                    <w:t>建筑面积约400㎡，用于暂存废旧电动自行车，</w:t>
                  </w:r>
                  <w:r>
                    <w:rPr>
                      <w:rFonts w:hint="eastAsia" w:ascii="Times New Roman" w:hAnsi="Times New Roman" w:eastAsia="宋体" w:cs="Times New Roman"/>
                      <w:color w:val="auto"/>
                      <w:lang w:val="en-US" w:eastAsia="zh-CN"/>
                    </w:rPr>
                    <w:t>最大暂存量约150辆</w:t>
                  </w:r>
                </w:p>
              </w:tc>
              <w:tc>
                <w:tcPr>
                  <w:tcW w:w="870" w:type="pct"/>
                  <w:shd w:val="clear" w:color="auto" w:fill="auto"/>
                  <w:noWrap w:val="0"/>
                  <w:vAlign w:val="center"/>
                </w:tcPr>
                <w:p w14:paraId="6B3011DA">
                  <w:pPr>
                    <w:pStyle w:val="46"/>
                    <w:keepNext w:val="0"/>
                    <w:keepLines w:val="0"/>
                    <w:suppressLineNumbers w:val="0"/>
                    <w:bidi w:val="0"/>
                    <w:spacing w:before="0" w:beforeAutospacing="0" w:after="0" w:afterAutospacing="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建筑面积</w:t>
                  </w:r>
                  <w:r>
                    <w:rPr>
                      <w:rFonts w:hint="eastAsia" w:cs="Times New Roman"/>
                      <w:color w:val="auto"/>
                      <w:lang w:val="en-US" w:eastAsia="zh-CN"/>
                    </w:rPr>
                    <w:t>400</w:t>
                  </w:r>
                  <w:r>
                    <w:rPr>
                      <w:rFonts w:hint="eastAsia" w:ascii="Times New Roman" w:hAnsi="Times New Roman" w:eastAsia="宋体" w:cs="Times New Roman"/>
                      <w:color w:val="auto"/>
                      <w:lang w:val="en-US" w:eastAsia="zh-CN"/>
                    </w:rPr>
                    <w:t>㎡</w:t>
                  </w:r>
                </w:p>
              </w:tc>
              <w:tc>
                <w:tcPr>
                  <w:tcW w:w="735" w:type="pct"/>
                  <w:vMerge w:val="restart"/>
                  <w:noWrap w:val="0"/>
                  <w:vAlign w:val="center"/>
                </w:tcPr>
                <w:p w14:paraId="50AF03FC">
                  <w:pPr>
                    <w:pStyle w:val="46"/>
                    <w:keepNext w:val="0"/>
                    <w:keepLines w:val="0"/>
                    <w:suppressLineNumbers w:val="0"/>
                    <w:bidi w:val="0"/>
                    <w:spacing w:before="0" w:beforeAutospacing="0" w:after="0" w:afterAutospacing="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于现有厂房内布设</w:t>
                  </w:r>
                </w:p>
              </w:tc>
            </w:tr>
            <w:tr w14:paraId="296CF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69" w:type="pct"/>
                  <w:vMerge w:val="continue"/>
                  <w:noWrap w:val="0"/>
                  <w:vAlign w:val="center"/>
                </w:tcPr>
                <w:p w14:paraId="5B097526">
                  <w:pPr>
                    <w:pStyle w:val="46"/>
                    <w:keepNext w:val="0"/>
                    <w:keepLines w:val="0"/>
                    <w:suppressLineNumbers w:val="0"/>
                    <w:bidi w:val="0"/>
                    <w:spacing w:before="0" w:beforeAutospacing="0" w:after="0" w:afterAutospacing="0"/>
                    <w:rPr>
                      <w:rFonts w:hint="eastAsia"/>
                      <w:color w:val="1D70F5"/>
                      <w:lang w:val="en-US" w:eastAsia="zh-CN"/>
                    </w:rPr>
                  </w:pPr>
                </w:p>
              </w:tc>
              <w:tc>
                <w:tcPr>
                  <w:tcW w:w="526" w:type="pct"/>
                  <w:gridSpan w:val="2"/>
                  <w:shd w:val="clear" w:color="auto" w:fill="auto"/>
                  <w:noWrap w:val="0"/>
                  <w:vAlign w:val="center"/>
                </w:tcPr>
                <w:p w14:paraId="75C40F28">
                  <w:pPr>
                    <w:pStyle w:val="46"/>
                    <w:keepNext w:val="0"/>
                    <w:keepLines w:val="0"/>
                    <w:suppressLineNumbers w:val="0"/>
                    <w:bidi w:val="0"/>
                    <w:spacing w:before="0" w:beforeAutospacing="0" w:after="0" w:afterAutospacing="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一般固废暂存区</w:t>
                  </w:r>
                </w:p>
              </w:tc>
              <w:tc>
                <w:tcPr>
                  <w:tcW w:w="2497" w:type="pct"/>
                  <w:shd w:val="clear" w:color="auto" w:fill="auto"/>
                  <w:noWrap w:val="0"/>
                  <w:vAlign w:val="center"/>
                </w:tcPr>
                <w:p w14:paraId="4E1E5D95">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位于2#厂房西侧，用于暂存拆解后的一般固体废物</w:t>
                  </w:r>
                </w:p>
              </w:tc>
              <w:tc>
                <w:tcPr>
                  <w:tcW w:w="870" w:type="pct"/>
                  <w:shd w:val="clear" w:color="auto" w:fill="auto"/>
                  <w:noWrap w:val="0"/>
                  <w:vAlign w:val="center"/>
                </w:tcPr>
                <w:p w14:paraId="6E773F47">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auto"/>
                      <w:kern w:val="2"/>
                      <w:sz w:val="21"/>
                      <w:szCs w:val="21"/>
                      <w:highlight w:val="none"/>
                      <w:lang w:val="en-US" w:eastAsia="zh-CN" w:bidi="ar-SA"/>
                    </w:rPr>
                  </w:pPr>
                  <w:r>
                    <w:rPr>
                      <w:rFonts w:hint="eastAsia"/>
                      <w:color w:val="auto"/>
                      <w:highlight w:val="none"/>
                      <w:lang w:val="en-US" w:eastAsia="zh-CN"/>
                    </w:rPr>
                    <w:t>建筑面积800㎡</w:t>
                  </w:r>
                </w:p>
              </w:tc>
              <w:tc>
                <w:tcPr>
                  <w:tcW w:w="735" w:type="pct"/>
                  <w:vMerge w:val="continue"/>
                  <w:shd w:val="clear" w:color="auto" w:fill="auto"/>
                  <w:noWrap w:val="0"/>
                  <w:vAlign w:val="center"/>
                </w:tcPr>
                <w:p w14:paraId="27862130">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1D70F5"/>
                      <w:kern w:val="2"/>
                      <w:sz w:val="21"/>
                      <w:szCs w:val="21"/>
                      <w:lang w:val="en-US" w:eastAsia="zh-CN" w:bidi="ar-SA"/>
                    </w:rPr>
                  </w:pPr>
                </w:p>
              </w:tc>
            </w:tr>
            <w:tr w14:paraId="024B0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69" w:type="pct"/>
                  <w:vMerge w:val="continue"/>
                  <w:noWrap w:val="0"/>
                  <w:vAlign w:val="center"/>
                </w:tcPr>
                <w:p w14:paraId="0B9DA4EA">
                  <w:pPr>
                    <w:pStyle w:val="46"/>
                    <w:keepNext w:val="0"/>
                    <w:keepLines w:val="0"/>
                    <w:suppressLineNumbers w:val="0"/>
                    <w:bidi w:val="0"/>
                    <w:spacing w:before="0" w:beforeAutospacing="0" w:after="0" w:afterAutospacing="0"/>
                    <w:rPr>
                      <w:rFonts w:hint="eastAsia"/>
                      <w:color w:val="1D70F5"/>
                      <w:lang w:val="en-US" w:eastAsia="zh-CN"/>
                    </w:rPr>
                  </w:pPr>
                </w:p>
              </w:tc>
              <w:tc>
                <w:tcPr>
                  <w:tcW w:w="526" w:type="pct"/>
                  <w:gridSpan w:val="2"/>
                  <w:shd w:val="clear" w:color="auto" w:fill="auto"/>
                  <w:noWrap w:val="0"/>
                  <w:vAlign w:val="center"/>
                </w:tcPr>
                <w:p w14:paraId="2AA9A369">
                  <w:pPr>
                    <w:pStyle w:val="46"/>
                    <w:keepNext w:val="0"/>
                    <w:keepLines w:val="0"/>
                    <w:suppressLineNumbers w:val="0"/>
                    <w:bidi w:val="0"/>
                    <w:spacing w:before="0" w:beforeAutospacing="0" w:after="0" w:afterAutospacing="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危废暂存间</w:t>
                  </w:r>
                </w:p>
              </w:tc>
              <w:tc>
                <w:tcPr>
                  <w:tcW w:w="2497" w:type="pct"/>
                  <w:shd w:val="clear" w:color="auto" w:fill="auto"/>
                  <w:noWrap w:val="0"/>
                  <w:vAlign w:val="center"/>
                </w:tcPr>
                <w:p w14:paraId="1EFC07E3">
                  <w:pPr>
                    <w:pStyle w:val="46"/>
                    <w:keepNext w:val="0"/>
                    <w:keepLines w:val="0"/>
                    <w:suppressLineNumbers w:val="0"/>
                    <w:bidi w:val="0"/>
                    <w:spacing w:before="0" w:beforeAutospacing="0" w:after="0" w:afterAutospacing="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位于2#厂房东北侧，用于暂存拆解产生的危险废物</w:t>
                  </w:r>
                </w:p>
              </w:tc>
              <w:tc>
                <w:tcPr>
                  <w:tcW w:w="870" w:type="pct"/>
                  <w:shd w:val="clear" w:color="auto" w:fill="auto"/>
                  <w:noWrap w:val="0"/>
                  <w:vAlign w:val="center"/>
                </w:tcPr>
                <w:p w14:paraId="140E367F">
                  <w:pPr>
                    <w:pStyle w:val="46"/>
                    <w:keepNext w:val="0"/>
                    <w:keepLines w:val="0"/>
                    <w:suppressLineNumbers w:val="0"/>
                    <w:bidi w:val="0"/>
                    <w:spacing w:before="0" w:beforeAutospacing="0" w:after="0" w:afterAutospacing="0"/>
                    <w:ind w:left="24" w:leftChars="10" w:right="24" w:rightChars="10" w:firstLine="0" w:firstLineChars="0"/>
                    <w:rPr>
                      <w:rFonts w:hint="eastAsia"/>
                      <w:color w:val="auto"/>
                      <w:highlight w:val="none"/>
                      <w:lang w:val="en-US" w:eastAsia="zh-CN"/>
                    </w:rPr>
                  </w:pPr>
                  <w:r>
                    <w:rPr>
                      <w:rFonts w:hint="eastAsia"/>
                      <w:color w:val="auto"/>
                      <w:highlight w:val="none"/>
                      <w:lang w:val="en-US" w:eastAsia="zh-CN"/>
                    </w:rPr>
                    <w:t>建筑面积6</w:t>
                  </w:r>
                  <w:commentRangeStart w:id="12"/>
                  <w:commentRangeStart w:id="13"/>
                  <w:r>
                    <w:rPr>
                      <w:rFonts w:hint="eastAsia"/>
                      <w:color w:val="auto"/>
                      <w:highlight w:val="none"/>
                      <w:lang w:val="en-US" w:eastAsia="zh-CN"/>
                    </w:rPr>
                    <w:t>0</w:t>
                  </w:r>
                  <w:commentRangeEnd w:id="12"/>
                  <w:r>
                    <w:commentReference w:id="12"/>
                  </w:r>
                  <w:commentRangeEnd w:id="13"/>
                  <w:r>
                    <w:commentReference w:id="13"/>
                  </w:r>
                  <w:r>
                    <w:rPr>
                      <w:rFonts w:hint="eastAsia"/>
                      <w:color w:val="auto"/>
                      <w:highlight w:val="none"/>
                      <w:lang w:val="en-US" w:eastAsia="zh-CN"/>
                    </w:rPr>
                    <w:t>㎡</w:t>
                  </w:r>
                </w:p>
              </w:tc>
              <w:tc>
                <w:tcPr>
                  <w:tcW w:w="735" w:type="pct"/>
                  <w:vMerge w:val="continue"/>
                  <w:shd w:val="clear" w:color="auto" w:fill="auto"/>
                  <w:noWrap w:val="0"/>
                  <w:vAlign w:val="center"/>
                </w:tcPr>
                <w:p w14:paraId="1201805B">
                  <w:pPr>
                    <w:pStyle w:val="46"/>
                    <w:keepNext w:val="0"/>
                    <w:keepLines w:val="0"/>
                    <w:suppressLineNumbers w:val="0"/>
                    <w:bidi w:val="0"/>
                    <w:spacing w:before="0" w:beforeAutospacing="0" w:after="0" w:afterAutospacing="0"/>
                    <w:ind w:left="24" w:leftChars="10" w:right="24" w:rightChars="10" w:firstLine="0" w:firstLineChars="0"/>
                    <w:rPr>
                      <w:rFonts w:hint="eastAsia"/>
                      <w:color w:val="1D70F5"/>
                      <w:lang w:val="en-US" w:eastAsia="zh-CN"/>
                    </w:rPr>
                  </w:pPr>
                </w:p>
              </w:tc>
            </w:tr>
            <w:tr w14:paraId="58E40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69" w:type="pct"/>
                  <w:vMerge w:val="restart"/>
                  <w:noWrap w:val="0"/>
                  <w:vAlign w:val="center"/>
                </w:tcPr>
                <w:p w14:paraId="3CA08783">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公用</w:t>
                  </w:r>
                </w:p>
                <w:p w14:paraId="20A99EB4">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工程</w:t>
                  </w:r>
                </w:p>
              </w:tc>
              <w:tc>
                <w:tcPr>
                  <w:tcW w:w="526" w:type="pct"/>
                  <w:gridSpan w:val="2"/>
                  <w:noWrap w:val="0"/>
                  <w:vAlign w:val="center"/>
                </w:tcPr>
                <w:p w14:paraId="39A8C270">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供配电</w:t>
                  </w:r>
                </w:p>
              </w:tc>
              <w:tc>
                <w:tcPr>
                  <w:tcW w:w="2497" w:type="pct"/>
                  <w:noWrap w:val="0"/>
                  <w:vAlign w:val="center"/>
                </w:tcPr>
                <w:p w14:paraId="3E555565">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来自市政供电电网</w:t>
                  </w:r>
                </w:p>
              </w:tc>
              <w:tc>
                <w:tcPr>
                  <w:tcW w:w="870" w:type="pct"/>
                  <w:noWrap w:val="0"/>
                  <w:vAlign w:val="center"/>
                </w:tcPr>
                <w:p w14:paraId="0DE1C335">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年用电量5万kW•h</w:t>
                  </w:r>
                </w:p>
              </w:tc>
              <w:tc>
                <w:tcPr>
                  <w:tcW w:w="735" w:type="pct"/>
                  <w:shd w:val="clear" w:color="auto" w:fill="auto"/>
                  <w:noWrap w:val="0"/>
                  <w:vAlign w:val="center"/>
                </w:tcPr>
                <w:p w14:paraId="785DC205">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依托现有电网</w:t>
                  </w:r>
                </w:p>
              </w:tc>
            </w:tr>
            <w:tr w14:paraId="1D9D5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69" w:type="pct"/>
                  <w:vMerge w:val="continue"/>
                  <w:noWrap w:val="0"/>
                  <w:vAlign w:val="center"/>
                </w:tcPr>
                <w:p w14:paraId="362B791F">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p>
              </w:tc>
              <w:tc>
                <w:tcPr>
                  <w:tcW w:w="526" w:type="pct"/>
                  <w:gridSpan w:val="2"/>
                  <w:noWrap w:val="0"/>
                  <w:vAlign w:val="center"/>
                </w:tcPr>
                <w:p w14:paraId="75A14DE5">
                  <w:pPr>
                    <w:pStyle w:val="46"/>
                    <w:keepNext w:val="0"/>
                    <w:keepLines w:val="0"/>
                    <w:suppressLineNumbers w:val="0"/>
                    <w:bidi w:val="0"/>
                    <w:spacing w:before="0" w:beforeAutospacing="0" w:after="0" w:afterAutospacing="0"/>
                    <w:rPr>
                      <w:color w:val="auto"/>
                    </w:rPr>
                  </w:pPr>
                  <w:r>
                    <w:rPr>
                      <w:color w:val="auto"/>
                    </w:rPr>
                    <w:t>供水</w:t>
                  </w:r>
                </w:p>
              </w:tc>
              <w:tc>
                <w:tcPr>
                  <w:tcW w:w="2497" w:type="pct"/>
                  <w:noWrap w:val="0"/>
                  <w:vAlign w:val="center"/>
                </w:tcPr>
                <w:p w14:paraId="5FD9B1A9">
                  <w:pPr>
                    <w:pStyle w:val="46"/>
                    <w:keepNext w:val="0"/>
                    <w:keepLines w:val="0"/>
                    <w:suppressLineNumbers w:val="0"/>
                    <w:bidi w:val="0"/>
                    <w:spacing w:before="0" w:beforeAutospacing="0" w:after="0" w:afterAutospacing="0"/>
                    <w:rPr>
                      <w:color w:val="auto"/>
                    </w:rPr>
                  </w:pPr>
                  <w:r>
                    <w:rPr>
                      <w:rFonts w:hint="eastAsia"/>
                      <w:color w:val="auto"/>
                    </w:rPr>
                    <w:t>来自</w:t>
                  </w:r>
                  <w:r>
                    <w:rPr>
                      <w:color w:val="auto"/>
                    </w:rPr>
                    <w:t>市政供水系统提供</w:t>
                  </w:r>
                </w:p>
              </w:tc>
              <w:tc>
                <w:tcPr>
                  <w:tcW w:w="870" w:type="pct"/>
                  <w:noWrap w:val="0"/>
                  <w:vAlign w:val="center"/>
                </w:tcPr>
                <w:p w14:paraId="4D769A4F">
                  <w:pPr>
                    <w:pStyle w:val="46"/>
                    <w:keepNext w:val="0"/>
                    <w:keepLines w:val="0"/>
                    <w:suppressLineNumbers w:val="0"/>
                    <w:bidi w:val="0"/>
                    <w:spacing w:before="0" w:beforeAutospacing="0" w:after="0" w:afterAutospacing="0"/>
                    <w:rPr>
                      <w:rFonts w:hint="eastAsia"/>
                      <w:color w:val="auto"/>
                      <w:highlight w:val="none"/>
                    </w:rPr>
                  </w:pPr>
                  <w:r>
                    <w:rPr>
                      <w:color w:val="auto"/>
                      <w:highlight w:val="none"/>
                    </w:rPr>
                    <w:t>用水量</w:t>
                  </w:r>
                  <w:r>
                    <w:rPr>
                      <w:rFonts w:hint="eastAsia"/>
                      <w:color w:val="auto"/>
                      <w:highlight w:val="none"/>
                      <w:lang w:val="en-US" w:eastAsia="zh-CN"/>
                    </w:rPr>
                    <w:t>811.3</w:t>
                  </w:r>
                  <w:r>
                    <w:rPr>
                      <w:color w:val="auto"/>
                      <w:highlight w:val="none"/>
                    </w:rPr>
                    <w:t>t/a</w:t>
                  </w:r>
                </w:p>
              </w:tc>
              <w:tc>
                <w:tcPr>
                  <w:tcW w:w="735" w:type="pct"/>
                  <w:shd w:val="clear" w:color="auto" w:fill="auto"/>
                  <w:noWrap w:val="0"/>
                  <w:vAlign w:val="center"/>
                </w:tcPr>
                <w:p w14:paraId="42082573">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auto"/>
                      <w:kern w:val="2"/>
                      <w:sz w:val="21"/>
                      <w:szCs w:val="21"/>
                      <w:highlight w:val="none"/>
                      <w:lang w:val="en-US" w:eastAsia="zh-CN" w:bidi="ar-SA"/>
                    </w:rPr>
                  </w:pPr>
                  <w:r>
                    <w:rPr>
                      <w:rFonts w:hint="eastAsia"/>
                      <w:color w:val="auto"/>
                      <w:highlight w:val="none"/>
                      <w:lang w:val="en-US" w:eastAsia="zh-CN"/>
                    </w:rPr>
                    <w:t>依托现有供水管网</w:t>
                  </w:r>
                </w:p>
              </w:tc>
            </w:tr>
            <w:tr w14:paraId="084A6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69" w:type="pct"/>
                  <w:vMerge w:val="continue"/>
                  <w:noWrap w:val="0"/>
                  <w:vAlign w:val="center"/>
                </w:tcPr>
                <w:p w14:paraId="50C923C6">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p>
              </w:tc>
              <w:tc>
                <w:tcPr>
                  <w:tcW w:w="526" w:type="pct"/>
                  <w:gridSpan w:val="2"/>
                  <w:noWrap w:val="0"/>
                  <w:vAlign w:val="center"/>
                </w:tcPr>
                <w:p w14:paraId="5002DAC4">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排水</w:t>
                  </w:r>
                </w:p>
              </w:tc>
              <w:tc>
                <w:tcPr>
                  <w:tcW w:w="3368" w:type="pct"/>
                  <w:gridSpan w:val="2"/>
                  <w:noWrap w:val="0"/>
                  <w:vAlign w:val="center"/>
                </w:tcPr>
                <w:p w14:paraId="2555B551">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雨污分流，雨水接管雨水管网，生活污水经化粪池处理后经园区污水管网进入淮南首创八公山污水处理厂</w:t>
                  </w:r>
                </w:p>
              </w:tc>
              <w:tc>
                <w:tcPr>
                  <w:tcW w:w="735" w:type="pct"/>
                  <w:vMerge w:val="restart"/>
                  <w:noWrap w:val="0"/>
                  <w:vAlign w:val="center"/>
                </w:tcPr>
                <w:p w14:paraId="34347B6B">
                  <w:pPr>
                    <w:pStyle w:val="46"/>
                    <w:keepNext w:val="0"/>
                    <w:keepLines w:val="0"/>
                    <w:suppressLineNumbers w:val="0"/>
                    <w:bidi w:val="0"/>
                    <w:spacing w:before="0" w:beforeAutospacing="0" w:after="0" w:afterAutospacing="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生活污水依托现有排水管网</w:t>
                  </w:r>
                </w:p>
              </w:tc>
            </w:tr>
            <w:tr w14:paraId="5CA72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69" w:type="pct"/>
                  <w:vMerge w:val="restart"/>
                  <w:noWrap w:val="0"/>
                  <w:vAlign w:val="center"/>
                </w:tcPr>
                <w:p w14:paraId="1247AC8F">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环保</w:t>
                  </w:r>
                </w:p>
                <w:p w14:paraId="37BD551B">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工程</w:t>
                  </w:r>
                </w:p>
              </w:tc>
              <w:tc>
                <w:tcPr>
                  <w:tcW w:w="526" w:type="pct"/>
                  <w:gridSpan w:val="2"/>
                  <w:noWrap w:val="0"/>
                  <w:vAlign w:val="center"/>
                </w:tcPr>
                <w:p w14:paraId="17DB70D8">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废水</w:t>
                  </w:r>
                </w:p>
                <w:p w14:paraId="091BBCC6">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治理</w:t>
                  </w:r>
                </w:p>
              </w:tc>
              <w:tc>
                <w:tcPr>
                  <w:tcW w:w="3368" w:type="pct"/>
                  <w:gridSpan w:val="2"/>
                  <w:noWrap w:val="0"/>
                  <w:vAlign w:val="center"/>
                </w:tcPr>
                <w:p w14:paraId="54C06398">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雨污分流，雨水接管雨水管网，生活污水经化粪池处理后经园区污水管网进入淮南首创八公山污水处理厂</w:t>
                  </w:r>
                </w:p>
              </w:tc>
              <w:tc>
                <w:tcPr>
                  <w:tcW w:w="735" w:type="pct"/>
                  <w:vMerge w:val="continue"/>
                  <w:noWrap w:val="0"/>
                  <w:vAlign w:val="center"/>
                </w:tcPr>
                <w:p w14:paraId="03FD4207">
                  <w:pPr>
                    <w:pStyle w:val="46"/>
                    <w:keepNext w:val="0"/>
                    <w:keepLines w:val="0"/>
                    <w:suppressLineNumbers w:val="0"/>
                    <w:bidi w:val="0"/>
                    <w:spacing w:before="0" w:beforeAutospacing="0" w:after="0" w:afterAutospacing="0"/>
                    <w:rPr>
                      <w:rFonts w:hint="default" w:eastAsia="宋体"/>
                      <w:color w:val="1D70F5"/>
                      <w:lang w:val="en-US" w:eastAsia="zh-CN"/>
                    </w:rPr>
                  </w:pPr>
                </w:p>
              </w:tc>
            </w:tr>
            <w:tr w14:paraId="65992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69" w:type="pct"/>
                  <w:vMerge w:val="continue"/>
                  <w:noWrap w:val="0"/>
                  <w:vAlign w:val="center"/>
                </w:tcPr>
                <w:p w14:paraId="4E9B7FF2">
                  <w:pPr>
                    <w:pStyle w:val="46"/>
                    <w:keepNext w:val="0"/>
                    <w:keepLines w:val="0"/>
                    <w:suppressLineNumbers w:val="0"/>
                    <w:bidi w:val="0"/>
                    <w:spacing w:before="0" w:beforeAutospacing="0" w:after="0" w:afterAutospacing="0"/>
                    <w:rPr>
                      <w:color w:val="1D70F5"/>
                    </w:rPr>
                  </w:pPr>
                </w:p>
              </w:tc>
              <w:tc>
                <w:tcPr>
                  <w:tcW w:w="526" w:type="pct"/>
                  <w:gridSpan w:val="2"/>
                  <w:noWrap w:val="0"/>
                  <w:vAlign w:val="center"/>
                </w:tcPr>
                <w:p w14:paraId="662E0C35">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废气</w:t>
                  </w:r>
                </w:p>
              </w:tc>
              <w:tc>
                <w:tcPr>
                  <w:tcW w:w="3368" w:type="pct"/>
                  <w:gridSpan w:val="2"/>
                  <w:noWrap w:val="0"/>
                  <w:vAlign w:val="center"/>
                </w:tcPr>
                <w:p w14:paraId="6BF38E60">
                  <w:pPr>
                    <w:pStyle w:val="46"/>
                    <w:keepNext w:val="0"/>
                    <w:keepLines w:val="0"/>
                    <w:suppressLineNumbers w:val="0"/>
                    <w:bidi w:val="0"/>
                    <w:spacing w:before="0" w:beforeAutospacing="0" w:after="0" w:afterAutospacing="0"/>
                    <w:rPr>
                      <w:rFonts w:hint="default" w:ascii="Times New Roman" w:hAnsi="Times New Roman" w:eastAsia="宋体" w:cs="Times New Roman"/>
                      <w:color w:val="auto"/>
                      <w:lang w:val="en-US" w:eastAsia="zh-CN"/>
                    </w:rPr>
                  </w:pPr>
                  <w:r>
                    <w:rPr>
                      <w:rFonts w:hint="eastAsia" w:cs="Times New Roman"/>
                      <w:color w:val="auto"/>
                      <w:lang w:val="en-US" w:eastAsia="zh-CN"/>
                    </w:rPr>
                    <w:t>絮凝沉淀池少量恶臭气体喷洒除臭剂、污泥脱水后及时清运，加强车间通风；角磨</w:t>
                  </w:r>
                  <w:r>
                    <w:rPr>
                      <w:rFonts w:hint="eastAsia" w:ascii="Calibri" w:hAnsi="Calibri" w:eastAsia="宋体" w:cs="Times New Roman"/>
                      <w:b w:val="0"/>
                      <w:bCs w:val="0"/>
                      <w:color w:val="auto"/>
                      <w:kern w:val="2"/>
                      <w:sz w:val="21"/>
                      <w:szCs w:val="20"/>
                      <w:lang w:val="en-US" w:eastAsia="zh-CN" w:bidi="ar-SA"/>
                    </w:rPr>
                    <w:t>切割</w:t>
                  </w:r>
                  <w:r>
                    <w:rPr>
                      <w:rFonts w:hint="eastAsia" w:ascii="Calibri" w:hAnsi="Calibri" w:cs="Times New Roman"/>
                      <w:b w:val="0"/>
                      <w:bCs w:val="0"/>
                      <w:color w:val="auto"/>
                      <w:kern w:val="2"/>
                      <w:sz w:val="21"/>
                      <w:szCs w:val="20"/>
                      <w:lang w:val="en-US" w:eastAsia="zh-CN" w:bidi="ar-SA"/>
                    </w:rPr>
                    <w:t>剪切打包</w:t>
                  </w:r>
                  <w:r>
                    <w:rPr>
                      <w:rFonts w:hint="eastAsia" w:ascii="Calibri" w:hAnsi="Calibri" w:eastAsia="宋体" w:cs="Times New Roman"/>
                      <w:b w:val="0"/>
                      <w:bCs w:val="0"/>
                      <w:color w:val="auto"/>
                      <w:kern w:val="2"/>
                      <w:sz w:val="21"/>
                      <w:szCs w:val="20"/>
                      <w:lang w:val="en-US" w:eastAsia="zh-CN" w:bidi="ar-SA"/>
                    </w:rPr>
                    <w:t>粉尘经</w:t>
                  </w:r>
                  <w:r>
                    <w:rPr>
                      <w:rFonts w:hint="eastAsia" w:ascii="Calibri" w:hAnsi="Calibri" w:cs="Times New Roman"/>
                      <w:b w:val="0"/>
                      <w:bCs w:val="0"/>
                      <w:color w:val="auto"/>
                      <w:kern w:val="2"/>
                      <w:sz w:val="21"/>
                      <w:szCs w:val="20"/>
                      <w:lang w:val="en-US" w:eastAsia="zh-CN" w:bidi="ar-SA"/>
                    </w:rPr>
                    <w:t>集气罩收集+袋式除尘器处理</w:t>
                  </w:r>
                  <w:r>
                    <w:rPr>
                      <w:rFonts w:hint="eastAsia" w:ascii="Calibri" w:hAnsi="Calibri" w:eastAsia="宋体" w:cs="Times New Roman"/>
                      <w:b w:val="0"/>
                      <w:bCs w:val="0"/>
                      <w:color w:val="auto"/>
                      <w:kern w:val="2"/>
                      <w:sz w:val="21"/>
                      <w:szCs w:val="20"/>
                      <w:lang w:val="en-US" w:eastAsia="zh-CN" w:bidi="ar-SA"/>
                    </w:rPr>
                    <w:t>后</w:t>
                  </w:r>
                  <w:r>
                    <w:rPr>
                      <w:rFonts w:hint="eastAsia" w:ascii="Calibri" w:hAnsi="Calibri" w:cs="Times New Roman"/>
                      <w:b w:val="0"/>
                      <w:bCs w:val="0"/>
                      <w:color w:val="0000FF"/>
                      <w:kern w:val="2"/>
                      <w:sz w:val="21"/>
                      <w:szCs w:val="20"/>
                      <w:lang w:val="en-US" w:eastAsia="zh-CN" w:bidi="ar-SA"/>
                    </w:rPr>
                    <w:t>有</w:t>
                  </w:r>
                  <w:commentRangeStart w:id="14"/>
                  <w:commentRangeStart w:id="15"/>
                  <w:r>
                    <w:rPr>
                      <w:rFonts w:hint="eastAsia" w:ascii="Calibri" w:hAnsi="Calibri" w:eastAsia="宋体" w:cs="Times New Roman"/>
                      <w:b w:val="0"/>
                      <w:bCs w:val="0"/>
                      <w:color w:val="0000FF"/>
                      <w:kern w:val="2"/>
                      <w:sz w:val="21"/>
                      <w:szCs w:val="20"/>
                      <w:lang w:val="en-US" w:eastAsia="zh-CN" w:bidi="ar-SA"/>
                    </w:rPr>
                    <w:t>组织排放</w:t>
                  </w:r>
                  <w:commentRangeEnd w:id="14"/>
                  <w:r>
                    <w:rPr>
                      <w:color w:val="0000FF"/>
                    </w:rPr>
                    <w:commentReference w:id="14"/>
                  </w:r>
                  <w:commentRangeEnd w:id="15"/>
                  <w:r>
                    <w:rPr>
                      <w:color w:val="0000FF"/>
                    </w:rPr>
                    <w:commentReference w:id="15"/>
                  </w:r>
                </w:p>
              </w:tc>
              <w:tc>
                <w:tcPr>
                  <w:tcW w:w="735" w:type="pct"/>
                  <w:noWrap w:val="0"/>
                  <w:vAlign w:val="center"/>
                </w:tcPr>
                <w:p w14:paraId="58A4B552">
                  <w:pPr>
                    <w:pStyle w:val="46"/>
                    <w:keepNext w:val="0"/>
                    <w:keepLines w:val="0"/>
                    <w:suppressLineNumbers w:val="0"/>
                    <w:bidi w:val="0"/>
                    <w:spacing w:before="0" w:beforeAutospacing="0" w:after="0" w:afterAutospacing="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新建</w:t>
                  </w:r>
                </w:p>
              </w:tc>
            </w:tr>
            <w:tr w14:paraId="4381C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69" w:type="pct"/>
                  <w:vMerge w:val="continue"/>
                  <w:noWrap w:val="0"/>
                  <w:vAlign w:val="center"/>
                </w:tcPr>
                <w:p w14:paraId="53C81DDE">
                  <w:pPr>
                    <w:pStyle w:val="46"/>
                    <w:keepNext w:val="0"/>
                    <w:keepLines w:val="0"/>
                    <w:suppressLineNumbers w:val="0"/>
                    <w:bidi w:val="0"/>
                    <w:spacing w:before="0" w:beforeAutospacing="0" w:after="0" w:afterAutospacing="0"/>
                    <w:rPr>
                      <w:color w:val="1D70F5"/>
                    </w:rPr>
                  </w:pPr>
                </w:p>
              </w:tc>
              <w:tc>
                <w:tcPr>
                  <w:tcW w:w="526" w:type="pct"/>
                  <w:gridSpan w:val="2"/>
                  <w:noWrap w:val="0"/>
                  <w:vAlign w:val="center"/>
                </w:tcPr>
                <w:p w14:paraId="316CBB22">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噪声</w:t>
                  </w:r>
                </w:p>
                <w:p w14:paraId="5B35EAB9">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治理</w:t>
                  </w:r>
                </w:p>
              </w:tc>
              <w:tc>
                <w:tcPr>
                  <w:tcW w:w="3368" w:type="pct"/>
                  <w:gridSpan w:val="2"/>
                  <w:noWrap w:val="0"/>
                  <w:vAlign w:val="center"/>
                </w:tcPr>
                <w:p w14:paraId="26C9889E">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高噪声设备配备基础减振装置，厂房隔声，风机配备消声措施，各类生产设备选用低噪声设备</w:t>
                  </w:r>
                </w:p>
              </w:tc>
              <w:tc>
                <w:tcPr>
                  <w:tcW w:w="735" w:type="pct"/>
                  <w:noWrap w:val="0"/>
                  <w:vAlign w:val="center"/>
                </w:tcPr>
                <w:p w14:paraId="56AE8491">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新建</w:t>
                  </w:r>
                </w:p>
              </w:tc>
            </w:tr>
            <w:tr w14:paraId="45306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0" w:hRule="atLeast"/>
                <w:jc w:val="center"/>
              </w:trPr>
              <w:tc>
                <w:tcPr>
                  <w:tcW w:w="369" w:type="pct"/>
                  <w:vMerge w:val="continue"/>
                  <w:noWrap w:val="0"/>
                  <w:vAlign w:val="center"/>
                </w:tcPr>
                <w:p w14:paraId="02C18341">
                  <w:pPr>
                    <w:pStyle w:val="46"/>
                    <w:keepNext w:val="0"/>
                    <w:keepLines w:val="0"/>
                    <w:suppressLineNumbers w:val="0"/>
                    <w:bidi w:val="0"/>
                    <w:spacing w:before="0" w:beforeAutospacing="0" w:after="0" w:afterAutospacing="0"/>
                    <w:rPr>
                      <w:color w:val="1D70F5"/>
                    </w:rPr>
                  </w:pPr>
                </w:p>
              </w:tc>
              <w:tc>
                <w:tcPr>
                  <w:tcW w:w="526" w:type="pct"/>
                  <w:gridSpan w:val="2"/>
                  <w:noWrap w:val="0"/>
                  <w:vAlign w:val="center"/>
                </w:tcPr>
                <w:p w14:paraId="5C0EF433">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固废</w:t>
                  </w:r>
                </w:p>
                <w:p w14:paraId="76236FE2">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治理</w:t>
                  </w:r>
                </w:p>
              </w:tc>
              <w:tc>
                <w:tcPr>
                  <w:tcW w:w="3368" w:type="pct"/>
                  <w:gridSpan w:val="2"/>
                  <w:noWrap w:val="0"/>
                  <w:vAlign w:val="center"/>
                </w:tcPr>
                <w:p w14:paraId="6B5095F7">
                  <w:pPr>
                    <w:pStyle w:val="46"/>
                    <w:keepNext w:val="0"/>
                    <w:keepLines w:val="0"/>
                    <w:suppressLineNumbers w:val="0"/>
                    <w:bidi w:val="0"/>
                    <w:spacing w:before="0" w:beforeAutospacing="0" w:after="0" w:afterAutospacing="0"/>
                    <w:rPr>
                      <w:rFonts w:hint="default" w:ascii="Times New Roman" w:hAnsi="Times New Roman" w:eastAsia="宋体" w:cs="Times New Roman"/>
                      <w:color w:val="auto"/>
                      <w:highlight w:val="none"/>
                      <w:lang w:val="en-US" w:eastAsia="zh-CN"/>
                    </w:rPr>
                  </w:pPr>
                  <w:r>
                    <w:rPr>
                      <w:rFonts w:hint="eastAsia" w:cs="Times New Roman"/>
                      <w:color w:val="0000FF"/>
                      <w:highlight w:val="none"/>
                      <w:lang w:val="en-US" w:eastAsia="zh-CN"/>
                    </w:rPr>
                    <w:t>项目设置一般固废暂存区800㎡，危废暂存间60㎡。</w:t>
                  </w:r>
                  <w:r>
                    <w:rPr>
                      <w:rFonts w:hint="eastAsia" w:ascii="Times New Roman" w:hAnsi="Times New Roman" w:eastAsia="宋体" w:cs="Times New Roman"/>
                      <w:color w:val="auto"/>
                      <w:highlight w:val="none"/>
                      <w:lang w:val="en-US" w:eastAsia="zh-CN"/>
                    </w:rPr>
                    <w:t>本项目产生的生活垃圾收集后交由环卫部门清运处理；</w:t>
                  </w:r>
                  <w:r>
                    <w:rPr>
                      <w:rFonts w:hint="default" w:ascii="Times New Roman" w:hAnsi="Times New Roman" w:eastAsia="宋体" w:cs="Times New Roman"/>
                      <w:color w:val="auto"/>
                      <w:highlight w:val="none"/>
                      <w:lang w:val="en-US" w:eastAsia="zh-CN"/>
                    </w:rPr>
                    <w:t>一般工业固体废物在厂区一般固废暂存间暂存后，定期外售给废品收购站</w:t>
                  </w:r>
                  <w:r>
                    <w:rPr>
                      <w:rFonts w:hint="eastAsia" w:ascii="Times New Roman" w:hAnsi="Times New Roman" w:eastAsia="宋体" w:cs="Times New Roman"/>
                      <w:color w:val="auto"/>
                      <w:highlight w:val="none"/>
                      <w:lang w:val="en-US" w:eastAsia="zh-CN"/>
                    </w:rPr>
                    <w:t>；</w:t>
                  </w:r>
                  <w:r>
                    <w:rPr>
                      <w:rFonts w:hint="default" w:ascii="Times New Roman" w:hAnsi="Times New Roman" w:eastAsia="宋体" w:cs="Times New Roman"/>
                      <w:color w:val="auto"/>
                      <w:highlight w:val="none"/>
                      <w:lang w:val="en-US" w:eastAsia="zh-CN"/>
                    </w:rPr>
                    <w:t>危险废物进行分类收集后暂存于厂内危废暂存间，定期交由</w:t>
                  </w:r>
                  <w:r>
                    <w:rPr>
                      <w:rFonts w:hint="eastAsia" w:ascii="Times New Roman" w:hAnsi="Times New Roman" w:eastAsia="宋体" w:cs="Times New Roman"/>
                      <w:color w:val="auto"/>
                      <w:highlight w:val="none"/>
                      <w:lang w:val="en-US" w:eastAsia="zh-CN"/>
                    </w:rPr>
                    <w:t>有</w:t>
                  </w:r>
                  <w:r>
                    <w:rPr>
                      <w:rFonts w:hint="default" w:ascii="Times New Roman" w:hAnsi="Times New Roman" w:eastAsia="宋体" w:cs="Times New Roman"/>
                      <w:color w:val="auto"/>
                      <w:highlight w:val="none"/>
                      <w:lang w:val="en-US" w:eastAsia="zh-CN"/>
                    </w:rPr>
                    <w:t>资质单位进行处理</w:t>
                  </w:r>
                  <w:commentRangeStart w:id="16"/>
                  <w:r>
                    <w:rPr>
                      <w:rFonts w:hint="eastAsia" w:ascii="Times New Roman" w:hAnsi="Times New Roman" w:eastAsia="宋体" w:cs="Times New Roman"/>
                      <w:color w:val="auto"/>
                      <w:highlight w:val="none"/>
                      <w:lang w:val="en-US" w:eastAsia="zh-CN"/>
                    </w:rPr>
                    <w:t>。</w:t>
                  </w:r>
                  <w:commentRangeEnd w:id="16"/>
                  <w:r>
                    <w:commentReference w:id="16"/>
                  </w:r>
                </w:p>
              </w:tc>
              <w:tc>
                <w:tcPr>
                  <w:tcW w:w="735" w:type="pct"/>
                  <w:noWrap w:val="0"/>
                  <w:vAlign w:val="center"/>
                </w:tcPr>
                <w:p w14:paraId="1883F1A7">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新建</w:t>
                  </w:r>
                </w:p>
              </w:tc>
            </w:tr>
            <w:tr w14:paraId="416F4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69" w:type="pct"/>
                  <w:vMerge w:val="continue"/>
                  <w:noWrap w:val="0"/>
                  <w:vAlign w:val="center"/>
                </w:tcPr>
                <w:p w14:paraId="6AA5F507">
                  <w:pPr>
                    <w:pStyle w:val="46"/>
                    <w:keepNext w:val="0"/>
                    <w:keepLines w:val="0"/>
                    <w:suppressLineNumbers w:val="0"/>
                    <w:bidi w:val="0"/>
                    <w:spacing w:before="0" w:beforeAutospacing="0" w:after="0" w:afterAutospacing="0"/>
                    <w:rPr>
                      <w:color w:val="1D70F5"/>
                    </w:rPr>
                  </w:pPr>
                </w:p>
              </w:tc>
              <w:tc>
                <w:tcPr>
                  <w:tcW w:w="526" w:type="pct"/>
                  <w:gridSpan w:val="2"/>
                  <w:noWrap w:val="0"/>
                  <w:vAlign w:val="center"/>
                </w:tcPr>
                <w:p w14:paraId="669612A0">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土壤及地下水</w:t>
                  </w:r>
                </w:p>
              </w:tc>
              <w:tc>
                <w:tcPr>
                  <w:tcW w:w="3368" w:type="pct"/>
                  <w:gridSpan w:val="2"/>
                  <w:noWrap w:val="0"/>
                  <w:vAlign w:val="center"/>
                </w:tcPr>
                <w:p w14:paraId="21258CE6">
                  <w:pPr>
                    <w:pStyle w:val="46"/>
                    <w:keepNext w:val="0"/>
                    <w:keepLines w:val="0"/>
                    <w:suppressLineNumbers w:val="0"/>
                    <w:bidi w:val="0"/>
                    <w:spacing w:before="0" w:beforeAutospacing="0" w:after="0" w:afterAutospacing="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项目危废暂存间</w:t>
                  </w:r>
                  <w:r>
                    <w:rPr>
                      <w:rFonts w:hint="eastAsia" w:cs="Times New Roman"/>
                      <w:color w:val="auto"/>
                      <w:lang w:val="en-US" w:eastAsia="zh-CN"/>
                    </w:rPr>
                    <w:t>、拆解区、絮凝沉淀池</w:t>
                  </w:r>
                  <w:r>
                    <w:rPr>
                      <w:rFonts w:hint="eastAsia" w:ascii="Times New Roman" w:hAnsi="Times New Roman" w:eastAsia="宋体" w:cs="Times New Roman"/>
                      <w:color w:val="auto"/>
                      <w:lang w:val="en-US" w:eastAsia="zh-CN"/>
                    </w:rPr>
                    <w:t>进行重点防渗；一般固废间</w:t>
                  </w:r>
                  <w:r>
                    <w:rPr>
                      <w:rFonts w:hint="eastAsia" w:cs="Times New Roman"/>
                      <w:color w:val="auto"/>
                      <w:lang w:val="en-US" w:eastAsia="zh-CN"/>
                    </w:rPr>
                    <w:t>、拆解车间其他区域</w:t>
                  </w:r>
                  <w:r>
                    <w:rPr>
                      <w:rFonts w:hint="eastAsia" w:ascii="Times New Roman" w:hAnsi="Times New Roman" w:eastAsia="宋体" w:cs="Times New Roman"/>
                      <w:color w:val="auto"/>
                      <w:lang w:val="en-US" w:eastAsia="zh-CN"/>
                    </w:rPr>
                    <w:t>一般防渗。</w:t>
                  </w:r>
                </w:p>
              </w:tc>
              <w:tc>
                <w:tcPr>
                  <w:tcW w:w="735" w:type="pct"/>
                  <w:noWrap w:val="0"/>
                  <w:vAlign w:val="center"/>
                </w:tcPr>
                <w:p w14:paraId="43F92FB2">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新建</w:t>
                  </w:r>
                </w:p>
              </w:tc>
            </w:tr>
            <w:tr w14:paraId="30DD7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69" w:type="pct"/>
                  <w:vMerge w:val="continue"/>
                  <w:noWrap w:val="0"/>
                  <w:vAlign w:val="center"/>
                </w:tcPr>
                <w:p w14:paraId="5B3F3EDF">
                  <w:pPr>
                    <w:pStyle w:val="46"/>
                    <w:keepNext w:val="0"/>
                    <w:keepLines w:val="0"/>
                    <w:suppressLineNumbers w:val="0"/>
                    <w:bidi w:val="0"/>
                    <w:spacing w:before="0" w:beforeAutospacing="0" w:after="0" w:afterAutospacing="0"/>
                    <w:rPr>
                      <w:color w:val="1D70F5"/>
                    </w:rPr>
                  </w:pPr>
                </w:p>
              </w:tc>
              <w:tc>
                <w:tcPr>
                  <w:tcW w:w="526" w:type="pct"/>
                  <w:gridSpan w:val="2"/>
                  <w:noWrap w:val="0"/>
                  <w:vAlign w:val="center"/>
                </w:tcPr>
                <w:p w14:paraId="3A801145">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环境</w:t>
                  </w:r>
                </w:p>
                <w:p w14:paraId="60D1258D">
                  <w:pPr>
                    <w:pStyle w:val="46"/>
                    <w:keepNext w:val="0"/>
                    <w:keepLines w:val="0"/>
                    <w:suppressLineNumbers w:val="0"/>
                    <w:bidi w:val="0"/>
                    <w:spacing w:before="0" w:beforeAutospacing="0" w:after="0" w:afterAutospacing="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风险</w:t>
                  </w:r>
                </w:p>
              </w:tc>
              <w:tc>
                <w:tcPr>
                  <w:tcW w:w="3368" w:type="pct"/>
                  <w:gridSpan w:val="2"/>
                  <w:noWrap w:val="0"/>
                  <w:vAlign w:val="center"/>
                </w:tcPr>
                <w:p w14:paraId="39F44AB5">
                  <w:pPr>
                    <w:pStyle w:val="46"/>
                    <w:keepNext w:val="0"/>
                    <w:keepLines w:val="0"/>
                    <w:suppressLineNumbers w:val="0"/>
                    <w:bidi w:val="0"/>
                    <w:spacing w:before="0" w:beforeAutospacing="0" w:after="0" w:afterAutospacing="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储备应急物资，加强生产管理，制定完善消防安全管理制度，明确消防职责；制定应急预案；开展应急培训及应急演练；危废间规范化建设；分区防渗</w:t>
                  </w:r>
                </w:p>
              </w:tc>
              <w:tc>
                <w:tcPr>
                  <w:tcW w:w="735" w:type="pct"/>
                  <w:noWrap w:val="0"/>
                  <w:vAlign w:val="center"/>
                </w:tcPr>
                <w:p w14:paraId="7C37F3E2">
                  <w:pPr>
                    <w:pStyle w:val="46"/>
                    <w:keepNext w:val="0"/>
                    <w:keepLines w:val="0"/>
                    <w:suppressLineNumbers w:val="0"/>
                    <w:bidi w:val="0"/>
                    <w:spacing w:before="0" w:beforeAutospacing="0" w:after="0" w:afterAutospacing="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新建</w:t>
                  </w:r>
                </w:p>
              </w:tc>
            </w:tr>
          </w:tbl>
          <w:p w14:paraId="77D15743">
            <w:pPr>
              <w:keepNext w:val="0"/>
              <w:keepLines w:val="0"/>
              <w:suppressLineNumbers w:val="0"/>
              <w:bidi w:val="0"/>
              <w:spacing w:before="0" w:beforeAutospacing="0" w:after="0" w:afterAutospacing="0"/>
              <w:ind w:left="0" w:right="0"/>
              <w:rPr>
                <w:rFonts w:hint="default"/>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（2）厂房改造方案</w:t>
            </w:r>
          </w:p>
          <w:p w14:paraId="7591C8BA">
            <w:pPr>
              <w:keepNext w:val="0"/>
              <w:keepLines w:val="0"/>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本项目租赁厂房为</w:t>
            </w:r>
            <w:r>
              <w:rPr>
                <w:rFonts w:hint="eastAsia"/>
                <w:color w:val="auto"/>
                <w:lang w:val="en-US" w:eastAsia="zh-CN"/>
              </w:rPr>
              <w:t>淮南市祥瑞木业有限责任公司</w:t>
            </w:r>
            <w:r>
              <w:rPr>
                <w:rFonts w:hint="eastAsia"/>
                <w:color w:val="000000" w:themeColor="text1"/>
                <w:lang w:val="en-US" w:eastAsia="zh-CN"/>
                <w14:textFill>
                  <w14:solidFill>
                    <w14:schemeClr w14:val="tx1"/>
                  </w14:solidFill>
                </w14:textFill>
              </w:rPr>
              <w:t>闲置厂房，</w:t>
            </w:r>
            <w:r>
              <w:rPr>
                <w:rFonts w:hint="eastAsia"/>
                <w:color w:val="auto"/>
                <w:lang w:val="en-US" w:eastAsia="zh-CN"/>
              </w:rPr>
              <w:t>淮南市祥瑞木业有限责任公司</w:t>
            </w:r>
            <w:r>
              <w:rPr>
                <w:rFonts w:hint="eastAsia"/>
                <w:color w:val="000000" w:themeColor="text1"/>
                <w:lang w:val="en-US" w:eastAsia="zh-CN"/>
                <w14:textFill>
                  <w14:solidFill>
                    <w14:schemeClr w14:val="tx1"/>
                  </w14:solidFill>
                </w14:textFill>
              </w:rPr>
              <w:t>现有配套污水管网及化粪池，</w:t>
            </w:r>
            <w:r>
              <w:rPr>
                <w:rFonts w:hint="eastAsia"/>
                <w:color w:val="000000" w:themeColor="text1"/>
                <w14:textFill>
                  <w14:solidFill>
                    <w14:schemeClr w14:val="tx1"/>
                  </w14:solidFill>
                </w14:textFill>
              </w:rPr>
              <w:t>租赁范围</w:t>
            </w:r>
            <w:r>
              <w:rPr>
                <w:rFonts w:hint="default"/>
                <w:color w:val="000000" w:themeColor="text1"/>
                <w14:textFill>
                  <w14:solidFill>
                    <w14:schemeClr w14:val="tx1"/>
                  </w14:solidFill>
                </w14:textFill>
              </w:rPr>
              <w:t>未包含其他构筑物及环保设备</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改造部分只针对现有</w:t>
            </w:r>
            <w:r>
              <w:rPr>
                <w:rFonts w:hint="eastAsia"/>
                <w:color w:val="000000" w:themeColor="text1"/>
                <w14:textFill>
                  <w14:solidFill>
                    <w14:schemeClr w14:val="tx1"/>
                  </w14:solidFill>
                </w14:textFill>
              </w:rPr>
              <w:t>租赁厂房</w:t>
            </w:r>
            <w:r>
              <w:rPr>
                <w:rFonts w:hint="default"/>
                <w:color w:val="000000" w:themeColor="text1"/>
                <w14:textFill>
                  <w14:solidFill>
                    <w14:schemeClr w14:val="tx1"/>
                  </w14:solidFill>
                </w14:textFill>
              </w:rPr>
              <w:t>内部进行生产布局</w:t>
            </w:r>
            <w:r>
              <w:rPr>
                <w:rFonts w:hint="eastAsia"/>
                <w:color w:val="000000" w:themeColor="text1"/>
                <w14:textFill>
                  <w14:solidFill>
                    <w14:schemeClr w14:val="tx1"/>
                  </w14:solidFill>
                </w14:textFill>
              </w:rPr>
              <w:t>规划</w:t>
            </w:r>
            <w:r>
              <w:rPr>
                <w:rFonts w:hint="default"/>
                <w:color w:val="000000" w:themeColor="text1"/>
                <w14:textFill>
                  <w14:solidFill>
                    <w14:schemeClr w14:val="tx1"/>
                  </w14:solidFill>
                </w14:textFill>
              </w:rPr>
              <w:t>。</w:t>
            </w:r>
          </w:p>
          <w:p w14:paraId="2C495C25">
            <w:pPr>
              <w:keepNext w:val="0"/>
              <w:keepLines w:val="0"/>
              <w:suppressLineNumbers w:val="0"/>
              <w:bidi w:val="0"/>
              <w:spacing w:before="0" w:beforeAutospacing="0" w:after="0" w:afterAutospacing="0"/>
              <w:ind w:left="0" w:right="0"/>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本项目租赁</w:t>
            </w:r>
            <w:r>
              <w:rPr>
                <w:rFonts w:hint="default"/>
                <w:color w:val="000000" w:themeColor="text1"/>
                <w14:textFill>
                  <w14:solidFill>
                    <w14:schemeClr w14:val="tx1"/>
                  </w14:solidFill>
                </w14:textFill>
              </w:rPr>
              <w:t>现有厂房</w:t>
            </w:r>
            <w:r>
              <w:rPr>
                <w:rFonts w:hint="eastAsia"/>
                <w:color w:val="000000" w:themeColor="text1"/>
                <w:lang w:val="en-US" w:eastAsia="zh-CN"/>
                <w14:textFill>
                  <w14:solidFill>
                    <w14:schemeClr w14:val="tx1"/>
                  </w14:solidFill>
                </w14:textFill>
              </w:rPr>
              <w:t>2栋</w:t>
            </w:r>
            <w:r>
              <w:rPr>
                <w:rFonts w:hint="default"/>
                <w:color w:val="000000" w:themeColor="text1"/>
                <w14:textFill>
                  <w14:solidFill>
                    <w14:schemeClr w14:val="tx1"/>
                  </w14:solidFill>
                </w14:textFill>
              </w:rPr>
              <w:t>，按照</w:t>
            </w:r>
            <w:r>
              <w:rPr>
                <w:rFonts w:hint="eastAsia"/>
                <w:color w:val="000000" w:themeColor="text1"/>
                <w14:textFill>
                  <w14:solidFill>
                    <w14:schemeClr w14:val="tx1"/>
                  </w14:solidFill>
                </w14:textFill>
              </w:rPr>
              <w:t>拟建项目生产需求</w:t>
            </w:r>
            <w:r>
              <w:rPr>
                <w:rFonts w:hint="eastAsia"/>
                <w:color w:val="000000" w:themeColor="text1"/>
                <w:lang w:val="en-US" w:eastAsia="zh-CN"/>
                <w14:textFill>
                  <w14:solidFill>
                    <w14:schemeClr w14:val="tx1"/>
                  </w14:solidFill>
                </w14:textFill>
              </w:rPr>
              <w:t>设置拆解车间及暂存车间</w:t>
            </w:r>
            <w:r>
              <w:rPr>
                <w:rFonts w:hint="default"/>
                <w:color w:val="000000" w:themeColor="text1"/>
                <w14:textFill>
                  <w14:solidFill>
                    <w14:schemeClr w14:val="tx1"/>
                  </w14:solidFill>
                </w14:textFill>
              </w:rPr>
              <w:t>，每个</w:t>
            </w:r>
            <w:r>
              <w:rPr>
                <w:rFonts w:hint="eastAsia"/>
                <w:color w:val="000000" w:themeColor="text1"/>
                <w:lang w:val="en-US" w:eastAsia="zh-CN"/>
                <w14:textFill>
                  <w14:solidFill>
                    <w14:schemeClr w14:val="tx1"/>
                  </w14:solidFill>
                </w14:textFill>
              </w:rPr>
              <w:t>区域</w:t>
            </w:r>
            <w:r>
              <w:rPr>
                <w:rFonts w:hint="default"/>
                <w:color w:val="000000" w:themeColor="text1"/>
                <w14:textFill>
                  <w14:solidFill>
                    <w14:schemeClr w14:val="tx1"/>
                  </w14:solidFill>
                </w14:textFill>
              </w:rPr>
              <w:t>按照生产</w:t>
            </w:r>
            <w:r>
              <w:rPr>
                <w:rFonts w:hint="eastAsia"/>
                <w:color w:val="000000" w:themeColor="text1"/>
                <w14:textFill>
                  <w14:solidFill>
                    <w14:schemeClr w14:val="tx1"/>
                  </w14:solidFill>
                </w14:textFill>
              </w:rPr>
              <w:t>需求，安置相应的生产设备</w:t>
            </w:r>
            <w:r>
              <w:rPr>
                <w:rFonts w:hint="default"/>
                <w:color w:val="000000" w:themeColor="text1"/>
                <w14:textFill>
                  <w14:solidFill>
                    <w14:schemeClr w14:val="tx1"/>
                  </w14:solidFill>
                </w14:textFill>
              </w:rPr>
              <w:t>。</w:t>
            </w:r>
            <w:r>
              <w:rPr>
                <w:rFonts w:hint="eastAsia"/>
                <w:color w:val="000000" w:themeColor="text1"/>
                <w14:textFill>
                  <w14:solidFill>
                    <w14:schemeClr w14:val="tx1"/>
                  </w14:solidFill>
                </w14:textFill>
              </w:rPr>
              <w:t>车间</w:t>
            </w:r>
            <w:r>
              <w:rPr>
                <w:rFonts w:hint="default"/>
                <w:color w:val="000000" w:themeColor="text1"/>
                <w14:textFill>
                  <w14:solidFill>
                    <w14:schemeClr w14:val="tx1"/>
                  </w14:solidFill>
                </w14:textFill>
              </w:rPr>
              <w:t>地面已硬化</w:t>
            </w:r>
            <w:r>
              <w:rPr>
                <w:rFonts w:hint="eastAsia"/>
                <w:color w:val="000000" w:themeColor="text1"/>
                <w:lang w:val="en-US" w:eastAsia="zh-CN"/>
                <w14:textFill>
                  <w14:solidFill>
                    <w14:schemeClr w14:val="tx1"/>
                  </w14:solidFill>
                </w14:textFill>
              </w:rPr>
              <w:t>，项目拟对租赁厂房进行分区防渗</w:t>
            </w:r>
            <w:r>
              <w:rPr>
                <w:rFonts w:hint="eastAsia"/>
                <w:color w:val="000000" w:themeColor="text1"/>
                <w14:textFill>
                  <w14:solidFill>
                    <w14:schemeClr w14:val="tx1"/>
                  </w14:solidFill>
                </w14:textFill>
              </w:rPr>
              <w:t>。</w:t>
            </w:r>
            <w:r>
              <w:rPr>
                <w:rFonts w:hint="eastAsia"/>
                <w:color w:val="000000" w:themeColor="text1"/>
                <w:highlight w:val="none"/>
                <w14:textFill>
                  <w14:solidFill>
                    <w14:schemeClr w14:val="tx1"/>
                  </w14:solidFill>
                </w14:textFill>
              </w:rPr>
              <w:t>厂房外道路已建</w:t>
            </w:r>
            <w:r>
              <w:rPr>
                <w:rFonts w:hint="eastAsia"/>
                <w:color w:val="000000" w:themeColor="text1"/>
                <w14:textFill>
                  <w14:solidFill>
                    <w14:schemeClr w14:val="tx1"/>
                  </w14:solidFill>
                </w14:textFill>
              </w:rPr>
              <w:t>成，运输依托现有厂区道路。</w:t>
            </w:r>
          </w:p>
          <w:p w14:paraId="74D66D5C">
            <w:pPr>
              <w:keepNext w:val="0"/>
              <w:keepLines w:val="0"/>
              <w:suppressLineNumbers w:val="0"/>
              <w:bidi w:val="0"/>
              <w:spacing w:before="0" w:beforeAutospacing="0" w:after="0" w:afterAutospacing="0"/>
              <w:ind w:left="0" w:right="0"/>
              <w:rPr>
                <w:rFonts w:hint="eastAsia" w:eastAsia="宋体"/>
                <w:color w:val="000000" w:themeColor="text1"/>
                <w:lang w:eastAsia="zh-CN"/>
                <w14:textFill>
                  <w14:solidFill>
                    <w14:schemeClr w14:val="tx1"/>
                  </w14:solidFill>
                </w14:textFill>
              </w:rPr>
            </w:pPr>
            <w:r>
              <w:rPr>
                <w:rFonts w:hint="eastAsia"/>
                <w:b/>
                <w:bCs/>
                <w:color w:val="000000" w:themeColor="text1"/>
                <w:lang w:eastAsia="zh-CN"/>
                <w14:textFill>
                  <w14:solidFill>
                    <w14:schemeClr w14:val="tx1"/>
                  </w14:solidFill>
                </w14:textFill>
              </w:rPr>
              <w:t>（</w:t>
            </w:r>
            <w:r>
              <w:rPr>
                <w:rFonts w:hint="eastAsia"/>
                <w:b/>
                <w:bCs/>
                <w:color w:val="000000" w:themeColor="text1"/>
                <w:lang w:val="en-US" w:eastAsia="zh-CN"/>
                <w14:textFill>
                  <w14:solidFill>
                    <w14:schemeClr w14:val="tx1"/>
                  </w14:solidFill>
                </w14:textFill>
              </w:rPr>
              <w:t>3</w:t>
            </w:r>
            <w:r>
              <w:rPr>
                <w:rFonts w:hint="eastAsia"/>
                <w:b/>
                <w:bCs/>
                <w:color w:val="000000" w:themeColor="text1"/>
                <w:lang w:eastAsia="zh-CN"/>
                <w14:textFill>
                  <w14:solidFill>
                    <w14:schemeClr w14:val="tx1"/>
                  </w14:solidFill>
                </w14:textFill>
              </w:rPr>
              <w:t>）</w:t>
            </w:r>
            <w:r>
              <w:rPr>
                <w:rFonts w:hint="eastAsia"/>
                <w:b/>
                <w:bCs/>
                <w:color w:val="000000" w:themeColor="text1"/>
                <w14:textFill>
                  <w14:solidFill>
                    <w14:schemeClr w14:val="tx1"/>
                  </w14:solidFill>
                </w14:textFill>
              </w:rPr>
              <w:t>项目场地可利用性</w:t>
            </w:r>
            <w:r>
              <w:rPr>
                <w:rFonts w:hint="eastAsia"/>
                <w:b/>
                <w:bCs/>
                <w:color w:val="000000" w:themeColor="text1"/>
                <w:lang w:val="en-US" w:eastAsia="zh-CN"/>
                <w14:textFill>
                  <w14:solidFill>
                    <w14:schemeClr w14:val="tx1"/>
                  </w14:solidFill>
                </w14:textFill>
              </w:rPr>
              <w:t>及分区暂存方案</w:t>
            </w:r>
          </w:p>
          <w:p w14:paraId="05C98113">
            <w:pPr>
              <w:keepNext w:val="0"/>
              <w:keepLines w:val="0"/>
              <w:suppressLineNumbers w:val="0"/>
              <w:bidi w:val="0"/>
              <w:spacing w:before="0" w:beforeAutospacing="0" w:after="0" w:afterAutospacing="0"/>
              <w:ind w:left="0" w:right="0"/>
              <w:rPr>
                <w:rFonts w:hint="eastAsia"/>
                <w:b w:val="0"/>
                <w:bCs w:val="0"/>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项目设暂存车间对拆解后的零部件进行分区暂存，根据拆解零部件的固体废物类别主要设置一般固废暂存区及危废暂存间，均设置于封闭厂房（2#厂房）内，并按照</w:t>
            </w:r>
            <w:r>
              <w:rPr>
                <w:rFonts w:hint="eastAsia"/>
                <w:color w:val="000000" w:themeColor="text1"/>
                <w:highlight w:val="none"/>
                <w14:textFill>
                  <w14:solidFill>
                    <w14:schemeClr w14:val="tx1"/>
                  </w14:solidFill>
                </w14:textFill>
              </w:rPr>
              <w:t>《一般工业固体废物贮存和填埋污染控制标准》（GB18599－2020）</w:t>
            </w:r>
            <w:r>
              <w:rPr>
                <w:rFonts w:hint="eastAsia"/>
                <w:color w:val="000000" w:themeColor="text1"/>
                <w:highlight w:val="none"/>
                <w:lang w:val="en-US" w:eastAsia="zh-CN"/>
                <w14:textFill>
                  <w14:solidFill>
                    <w14:schemeClr w14:val="tx1"/>
                  </w14:solidFill>
                </w14:textFill>
              </w:rPr>
              <w:t>及</w:t>
            </w:r>
            <w:r>
              <w:rPr>
                <w:rFonts w:hint="eastAsia"/>
                <w:color w:val="000000" w:themeColor="text1"/>
                <w:highlight w:val="none"/>
                <w14:textFill>
                  <w14:solidFill>
                    <w14:schemeClr w14:val="tx1"/>
                  </w14:solidFill>
                </w14:textFill>
              </w:rPr>
              <w:t>《危险废物贮存污染控制标准》（GB18597-2023）</w:t>
            </w:r>
            <w:r>
              <w:rPr>
                <w:rFonts w:hint="eastAsia"/>
                <w:color w:val="000000" w:themeColor="text1"/>
                <w:highlight w:val="none"/>
                <w:lang w:val="en-US" w:eastAsia="zh-CN"/>
                <w14:textFill>
                  <w14:solidFill>
                    <w14:schemeClr w14:val="tx1"/>
                  </w14:solidFill>
                </w14:textFill>
              </w:rPr>
              <w:t>进行防渗，</w:t>
            </w:r>
            <w:r>
              <w:rPr>
                <w:rFonts w:hint="eastAsia"/>
                <w:b w:val="0"/>
                <w:bCs w:val="0"/>
                <w:color w:val="000000" w:themeColor="text1"/>
                <w:lang w:val="en-US" w:eastAsia="zh-CN"/>
                <w14:textFill>
                  <w14:solidFill>
                    <w14:schemeClr w14:val="tx1"/>
                  </w14:solidFill>
                </w14:textFill>
              </w:rPr>
              <w:t>设有防火、防雨、防晒、防渗、防扬散措施</w:t>
            </w:r>
            <w:r>
              <w:rPr>
                <w:rFonts w:hint="eastAsia"/>
                <w:color w:val="000000" w:themeColor="text1"/>
                <w:highlight w:val="none"/>
                <w:lang w:val="en-US" w:eastAsia="zh-CN"/>
                <w14:textFill>
                  <w14:solidFill>
                    <w14:schemeClr w14:val="tx1"/>
                  </w14:solidFill>
                </w14:textFill>
              </w:rPr>
              <w:t>。项目拆解零部件</w:t>
            </w:r>
            <w:r>
              <w:rPr>
                <w:rFonts w:hint="eastAsia"/>
                <w:color w:val="000000" w:themeColor="text1"/>
                <w:lang w:val="en-US" w:eastAsia="zh-CN"/>
                <w14:textFill>
                  <w14:solidFill>
                    <w14:schemeClr w14:val="tx1"/>
                  </w14:solidFill>
                </w14:textFill>
              </w:rPr>
              <w:t>主要为废钢铁件、废塑料、废电子元器件、废橡胶、废电机、废电线、废玻璃、废皮布制品、废锂电池、废铅蓄电池等类别，按照拆解后零部件种类进行分区暂存，</w:t>
            </w:r>
            <w:r>
              <w:rPr>
                <w:rFonts w:hint="eastAsia"/>
                <w:b w:val="0"/>
                <w:bCs w:val="0"/>
                <w:color w:val="000000" w:themeColor="text1"/>
                <w:lang w:val="en-US" w:eastAsia="zh-CN"/>
                <w14:textFill>
                  <w14:solidFill>
                    <w14:schemeClr w14:val="tx1"/>
                  </w14:solidFill>
                </w14:textFill>
              </w:rPr>
              <w:t>并在显著位置设置标识，同时配备消防设施。项目暂存车间分区暂存方案如下表，厂区平面布局图见附件</w:t>
            </w:r>
            <w:r>
              <w:rPr>
                <w:rFonts w:hint="eastAsia"/>
                <w:b w:val="0"/>
                <w:bCs w:val="0"/>
                <w:color w:val="000000" w:themeColor="text1"/>
                <w:highlight w:val="none"/>
                <w:lang w:val="en-US" w:eastAsia="zh-CN"/>
                <w14:textFill>
                  <w14:solidFill>
                    <w14:schemeClr w14:val="tx1"/>
                  </w14:solidFill>
                </w14:textFill>
              </w:rPr>
              <w:t>5。</w:t>
            </w:r>
          </w:p>
          <w:p w14:paraId="2EB0803D">
            <w:pPr>
              <w:pStyle w:val="43"/>
              <w:keepNext w:val="0"/>
              <w:keepLines w:val="0"/>
              <w:suppressLineNumbers w:val="0"/>
              <w:bidi w:val="0"/>
              <w:spacing w:before="0" w:beforeAutospacing="0" w:after="0" w:afterAutospacing="0"/>
              <w:ind w:left="0" w:right="0"/>
              <w:rPr>
                <w:rFonts w:hint="eastAsia" w:ascii="Times New Roman" w:hAnsi="Times New Roman" w:eastAsia="宋体" w:cs="Times New Roman"/>
                <w:color w:val="000000" w:themeColor="text1"/>
                <w:lang w:val="en-US" w:eastAsia="zh-CN"/>
                <w14:textFill>
                  <w14:solidFill>
                    <w14:schemeClr w14:val="tx1"/>
                  </w14:solidFill>
                </w14:textFill>
              </w:rPr>
            </w:pPr>
            <w:r>
              <w:rPr>
                <w:rFonts w:hint="eastAsia" w:ascii="Times New Roman" w:hAnsi="Times New Roman" w:eastAsia="宋体" w:cs="Times New Roman"/>
                <w:color w:val="000000" w:themeColor="text1"/>
                <w:lang w:val="en-US" w:eastAsia="zh-CN"/>
                <w14:textFill>
                  <w14:solidFill>
                    <w14:schemeClr w14:val="tx1"/>
                  </w14:solidFill>
                </w14:textFill>
              </w:rPr>
              <w:t>表2-</w:t>
            </w:r>
            <w:r>
              <w:rPr>
                <w:rFonts w:hint="eastAsia" w:cs="Times New Roman"/>
                <w:color w:val="000000" w:themeColor="text1"/>
                <w:lang w:val="en-US" w:eastAsia="zh-CN"/>
                <w14:textFill>
                  <w14:solidFill>
                    <w14:schemeClr w14:val="tx1"/>
                  </w14:solidFill>
                </w14:textFill>
              </w:rPr>
              <w:t>4</w:t>
            </w:r>
            <w:r>
              <w:rPr>
                <w:rFonts w:hint="eastAsia" w:ascii="Times New Roman" w:hAnsi="Times New Roman" w:eastAsia="宋体" w:cs="Times New Roman"/>
                <w:color w:val="000000" w:themeColor="text1"/>
                <w:lang w:val="en-US" w:eastAsia="zh-CN"/>
                <w14:textFill>
                  <w14:solidFill>
                    <w14:schemeClr w14:val="tx1"/>
                  </w14:solidFill>
                </w14:textFill>
              </w:rPr>
              <w:t xml:space="preserve">  暂存车间分区暂存一览表</w:t>
            </w:r>
          </w:p>
          <w:tbl>
            <w:tblPr>
              <w:tblStyle w:val="20"/>
              <w:tblW w:w="85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34"/>
              <w:gridCol w:w="795"/>
              <w:gridCol w:w="765"/>
              <w:gridCol w:w="1365"/>
              <w:gridCol w:w="811"/>
              <w:gridCol w:w="1070"/>
              <w:gridCol w:w="1070"/>
              <w:gridCol w:w="1070"/>
              <w:gridCol w:w="1070"/>
            </w:tblGrid>
            <w:tr w14:paraId="60E0D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34" w:type="dxa"/>
                  <w:vAlign w:val="center"/>
                </w:tcPr>
                <w:p w14:paraId="0DE2955C">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场所</w:t>
                  </w:r>
                </w:p>
              </w:tc>
              <w:tc>
                <w:tcPr>
                  <w:tcW w:w="795" w:type="dxa"/>
                  <w:vAlign w:val="center"/>
                </w:tcPr>
                <w:p w14:paraId="2C4E0899">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总面积（㎡）</w:t>
                  </w:r>
                </w:p>
              </w:tc>
              <w:tc>
                <w:tcPr>
                  <w:tcW w:w="2130" w:type="dxa"/>
                  <w:gridSpan w:val="2"/>
                  <w:vAlign w:val="center"/>
                </w:tcPr>
                <w:p w14:paraId="36A606F1">
                  <w:pPr>
                    <w:pStyle w:val="61"/>
                    <w:keepNext w:val="0"/>
                    <w:keepLines w:val="0"/>
                    <w:suppressLineNumbers w:val="0"/>
                    <w:bidi w:val="0"/>
                    <w:spacing w:before="0" w:beforeAutospacing="0" w:after="0" w:afterAutospacing="0"/>
                    <w:ind w:left="0" w:right="0"/>
                    <w:rPr>
                      <w:rFonts w:hint="eastAsia"/>
                      <w:b/>
                      <w:bCs/>
                      <w:lang w:val="en-US" w:eastAsia="zh-CN"/>
                    </w:rPr>
                  </w:pPr>
                  <w:r>
                    <w:rPr>
                      <w:rFonts w:hint="eastAsia"/>
                      <w:b/>
                      <w:bCs/>
                      <w:lang w:val="en-US" w:eastAsia="zh-CN"/>
                    </w:rPr>
                    <w:t>分区方案</w:t>
                  </w:r>
                </w:p>
              </w:tc>
              <w:tc>
                <w:tcPr>
                  <w:tcW w:w="811" w:type="dxa"/>
                  <w:vAlign w:val="center"/>
                </w:tcPr>
                <w:p w14:paraId="6C89E613">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面积（㎡）</w:t>
                  </w:r>
                </w:p>
              </w:tc>
              <w:tc>
                <w:tcPr>
                  <w:tcW w:w="1070" w:type="dxa"/>
                  <w:shd w:val="clear" w:color="auto" w:fill="auto"/>
                  <w:vAlign w:val="center"/>
                </w:tcPr>
                <w:p w14:paraId="429AC1EC">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最大可暂存量</w:t>
                  </w:r>
                </w:p>
              </w:tc>
              <w:tc>
                <w:tcPr>
                  <w:tcW w:w="1070" w:type="dxa"/>
                  <w:shd w:val="clear" w:color="auto" w:fill="auto"/>
                  <w:vAlign w:val="center"/>
                </w:tcPr>
                <w:p w14:paraId="63E98F5C">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暂存周期d</w:t>
                  </w:r>
                </w:p>
              </w:tc>
              <w:tc>
                <w:tcPr>
                  <w:tcW w:w="1070" w:type="dxa"/>
                  <w:shd w:val="clear" w:color="auto" w:fill="auto"/>
                  <w:vAlign w:val="center"/>
                </w:tcPr>
                <w:p w14:paraId="3E2E9375">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年可暂存总量</w:t>
                  </w:r>
                </w:p>
              </w:tc>
              <w:tc>
                <w:tcPr>
                  <w:tcW w:w="1070" w:type="dxa"/>
                  <w:shd w:val="clear" w:color="auto" w:fill="auto"/>
                  <w:vAlign w:val="center"/>
                </w:tcPr>
                <w:p w14:paraId="07A5AA29">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实际需暂存量</w:t>
                  </w:r>
                </w:p>
              </w:tc>
            </w:tr>
            <w:tr w14:paraId="60EA92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34" w:type="dxa"/>
                  <w:vMerge w:val="restart"/>
                  <w:vAlign w:val="center"/>
                </w:tcPr>
                <w:p w14:paraId="6DC2C2FF">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暂存车间</w:t>
                  </w:r>
                </w:p>
              </w:tc>
              <w:tc>
                <w:tcPr>
                  <w:tcW w:w="795" w:type="dxa"/>
                  <w:vMerge w:val="restart"/>
                  <w:vAlign w:val="center"/>
                </w:tcPr>
                <w:p w14:paraId="7536F0A5">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1000</w:t>
                  </w:r>
                </w:p>
              </w:tc>
              <w:tc>
                <w:tcPr>
                  <w:tcW w:w="765" w:type="dxa"/>
                  <w:vMerge w:val="restart"/>
                  <w:vAlign w:val="center"/>
                </w:tcPr>
                <w:p w14:paraId="0E78E902">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一般固废暂存区（800㎡）</w:t>
                  </w:r>
                </w:p>
              </w:tc>
              <w:tc>
                <w:tcPr>
                  <w:tcW w:w="1365" w:type="dxa"/>
                  <w:shd w:val="clear" w:color="auto" w:fill="auto"/>
                  <w:vAlign w:val="center"/>
                </w:tcPr>
                <w:p w14:paraId="0FF3CA5D">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废电机</w:t>
                  </w:r>
                  <w:r>
                    <w:rPr>
                      <w:rFonts w:hint="eastAsia"/>
                      <w:vertAlign w:val="superscript"/>
                      <w:lang w:val="en-US" w:eastAsia="zh-CN"/>
                    </w:rPr>
                    <w:t>①</w:t>
                  </w:r>
                </w:p>
              </w:tc>
              <w:tc>
                <w:tcPr>
                  <w:tcW w:w="811" w:type="dxa"/>
                  <w:vAlign w:val="center"/>
                </w:tcPr>
                <w:p w14:paraId="70EA63BE">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100</w:t>
                  </w:r>
                </w:p>
              </w:tc>
              <w:tc>
                <w:tcPr>
                  <w:tcW w:w="1070" w:type="dxa"/>
                  <w:vAlign w:val="center"/>
                </w:tcPr>
                <w:p w14:paraId="1C5E8820">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1700个</w:t>
                  </w:r>
                </w:p>
              </w:tc>
              <w:tc>
                <w:tcPr>
                  <w:tcW w:w="1070" w:type="dxa"/>
                  <w:vAlign w:val="center"/>
                </w:tcPr>
                <w:p w14:paraId="2C847066">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5</w:t>
                  </w:r>
                </w:p>
              </w:tc>
              <w:tc>
                <w:tcPr>
                  <w:tcW w:w="1070" w:type="dxa"/>
                  <w:vAlign w:val="center"/>
                </w:tcPr>
                <w:p w14:paraId="48F2F53B">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11.9万个</w:t>
                  </w:r>
                </w:p>
              </w:tc>
              <w:tc>
                <w:tcPr>
                  <w:tcW w:w="1070" w:type="dxa"/>
                  <w:vAlign w:val="center"/>
                </w:tcPr>
                <w:p w14:paraId="09BA9045">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10万个</w:t>
                  </w:r>
                </w:p>
              </w:tc>
            </w:tr>
            <w:tr w14:paraId="402FA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34" w:type="dxa"/>
                  <w:vMerge w:val="continue"/>
                  <w:vAlign w:val="center"/>
                </w:tcPr>
                <w:p w14:paraId="11F17D94">
                  <w:pPr>
                    <w:pStyle w:val="61"/>
                    <w:keepNext w:val="0"/>
                    <w:keepLines w:val="0"/>
                    <w:suppressLineNumbers w:val="0"/>
                    <w:bidi w:val="0"/>
                    <w:spacing w:before="0" w:beforeAutospacing="0" w:after="0" w:afterAutospacing="0"/>
                    <w:ind w:left="0" w:right="0"/>
                    <w:rPr>
                      <w:rFonts w:hint="default"/>
                      <w:lang w:val="en-US" w:eastAsia="zh-CN"/>
                    </w:rPr>
                  </w:pPr>
                </w:p>
              </w:tc>
              <w:tc>
                <w:tcPr>
                  <w:tcW w:w="795" w:type="dxa"/>
                  <w:vMerge w:val="continue"/>
                  <w:vAlign w:val="center"/>
                </w:tcPr>
                <w:p w14:paraId="22DC54AB">
                  <w:pPr>
                    <w:pStyle w:val="61"/>
                    <w:keepNext w:val="0"/>
                    <w:keepLines w:val="0"/>
                    <w:suppressLineNumbers w:val="0"/>
                    <w:bidi w:val="0"/>
                    <w:spacing w:before="0" w:beforeAutospacing="0" w:after="0" w:afterAutospacing="0"/>
                    <w:ind w:left="0" w:right="0"/>
                    <w:rPr>
                      <w:rFonts w:hint="default"/>
                      <w:lang w:val="en-US" w:eastAsia="zh-CN"/>
                    </w:rPr>
                  </w:pPr>
                </w:p>
              </w:tc>
              <w:tc>
                <w:tcPr>
                  <w:tcW w:w="765" w:type="dxa"/>
                  <w:vMerge w:val="continue"/>
                  <w:vAlign w:val="center"/>
                </w:tcPr>
                <w:p w14:paraId="56D47B2F">
                  <w:pPr>
                    <w:pStyle w:val="61"/>
                    <w:keepNext w:val="0"/>
                    <w:keepLines w:val="0"/>
                    <w:suppressLineNumbers w:val="0"/>
                    <w:bidi w:val="0"/>
                    <w:spacing w:before="0" w:beforeAutospacing="0" w:after="0" w:afterAutospacing="0"/>
                    <w:ind w:left="0" w:right="0"/>
                    <w:rPr>
                      <w:rFonts w:hint="default"/>
                      <w:lang w:val="en-US" w:eastAsia="zh-CN"/>
                    </w:rPr>
                  </w:pPr>
                </w:p>
              </w:tc>
              <w:tc>
                <w:tcPr>
                  <w:tcW w:w="1365" w:type="dxa"/>
                  <w:shd w:val="clear" w:color="auto" w:fill="auto"/>
                  <w:vAlign w:val="center"/>
                </w:tcPr>
                <w:p w14:paraId="1EBE1A0B">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废钢铁件</w:t>
                  </w:r>
                  <w:r>
                    <w:rPr>
                      <w:rFonts w:hint="eastAsia"/>
                      <w:vertAlign w:val="superscript"/>
                      <w:lang w:val="en-US" w:eastAsia="zh-CN"/>
                    </w:rPr>
                    <w:t>②</w:t>
                  </w:r>
                </w:p>
              </w:tc>
              <w:tc>
                <w:tcPr>
                  <w:tcW w:w="811" w:type="dxa"/>
                  <w:vAlign w:val="center"/>
                </w:tcPr>
                <w:p w14:paraId="7439FA15">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50</w:t>
                  </w:r>
                </w:p>
              </w:tc>
              <w:tc>
                <w:tcPr>
                  <w:tcW w:w="1070" w:type="dxa"/>
                  <w:vAlign w:val="center"/>
                </w:tcPr>
                <w:p w14:paraId="77322BB9">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244t</w:t>
                  </w:r>
                </w:p>
              </w:tc>
              <w:tc>
                <w:tcPr>
                  <w:tcW w:w="1070" w:type="dxa"/>
                  <w:vAlign w:val="center"/>
                </w:tcPr>
                <w:p w14:paraId="5F29FE37">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w:t>
                  </w:r>
                </w:p>
              </w:tc>
              <w:tc>
                <w:tcPr>
                  <w:tcW w:w="1070" w:type="dxa"/>
                  <w:vAlign w:val="center"/>
                </w:tcPr>
                <w:p w14:paraId="1A8F9080">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8540t</w:t>
                  </w:r>
                </w:p>
              </w:tc>
              <w:tc>
                <w:tcPr>
                  <w:tcW w:w="1070" w:type="dxa"/>
                  <w:shd w:val="clear" w:color="auto" w:fill="auto"/>
                  <w:vAlign w:val="center"/>
                </w:tcPr>
                <w:p w14:paraId="104AB73E">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5687t</w:t>
                  </w:r>
                </w:p>
              </w:tc>
            </w:tr>
            <w:tr w14:paraId="33730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34" w:type="dxa"/>
                  <w:vMerge w:val="continue"/>
                  <w:vAlign w:val="center"/>
                </w:tcPr>
                <w:p w14:paraId="26ABDF0D">
                  <w:pPr>
                    <w:pStyle w:val="61"/>
                    <w:keepNext w:val="0"/>
                    <w:keepLines w:val="0"/>
                    <w:suppressLineNumbers w:val="0"/>
                    <w:bidi w:val="0"/>
                    <w:spacing w:before="0" w:beforeAutospacing="0" w:after="0" w:afterAutospacing="0"/>
                    <w:ind w:left="0" w:right="0"/>
                    <w:rPr>
                      <w:rFonts w:hint="default"/>
                      <w:lang w:val="en-US" w:eastAsia="zh-CN"/>
                    </w:rPr>
                  </w:pPr>
                </w:p>
              </w:tc>
              <w:tc>
                <w:tcPr>
                  <w:tcW w:w="795" w:type="dxa"/>
                  <w:vMerge w:val="continue"/>
                  <w:vAlign w:val="center"/>
                </w:tcPr>
                <w:p w14:paraId="277DF6DE">
                  <w:pPr>
                    <w:pStyle w:val="61"/>
                    <w:keepNext w:val="0"/>
                    <w:keepLines w:val="0"/>
                    <w:suppressLineNumbers w:val="0"/>
                    <w:bidi w:val="0"/>
                    <w:spacing w:before="0" w:beforeAutospacing="0" w:after="0" w:afterAutospacing="0"/>
                    <w:ind w:left="0" w:right="0"/>
                    <w:rPr>
                      <w:rFonts w:hint="default"/>
                      <w:lang w:val="en-US" w:eastAsia="zh-CN"/>
                    </w:rPr>
                  </w:pPr>
                </w:p>
              </w:tc>
              <w:tc>
                <w:tcPr>
                  <w:tcW w:w="765" w:type="dxa"/>
                  <w:vMerge w:val="continue"/>
                  <w:vAlign w:val="center"/>
                </w:tcPr>
                <w:p w14:paraId="4C739F69">
                  <w:pPr>
                    <w:pStyle w:val="61"/>
                    <w:keepNext w:val="0"/>
                    <w:keepLines w:val="0"/>
                    <w:suppressLineNumbers w:val="0"/>
                    <w:bidi w:val="0"/>
                    <w:spacing w:before="0" w:beforeAutospacing="0" w:after="0" w:afterAutospacing="0"/>
                    <w:ind w:left="0" w:right="0"/>
                    <w:rPr>
                      <w:rFonts w:hint="default"/>
                      <w:lang w:val="en-US" w:eastAsia="zh-CN"/>
                    </w:rPr>
                  </w:pPr>
                </w:p>
              </w:tc>
              <w:tc>
                <w:tcPr>
                  <w:tcW w:w="1365" w:type="dxa"/>
                  <w:shd w:val="clear" w:color="auto" w:fill="auto"/>
                  <w:vAlign w:val="center"/>
                </w:tcPr>
                <w:p w14:paraId="55E08C5A">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废橡胶</w:t>
                  </w:r>
                </w:p>
              </w:tc>
              <w:tc>
                <w:tcPr>
                  <w:tcW w:w="811" w:type="dxa"/>
                  <w:vAlign w:val="center"/>
                </w:tcPr>
                <w:p w14:paraId="4D3EB7E9">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80</w:t>
                  </w:r>
                </w:p>
              </w:tc>
              <w:tc>
                <w:tcPr>
                  <w:tcW w:w="1070" w:type="dxa"/>
                  <w:vAlign w:val="center"/>
                </w:tcPr>
                <w:p w14:paraId="689F6830">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9t</w:t>
                  </w:r>
                </w:p>
              </w:tc>
              <w:tc>
                <w:tcPr>
                  <w:tcW w:w="1070" w:type="dxa"/>
                  <w:vAlign w:val="center"/>
                </w:tcPr>
                <w:p w14:paraId="501456AD">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5</w:t>
                  </w:r>
                </w:p>
              </w:tc>
              <w:tc>
                <w:tcPr>
                  <w:tcW w:w="1070" w:type="dxa"/>
                  <w:vAlign w:val="center"/>
                </w:tcPr>
                <w:p w14:paraId="37513BFE">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630t</w:t>
                  </w:r>
                </w:p>
              </w:tc>
              <w:tc>
                <w:tcPr>
                  <w:tcW w:w="1070" w:type="dxa"/>
                  <w:shd w:val="clear" w:color="auto" w:fill="auto"/>
                  <w:vAlign w:val="center"/>
                </w:tcPr>
                <w:p w14:paraId="4CD2EF58">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626t</w:t>
                  </w:r>
                </w:p>
              </w:tc>
            </w:tr>
            <w:tr w14:paraId="3FA96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34" w:type="dxa"/>
                  <w:vMerge w:val="continue"/>
                  <w:vAlign w:val="center"/>
                </w:tcPr>
                <w:p w14:paraId="35087E8A">
                  <w:pPr>
                    <w:pStyle w:val="61"/>
                    <w:keepNext w:val="0"/>
                    <w:keepLines w:val="0"/>
                    <w:suppressLineNumbers w:val="0"/>
                    <w:bidi w:val="0"/>
                    <w:spacing w:before="0" w:beforeAutospacing="0" w:after="0" w:afterAutospacing="0"/>
                    <w:ind w:left="0" w:right="0"/>
                    <w:rPr>
                      <w:rFonts w:hint="default"/>
                      <w:lang w:val="en-US" w:eastAsia="zh-CN"/>
                    </w:rPr>
                  </w:pPr>
                </w:p>
              </w:tc>
              <w:tc>
                <w:tcPr>
                  <w:tcW w:w="795" w:type="dxa"/>
                  <w:vMerge w:val="continue"/>
                  <w:vAlign w:val="center"/>
                </w:tcPr>
                <w:p w14:paraId="09B867F8">
                  <w:pPr>
                    <w:pStyle w:val="61"/>
                    <w:keepNext w:val="0"/>
                    <w:keepLines w:val="0"/>
                    <w:suppressLineNumbers w:val="0"/>
                    <w:bidi w:val="0"/>
                    <w:spacing w:before="0" w:beforeAutospacing="0" w:after="0" w:afterAutospacing="0"/>
                    <w:ind w:left="0" w:right="0"/>
                    <w:rPr>
                      <w:rFonts w:hint="default"/>
                      <w:lang w:val="en-US" w:eastAsia="zh-CN"/>
                    </w:rPr>
                  </w:pPr>
                </w:p>
              </w:tc>
              <w:tc>
                <w:tcPr>
                  <w:tcW w:w="765" w:type="dxa"/>
                  <w:vMerge w:val="continue"/>
                  <w:vAlign w:val="center"/>
                </w:tcPr>
                <w:p w14:paraId="0F9AECFC">
                  <w:pPr>
                    <w:pStyle w:val="61"/>
                    <w:keepNext w:val="0"/>
                    <w:keepLines w:val="0"/>
                    <w:suppressLineNumbers w:val="0"/>
                    <w:bidi w:val="0"/>
                    <w:spacing w:before="0" w:beforeAutospacing="0" w:after="0" w:afterAutospacing="0"/>
                    <w:ind w:left="0" w:right="0"/>
                    <w:rPr>
                      <w:rFonts w:hint="default"/>
                      <w:lang w:val="en-US" w:eastAsia="zh-CN"/>
                    </w:rPr>
                  </w:pPr>
                </w:p>
              </w:tc>
              <w:tc>
                <w:tcPr>
                  <w:tcW w:w="1365" w:type="dxa"/>
                  <w:shd w:val="clear" w:color="auto" w:fill="auto"/>
                  <w:vAlign w:val="center"/>
                </w:tcPr>
                <w:p w14:paraId="56EB0D4A">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废塑料</w:t>
                  </w:r>
                </w:p>
              </w:tc>
              <w:tc>
                <w:tcPr>
                  <w:tcW w:w="811" w:type="dxa"/>
                  <w:vAlign w:val="center"/>
                </w:tcPr>
                <w:p w14:paraId="2104312A">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50</w:t>
                  </w:r>
                </w:p>
              </w:tc>
              <w:tc>
                <w:tcPr>
                  <w:tcW w:w="1070" w:type="dxa"/>
                  <w:vAlign w:val="center"/>
                </w:tcPr>
                <w:p w14:paraId="55690B1B">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14t</w:t>
                  </w:r>
                </w:p>
              </w:tc>
              <w:tc>
                <w:tcPr>
                  <w:tcW w:w="1070" w:type="dxa"/>
                  <w:vAlign w:val="center"/>
                </w:tcPr>
                <w:p w14:paraId="2D44ECF8">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w:t>
                  </w:r>
                </w:p>
              </w:tc>
              <w:tc>
                <w:tcPr>
                  <w:tcW w:w="1070" w:type="dxa"/>
                  <w:vAlign w:val="center"/>
                </w:tcPr>
                <w:p w14:paraId="6502BC62">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490t</w:t>
                  </w:r>
                </w:p>
              </w:tc>
              <w:tc>
                <w:tcPr>
                  <w:tcW w:w="1070" w:type="dxa"/>
                  <w:shd w:val="clear" w:color="auto" w:fill="auto"/>
                  <w:vAlign w:val="center"/>
                </w:tcPr>
                <w:p w14:paraId="7536ED98">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293t</w:t>
                  </w:r>
                </w:p>
              </w:tc>
            </w:tr>
            <w:tr w14:paraId="4E7E6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34" w:type="dxa"/>
                  <w:vMerge w:val="continue"/>
                  <w:vAlign w:val="center"/>
                </w:tcPr>
                <w:p w14:paraId="7D2B33A5">
                  <w:pPr>
                    <w:pStyle w:val="61"/>
                    <w:keepNext w:val="0"/>
                    <w:keepLines w:val="0"/>
                    <w:suppressLineNumbers w:val="0"/>
                    <w:bidi w:val="0"/>
                    <w:spacing w:before="0" w:beforeAutospacing="0" w:after="0" w:afterAutospacing="0"/>
                    <w:ind w:left="0" w:right="0"/>
                    <w:rPr>
                      <w:rFonts w:hint="default"/>
                      <w:lang w:val="en-US" w:eastAsia="zh-CN"/>
                    </w:rPr>
                  </w:pPr>
                </w:p>
              </w:tc>
              <w:tc>
                <w:tcPr>
                  <w:tcW w:w="795" w:type="dxa"/>
                  <w:vMerge w:val="continue"/>
                  <w:vAlign w:val="center"/>
                </w:tcPr>
                <w:p w14:paraId="2E99584E">
                  <w:pPr>
                    <w:pStyle w:val="61"/>
                    <w:keepNext w:val="0"/>
                    <w:keepLines w:val="0"/>
                    <w:suppressLineNumbers w:val="0"/>
                    <w:bidi w:val="0"/>
                    <w:spacing w:before="0" w:beforeAutospacing="0" w:after="0" w:afterAutospacing="0"/>
                    <w:ind w:left="0" w:right="0"/>
                    <w:rPr>
                      <w:rFonts w:hint="default"/>
                      <w:lang w:val="en-US" w:eastAsia="zh-CN"/>
                    </w:rPr>
                  </w:pPr>
                </w:p>
              </w:tc>
              <w:tc>
                <w:tcPr>
                  <w:tcW w:w="765" w:type="dxa"/>
                  <w:vMerge w:val="continue"/>
                  <w:vAlign w:val="center"/>
                </w:tcPr>
                <w:p w14:paraId="351D22BD">
                  <w:pPr>
                    <w:pStyle w:val="61"/>
                    <w:keepNext w:val="0"/>
                    <w:keepLines w:val="0"/>
                    <w:suppressLineNumbers w:val="0"/>
                    <w:bidi w:val="0"/>
                    <w:spacing w:before="0" w:beforeAutospacing="0" w:after="0" w:afterAutospacing="0"/>
                    <w:ind w:left="0" w:right="0"/>
                    <w:rPr>
                      <w:rFonts w:hint="default"/>
                      <w:lang w:val="en-US" w:eastAsia="zh-CN"/>
                    </w:rPr>
                  </w:pPr>
                </w:p>
              </w:tc>
              <w:tc>
                <w:tcPr>
                  <w:tcW w:w="1365" w:type="dxa"/>
                  <w:shd w:val="clear" w:color="auto" w:fill="auto"/>
                  <w:vAlign w:val="center"/>
                </w:tcPr>
                <w:p w14:paraId="4662B885">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废玻璃</w:t>
                  </w:r>
                </w:p>
              </w:tc>
              <w:tc>
                <w:tcPr>
                  <w:tcW w:w="811" w:type="dxa"/>
                  <w:vAlign w:val="center"/>
                </w:tcPr>
                <w:p w14:paraId="2C8A9A88">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20</w:t>
                  </w:r>
                </w:p>
              </w:tc>
              <w:tc>
                <w:tcPr>
                  <w:tcW w:w="1070" w:type="dxa"/>
                  <w:vAlign w:val="center"/>
                </w:tcPr>
                <w:p w14:paraId="61D7E38E">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18t</w:t>
                  </w:r>
                </w:p>
              </w:tc>
              <w:tc>
                <w:tcPr>
                  <w:tcW w:w="1070" w:type="dxa"/>
                  <w:vAlign w:val="center"/>
                </w:tcPr>
                <w:p w14:paraId="2156DC85">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w:t>
                  </w:r>
                </w:p>
              </w:tc>
              <w:tc>
                <w:tcPr>
                  <w:tcW w:w="1070" w:type="dxa"/>
                  <w:vAlign w:val="center"/>
                </w:tcPr>
                <w:p w14:paraId="2B898949">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630t</w:t>
                  </w:r>
                </w:p>
              </w:tc>
              <w:tc>
                <w:tcPr>
                  <w:tcW w:w="1070" w:type="dxa"/>
                  <w:shd w:val="clear" w:color="auto" w:fill="auto"/>
                  <w:vAlign w:val="center"/>
                </w:tcPr>
                <w:p w14:paraId="5071A764">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300t</w:t>
                  </w:r>
                </w:p>
              </w:tc>
            </w:tr>
            <w:tr w14:paraId="32741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34" w:type="dxa"/>
                  <w:vMerge w:val="continue"/>
                  <w:vAlign w:val="center"/>
                </w:tcPr>
                <w:p w14:paraId="752E7BAB">
                  <w:pPr>
                    <w:pStyle w:val="61"/>
                    <w:keepNext w:val="0"/>
                    <w:keepLines w:val="0"/>
                    <w:suppressLineNumbers w:val="0"/>
                    <w:bidi w:val="0"/>
                    <w:spacing w:before="0" w:beforeAutospacing="0" w:after="0" w:afterAutospacing="0"/>
                    <w:ind w:left="0" w:right="0"/>
                    <w:rPr>
                      <w:rFonts w:hint="default"/>
                      <w:lang w:val="en-US" w:eastAsia="zh-CN"/>
                    </w:rPr>
                  </w:pPr>
                </w:p>
              </w:tc>
              <w:tc>
                <w:tcPr>
                  <w:tcW w:w="795" w:type="dxa"/>
                  <w:vMerge w:val="continue"/>
                  <w:vAlign w:val="center"/>
                </w:tcPr>
                <w:p w14:paraId="15014B69">
                  <w:pPr>
                    <w:pStyle w:val="61"/>
                    <w:keepNext w:val="0"/>
                    <w:keepLines w:val="0"/>
                    <w:suppressLineNumbers w:val="0"/>
                    <w:bidi w:val="0"/>
                    <w:spacing w:before="0" w:beforeAutospacing="0" w:after="0" w:afterAutospacing="0"/>
                    <w:ind w:left="0" w:right="0"/>
                    <w:rPr>
                      <w:rFonts w:hint="default"/>
                      <w:lang w:val="en-US" w:eastAsia="zh-CN"/>
                    </w:rPr>
                  </w:pPr>
                </w:p>
              </w:tc>
              <w:tc>
                <w:tcPr>
                  <w:tcW w:w="765" w:type="dxa"/>
                  <w:vMerge w:val="continue"/>
                  <w:vAlign w:val="center"/>
                </w:tcPr>
                <w:p w14:paraId="6A40804C">
                  <w:pPr>
                    <w:pStyle w:val="61"/>
                    <w:keepNext w:val="0"/>
                    <w:keepLines w:val="0"/>
                    <w:suppressLineNumbers w:val="0"/>
                    <w:bidi w:val="0"/>
                    <w:spacing w:before="0" w:beforeAutospacing="0" w:after="0" w:afterAutospacing="0"/>
                    <w:ind w:left="0" w:right="0"/>
                    <w:rPr>
                      <w:rFonts w:hint="default"/>
                      <w:lang w:val="en-US" w:eastAsia="zh-CN"/>
                    </w:rPr>
                  </w:pPr>
                </w:p>
              </w:tc>
              <w:tc>
                <w:tcPr>
                  <w:tcW w:w="1365" w:type="dxa"/>
                  <w:shd w:val="clear" w:color="auto" w:fill="auto"/>
                  <w:vAlign w:val="center"/>
                </w:tcPr>
                <w:p w14:paraId="1F227CE9">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废电线</w:t>
                  </w:r>
                </w:p>
              </w:tc>
              <w:tc>
                <w:tcPr>
                  <w:tcW w:w="811" w:type="dxa"/>
                  <w:vAlign w:val="center"/>
                </w:tcPr>
                <w:p w14:paraId="0C5ADCD7">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20</w:t>
                  </w:r>
                </w:p>
              </w:tc>
              <w:tc>
                <w:tcPr>
                  <w:tcW w:w="1070" w:type="dxa"/>
                  <w:vAlign w:val="center"/>
                </w:tcPr>
                <w:p w14:paraId="661EF8F9">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20t</w:t>
                  </w:r>
                </w:p>
              </w:tc>
              <w:tc>
                <w:tcPr>
                  <w:tcW w:w="1070" w:type="dxa"/>
                  <w:vAlign w:val="center"/>
                </w:tcPr>
                <w:p w14:paraId="6C21E740">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w:t>
                  </w:r>
                </w:p>
              </w:tc>
              <w:tc>
                <w:tcPr>
                  <w:tcW w:w="1070" w:type="dxa"/>
                  <w:vAlign w:val="center"/>
                </w:tcPr>
                <w:p w14:paraId="5AE33ED9">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700t</w:t>
                  </w:r>
                </w:p>
              </w:tc>
              <w:tc>
                <w:tcPr>
                  <w:tcW w:w="1070" w:type="dxa"/>
                  <w:shd w:val="clear" w:color="auto" w:fill="auto"/>
                  <w:vAlign w:val="center"/>
                </w:tcPr>
                <w:p w14:paraId="6AD1355E">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100t</w:t>
                  </w:r>
                </w:p>
              </w:tc>
            </w:tr>
            <w:tr w14:paraId="72E5AD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34" w:type="dxa"/>
                  <w:vMerge w:val="continue"/>
                  <w:vAlign w:val="center"/>
                </w:tcPr>
                <w:p w14:paraId="79076482">
                  <w:pPr>
                    <w:pStyle w:val="61"/>
                    <w:keepNext w:val="0"/>
                    <w:keepLines w:val="0"/>
                    <w:suppressLineNumbers w:val="0"/>
                    <w:bidi w:val="0"/>
                    <w:spacing w:before="0" w:beforeAutospacing="0" w:after="0" w:afterAutospacing="0"/>
                    <w:ind w:left="0" w:right="0"/>
                    <w:rPr>
                      <w:rFonts w:hint="default"/>
                      <w:lang w:val="en-US" w:eastAsia="zh-CN"/>
                    </w:rPr>
                  </w:pPr>
                </w:p>
              </w:tc>
              <w:tc>
                <w:tcPr>
                  <w:tcW w:w="795" w:type="dxa"/>
                  <w:vMerge w:val="continue"/>
                  <w:vAlign w:val="center"/>
                </w:tcPr>
                <w:p w14:paraId="2101A43B">
                  <w:pPr>
                    <w:pStyle w:val="61"/>
                    <w:keepNext w:val="0"/>
                    <w:keepLines w:val="0"/>
                    <w:suppressLineNumbers w:val="0"/>
                    <w:bidi w:val="0"/>
                    <w:spacing w:before="0" w:beforeAutospacing="0" w:after="0" w:afterAutospacing="0"/>
                    <w:ind w:left="0" w:right="0"/>
                    <w:rPr>
                      <w:rFonts w:hint="default"/>
                      <w:lang w:val="en-US" w:eastAsia="zh-CN"/>
                    </w:rPr>
                  </w:pPr>
                </w:p>
              </w:tc>
              <w:tc>
                <w:tcPr>
                  <w:tcW w:w="765" w:type="dxa"/>
                  <w:vMerge w:val="continue"/>
                  <w:vAlign w:val="center"/>
                </w:tcPr>
                <w:p w14:paraId="1B715602">
                  <w:pPr>
                    <w:pStyle w:val="61"/>
                    <w:keepNext w:val="0"/>
                    <w:keepLines w:val="0"/>
                    <w:suppressLineNumbers w:val="0"/>
                    <w:bidi w:val="0"/>
                    <w:spacing w:before="0" w:beforeAutospacing="0" w:after="0" w:afterAutospacing="0"/>
                    <w:ind w:left="0" w:right="0"/>
                    <w:rPr>
                      <w:rFonts w:hint="default"/>
                      <w:lang w:val="en-US" w:eastAsia="zh-CN"/>
                    </w:rPr>
                  </w:pPr>
                </w:p>
              </w:tc>
              <w:tc>
                <w:tcPr>
                  <w:tcW w:w="1365" w:type="dxa"/>
                  <w:shd w:val="clear" w:color="auto" w:fill="auto"/>
                  <w:vAlign w:val="center"/>
                </w:tcPr>
                <w:p w14:paraId="0ADA76CC">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废皮/布制品</w:t>
                  </w:r>
                </w:p>
              </w:tc>
              <w:tc>
                <w:tcPr>
                  <w:tcW w:w="811" w:type="dxa"/>
                  <w:vAlign w:val="center"/>
                </w:tcPr>
                <w:p w14:paraId="354F8B73">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50</w:t>
                  </w:r>
                </w:p>
              </w:tc>
              <w:tc>
                <w:tcPr>
                  <w:tcW w:w="1070" w:type="dxa"/>
                  <w:vAlign w:val="center"/>
                </w:tcPr>
                <w:p w14:paraId="6BC95495">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4t</w:t>
                  </w:r>
                </w:p>
              </w:tc>
              <w:tc>
                <w:tcPr>
                  <w:tcW w:w="1070" w:type="dxa"/>
                  <w:vAlign w:val="center"/>
                </w:tcPr>
                <w:p w14:paraId="28BBCF4C">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w:t>
                  </w:r>
                </w:p>
              </w:tc>
              <w:tc>
                <w:tcPr>
                  <w:tcW w:w="1070" w:type="dxa"/>
                  <w:vAlign w:val="center"/>
                </w:tcPr>
                <w:p w14:paraId="7AEC30F9">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60t</w:t>
                  </w:r>
                </w:p>
              </w:tc>
              <w:tc>
                <w:tcPr>
                  <w:tcW w:w="1070" w:type="dxa"/>
                  <w:shd w:val="clear" w:color="auto" w:fill="auto"/>
                  <w:vAlign w:val="center"/>
                </w:tcPr>
                <w:p w14:paraId="5772BC25">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134t</w:t>
                  </w:r>
                </w:p>
              </w:tc>
            </w:tr>
            <w:tr w14:paraId="7888A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34" w:type="dxa"/>
                  <w:vMerge w:val="continue"/>
                  <w:vAlign w:val="center"/>
                </w:tcPr>
                <w:p w14:paraId="220F0020">
                  <w:pPr>
                    <w:pStyle w:val="61"/>
                    <w:keepNext w:val="0"/>
                    <w:keepLines w:val="0"/>
                    <w:suppressLineNumbers w:val="0"/>
                    <w:bidi w:val="0"/>
                    <w:spacing w:before="0" w:beforeAutospacing="0" w:after="0" w:afterAutospacing="0"/>
                    <w:ind w:left="0" w:right="0"/>
                    <w:rPr>
                      <w:rFonts w:hint="default"/>
                      <w:lang w:val="en-US" w:eastAsia="zh-CN"/>
                    </w:rPr>
                  </w:pPr>
                </w:p>
              </w:tc>
              <w:tc>
                <w:tcPr>
                  <w:tcW w:w="795" w:type="dxa"/>
                  <w:vMerge w:val="continue"/>
                  <w:vAlign w:val="center"/>
                </w:tcPr>
                <w:p w14:paraId="496E6222">
                  <w:pPr>
                    <w:pStyle w:val="61"/>
                    <w:keepNext w:val="0"/>
                    <w:keepLines w:val="0"/>
                    <w:suppressLineNumbers w:val="0"/>
                    <w:bidi w:val="0"/>
                    <w:spacing w:before="0" w:beforeAutospacing="0" w:after="0" w:afterAutospacing="0"/>
                    <w:ind w:left="0" w:right="0"/>
                    <w:rPr>
                      <w:rFonts w:hint="default"/>
                      <w:lang w:val="en-US" w:eastAsia="zh-CN"/>
                    </w:rPr>
                  </w:pPr>
                </w:p>
              </w:tc>
              <w:tc>
                <w:tcPr>
                  <w:tcW w:w="765" w:type="dxa"/>
                  <w:vMerge w:val="continue"/>
                  <w:shd w:val="clear" w:color="auto" w:fill="auto"/>
                  <w:vAlign w:val="center"/>
                </w:tcPr>
                <w:p w14:paraId="467B0C1C">
                  <w:pPr>
                    <w:pStyle w:val="61"/>
                    <w:keepNext w:val="0"/>
                    <w:keepLines w:val="0"/>
                    <w:suppressLineNumbers w:val="0"/>
                    <w:bidi w:val="0"/>
                    <w:spacing w:before="0" w:beforeAutospacing="0" w:after="0" w:afterAutospacing="0"/>
                    <w:ind w:left="0" w:right="0"/>
                    <w:rPr>
                      <w:rFonts w:hint="eastAsia"/>
                      <w:lang w:val="en-US" w:eastAsia="zh-CN"/>
                    </w:rPr>
                  </w:pPr>
                </w:p>
              </w:tc>
              <w:tc>
                <w:tcPr>
                  <w:tcW w:w="1365" w:type="dxa"/>
                  <w:shd w:val="clear" w:color="auto" w:fill="auto"/>
                  <w:vAlign w:val="center"/>
                </w:tcPr>
                <w:p w14:paraId="5CE368BE">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废锂电池</w:t>
                  </w:r>
                  <w:r>
                    <w:rPr>
                      <w:rFonts w:hint="eastAsia"/>
                      <w:vertAlign w:val="superscript"/>
                      <w:lang w:val="en-US" w:eastAsia="zh-CN"/>
                    </w:rPr>
                    <w:t>③</w:t>
                  </w:r>
                </w:p>
              </w:tc>
              <w:tc>
                <w:tcPr>
                  <w:tcW w:w="811" w:type="dxa"/>
                  <w:shd w:val="clear" w:color="auto" w:fill="auto"/>
                  <w:vAlign w:val="center"/>
                </w:tcPr>
                <w:p w14:paraId="24A98B63">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20</w:t>
                  </w:r>
                </w:p>
              </w:tc>
              <w:tc>
                <w:tcPr>
                  <w:tcW w:w="1070" w:type="dxa"/>
                  <w:vAlign w:val="center"/>
                </w:tcPr>
                <w:p w14:paraId="2EF3A436">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3t</w:t>
                  </w:r>
                </w:p>
              </w:tc>
              <w:tc>
                <w:tcPr>
                  <w:tcW w:w="1070" w:type="dxa"/>
                  <w:vAlign w:val="center"/>
                </w:tcPr>
                <w:p w14:paraId="25B66906">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10</w:t>
                  </w:r>
                </w:p>
              </w:tc>
              <w:tc>
                <w:tcPr>
                  <w:tcW w:w="1070" w:type="dxa"/>
                  <w:vAlign w:val="center"/>
                </w:tcPr>
                <w:p w14:paraId="7F3AB177">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105t</w:t>
                  </w:r>
                </w:p>
              </w:tc>
              <w:tc>
                <w:tcPr>
                  <w:tcW w:w="1070" w:type="dxa"/>
                  <w:shd w:val="clear" w:color="auto" w:fill="auto"/>
                  <w:vAlign w:val="center"/>
                </w:tcPr>
                <w:p w14:paraId="6F55B943">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80.82t</w:t>
                  </w:r>
                </w:p>
              </w:tc>
            </w:tr>
            <w:tr w14:paraId="71200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34" w:type="dxa"/>
                  <w:vMerge w:val="continue"/>
                  <w:vAlign w:val="center"/>
                </w:tcPr>
                <w:p w14:paraId="73ABB1BC">
                  <w:pPr>
                    <w:pStyle w:val="61"/>
                    <w:keepNext w:val="0"/>
                    <w:keepLines w:val="0"/>
                    <w:suppressLineNumbers w:val="0"/>
                    <w:bidi w:val="0"/>
                    <w:spacing w:before="0" w:beforeAutospacing="0" w:after="0" w:afterAutospacing="0"/>
                    <w:ind w:left="0" w:right="0"/>
                    <w:rPr>
                      <w:rFonts w:hint="default"/>
                      <w:lang w:val="en-US" w:eastAsia="zh-CN"/>
                    </w:rPr>
                  </w:pPr>
                </w:p>
              </w:tc>
              <w:tc>
                <w:tcPr>
                  <w:tcW w:w="795" w:type="dxa"/>
                  <w:vMerge w:val="continue"/>
                  <w:vAlign w:val="center"/>
                </w:tcPr>
                <w:p w14:paraId="7983E96C">
                  <w:pPr>
                    <w:pStyle w:val="61"/>
                    <w:keepNext w:val="0"/>
                    <w:keepLines w:val="0"/>
                    <w:suppressLineNumbers w:val="0"/>
                    <w:bidi w:val="0"/>
                    <w:spacing w:before="0" w:beforeAutospacing="0" w:after="0" w:afterAutospacing="0"/>
                    <w:ind w:left="0" w:right="0"/>
                    <w:rPr>
                      <w:rFonts w:hint="default"/>
                      <w:lang w:val="en-US" w:eastAsia="zh-CN"/>
                    </w:rPr>
                  </w:pPr>
                </w:p>
              </w:tc>
              <w:tc>
                <w:tcPr>
                  <w:tcW w:w="765" w:type="dxa"/>
                  <w:vMerge w:val="restart"/>
                  <w:vAlign w:val="center"/>
                </w:tcPr>
                <w:p w14:paraId="22FF0B84">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危废暂存间（60㎡）</w:t>
                  </w:r>
                </w:p>
              </w:tc>
              <w:tc>
                <w:tcPr>
                  <w:tcW w:w="1365" w:type="dxa"/>
                  <w:shd w:val="clear" w:color="auto" w:fill="auto"/>
                  <w:vAlign w:val="center"/>
                </w:tcPr>
                <w:p w14:paraId="2EC10E42">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废电路板及电子元器件</w:t>
                  </w:r>
                  <w:r>
                    <w:rPr>
                      <w:rFonts w:hint="eastAsia"/>
                      <w:vertAlign w:val="superscript"/>
                      <w:lang w:val="en-US" w:eastAsia="zh-CN"/>
                    </w:rPr>
                    <w:t>④</w:t>
                  </w:r>
                </w:p>
              </w:tc>
              <w:tc>
                <w:tcPr>
                  <w:tcW w:w="811" w:type="dxa"/>
                  <w:vAlign w:val="center"/>
                </w:tcPr>
                <w:p w14:paraId="7BD3837E">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30</w:t>
                  </w:r>
                </w:p>
              </w:tc>
              <w:tc>
                <w:tcPr>
                  <w:tcW w:w="1070" w:type="dxa"/>
                  <w:vAlign w:val="center"/>
                </w:tcPr>
                <w:p w14:paraId="6DD9E028">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9t</w:t>
                  </w:r>
                </w:p>
              </w:tc>
              <w:tc>
                <w:tcPr>
                  <w:tcW w:w="1070" w:type="dxa"/>
                  <w:vAlign w:val="center"/>
                </w:tcPr>
                <w:p w14:paraId="61399DCC">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7</w:t>
                  </w:r>
                </w:p>
              </w:tc>
              <w:tc>
                <w:tcPr>
                  <w:tcW w:w="1070" w:type="dxa"/>
                  <w:vAlign w:val="center"/>
                </w:tcPr>
                <w:p w14:paraId="710EFB37">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450t</w:t>
                  </w:r>
                </w:p>
              </w:tc>
              <w:tc>
                <w:tcPr>
                  <w:tcW w:w="1070" w:type="dxa"/>
                  <w:shd w:val="clear" w:color="auto" w:fill="auto"/>
                  <w:vAlign w:val="center"/>
                </w:tcPr>
                <w:p w14:paraId="0B415773">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203.5t</w:t>
                  </w:r>
                </w:p>
              </w:tc>
            </w:tr>
            <w:tr w14:paraId="3A133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534" w:type="dxa"/>
                  <w:vMerge w:val="continue"/>
                  <w:vAlign w:val="center"/>
                </w:tcPr>
                <w:p w14:paraId="3C00F89D">
                  <w:pPr>
                    <w:pStyle w:val="61"/>
                    <w:keepNext w:val="0"/>
                    <w:keepLines w:val="0"/>
                    <w:suppressLineNumbers w:val="0"/>
                    <w:bidi w:val="0"/>
                    <w:spacing w:before="0" w:beforeAutospacing="0" w:after="0" w:afterAutospacing="0"/>
                    <w:ind w:left="0" w:right="0"/>
                    <w:rPr>
                      <w:rFonts w:hint="default"/>
                      <w:lang w:val="en-US" w:eastAsia="zh-CN"/>
                    </w:rPr>
                  </w:pPr>
                </w:p>
              </w:tc>
              <w:tc>
                <w:tcPr>
                  <w:tcW w:w="795" w:type="dxa"/>
                  <w:vMerge w:val="continue"/>
                  <w:vAlign w:val="center"/>
                </w:tcPr>
                <w:p w14:paraId="17295A19">
                  <w:pPr>
                    <w:pStyle w:val="61"/>
                    <w:keepNext w:val="0"/>
                    <w:keepLines w:val="0"/>
                    <w:suppressLineNumbers w:val="0"/>
                    <w:bidi w:val="0"/>
                    <w:spacing w:before="0" w:beforeAutospacing="0" w:after="0" w:afterAutospacing="0"/>
                    <w:ind w:left="0" w:right="0"/>
                    <w:rPr>
                      <w:rFonts w:hint="default"/>
                      <w:lang w:val="en-US" w:eastAsia="zh-CN"/>
                    </w:rPr>
                  </w:pPr>
                </w:p>
              </w:tc>
              <w:tc>
                <w:tcPr>
                  <w:tcW w:w="765" w:type="dxa"/>
                  <w:vMerge w:val="continue"/>
                  <w:vAlign w:val="center"/>
                </w:tcPr>
                <w:p w14:paraId="53186A33">
                  <w:pPr>
                    <w:pStyle w:val="61"/>
                    <w:keepNext w:val="0"/>
                    <w:keepLines w:val="0"/>
                    <w:suppressLineNumbers w:val="0"/>
                    <w:bidi w:val="0"/>
                    <w:spacing w:before="0" w:beforeAutospacing="0" w:after="0" w:afterAutospacing="0"/>
                    <w:ind w:left="0" w:right="0"/>
                    <w:rPr>
                      <w:rFonts w:hint="default"/>
                      <w:lang w:val="en-US" w:eastAsia="zh-CN"/>
                    </w:rPr>
                  </w:pPr>
                </w:p>
              </w:tc>
              <w:tc>
                <w:tcPr>
                  <w:tcW w:w="1365" w:type="dxa"/>
                  <w:shd w:val="clear" w:color="auto" w:fill="auto"/>
                  <w:vAlign w:val="center"/>
                </w:tcPr>
                <w:p w14:paraId="27CC3D42">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废铅蓄电池</w:t>
                  </w:r>
                  <w:r>
                    <w:rPr>
                      <w:rFonts w:hint="eastAsia"/>
                      <w:vertAlign w:val="superscript"/>
                      <w:lang w:val="en-US" w:eastAsia="zh-CN"/>
                    </w:rPr>
                    <w:t>③</w:t>
                  </w:r>
                </w:p>
              </w:tc>
              <w:tc>
                <w:tcPr>
                  <w:tcW w:w="811" w:type="dxa"/>
                  <w:vAlign w:val="center"/>
                </w:tcPr>
                <w:p w14:paraId="2BE37F1B">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10</w:t>
                  </w:r>
                </w:p>
              </w:tc>
              <w:tc>
                <w:tcPr>
                  <w:tcW w:w="1070" w:type="dxa"/>
                  <w:vAlign w:val="center"/>
                </w:tcPr>
                <w:p w14:paraId="07ADFBB6">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3t</w:t>
                  </w:r>
                </w:p>
              </w:tc>
              <w:tc>
                <w:tcPr>
                  <w:tcW w:w="1070" w:type="dxa"/>
                  <w:vAlign w:val="center"/>
                </w:tcPr>
                <w:p w14:paraId="7B763CCC">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4</w:t>
                  </w:r>
                </w:p>
              </w:tc>
              <w:tc>
                <w:tcPr>
                  <w:tcW w:w="1070" w:type="dxa"/>
                  <w:vAlign w:val="center"/>
                </w:tcPr>
                <w:p w14:paraId="587C8D2D">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262.5t</w:t>
                  </w:r>
                </w:p>
              </w:tc>
              <w:tc>
                <w:tcPr>
                  <w:tcW w:w="1070" w:type="dxa"/>
                  <w:shd w:val="clear" w:color="auto" w:fill="auto"/>
                  <w:vAlign w:val="center"/>
                </w:tcPr>
                <w:p w14:paraId="75AC8A20">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214.72t</w:t>
                  </w:r>
                </w:p>
              </w:tc>
            </w:tr>
            <w:tr w14:paraId="0B3A1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3459" w:type="dxa"/>
                  <w:gridSpan w:val="4"/>
                  <w:vAlign w:val="center"/>
                </w:tcPr>
                <w:p w14:paraId="00CEC9F3">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合计</w:t>
                  </w:r>
                </w:p>
              </w:tc>
              <w:tc>
                <w:tcPr>
                  <w:tcW w:w="811" w:type="dxa"/>
                  <w:vAlign w:val="center"/>
                </w:tcPr>
                <w:p w14:paraId="5F9F8D93">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430</w:t>
                  </w:r>
                </w:p>
              </w:tc>
              <w:tc>
                <w:tcPr>
                  <w:tcW w:w="1070" w:type="dxa"/>
                  <w:vAlign w:val="center"/>
                </w:tcPr>
                <w:p w14:paraId="3A75D263">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w:t>
                  </w:r>
                </w:p>
              </w:tc>
              <w:tc>
                <w:tcPr>
                  <w:tcW w:w="1070" w:type="dxa"/>
                  <w:vAlign w:val="center"/>
                </w:tcPr>
                <w:p w14:paraId="79FF9D1F">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w:t>
                  </w:r>
                </w:p>
              </w:tc>
              <w:tc>
                <w:tcPr>
                  <w:tcW w:w="1070" w:type="dxa"/>
                  <w:vAlign w:val="center"/>
                </w:tcPr>
                <w:p w14:paraId="6CFA3EE9">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w:t>
                  </w:r>
                </w:p>
              </w:tc>
              <w:tc>
                <w:tcPr>
                  <w:tcW w:w="1070" w:type="dxa"/>
                  <w:shd w:val="clear" w:color="auto" w:fill="auto"/>
                  <w:vAlign w:val="center"/>
                </w:tcPr>
                <w:p w14:paraId="697D38FC">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w:t>
                  </w:r>
                </w:p>
              </w:tc>
            </w:tr>
            <w:tr w14:paraId="0CDB3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8550" w:type="dxa"/>
                  <w:gridSpan w:val="9"/>
                  <w:vAlign w:val="center"/>
                </w:tcPr>
                <w:p w14:paraId="01D111AB">
                  <w:pPr>
                    <w:pStyle w:val="61"/>
                    <w:keepNext w:val="0"/>
                    <w:keepLines w:val="0"/>
                    <w:suppressLineNumbers w:val="0"/>
                    <w:bidi w:val="0"/>
                    <w:spacing w:before="0" w:beforeAutospacing="0" w:after="0" w:afterAutospacing="0"/>
                    <w:ind w:left="0" w:right="0"/>
                    <w:jc w:val="left"/>
                    <w:rPr>
                      <w:rFonts w:hint="eastAsia"/>
                      <w:b/>
                      <w:bCs/>
                      <w:sz w:val="18"/>
                      <w:szCs w:val="18"/>
                      <w:lang w:val="en-US" w:eastAsia="zh-CN"/>
                    </w:rPr>
                  </w:pPr>
                  <w:r>
                    <w:rPr>
                      <w:rFonts w:hint="eastAsia"/>
                      <w:b/>
                      <w:bCs/>
                      <w:sz w:val="18"/>
                      <w:szCs w:val="18"/>
                      <w:lang w:val="en-US" w:eastAsia="zh-CN"/>
                    </w:rPr>
                    <w:t>备注：①</w:t>
                  </w:r>
                  <w:r>
                    <w:rPr>
                      <w:rFonts w:hint="default"/>
                      <w:b/>
                      <w:bCs/>
                      <w:sz w:val="18"/>
                      <w:szCs w:val="18"/>
                    </w:rPr>
                    <w:t>根据《废电机回收利用技术规范》（GB/T 32668-2016）第5.2.2条，废电机在贮存时，</w:t>
                  </w:r>
                  <w:r>
                    <w:rPr>
                      <w:rFonts w:hint="eastAsia"/>
                      <w:b/>
                      <w:bCs/>
                      <w:sz w:val="18"/>
                      <w:szCs w:val="18"/>
                    </w:rPr>
                    <w:t>每堆占地面积不宜大于50平方米，同时堆放高度不宜超过2米，堆与堆之间应留有0.5米以上的通道。</w:t>
                  </w:r>
                  <w:r>
                    <w:rPr>
                      <w:rFonts w:hint="eastAsia"/>
                      <w:b/>
                      <w:bCs/>
                      <w:sz w:val="18"/>
                      <w:szCs w:val="18"/>
                      <w:lang w:val="en-US" w:eastAsia="zh-CN"/>
                    </w:rPr>
                    <w:t>项目废电机暂存区100㎡，有效利用面积约85%，单个电机直径30—40cm，长50—60cm，堆高2m，最大暂存量约1700个；</w:t>
                  </w:r>
                </w:p>
                <w:p w14:paraId="77A87487">
                  <w:pPr>
                    <w:pStyle w:val="61"/>
                    <w:keepNext w:val="0"/>
                    <w:keepLines w:val="0"/>
                    <w:suppressLineNumbers w:val="0"/>
                    <w:bidi w:val="0"/>
                    <w:spacing w:before="0" w:beforeAutospacing="0" w:after="0" w:afterAutospacing="0"/>
                    <w:ind w:left="0" w:right="0"/>
                    <w:jc w:val="left"/>
                    <w:rPr>
                      <w:rFonts w:hint="eastAsia"/>
                      <w:b/>
                      <w:bCs/>
                      <w:sz w:val="18"/>
                      <w:szCs w:val="18"/>
                      <w:lang w:val="en-US" w:eastAsia="zh-CN"/>
                    </w:rPr>
                  </w:pPr>
                  <w:r>
                    <w:rPr>
                      <w:rFonts w:hint="eastAsia"/>
                      <w:b/>
                      <w:bCs/>
                      <w:sz w:val="18"/>
                      <w:szCs w:val="18"/>
                      <w:lang w:val="en-US" w:eastAsia="zh-CN"/>
                    </w:rPr>
                    <w:t>②废钢铁件成品打包块密度约2.2-2.5t/m³（以2.3t/m³计），堆高2.5m，有效利用面积约85%，最大暂存量为50×2.5×0.85×2.3=244t；</w:t>
                  </w:r>
                </w:p>
                <w:p w14:paraId="2AF38E66">
                  <w:pPr>
                    <w:pStyle w:val="61"/>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right="0"/>
                    <w:jc w:val="left"/>
                    <w:textAlignment w:val="baseline"/>
                    <w:rPr>
                      <w:rFonts w:hint="eastAsia" w:ascii="Times New Roman" w:hAnsi="Times New Roman" w:eastAsia="宋体" w:cs="Times New Roman"/>
                      <w:b/>
                      <w:bCs/>
                      <w:color w:val="0000FF"/>
                      <w:sz w:val="18"/>
                      <w:szCs w:val="18"/>
                      <w:lang w:val="en-US" w:eastAsia="zh-CN"/>
                    </w:rPr>
                  </w:pPr>
                  <w:r>
                    <w:rPr>
                      <w:rFonts w:hint="eastAsia" w:ascii="Times New Roman" w:hAnsi="Times New Roman" w:cs="宋体"/>
                      <w:b/>
                      <w:bCs/>
                      <w:color w:val="0000FF"/>
                      <w:kern w:val="0"/>
                      <w:sz w:val="18"/>
                      <w:szCs w:val="18"/>
                      <w:lang w:val="en-US" w:eastAsia="zh-CN" w:bidi="ar"/>
                    </w:rPr>
                    <w:t>③</w:t>
                  </w:r>
                  <w:r>
                    <w:rPr>
                      <w:rFonts w:hint="eastAsia" w:cs="宋体"/>
                      <w:b/>
                      <w:bCs/>
                      <w:color w:val="0000FF"/>
                      <w:kern w:val="0"/>
                      <w:sz w:val="18"/>
                      <w:szCs w:val="18"/>
                      <w:lang w:val="en-US" w:eastAsia="zh-CN" w:bidi="ar"/>
                    </w:rPr>
                    <w:t>参考</w:t>
                  </w:r>
                  <w:r>
                    <w:rPr>
                      <w:rFonts w:hint="eastAsia" w:ascii="Times New Roman" w:hAnsi="Times New Roman" w:eastAsia="宋体" w:cs="Times New Roman"/>
                      <w:b/>
                      <w:bCs/>
                      <w:color w:val="0000FF"/>
                      <w:sz w:val="18"/>
                      <w:szCs w:val="18"/>
                      <w:lang w:val="en-US" w:eastAsia="zh-CN"/>
                    </w:rPr>
                    <w:t>《废铅酸蓄电池处理污染控制技术规范》（HJ519-2020），电池最大暂存重量不超过3t</w:t>
                  </w:r>
                  <w:r>
                    <w:rPr>
                      <w:rFonts w:hint="eastAsia" w:cs="Times New Roman"/>
                      <w:b/>
                      <w:bCs/>
                      <w:color w:val="0000FF"/>
                      <w:sz w:val="18"/>
                      <w:szCs w:val="18"/>
                      <w:lang w:val="en-US" w:eastAsia="zh-CN"/>
                    </w:rPr>
                    <w:t>，项目废铅蓄电池暂存区10㎡，</w:t>
                  </w:r>
                  <w:r>
                    <w:rPr>
                      <w:rFonts w:hint="eastAsia" w:ascii="Times New Roman" w:hAnsi="Times New Roman" w:eastAsia="宋体" w:cs="Times New Roman"/>
                      <w:b/>
                      <w:bCs/>
                      <w:color w:val="0000FF"/>
                      <w:sz w:val="18"/>
                      <w:szCs w:val="18"/>
                      <w:lang w:val="en-US" w:eastAsia="zh-CN"/>
                    </w:rPr>
                    <w:t>根据《电池废料贮运规范》（GB/T26493-2011）隔离贮存平均单位面积的贮存量为</w:t>
                  </w:r>
                  <w:r>
                    <w:rPr>
                      <w:rFonts w:hint="default" w:ascii="Times New Roman" w:hAnsi="Times New Roman" w:eastAsia="宋体" w:cs="Times New Roman"/>
                      <w:b/>
                      <w:bCs/>
                      <w:color w:val="0000FF"/>
                      <w:sz w:val="18"/>
                      <w:szCs w:val="18"/>
                      <w:lang w:val="en-US" w:eastAsia="zh-CN"/>
                    </w:rPr>
                    <w:t>1.5~2.0t/m</w:t>
                  </w:r>
                  <w:r>
                    <w:rPr>
                      <w:rFonts w:hint="default" w:ascii="Times New Roman" w:hAnsi="Times New Roman" w:eastAsia="宋体" w:cs="Times New Roman"/>
                      <w:b/>
                      <w:bCs/>
                      <w:color w:val="0000FF"/>
                      <w:sz w:val="18"/>
                      <w:szCs w:val="18"/>
                      <w:vertAlign w:val="superscript"/>
                      <w:lang w:val="en-US" w:eastAsia="zh-CN"/>
                    </w:rPr>
                    <w:t>2</w:t>
                  </w:r>
                  <w:r>
                    <w:rPr>
                      <w:rFonts w:hint="eastAsia" w:ascii="Times New Roman" w:hAnsi="Times New Roman" w:eastAsia="宋体" w:cs="Times New Roman"/>
                      <w:b/>
                      <w:bCs/>
                      <w:color w:val="0000FF"/>
                      <w:sz w:val="18"/>
                      <w:szCs w:val="18"/>
                      <w:vertAlign w:val="baseline"/>
                      <w:lang w:val="en-US" w:eastAsia="zh-CN"/>
                    </w:rPr>
                    <w:t>（本项目取1.5），贮存区间距0.3-0.5m（本项目取0.4m），通道宽度1-2m（本项目取1.5m），则有效暂存面积为</w:t>
                  </w:r>
                  <w:r>
                    <w:rPr>
                      <w:rFonts w:hint="eastAsia" w:cs="Times New Roman"/>
                      <w:b/>
                      <w:bCs/>
                      <w:color w:val="0000FF"/>
                      <w:sz w:val="18"/>
                      <w:szCs w:val="18"/>
                      <w:vertAlign w:val="baseline"/>
                      <w:lang w:val="en-US" w:eastAsia="zh-CN"/>
                    </w:rPr>
                    <w:t>5</w:t>
                  </w:r>
                  <w:r>
                    <w:rPr>
                      <w:rFonts w:hint="eastAsia" w:ascii="Times New Roman" w:hAnsi="Times New Roman" w:eastAsia="宋体" w:cs="Times New Roman"/>
                      <w:b/>
                      <w:bCs/>
                      <w:color w:val="0000FF"/>
                      <w:sz w:val="18"/>
                      <w:szCs w:val="18"/>
                      <w:vertAlign w:val="baseline"/>
                      <w:lang w:val="en-US" w:eastAsia="zh-CN"/>
                    </w:rPr>
                    <w:t>㎡，最大可暂存量</w:t>
                  </w:r>
                  <w:r>
                    <w:rPr>
                      <w:rFonts w:hint="eastAsia" w:cs="Times New Roman"/>
                      <w:b/>
                      <w:bCs/>
                      <w:color w:val="0000FF"/>
                      <w:sz w:val="18"/>
                      <w:szCs w:val="18"/>
                      <w:vertAlign w:val="baseline"/>
                      <w:lang w:val="en-US" w:eastAsia="zh-CN"/>
                    </w:rPr>
                    <w:t>7.5</w:t>
                  </w:r>
                  <w:r>
                    <w:rPr>
                      <w:rFonts w:hint="eastAsia" w:ascii="Times New Roman" w:hAnsi="Times New Roman" w:eastAsia="宋体" w:cs="Times New Roman"/>
                      <w:b/>
                      <w:bCs/>
                      <w:color w:val="0000FF"/>
                      <w:sz w:val="18"/>
                      <w:szCs w:val="18"/>
                      <w:vertAlign w:val="baseline"/>
                      <w:lang w:val="en-US" w:eastAsia="zh-CN"/>
                    </w:rPr>
                    <w:t>t＞3t，可以满足暂存要求</w:t>
                  </w:r>
                  <w:r>
                    <w:rPr>
                      <w:rFonts w:hint="eastAsia" w:ascii="Times New Roman" w:hAnsi="Times New Roman" w:eastAsia="宋体" w:cs="Times New Roman"/>
                      <w:b/>
                      <w:bCs/>
                      <w:color w:val="0000FF"/>
                      <w:sz w:val="18"/>
                      <w:szCs w:val="18"/>
                      <w:lang w:val="en-US" w:eastAsia="zh-CN"/>
                    </w:rPr>
                    <w:t>；</w:t>
                  </w:r>
                </w:p>
                <w:p w14:paraId="54171C8D">
                  <w:pPr>
                    <w:pStyle w:val="61"/>
                    <w:keepNext w:val="0"/>
                    <w:keepLines w:val="0"/>
                    <w:suppressLineNumbers w:val="0"/>
                    <w:bidi w:val="0"/>
                    <w:spacing w:before="0" w:beforeAutospacing="0" w:after="0" w:afterAutospacing="0"/>
                    <w:ind w:left="0" w:right="0"/>
                    <w:jc w:val="left"/>
                    <w:rPr>
                      <w:rFonts w:hint="default" w:ascii="Times New Roman" w:hAnsi="Times New Roman" w:eastAsia="微软雅黑" w:cs="宋体"/>
                      <w:color w:val="000000"/>
                      <w:kern w:val="0"/>
                      <w:sz w:val="24"/>
                      <w:szCs w:val="24"/>
                      <w:lang w:val="en-US" w:eastAsia="zh-CN" w:bidi="ar"/>
                    </w:rPr>
                  </w:pPr>
                  <w:r>
                    <w:rPr>
                      <w:rFonts w:hint="eastAsia" w:ascii="Times New Roman" w:hAnsi="Times New Roman" w:eastAsia="宋体" w:cs="Times New Roman"/>
                      <w:b/>
                      <w:bCs/>
                      <w:sz w:val="18"/>
                      <w:szCs w:val="18"/>
                      <w:lang w:val="en-US" w:eastAsia="zh-CN"/>
                    </w:rPr>
                    <w:t>④</w:t>
                  </w:r>
                  <w:r>
                    <w:rPr>
                      <w:rFonts w:hint="default" w:ascii="Times New Roman" w:hAnsi="Times New Roman" w:eastAsia="宋体" w:cs="Times New Roman"/>
                      <w:b/>
                      <w:bCs/>
                      <w:sz w:val="18"/>
                      <w:szCs w:val="18"/>
                    </w:rPr>
                    <w:t>根据《废弃电器电子产品处理企业资格审查和许可指南》</w:t>
                  </w:r>
                  <w:r>
                    <w:rPr>
                      <w:rFonts w:hint="eastAsia" w:ascii="Times New Roman" w:hAnsi="Times New Roman" w:eastAsia="宋体" w:cs="Times New Roman"/>
                      <w:b/>
                      <w:bCs/>
                      <w:sz w:val="18"/>
                      <w:szCs w:val="18"/>
                      <w:lang w:eastAsia="zh-CN"/>
                    </w:rPr>
                    <w:t>，</w:t>
                  </w:r>
                  <w:r>
                    <w:rPr>
                      <w:rFonts w:hint="default" w:ascii="Times New Roman" w:hAnsi="Times New Roman" w:eastAsia="宋体" w:cs="Times New Roman"/>
                      <w:b/>
                      <w:bCs/>
                      <w:sz w:val="18"/>
                      <w:szCs w:val="18"/>
                    </w:rPr>
                    <w:t>贮存场地的容量应不低于日处理能力的10倍</w:t>
                  </w:r>
                  <w:r>
                    <w:rPr>
                      <w:rFonts w:hint="eastAsia" w:ascii="Times New Roman" w:hAnsi="Times New Roman" w:eastAsia="宋体" w:cs="Times New Roman"/>
                      <w:b/>
                      <w:bCs/>
                      <w:sz w:val="18"/>
                      <w:szCs w:val="18"/>
                      <w:lang w:eastAsia="zh-CN"/>
                    </w:rPr>
                    <w:t>，</w:t>
                  </w:r>
                  <w:r>
                    <w:rPr>
                      <w:rFonts w:hint="eastAsia" w:ascii="Times New Roman" w:hAnsi="Times New Roman" w:eastAsia="宋体" w:cs="Times New Roman"/>
                      <w:b/>
                      <w:bCs/>
                      <w:sz w:val="18"/>
                      <w:szCs w:val="18"/>
                      <w:lang w:val="en-US" w:eastAsia="zh-CN"/>
                    </w:rPr>
                    <w:t>本项目日产生废电子元器件0.58t，散</w:t>
                  </w:r>
                  <w:r>
                    <w:rPr>
                      <w:rFonts w:hint="default" w:ascii="Times New Roman" w:hAnsi="Times New Roman" w:eastAsia="宋体" w:cs="Times New Roman"/>
                      <w:b/>
                      <w:bCs/>
                      <w:sz w:val="18"/>
                      <w:szCs w:val="18"/>
                    </w:rPr>
                    <w:t>装堆放堆积密度约为</w:t>
                  </w:r>
                  <w:r>
                    <w:rPr>
                      <w:rFonts w:hint="eastAsia" w:ascii="Times New Roman" w:hAnsi="Times New Roman" w:eastAsia="宋体" w:cs="Times New Roman"/>
                      <w:b/>
                      <w:bCs/>
                      <w:sz w:val="18"/>
                      <w:szCs w:val="18"/>
                    </w:rPr>
                    <w:t>0.3-0.5 吨/立方米</w:t>
                  </w:r>
                  <w:r>
                    <w:rPr>
                      <w:rFonts w:hint="eastAsia" w:ascii="Times New Roman" w:hAnsi="Times New Roman" w:eastAsia="宋体" w:cs="Times New Roman"/>
                      <w:b/>
                      <w:bCs/>
                      <w:sz w:val="18"/>
                      <w:szCs w:val="18"/>
                      <w:lang w:eastAsia="zh-CN"/>
                    </w:rPr>
                    <w:t>，</w:t>
                  </w:r>
                  <w:r>
                    <w:rPr>
                      <w:rFonts w:hint="eastAsia" w:ascii="Times New Roman" w:hAnsi="Times New Roman" w:eastAsia="宋体" w:cs="Times New Roman"/>
                      <w:b/>
                      <w:bCs/>
                      <w:sz w:val="18"/>
                      <w:szCs w:val="18"/>
                      <w:lang w:val="en-US" w:eastAsia="zh-CN"/>
                    </w:rPr>
                    <w:t>堆放区面积约</w:t>
                  </w:r>
                  <w:r>
                    <w:rPr>
                      <w:rFonts w:hint="eastAsia" w:cs="Times New Roman"/>
                      <w:b/>
                      <w:bCs/>
                      <w:sz w:val="18"/>
                      <w:szCs w:val="18"/>
                      <w:lang w:val="en-US" w:eastAsia="zh-CN"/>
                    </w:rPr>
                    <w:t>30</w:t>
                  </w:r>
                  <w:r>
                    <w:rPr>
                      <w:rFonts w:hint="eastAsia" w:ascii="Times New Roman" w:hAnsi="Times New Roman" w:eastAsia="宋体" w:cs="Times New Roman"/>
                      <w:b/>
                      <w:bCs/>
                      <w:sz w:val="18"/>
                      <w:szCs w:val="18"/>
                      <w:lang w:val="en-US" w:eastAsia="zh-CN"/>
                    </w:rPr>
                    <w:t>平方米</w:t>
                  </w:r>
                  <w:r>
                    <w:rPr>
                      <w:rFonts w:hint="eastAsia" w:cs="Times New Roman"/>
                      <w:b/>
                      <w:bCs/>
                      <w:sz w:val="18"/>
                      <w:szCs w:val="18"/>
                      <w:lang w:val="en-US" w:eastAsia="zh-CN"/>
                    </w:rPr>
                    <w:t>（高度1m）</w:t>
                  </w:r>
                  <w:r>
                    <w:rPr>
                      <w:rFonts w:hint="eastAsia" w:ascii="Times New Roman" w:hAnsi="Times New Roman" w:eastAsia="宋体" w:cs="Times New Roman"/>
                      <w:b/>
                      <w:bCs/>
                      <w:sz w:val="18"/>
                      <w:szCs w:val="18"/>
                      <w:lang w:val="en-US" w:eastAsia="zh-CN"/>
                    </w:rPr>
                    <w:t>，日最大暂存</w:t>
                  </w:r>
                  <w:r>
                    <w:rPr>
                      <w:rFonts w:hint="eastAsia" w:cs="Times New Roman"/>
                      <w:b/>
                      <w:bCs/>
                      <w:sz w:val="18"/>
                      <w:szCs w:val="18"/>
                      <w:lang w:val="en-US" w:eastAsia="zh-CN"/>
                    </w:rPr>
                    <w:t>容</w:t>
                  </w:r>
                  <w:r>
                    <w:rPr>
                      <w:rFonts w:hint="eastAsia" w:ascii="Times New Roman" w:hAnsi="Times New Roman" w:eastAsia="宋体" w:cs="Times New Roman"/>
                      <w:b/>
                      <w:bCs/>
                      <w:sz w:val="18"/>
                      <w:szCs w:val="18"/>
                      <w:lang w:val="en-US" w:eastAsia="zh-CN"/>
                    </w:rPr>
                    <w:t>量为</w:t>
                  </w:r>
                  <w:r>
                    <w:rPr>
                      <w:rFonts w:hint="eastAsia" w:cs="Times New Roman"/>
                      <w:b/>
                      <w:bCs/>
                      <w:sz w:val="18"/>
                      <w:szCs w:val="18"/>
                      <w:lang w:val="en-US" w:eastAsia="zh-CN"/>
                    </w:rPr>
                    <w:t>9</w:t>
                  </w:r>
                  <w:r>
                    <w:rPr>
                      <w:rFonts w:hint="eastAsia" w:ascii="Times New Roman" w:hAnsi="Times New Roman" w:eastAsia="宋体" w:cs="Times New Roman"/>
                      <w:b/>
                      <w:bCs/>
                      <w:sz w:val="18"/>
                      <w:szCs w:val="18"/>
                      <w:lang w:val="en-US" w:eastAsia="zh-CN"/>
                    </w:rPr>
                    <w:t>t＞（0.58×10）t，可以满足要求。</w:t>
                  </w:r>
                </w:p>
              </w:tc>
            </w:tr>
          </w:tbl>
          <w:p w14:paraId="56490E9C">
            <w:pPr>
              <w:keepNext w:val="0"/>
              <w:keepLines w:val="0"/>
              <w:suppressLineNumbers w:val="0"/>
              <w:bidi w:val="0"/>
              <w:spacing w:before="0" w:beforeAutospacing="0" w:after="0" w:afterAutospacing="0"/>
              <w:ind w:left="0" w:right="0"/>
              <w:rPr>
                <w:rFonts w:hint="eastAsia"/>
                <w:b/>
                <w:bCs/>
                <w:lang w:val="en-US" w:eastAsia="zh-CN"/>
              </w:rPr>
            </w:pPr>
            <w:r>
              <w:rPr>
                <w:rFonts w:hint="eastAsia"/>
                <w:color w:val="000000" w:themeColor="text1"/>
                <w:lang w:val="en-US" w:eastAsia="zh-CN"/>
                <w14:textFill>
                  <w14:solidFill>
                    <w14:schemeClr w14:val="tx1"/>
                  </w14:solidFill>
                </w14:textFill>
              </w:rPr>
              <w:t>由上可知，项目暂存车间可以满足拆解后零部件暂存要求。</w:t>
            </w:r>
          </w:p>
          <w:p w14:paraId="36E8839E">
            <w:pPr>
              <w:keepNext w:val="0"/>
              <w:keepLines w:val="0"/>
              <w:suppressLineNumbers w:val="0"/>
              <w:bidi w:val="0"/>
              <w:spacing w:before="0" w:beforeAutospacing="0" w:after="0" w:afterAutospacing="0"/>
              <w:ind w:left="0" w:right="0"/>
              <w:rPr>
                <w:rFonts w:hint="default"/>
                <w:b/>
                <w:bCs/>
              </w:rPr>
            </w:pPr>
            <w:r>
              <w:rPr>
                <w:rFonts w:hint="eastAsia"/>
                <w:b/>
                <w:bCs/>
                <w:lang w:val="en-US" w:eastAsia="zh-CN"/>
              </w:rPr>
              <w:t>3、</w:t>
            </w:r>
            <w:r>
              <w:rPr>
                <w:rFonts w:hint="default"/>
                <w:b/>
                <w:bCs/>
              </w:rPr>
              <w:t>产品方案</w:t>
            </w:r>
          </w:p>
          <w:p w14:paraId="68407D1B">
            <w:pPr>
              <w:keepNext w:val="0"/>
              <w:keepLines w:val="0"/>
              <w:suppressLineNumbers w:val="0"/>
              <w:bidi w:val="0"/>
              <w:spacing w:before="0" w:beforeAutospacing="0" w:after="0" w:afterAutospacing="0"/>
              <w:ind w:left="0" w:right="0"/>
              <w:rPr>
                <w:rFonts w:hint="eastAsia"/>
                <w:b/>
                <w:bCs/>
                <w:lang w:val="en-US" w:eastAsia="zh-CN"/>
              </w:rPr>
            </w:pPr>
            <w:r>
              <w:rPr>
                <w:rFonts w:hint="eastAsia"/>
                <w:b/>
                <w:bCs/>
                <w:lang w:eastAsia="zh-CN"/>
              </w:rPr>
              <w:t>（</w:t>
            </w:r>
            <w:r>
              <w:rPr>
                <w:rFonts w:hint="eastAsia"/>
                <w:b/>
                <w:bCs/>
                <w:lang w:val="en-US" w:eastAsia="zh-CN"/>
              </w:rPr>
              <w:t>1）拆解能力</w:t>
            </w:r>
          </w:p>
          <w:p w14:paraId="1DEFF7E3">
            <w:pPr>
              <w:keepNext w:val="0"/>
              <w:keepLines w:val="0"/>
              <w:suppressLineNumbers w:val="0"/>
              <w:bidi w:val="0"/>
              <w:spacing w:before="0" w:beforeAutospacing="0" w:after="0" w:afterAutospacing="0"/>
              <w:ind w:left="0" w:right="0"/>
              <w:rPr>
                <w:rFonts w:hint="default"/>
                <w:color w:val="1D70F5"/>
              </w:rPr>
            </w:pPr>
            <w:r>
              <w:rPr>
                <w:rFonts w:hint="eastAsia"/>
                <w:lang w:val="en-US" w:eastAsia="zh-CN"/>
              </w:rPr>
              <w:t>根据项目备案表可知，项目年拆解电动自行车100000辆，包含两轮、三轮、四轮电动自行车，本项目各类电动自行车拆解方案</w:t>
            </w:r>
            <w:r>
              <w:rPr>
                <w:rFonts w:hint="default"/>
              </w:rPr>
              <w:t>见</w:t>
            </w:r>
            <w:r>
              <w:rPr>
                <w:rFonts w:hint="eastAsia"/>
                <w:lang w:val="en-US" w:eastAsia="zh-CN"/>
              </w:rPr>
              <w:t>下表</w:t>
            </w:r>
            <w:r>
              <w:rPr>
                <w:rFonts w:hint="default"/>
              </w:rPr>
              <w:t>。</w:t>
            </w:r>
          </w:p>
          <w:p w14:paraId="38AC24AB">
            <w:pPr>
              <w:pStyle w:val="43"/>
              <w:keepNext w:val="0"/>
              <w:keepLines w:val="0"/>
              <w:suppressLineNumbers w:val="0"/>
              <w:bidi w:val="0"/>
              <w:spacing w:before="0" w:beforeAutospacing="0" w:after="0" w:afterAutospacing="0"/>
              <w:ind w:left="0" w:right="0"/>
              <w:rPr>
                <w:rFonts w:hint="eastAsia"/>
                <w:lang w:val="en-US" w:eastAsia="zh-CN"/>
              </w:rPr>
            </w:pPr>
            <w:r>
              <w:t>表</w:t>
            </w:r>
            <w:r>
              <w:rPr>
                <w:rFonts w:hint="eastAsia"/>
              </w:rPr>
              <w:t>2-</w:t>
            </w:r>
            <w:r>
              <w:rPr>
                <w:rFonts w:hint="eastAsia"/>
                <w:lang w:val="en-US" w:eastAsia="zh-CN"/>
              </w:rPr>
              <w:t>5</w:t>
            </w:r>
            <w:r>
              <w:rPr>
                <w:rFonts w:hint="eastAsia"/>
                <w:lang w:eastAsia="zh-CN"/>
              </w:rPr>
              <w:t xml:space="preserve">  </w:t>
            </w:r>
            <w:r>
              <w:t>项目</w:t>
            </w:r>
            <w:r>
              <w:rPr>
                <w:rFonts w:hint="eastAsia"/>
                <w:lang w:val="en-US" w:eastAsia="zh-CN"/>
              </w:rPr>
              <w:t>各类电动自行车拆解方案一览表</w:t>
            </w:r>
          </w:p>
          <w:tbl>
            <w:tblPr>
              <w:tblStyle w:val="20"/>
              <w:tblW w:w="86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7"/>
              <w:gridCol w:w="2138"/>
              <w:gridCol w:w="1517"/>
              <w:gridCol w:w="1352"/>
              <w:gridCol w:w="2955"/>
            </w:tblGrid>
            <w:tr w14:paraId="59D22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tcPr>
                <w:p w14:paraId="4F53CDCB">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序号</w:t>
                  </w:r>
                </w:p>
              </w:tc>
              <w:tc>
                <w:tcPr>
                  <w:tcW w:w="2138" w:type="dxa"/>
                </w:tcPr>
                <w:p w14:paraId="1F6F50C7">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项目名称</w:t>
                  </w:r>
                </w:p>
              </w:tc>
              <w:tc>
                <w:tcPr>
                  <w:tcW w:w="1517" w:type="dxa"/>
                </w:tcPr>
                <w:p w14:paraId="3FFF513D">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年拆解量</w:t>
                  </w:r>
                </w:p>
              </w:tc>
              <w:tc>
                <w:tcPr>
                  <w:tcW w:w="1352" w:type="dxa"/>
                </w:tcPr>
                <w:p w14:paraId="3177C039">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最大暂存量</w:t>
                  </w:r>
                </w:p>
              </w:tc>
              <w:tc>
                <w:tcPr>
                  <w:tcW w:w="2955" w:type="dxa"/>
                </w:tcPr>
                <w:p w14:paraId="4835D7C2">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拆解部件</w:t>
                  </w:r>
                </w:p>
              </w:tc>
            </w:tr>
            <w:tr w14:paraId="5B063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647" w:type="dxa"/>
                </w:tcPr>
                <w:p w14:paraId="62308B42">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w:t>
                  </w:r>
                </w:p>
              </w:tc>
              <w:tc>
                <w:tcPr>
                  <w:tcW w:w="2138" w:type="dxa"/>
                </w:tcPr>
                <w:p w14:paraId="355A9E55">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电动自行车（两轮）</w:t>
                  </w:r>
                </w:p>
              </w:tc>
              <w:tc>
                <w:tcPr>
                  <w:tcW w:w="1517" w:type="dxa"/>
                  <w:shd w:val="clear" w:color="auto" w:fill="auto"/>
                  <w:vAlign w:val="top"/>
                </w:tcPr>
                <w:p w14:paraId="1B6A10A7">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80000辆</w:t>
                  </w:r>
                </w:p>
              </w:tc>
              <w:tc>
                <w:tcPr>
                  <w:tcW w:w="1352" w:type="dxa"/>
                  <w:vAlign w:val="top"/>
                </w:tcPr>
                <w:p w14:paraId="4B4009DB">
                  <w:pPr>
                    <w:pStyle w:val="61"/>
                    <w:keepNext w:val="0"/>
                    <w:keepLines w:val="0"/>
                    <w:suppressLineNumbers w:val="0"/>
                    <w:bidi w:val="0"/>
                    <w:spacing w:before="0" w:beforeAutospacing="0" w:after="0" w:afterAutospacing="0"/>
                    <w:ind w:left="0" w:right="0" w:firstLine="0" w:firstLineChars="0"/>
                    <w:rPr>
                      <w:rFonts w:hint="default"/>
                      <w:color w:val="0000FF"/>
                      <w:lang w:val="en-US" w:eastAsia="zh-CN"/>
                    </w:rPr>
                  </w:pPr>
                  <w:r>
                    <w:rPr>
                      <w:rFonts w:hint="eastAsia"/>
                      <w:color w:val="0000FF"/>
                      <w:lang w:val="en-US" w:eastAsia="zh-CN"/>
                    </w:rPr>
                    <w:t>185辆</w:t>
                  </w:r>
                </w:p>
              </w:tc>
              <w:tc>
                <w:tcPr>
                  <w:tcW w:w="2955" w:type="dxa"/>
                  <w:vMerge w:val="restart"/>
                </w:tcPr>
                <w:p w14:paraId="5AAAA965">
                  <w:pPr>
                    <w:pStyle w:val="61"/>
                    <w:keepNext w:val="0"/>
                    <w:keepLines w:val="0"/>
                    <w:suppressLineNumbers w:val="0"/>
                    <w:bidi w:val="0"/>
                    <w:spacing w:before="0" w:beforeAutospacing="0" w:after="0" w:afterAutospacing="0"/>
                    <w:ind w:left="0" w:right="0"/>
                    <w:rPr>
                      <w:rFonts w:hint="eastAsia"/>
                      <w:lang w:val="en-US" w:eastAsia="zh-CN"/>
                    </w:rPr>
                  </w:pPr>
                  <w:r>
                    <w:rPr>
                      <w:rFonts w:hint="default" w:ascii="Times New Roman" w:hAnsi="Times New Roman" w:eastAsia="宋体" w:cs="Times New Roman"/>
                      <w:b w:val="0"/>
                      <w:bCs/>
                      <w:color w:val="auto"/>
                      <w:sz w:val="21"/>
                      <w:szCs w:val="21"/>
                      <w:highlight w:val="none"/>
                      <w:u w:val="none"/>
                      <w:lang w:val="en-US" w:eastAsia="zh-CN"/>
                    </w:rPr>
                    <w:t>车架</w:t>
                  </w:r>
                  <w:r>
                    <w:rPr>
                      <w:rFonts w:hint="eastAsia" w:ascii="Times New Roman" w:hAnsi="Times New Roman" w:eastAsia="宋体" w:cs="Times New Roman"/>
                      <w:b w:val="0"/>
                      <w:bCs/>
                      <w:color w:val="auto"/>
                      <w:sz w:val="21"/>
                      <w:szCs w:val="21"/>
                      <w:highlight w:val="none"/>
                      <w:u w:val="none"/>
                      <w:lang w:val="en-US" w:eastAsia="zh-CN"/>
                    </w:rPr>
                    <w:t>、</w:t>
                  </w:r>
                  <w:r>
                    <w:rPr>
                      <w:rFonts w:hint="default" w:ascii="Times New Roman" w:hAnsi="Times New Roman" w:eastAsia="宋体" w:cs="Times New Roman"/>
                      <w:b w:val="0"/>
                      <w:bCs/>
                      <w:color w:val="auto"/>
                      <w:sz w:val="21"/>
                      <w:szCs w:val="21"/>
                      <w:highlight w:val="none"/>
                      <w:u w:val="none"/>
                      <w:lang w:val="en-US" w:eastAsia="zh-CN"/>
                    </w:rPr>
                    <w:t>车</w:t>
                  </w:r>
                  <w:r>
                    <w:rPr>
                      <w:rFonts w:hint="eastAsia" w:cs="Times New Roman"/>
                      <w:b w:val="0"/>
                      <w:bCs/>
                      <w:color w:val="auto"/>
                      <w:sz w:val="21"/>
                      <w:szCs w:val="21"/>
                      <w:highlight w:val="none"/>
                      <w:u w:val="none"/>
                      <w:lang w:val="en-US" w:eastAsia="zh-CN"/>
                    </w:rPr>
                    <w:t>身</w:t>
                  </w:r>
                  <w:r>
                    <w:rPr>
                      <w:rFonts w:hint="eastAsia" w:ascii="Times New Roman" w:hAnsi="Times New Roman" w:eastAsia="宋体" w:cs="Times New Roman"/>
                      <w:b w:val="0"/>
                      <w:bCs/>
                      <w:color w:val="auto"/>
                      <w:sz w:val="21"/>
                      <w:szCs w:val="21"/>
                      <w:highlight w:val="none"/>
                      <w:u w:val="none"/>
                      <w:lang w:val="en-US" w:eastAsia="zh-CN"/>
                    </w:rPr>
                    <w:t>、</w:t>
                  </w:r>
                  <w:r>
                    <w:rPr>
                      <w:rFonts w:hint="default" w:ascii="Times New Roman" w:hAnsi="Times New Roman" w:eastAsia="宋体" w:cs="Times New Roman"/>
                      <w:b w:val="0"/>
                      <w:bCs/>
                      <w:color w:val="auto"/>
                      <w:sz w:val="21"/>
                      <w:szCs w:val="21"/>
                      <w:highlight w:val="none"/>
                      <w:u w:val="none"/>
                      <w:lang w:val="en-US" w:eastAsia="zh-CN"/>
                    </w:rPr>
                    <w:t>车灯</w:t>
                  </w:r>
                  <w:r>
                    <w:rPr>
                      <w:rFonts w:hint="eastAsia" w:ascii="Times New Roman" w:hAnsi="Times New Roman" w:eastAsia="宋体" w:cs="Times New Roman"/>
                      <w:b w:val="0"/>
                      <w:bCs/>
                      <w:color w:val="auto"/>
                      <w:sz w:val="21"/>
                      <w:szCs w:val="21"/>
                      <w:highlight w:val="none"/>
                      <w:u w:val="none"/>
                      <w:lang w:val="en-US" w:eastAsia="zh-CN"/>
                    </w:rPr>
                    <w:t>、</w:t>
                  </w:r>
                  <w:r>
                    <w:rPr>
                      <w:rFonts w:hint="default" w:ascii="Times New Roman" w:hAnsi="Times New Roman" w:eastAsia="宋体" w:cs="Times New Roman"/>
                      <w:b w:val="0"/>
                      <w:bCs/>
                      <w:color w:val="auto"/>
                      <w:sz w:val="21"/>
                      <w:szCs w:val="21"/>
                      <w:highlight w:val="none"/>
                      <w:u w:val="none"/>
                      <w:lang w:val="en-US" w:eastAsia="zh-CN"/>
                    </w:rPr>
                    <w:t>减震器</w:t>
                  </w:r>
                  <w:r>
                    <w:rPr>
                      <w:rFonts w:hint="eastAsia" w:ascii="Times New Roman" w:hAnsi="Times New Roman" w:eastAsia="宋体" w:cs="Times New Roman"/>
                      <w:b w:val="0"/>
                      <w:bCs/>
                      <w:color w:val="auto"/>
                      <w:sz w:val="21"/>
                      <w:szCs w:val="21"/>
                      <w:highlight w:val="none"/>
                      <w:u w:val="none"/>
                      <w:lang w:val="en-US" w:eastAsia="zh-CN"/>
                    </w:rPr>
                    <w:t>、</w:t>
                  </w:r>
                  <w:r>
                    <w:rPr>
                      <w:rFonts w:hint="default" w:ascii="Times New Roman" w:hAnsi="Times New Roman" w:eastAsia="宋体" w:cs="Times New Roman"/>
                      <w:b w:val="0"/>
                      <w:bCs/>
                      <w:color w:val="auto"/>
                      <w:sz w:val="21"/>
                      <w:szCs w:val="21"/>
                      <w:highlight w:val="none"/>
                      <w:u w:val="none"/>
                      <w:lang w:val="en-US" w:eastAsia="zh-CN"/>
                    </w:rPr>
                    <w:t>仪表盘</w:t>
                  </w:r>
                  <w:r>
                    <w:rPr>
                      <w:rFonts w:hint="eastAsia" w:ascii="Times New Roman" w:hAnsi="Times New Roman" w:eastAsia="宋体" w:cs="Times New Roman"/>
                      <w:b w:val="0"/>
                      <w:bCs/>
                      <w:color w:val="auto"/>
                      <w:sz w:val="21"/>
                      <w:szCs w:val="21"/>
                      <w:highlight w:val="none"/>
                      <w:u w:val="none"/>
                      <w:lang w:val="en-US" w:eastAsia="zh-CN"/>
                    </w:rPr>
                    <w:t>、</w:t>
                  </w:r>
                  <w:r>
                    <w:rPr>
                      <w:rFonts w:hint="default" w:ascii="Times New Roman" w:hAnsi="Times New Roman" w:eastAsia="宋体" w:cs="Times New Roman"/>
                      <w:b w:val="0"/>
                      <w:bCs/>
                      <w:color w:val="auto"/>
                      <w:sz w:val="21"/>
                      <w:szCs w:val="21"/>
                      <w:highlight w:val="none"/>
                      <w:u w:val="none"/>
                      <w:lang w:val="en-US" w:eastAsia="zh-CN"/>
                    </w:rPr>
                    <w:t>线路板</w:t>
                  </w:r>
                  <w:r>
                    <w:rPr>
                      <w:rFonts w:hint="eastAsia" w:ascii="Times New Roman" w:hAnsi="Times New Roman" w:eastAsia="宋体" w:cs="Times New Roman"/>
                      <w:b w:val="0"/>
                      <w:bCs/>
                      <w:color w:val="auto"/>
                      <w:sz w:val="21"/>
                      <w:szCs w:val="21"/>
                      <w:highlight w:val="none"/>
                      <w:u w:val="none"/>
                      <w:lang w:val="en-US" w:eastAsia="zh-CN"/>
                    </w:rPr>
                    <w:t>、</w:t>
                  </w:r>
                  <w:r>
                    <w:rPr>
                      <w:rFonts w:hint="default" w:ascii="Times New Roman" w:hAnsi="Times New Roman" w:eastAsia="宋体" w:cs="Times New Roman"/>
                      <w:b w:val="0"/>
                      <w:bCs/>
                      <w:color w:val="auto"/>
                      <w:sz w:val="21"/>
                      <w:szCs w:val="21"/>
                      <w:highlight w:val="none"/>
                      <w:u w:val="none"/>
                      <w:lang w:val="en-US" w:eastAsia="zh-CN"/>
                    </w:rPr>
                    <w:t>轮胎</w:t>
                  </w:r>
                  <w:r>
                    <w:rPr>
                      <w:rFonts w:hint="eastAsia" w:ascii="Times New Roman" w:hAnsi="Times New Roman" w:eastAsia="宋体" w:cs="Times New Roman"/>
                      <w:b w:val="0"/>
                      <w:bCs/>
                      <w:color w:val="auto"/>
                      <w:sz w:val="21"/>
                      <w:szCs w:val="21"/>
                      <w:highlight w:val="none"/>
                      <w:u w:val="none"/>
                      <w:lang w:val="en-US" w:eastAsia="zh-CN"/>
                    </w:rPr>
                    <w:t>、</w:t>
                  </w:r>
                  <w:r>
                    <w:rPr>
                      <w:rFonts w:hint="default" w:ascii="Times New Roman" w:hAnsi="Times New Roman" w:eastAsia="宋体" w:cs="Times New Roman"/>
                      <w:b w:val="0"/>
                      <w:bCs/>
                      <w:color w:val="auto"/>
                      <w:sz w:val="21"/>
                      <w:szCs w:val="21"/>
                      <w:highlight w:val="none"/>
                      <w:u w:val="none"/>
                      <w:lang w:val="en-US" w:eastAsia="zh-CN"/>
                    </w:rPr>
                    <w:t>电池</w:t>
                  </w:r>
                  <w:r>
                    <w:rPr>
                      <w:rFonts w:hint="eastAsia" w:ascii="Times New Roman" w:hAnsi="Times New Roman" w:eastAsia="宋体" w:cs="Times New Roman"/>
                      <w:b w:val="0"/>
                      <w:bCs/>
                      <w:color w:val="auto"/>
                      <w:sz w:val="21"/>
                      <w:szCs w:val="21"/>
                      <w:highlight w:val="none"/>
                      <w:u w:val="none"/>
                      <w:lang w:val="en-US" w:eastAsia="zh-CN"/>
                    </w:rPr>
                    <w:t>、</w:t>
                  </w:r>
                  <w:r>
                    <w:rPr>
                      <w:rFonts w:hint="default" w:ascii="Times New Roman" w:hAnsi="Times New Roman" w:eastAsia="宋体" w:cs="Times New Roman"/>
                      <w:b w:val="0"/>
                      <w:bCs/>
                      <w:color w:val="auto"/>
                      <w:sz w:val="21"/>
                      <w:szCs w:val="21"/>
                      <w:highlight w:val="none"/>
                      <w:u w:val="none"/>
                      <w:lang w:val="en-US" w:eastAsia="zh-CN"/>
                    </w:rPr>
                    <w:t>电线</w:t>
                  </w:r>
                  <w:r>
                    <w:rPr>
                      <w:rFonts w:hint="eastAsia" w:ascii="Times New Roman" w:hAnsi="Times New Roman" w:eastAsia="宋体" w:cs="Times New Roman"/>
                      <w:b w:val="0"/>
                      <w:bCs/>
                      <w:color w:val="auto"/>
                      <w:sz w:val="21"/>
                      <w:szCs w:val="21"/>
                      <w:highlight w:val="none"/>
                      <w:u w:val="none"/>
                      <w:lang w:val="en-US" w:eastAsia="zh-CN"/>
                    </w:rPr>
                    <w:t>、</w:t>
                  </w:r>
                  <w:r>
                    <w:rPr>
                      <w:rFonts w:hint="default" w:ascii="Times New Roman" w:hAnsi="Times New Roman" w:eastAsia="宋体" w:cs="Times New Roman"/>
                      <w:b w:val="0"/>
                      <w:bCs/>
                      <w:color w:val="auto"/>
                      <w:sz w:val="21"/>
                      <w:szCs w:val="21"/>
                      <w:highlight w:val="none"/>
                      <w:u w:val="none"/>
                      <w:lang w:val="en-US" w:eastAsia="zh-CN"/>
                    </w:rPr>
                    <w:t>电机</w:t>
                  </w:r>
                  <w:r>
                    <w:rPr>
                      <w:rFonts w:hint="eastAsia" w:ascii="Times New Roman" w:hAnsi="Times New Roman" w:eastAsia="宋体" w:cs="Times New Roman"/>
                      <w:b w:val="0"/>
                      <w:bCs/>
                      <w:color w:val="auto"/>
                      <w:sz w:val="21"/>
                      <w:szCs w:val="21"/>
                      <w:highlight w:val="none"/>
                      <w:u w:val="none"/>
                      <w:lang w:val="en-US" w:eastAsia="zh-CN"/>
                    </w:rPr>
                    <w:t>等</w:t>
                  </w:r>
                </w:p>
              </w:tc>
            </w:tr>
            <w:tr w14:paraId="25897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tcPr>
                <w:p w14:paraId="3635D177">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w:t>
                  </w:r>
                </w:p>
              </w:tc>
              <w:tc>
                <w:tcPr>
                  <w:tcW w:w="2138" w:type="dxa"/>
                </w:tcPr>
                <w:p w14:paraId="086D25D9">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电动自行车（三轮）</w:t>
                  </w:r>
                </w:p>
              </w:tc>
              <w:tc>
                <w:tcPr>
                  <w:tcW w:w="1517" w:type="dxa"/>
                  <w:shd w:val="clear" w:color="auto" w:fill="auto"/>
                  <w:vAlign w:val="top"/>
                </w:tcPr>
                <w:p w14:paraId="2DB984AE">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10000辆</w:t>
                  </w:r>
                </w:p>
              </w:tc>
              <w:tc>
                <w:tcPr>
                  <w:tcW w:w="1352" w:type="dxa"/>
                  <w:vAlign w:val="top"/>
                </w:tcPr>
                <w:p w14:paraId="7391ADC5">
                  <w:pPr>
                    <w:pStyle w:val="61"/>
                    <w:keepNext w:val="0"/>
                    <w:keepLines w:val="0"/>
                    <w:suppressLineNumbers w:val="0"/>
                    <w:bidi w:val="0"/>
                    <w:spacing w:before="0" w:beforeAutospacing="0" w:after="0" w:afterAutospacing="0"/>
                    <w:ind w:left="0" w:right="0" w:firstLine="0" w:firstLineChars="0"/>
                    <w:rPr>
                      <w:rFonts w:hint="default"/>
                      <w:color w:val="0000FF"/>
                      <w:lang w:val="en-US" w:eastAsia="zh-CN"/>
                    </w:rPr>
                  </w:pPr>
                  <w:r>
                    <w:rPr>
                      <w:rFonts w:hint="eastAsia"/>
                      <w:color w:val="0000FF"/>
                      <w:lang w:val="en-US" w:eastAsia="zh-CN"/>
                    </w:rPr>
                    <w:t>80辆</w:t>
                  </w:r>
                </w:p>
              </w:tc>
              <w:tc>
                <w:tcPr>
                  <w:tcW w:w="2955" w:type="dxa"/>
                  <w:vMerge w:val="continue"/>
                </w:tcPr>
                <w:p w14:paraId="54578023">
                  <w:pPr>
                    <w:pStyle w:val="61"/>
                    <w:keepNext w:val="0"/>
                    <w:keepLines w:val="0"/>
                    <w:suppressLineNumbers w:val="0"/>
                    <w:bidi w:val="0"/>
                    <w:spacing w:before="0" w:beforeAutospacing="0" w:after="0" w:afterAutospacing="0"/>
                    <w:ind w:left="0" w:right="0"/>
                    <w:rPr>
                      <w:rFonts w:hint="eastAsia"/>
                      <w:lang w:val="en-US" w:eastAsia="zh-CN"/>
                    </w:rPr>
                  </w:pPr>
                </w:p>
              </w:tc>
            </w:tr>
            <w:tr w14:paraId="133AA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7" w:type="dxa"/>
                </w:tcPr>
                <w:p w14:paraId="20FF1095">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3</w:t>
                  </w:r>
                </w:p>
              </w:tc>
              <w:tc>
                <w:tcPr>
                  <w:tcW w:w="2138" w:type="dxa"/>
                </w:tcPr>
                <w:p w14:paraId="746856B4">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电动自行车（四轮）</w:t>
                  </w:r>
                </w:p>
              </w:tc>
              <w:tc>
                <w:tcPr>
                  <w:tcW w:w="1517" w:type="dxa"/>
                  <w:shd w:val="clear" w:color="auto" w:fill="auto"/>
                  <w:vAlign w:val="top"/>
                </w:tcPr>
                <w:p w14:paraId="36DCC24D">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10000辆</w:t>
                  </w:r>
                </w:p>
              </w:tc>
              <w:tc>
                <w:tcPr>
                  <w:tcW w:w="1352" w:type="dxa"/>
                  <w:vAlign w:val="top"/>
                </w:tcPr>
                <w:p w14:paraId="75C74E45">
                  <w:pPr>
                    <w:pStyle w:val="61"/>
                    <w:keepNext w:val="0"/>
                    <w:keepLines w:val="0"/>
                    <w:suppressLineNumbers w:val="0"/>
                    <w:bidi w:val="0"/>
                    <w:spacing w:before="0" w:beforeAutospacing="0" w:after="0" w:afterAutospacing="0"/>
                    <w:ind w:left="0" w:right="0" w:firstLine="0" w:firstLineChars="0"/>
                    <w:rPr>
                      <w:rFonts w:hint="default"/>
                      <w:color w:val="0000FF"/>
                      <w:lang w:val="en-US" w:eastAsia="zh-CN"/>
                    </w:rPr>
                  </w:pPr>
                  <w:r>
                    <w:rPr>
                      <w:rFonts w:hint="eastAsia"/>
                      <w:color w:val="0000FF"/>
                      <w:lang w:val="en-US" w:eastAsia="zh-CN"/>
                    </w:rPr>
                    <w:t>25辆</w:t>
                  </w:r>
                </w:p>
              </w:tc>
              <w:tc>
                <w:tcPr>
                  <w:tcW w:w="2955" w:type="dxa"/>
                  <w:vMerge w:val="continue"/>
                </w:tcPr>
                <w:p w14:paraId="546DC331">
                  <w:pPr>
                    <w:pStyle w:val="61"/>
                    <w:keepNext w:val="0"/>
                    <w:keepLines w:val="0"/>
                    <w:suppressLineNumbers w:val="0"/>
                    <w:bidi w:val="0"/>
                    <w:spacing w:before="0" w:beforeAutospacing="0" w:after="0" w:afterAutospacing="0"/>
                    <w:ind w:left="0" w:right="0"/>
                    <w:rPr>
                      <w:rFonts w:hint="eastAsia"/>
                      <w:lang w:val="en-US" w:eastAsia="zh-CN"/>
                    </w:rPr>
                  </w:pPr>
                </w:p>
              </w:tc>
            </w:tr>
          </w:tbl>
          <w:p w14:paraId="1839BBDC">
            <w:pPr>
              <w:keepNext w:val="0"/>
              <w:keepLines w:val="0"/>
              <w:widowControl/>
              <w:suppressLineNumbers w:val="0"/>
              <w:spacing w:before="0" w:beforeAutospacing="0" w:after="0" w:afterAutospacing="0"/>
              <w:ind w:left="0" w:right="0"/>
              <w:jc w:val="left"/>
              <w:rPr>
                <w:rFonts w:hint="eastAsia" w:ascii="宋体" w:hAnsi="宋体" w:eastAsia="宋体" w:cs="宋体"/>
                <w:color w:val="000000"/>
                <w:kern w:val="0"/>
                <w:sz w:val="24"/>
                <w:szCs w:val="24"/>
                <w:lang w:val="en-US" w:eastAsia="zh-CN" w:bidi="ar"/>
              </w:rPr>
            </w:pPr>
            <w:r>
              <w:rPr>
                <w:rFonts w:hint="eastAsia"/>
                <w:color w:val="auto"/>
                <w:lang w:val="en-US" w:eastAsia="zh-CN"/>
              </w:rPr>
              <w:t>本项目</w:t>
            </w:r>
            <w:r>
              <w:rPr>
                <w:rFonts w:hint="eastAsia" w:ascii="宋体" w:hAnsi="宋体" w:eastAsia="宋体" w:cs="宋体"/>
                <w:color w:val="000000"/>
                <w:kern w:val="0"/>
                <w:sz w:val="24"/>
                <w:szCs w:val="24"/>
                <w:lang w:val="en-US" w:eastAsia="zh-CN" w:bidi="ar"/>
              </w:rPr>
              <w:t>拆解的废电动车主要为废二轮电动</w:t>
            </w:r>
            <w:r>
              <w:rPr>
                <w:rFonts w:hint="eastAsia" w:ascii="宋体" w:hAnsi="宋体" w:cs="宋体"/>
                <w:color w:val="000000"/>
                <w:kern w:val="0"/>
                <w:sz w:val="24"/>
                <w:szCs w:val="24"/>
                <w:lang w:val="en-US" w:eastAsia="zh-CN" w:bidi="ar"/>
              </w:rPr>
              <w:t>自行</w:t>
            </w:r>
            <w:r>
              <w:rPr>
                <w:rFonts w:hint="eastAsia" w:ascii="宋体" w:hAnsi="宋体" w:eastAsia="宋体" w:cs="宋体"/>
                <w:color w:val="000000"/>
                <w:kern w:val="0"/>
                <w:sz w:val="24"/>
                <w:szCs w:val="24"/>
                <w:lang w:val="en-US" w:eastAsia="zh-CN" w:bidi="ar"/>
              </w:rPr>
              <w:t>车、废三轮电动</w:t>
            </w:r>
            <w:r>
              <w:rPr>
                <w:rFonts w:hint="eastAsia" w:ascii="宋体" w:hAnsi="宋体" w:cs="宋体"/>
                <w:color w:val="000000"/>
                <w:kern w:val="0"/>
                <w:sz w:val="24"/>
                <w:szCs w:val="24"/>
                <w:lang w:val="en-US" w:eastAsia="zh-CN" w:bidi="ar"/>
              </w:rPr>
              <w:t>自行</w:t>
            </w:r>
            <w:r>
              <w:rPr>
                <w:rFonts w:hint="eastAsia" w:ascii="宋体" w:hAnsi="宋体" w:eastAsia="宋体" w:cs="宋体"/>
                <w:color w:val="000000"/>
                <w:kern w:val="0"/>
                <w:sz w:val="24"/>
                <w:szCs w:val="24"/>
                <w:lang w:val="en-US" w:eastAsia="zh-CN" w:bidi="ar"/>
              </w:rPr>
              <w:t>车、废低速四轮电动</w:t>
            </w:r>
            <w:r>
              <w:rPr>
                <w:rFonts w:hint="eastAsia" w:ascii="宋体" w:hAnsi="宋体" w:cs="宋体"/>
                <w:color w:val="000000"/>
                <w:kern w:val="0"/>
                <w:sz w:val="24"/>
                <w:szCs w:val="24"/>
                <w:lang w:val="en-US" w:eastAsia="zh-CN" w:bidi="ar"/>
              </w:rPr>
              <w:t>自行</w:t>
            </w:r>
            <w:r>
              <w:rPr>
                <w:rFonts w:hint="eastAsia" w:ascii="宋体" w:hAnsi="宋体" w:eastAsia="宋体" w:cs="宋体"/>
                <w:color w:val="000000"/>
                <w:kern w:val="0"/>
                <w:sz w:val="24"/>
                <w:szCs w:val="24"/>
                <w:lang w:val="en-US" w:eastAsia="zh-CN" w:bidi="ar"/>
              </w:rPr>
              <w:t>车，废电动车主要来源途径为</w:t>
            </w:r>
            <w:r>
              <w:rPr>
                <w:rFonts w:hint="eastAsia" w:ascii="宋体" w:hAnsi="宋体" w:cs="宋体"/>
                <w:color w:val="000000"/>
                <w:kern w:val="0"/>
                <w:sz w:val="24"/>
                <w:szCs w:val="24"/>
                <w:lang w:val="en-US" w:eastAsia="zh-CN" w:bidi="ar"/>
              </w:rPr>
              <w:t>门店以旧换新回收的废旧电动自行车、</w:t>
            </w:r>
            <w:r>
              <w:rPr>
                <w:rFonts w:hint="eastAsia" w:ascii="宋体" w:hAnsi="宋体" w:eastAsia="宋体" w:cs="宋体"/>
                <w:color w:val="000000"/>
                <w:kern w:val="0"/>
                <w:sz w:val="24"/>
                <w:szCs w:val="24"/>
                <w:lang w:val="en-US" w:eastAsia="zh-CN" w:bidi="ar"/>
              </w:rPr>
              <w:t>网点</w:t>
            </w:r>
            <w:r>
              <w:rPr>
                <w:rFonts w:hint="eastAsia" w:ascii="宋体" w:hAnsi="宋体" w:cs="宋体"/>
                <w:color w:val="000000"/>
                <w:kern w:val="0"/>
                <w:sz w:val="24"/>
                <w:szCs w:val="24"/>
                <w:lang w:val="en-US" w:eastAsia="zh-CN" w:bidi="ar"/>
              </w:rPr>
              <w:t>及维修单位</w:t>
            </w:r>
            <w:r>
              <w:rPr>
                <w:rFonts w:hint="eastAsia" w:ascii="宋体" w:hAnsi="宋体" w:eastAsia="宋体" w:cs="宋体"/>
                <w:color w:val="000000"/>
                <w:kern w:val="0"/>
                <w:sz w:val="24"/>
                <w:szCs w:val="24"/>
                <w:lang w:val="en-US" w:eastAsia="zh-CN" w:bidi="ar"/>
              </w:rPr>
              <w:t>回收的</w:t>
            </w:r>
            <w:r>
              <w:rPr>
                <w:rFonts w:hint="eastAsia" w:ascii="宋体" w:hAnsi="宋体" w:cs="宋体"/>
                <w:color w:val="000000"/>
                <w:kern w:val="0"/>
                <w:sz w:val="24"/>
                <w:szCs w:val="24"/>
                <w:lang w:val="en-US" w:eastAsia="zh-CN" w:bidi="ar"/>
              </w:rPr>
              <w:t>报废</w:t>
            </w:r>
            <w:r>
              <w:rPr>
                <w:rFonts w:hint="eastAsia" w:ascii="宋体" w:hAnsi="宋体" w:eastAsia="宋体" w:cs="宋体"/>
                <w:color w:val="000000"/>
                <w:kern w:val="0"/>
                <w:sz w:val="24"/>
                <w:szCs w:val="24"/>
                <w:lang w:val="en-US" w:eastAsia="zh-CN" w:bidi="ar"/>
              </w:rPr>
              <w:t>电动</w:t>
            </w:r>
            <w:r>
              <w:rPr>
                <w:rFonts w:hint="eastAsia" w:ascii="宋体" w:hAnsi="宋体" w:cs="宋体"/>
                <w:color w:val="000000"/>
                <w:kern w:val="0"/>
                <w:sz w:val="24"/>
                <w:szCs w:val="24"/>
                <w:lang w:val="en-US" w:eastAsia="zh-CN" w:bidi="ar"/>
              </w:rPr>
              <w:t>自行</w:t>
            </w:r>
            <w:r>
              <w:rPr>
                <w:rFonts w:hint="eastAsia" w:ascii="宋体" w:hAnsi="宋体" w:eastAsia="宋体" w:cs="宋体"/>
                <w:color w:val="000000"/>
                <w:kern w:val="0"/>
                <w:sz w:val="24"/>
                <w:szCs w:val="24"/>
                <w:lang w:val="en-US" w:eastAsia="zh-CN" w:bidi="ar"/>
              </w:rPr>
              <w:t>车、交警部门收缴证照不全达到报废标准的电动车、企业及个人拥有的电动车。</w:t>
            </w:r>
          </w:p>
          <w:p w14:paraId="21BADF97">
            <w:pPr>
              <w:keepNext w:val="0"/>
              <w:keepLines w:val="0"/>
              <w:suppressLineNumbers w:val="0"/>
              <w:bidi w:val="0"/>
              <w:spacing w:before="0" w:beforeAutospacing="0" w:after="0" w:afterAutospacing="0"/>
              <w:ind w:left="0" w:right="0"/>
              <w:rPr>
                <w:rFonts w:hint="eastAsia"/>
                <w:b/>
                <w:bCs/>
                <w:color w:val="auto"/>
                <w:lang w:val="en-US" w:eastAsia="zh-CN"/>
              </w:rPr>
            </w:pPr>
            <w:r>
              <w:rPr>
                <w:rFonts w:hint="eastAsia"/>
                <w:b/>
                <w:bCs/>
                <w:color w:val="auto"/>
                <w:lang w:val="en-US" w:eastAsia="zh-CN"/>
              </w:rPr>
              <w:t>②产品方案</w:t>
            </w:r>
          </w:p>
          <w:p w14:paraId="1521F2E1">
            <w:pPr>
              <w:keepNext w:val="0"/>
              <w:keepLines w:val="0"/>
              <w:suppressLineNumbers w:val="0"/>
              <w:bidi w:val="0"/>
              <w:spacing w:before="0" w:beforeAutospacing="0" w:after="0" w:afterAutospacing="0"/>
              <w:ind w:left="0" w:right="0"/>
              <w:rPr>
                <w:rFonts w:hint="default"/>
              </w:rPr>
            </w:pPr>
            <w:r>
              <w:rPr>
                <w:rFonts w:hint="default"/>
              </w:rPr>
              <w:t>本项目属于</w:t>
            </w:r>
            <w:r>
              <w:rPr>
                <w:rFonts w:hint="eastAsia"/>
                <w:lang w:eastAsia="zh-CN"/>
              </w:rPr>
              <w:t>电动自行车</w:t>
            </w:r>
            <w:r>
              <w:rPr>
                <w:rFonts w:hint="default"/>
              </w:rPr>
              <w:t>拆解项目，由于项目的特殊性，拆解所得的物料同时也是本项目的主要产品，因此，项目产品方案为</w:t>
            </w:r>
            <w:r>
              <w:rPr>
                <w:rFonts w:hint="eastAsia"/>
                <w:lang w:eastAsia="zh-CN"/>
              </w:rPr>
              <w:t>电动自行车</w:t>
            </w:r>
            <w:r>
              <w:rPr>
                <w:rFonts w:hint="default"/>
              </w:rPr>
              <w:t>拆解下来的各种可回收的物品和零部件，即本项目的产品包括</w:t>
            </w:r>
            <w:r>
              <w:rPr>
                <w:rFonts w:hint="eastAsia"/>
                <w:lang w:eastAsia="zh-CN"/>
              </w:rPr>
              <w:t>钢铁件</w:t>
            </w:r>
            <w:r>
              <w:rPr>
                <w:rFonts w:hint="default"/>
              </w:rPr>
              <w:t>、有色金属、塑料、橡胶、</w:t>
            </w:r>
            <w:r>
              <w:rPr>
                <w:rFonts w:hint="eastAsia"/>
                <w:lang w:val="en-US" w:eastAsia="zh-CN"/>
              </w:rPr>
              <w:t>玻璃、电线、皮布制品</w:t>
            </w:r>
            <w:r>
              <w:rPr>
                <w:rFonts w:hint="default"/>
              </w:rPr>
              <w:t>和</w:t>
            </w:r>
            <w:r>
              <w:rPr>
                <w:rFonts w:hint="eastAsia"/>
                <w:lang w:val="en-US" w:eastAsia="zh-CN"/>
              </w:rPr>
              <w:t>其他</w:t>
            </w:r>
            <w:r>
              <w:rPr>
                <w:rFonts w:hint="default"/>
              </w:rPr>
              <w:t>零部件等，建设单位将</w:t>
            </w:r>
            <w:r>
              <w:rPr>
                <w:rFonts w:hint="eastAsia"/>
                <w:lang w:eastAsia="zh-CN"/>
              </w:rPr>
              <w:t>各种</w:t>
            </w:r>
            <w:r>
              <w:rPr>
                <w:rFonts w:hint="default"/>
              </w:rPr>
              <w:t>拆解所得物料进行分类收集，并根据其用途、性质进行外售综合利用或委托其他有资质单位处置。</w:t>
            </w:r>
          </w:p>
          <w:p w14:paraId="70645B1F">
            <w:pPr>
              <w:keepNext w:val="0"/>
              <w:keepLines w:val="0"/>
              <w:suppressLineNumbers w:val="0"/>
              <w:bidi w:val="0"/>
              <w:spacing w:before="0" w:beforeAutospacing="0" w:after="0" w:afterAutospacing="0"/>
              <w:ind w:left="0" w:right="0"/>
              <w:rPr>
                <w:rFonts w:hint="default"/>
              </w:rPr>
            </w:pPr>
            <w:r>
              <w:rPr>
                <w:rFonts w:hint="eastAsia"/>
                <w:lang w:eastAsia="zh-CN"/>
              </w:rPr>
              <w:t>电动自行车</w:t>
            </w:r>
            <w:r>
              <w:rPr>
                <w:rFonts w:hint="default"/>
              </w:rPr>
              <w:t>拆解产生的</w:t>
            </w:r>
            <w:r>
              <w:rPr>
                <w:rFonts w:hint="eastAsia"/>
                <w:lang w:val="en-US" w:eastAsia="zh-CN"/>
              </w:rPr>
              <w:t>少量废液压油、废电子元器件</w:t>
            </w:r>
            <w:r>
              <w:rPr>
                <w:rFonts w:hint="default"/>
              </w:rPr>
              <w:t>、废电路板、废</w:t>
            </w:r>
            <w:r>
              <w:rPr>
                <w:rFonts w:hint="eastAsia"/>
                <w:lang w:val="en-US" w:eastAsia="zh-CN"/>
              </w:rPr>
              <w:t>铅蓄电池</w:t>
            </w:r>
            <w:r>
              <w:rPr>
                <w:rFonts w:hint="default"/>
              </w:rPr>
              <w:t>等属于危险废物，按照危险废物的有关规定进行管理和处置。本项目不对废</w:t>
            </w:r>
            <w:r>
              <w:rPr>
                <w:rFonts w:hint="eastAsia"/>
                <w:lang w:val="en-US" w:eastAsia="zh-CN"/>
              </w:rPr>
              <w:t>铅蓄电池</w:t>
            </w:r>
            <w:r>
              <w:rPr>
                <w:rFonts w:hint="default"/>
              </w:rPr>
              <w:t>、电路板及电子元器件</w:t>
            </w:r>
            <w:r>
              <w:rPr>
                <w:rFonts w:hint="eastAsia"/>
                <w:lang w:eastAsia="zh-CN"/>
              </w:rPr>
              <w:t>（</w:t>
            </w:r>
            <w:r>
              <w:rPr>
                <w:rFonts w:hint="default"/>
              </w:rPr>
              <w:t>含电容器</w:t>
            </w:r>
            <w:r>
              <w:rPr>
                <w:rFonts w:hint="eastAsia"/>
                <w:lang w:eastAsia="zh-CN"/>
              </w:rPr>
              <w:t>）</w:t>
            </w:r>
            <w:r>
              <w:rPr>
                <w:rFonts w:hint="default"/>
              </w:rPr>
              <w:t>等零部件进行深度拆解。</w:t>
            </w:r>
          </w:p>
          <w:p w14:paraId="07C1515B">
            <w:pPr>
              <w:keepNext w:val="0"/>
              <w:keepLines w:val="0"/>
              <w:suppressLineNumbers w:val="0"/>
              <w:bidi w:val="0"/>
              <w:spacing w:before="0" w:beforeAutospacing="0" w:after="0" w:afterAutospacing="0"/>
              <w:ind w:left="0" w:right="0"/>
              <w:rPr>
                <w:rFonts w:hint="eastAsia" w:ascii="宋体" w:hAnsi="宋体" w:eastAsia="宋体" w:cs="宋体"/>
                <w:color w:val="000000"/>
                <w:kern w:val="0"/>
                <w:sz w:val="24"/>
                <w:szCs w:val="24"/>
                <w:lang w:val="en-US" w:eastAsia="zh-CN" w:bidi="ar"/>
              </w:rPr>
            </w:pPr>
            <w:r>
              <w:rPr>
                <w:rFonts w:hint="eastAsia" w:ascii="Times New Roman" w:hAnsi="Times New Roman" w:eastAsia="宋体" w:cs="Times New Roman"/>
                <w:color w:val="auto"/>
                <w:lang w:val="en-US" w:eastAsia="zh-CN"/>
              </w:rPr>
              <w:t>电动自行车拆解下来的零部件主要可以分为机械结构部件和电气系统部件两大类，根据企业提供的相关数据，项</w:t>
            </w:r>
            <w:r>
              <w:rPr>
                <w:rFonts w:hint="eastAsia" w:ascii="宋体" w:hAnsi="宋体" w:eastAsia="宋体" w:cs="宋体"/>
                <w:color w:val="000000"/>
                <w:kern w:val="0"/>
                <w:sz w:val="24"/>
                <w:szCs w:val="24"/>
                <w:lang w:val="en-US" w:eastAsia="zh-CN" w:bidi="ar"/>
              </w:rPr>
              <w:t>目</w:t>
            </w:r>
            <w:r>
              <w:rPr>
                <w:rFonts w:hint="eastAsia" w:ascii="宋体" w:hAnsi="宋体" w:cs="宋体"/>
                <w:color w:val="000000"/>
                <w:kern w:val="0"/>
                <w:sz w:val="24"/>
                <w:szCs w:val="24"/>
                <w:lang w:val="en-US" w:eastAsia="zh-CN" w:bidi="ar"/>
              </w:rPr>
              <w:t>废旧电动自行车</w:t>
            </w:r>
            <w:r>
              <w:rPr>
                <w:rFonts w:hint="eastAsia" w:ascii="宋体" w:hAnsi="宋体" w:eastAsia="宋体" w:cs="宋体"/>
                <w:color w:val="000000"/>
                <w:kern w:val="0"/>
                <w:sz w:val="24"/>
                <w:szCs w:val="24"/>
                <w:lang w:val="en-US" w:eastAsia="zh-CN" w:bidi="ar"/>
              </w:rPr>
              <w:t>拆解产出物方案</w:t>
            </w:r>
            <w:r>
              <w:rPr>
                <w:rFonts w:hint="eastAsia" w:ascii="宋体" w:hAnsi="宋体" w:cs="宋体"/>
                <w:color w:val="000000"/>
                <w:kern w:val="0"/>
                <w:sz w:val="24"/>
                <w:szCs w:val="24"/>
                <w:lang w:val="en-US" w:eastAsia="zh-CN" w:bidi="ar"/>
              </w:rPr>
              <w:t>明细</w:t>
            </w:r>
            <w:r>
              <w:rPr>
                <w:rFonts w:hint="eastAsia" w:ascii="宋体" w:hAnsi="宋体" w:eastAsia="宋体" w:cs="宋体"/>
                <w:color w:val="000000"/>
                <w:kern w:val="0"/>
                <w:sz w:val="24"/>
                <w:szCs w:val="24"/>
                <w:lang w:val="en-US" w:eastAsia="zh-CN" w:bidi="ar"/>
              </w:rPr>
              <w:t>见</w:t>
            </w:r>
            <w:r>
              <w:rPr>
                <w:rFonts w:hint="eastAsia" w:ascii="宋体" w:hAnsi="宋体" w:cs="宋体"/>
                <w:color w:val="000000"/>
                <w:kern w:val="0"/>
                <w:sz w:val="24"/>
                <w:szCs w:val="24"/>
                <w:lang w:val="en-US" w:eastAsia="zh-CN" w:bidi="ar"/>
              </w:rPr>
              <w:t>下</w:t>
            </w:r>
            <w:r>
              <w:rPr>
                <w:rFonts w:hint="eastAsia" w:ascii="宋体" w:hAnsi="宋体" w:eastAsia="宋体" w:cs="宋体"/>
                <w:color w:val="000000"/>
                <w:kern w:val="0"/>
                <w:sz w:val="24"/>
                <w:szCs w:val="24"/>
                <w:lang w:val="en-US" w:eastAsia="zh-CN" w:bidi="ar"/>
              </w:rPr>
              <w:t>表。</w:t>
            </w:r>
          </w:p>
          <w:p w14:paraId="5ED078D7">
            <w:pPr>
              <w:pStyle w:val="43"/>
              <w:keepNext w:val="0"/>
              <w:keepLines w:val="0"/>
              <w:suppressLineNumbers w:val="0"/>
              <w:bidi w:val="0"/>
              <w:spacing w:before="0" w:beforeAutospacing="0" w:after="0" w:afterAutospacing="0"/>
              <w:ind w:left="0" w:right="0"/>
              <w:rPr>
                <w:rFonts w:hint="default" w:eastAsia="宋体"/>
                <w:color w:val="auto"/>
                <w:lang w:val="en-US" w:eastAsia="zh-CN"/>
              </w:rPr>
            </w:pPr>
            <w:r>
              <w:rPr>
                <w:color w:val="auto"/>
              </w:rPr>
              <w:t>表</w:t>
            </w:r>
            <w:r>
              <w:rPr>
                <w:rFonts w:hint="eastAsia"/>
                <w:color w:val="auto"/>
                <w:lang w:val="en-US" w:eastAsia="zh-CN"/>
              </w:rPr>
              <w:t>2-6</w:t>
            </w:r>
            <w:r>
              <w:rPr>
                <w:rFonts w:hint="eastAsia"/>
                <w:color w:val="auto"/>
                <w:lang w:eastAsia="zh-CN"/>
              </w:rPr>
              <w:t xml:space="preserve">  </w:t>
            </w:r>
            <w:r>
              <w:rPr>
                <w:rFonts w:hint="eastAsia"/>
                <w:color w:val="auto"/>
                <w:lang w:val="en-US" w:eastAsia="zh-CN"/>
              </w:rPr>
              <w:t>项目各部件拆解明细表</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15"/>
              <w:gridCol w:w="2098"/>
              <w:gridCol w:w="1015"/>
              <w:gridCol w:w="1200"/>
              <w:gridCol w:w="1095"/>
              <w:gridCol w:w="1860"/>
              <w:gridCol w:w="665"/>
            </w:tblGrid>
            <w:tr w14:paraId="49FAB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3" w:hRule="atLeast"/>
                <w:jc w:val="center"/>
              </w:trPr>
              <w:tc>
                <w:tcPr>
                  <w:tcW w:w="359" w:type="pct"/>
                  <w:vMerge w:val="restart"/>
                  <w:noWrap w:val="0"/>
                  <w:vAlign w:val="center"/>
                </w:tcPr>
                <w:p w14:paraId="5B49D49D">
                  <w:pPr>
                    <w:pStyle w:val="27"/>
                    <w:keepNext w:val="0"/>
                    <w:keepLines w:val="0"/>
                    <w:suppressLineNumbers w:val="0"/>
                    <w:bidi w:val="0"/>
                    <w:spacing w:before="0" w:beforeAutospacing="0" w:after="0" w:afterAutospacing="0"/>
                    <w:ind w:left="0" w:right="0"/>
                    <w:jc w:val="center"/>
                    <w:rPr>
                      <w:rFonts w:hint="default"/>
                      <w:b/>
                      <w:bCs/>
                      <w:color w:val="auto"/>
                      <w:u w:val="none"/>
                      <w:lang w:val="en-US" w:eastAsia="zh-CN"/>
                    </w:rPr>
                  </w:pPr>
                  <w:r>
                    <w:rPr>
                      <w:rFonts w:hint="eastAsia"/>
                      <w:b/>
                      <w:bCs/>
                      <w:color w:val="auto"/>
                      <w:u w:val="none"/>
                      <w:lang w:val="en-US" w:eastAsia="zh-CN"/>
                    </w:rPr>
                    <w:t>序号</w:t>
                  </w:r>
                </w:p>
              </w:tc>
              <w:tc>
                <w:tcPr>
                  <w:tcW w:w="1227" w:type="pct"/>
                  <w:vMerge w:val="restart"/>
                  <w:noWrap w:val="0"/>
                  <w:vAlign w:val="center"/>
                </w:tcPr>
                <w:p w14:paraId="00D2D153">
                  <w:pPr>
                    <w:pStyle w:val="27"/>
                    <w:keepNext w:val="0"/>
                    <w:keepLines w:val="0"/>
                    <w:suppressLineNumbers w:val="0"/>
                    <w:bidi w:val="0"/>
                    <w:spacing w:before="0" w:beforeAutospacing="0" w:after="0" w:afterAutospacing="0"/>
                    <w:ind w:left="0" w:right="0"/>
                    <w:jc w:val="center"/>
                    <w:rPr>
                      <w:rFonts w:hint="default"/>
                      <w:b/>
                      <w:bCs/>
                      <w:color w:val="auto"/>
                      <w:u w:val="none"/>
                      <w:lang w:val="en-US" w:eastAsia="zh-CN"/>
                    </w:rPr>
                  </w:pPr>
                  <w:r>
                    <w:rPr>
                      <w:rFonts w:hint="eastAsia"/>
                      <w:b/>
                      <w:bCs/>
                      <w:color w:val="auto"/>
                      <w:u w:val="none"/>
                      <w:lang w:val="en-US" w:eastAsia="zh-CN"/>
                    </w:rPr>
                    <w:t>拆解件名称</w:t>
                  </w:r>
                </w:p>
              </w:tc>
              <w:tc>
                <w:tcPr>
                  <w:tcW w:w="1936" w:type="pct"/>
                  <w:gridSpan w:val="3"/>
                  <w:noWrap w:val="0"/>
                  <w:vAlign w:val="center"/>
                </w:tcPr>
                <w:p w14:paraId="26648E1C">
                  <w:pPr>
                    <w:pStyle w:val="27"/>
                    <w:keepNext w:val="0"/>
                    <w:keepLines w:val="0"/>
                    <w:suppressLineNumbers w:val="0"/>
                    <w:bidi w:val="0"/>
                    <w:spacing w:before="0" w:beforeAutospacing="0" w:after="0" w:afterAutospacing="0"/>
                    <w:ind w:left="0" w:right="0"/>
                    <w:jc w:val="center"/>
                    <w:rPr>
                      <w:rFonts w:hint="default"/>
                      <w:b/>
                      <w:bCs/>
                      <w:color w:val="auto"/>
                      <w:u w:val="none"/>
                      <w:lang w:val="en-US" w:eastAsia="zh-CN"/>
                    </w:rPr>
                  </w:pPr>
                  <w:r>
                    <w:rPr>
                      <w:rFonts w:hint="eastAsia"/>
                      <w:b/>
                      <w:bCs/>
                      <w:color w:val="auto"/>
                      <w:u w:val="none"/>
                      <w:lang w:val="en-US" w:eastAsia="zh-CN"/>
                    </w:rPr>
                    <w:t>废电动车类型</w:t>
                  </w:r>
                </w:p>
              </w:tc>
              <w:tc>
                <w:tcPr>
                  <w:tcW w:w="1087" w:type="pct"/>
                  <w:vMerge w:val="restart"/>
                  <w:noWrap w:val="0"/>
                  <w:vAlign w:val="center"/>
                </w:tcPr>
                <w:p w14:paraId="000D8DC1">
                  <w:pPr>
                    <w:pStyle w:val="27"/>
                    <w:keepNext w:val="0"/>
                    <w:keepLines w:val="0"/>
                    <w:suppressLineNumbers w:val="0"/>
                    <w:bidi w:val="0"/>
                    <w:spacing w:before="0" w:beforeAutospacing="0" w:after="0" w:afterAutospacing="0"/>
                    <w:ind w:left="0" w:right="0"/>
                    <w:jc w:val="center"/>
                    <w:rPr>
                      <w:rFonts w:hint="default"/>
                      <w:b/>
                      <w:bCs/>
                      <w:color w:val="auto"/>
                      <w:u w:val="none"/>
                      <w:lang w:val="en-US" w:eastAsia="zh-CN"/>
                    </w:rPr>
                  </w:pPr>
                  <w:r>
                    <w:rPr>
                      <w:rFonts w:hint="eastAsia"/>
                      <w:b/>
                      <w:bCs/>
                      <w:color w:val="auto"/>
                      <w:u w:val="none"/>
                      <w:lang w:val="en-US" w:eastAsia="zh-CN"/>
                    </w:rPr>
                    <w:t>主要成分</w:t>
                  </w:r>
                </w:p>
              </w:tc>
              <w:tc>
                <w:tcPr>
                  <w:tcW w:w="388" w:type="pct"/>
                  <w:vMerge w:val="restart"/>
                  <w:noWrap w:val="0"/>
                  <w:vAlign w:val="center"/>
                </w:tcPr>
                <w:p w14:paraId="08840C6C">
                  <w:pPr>
                    <w:pStyle w:val="27"/>
                    <w:keepNext w:val="0"/>
                    <w:keepLines w:val="0"/>
                    <w:suppressLineNumbers w:val="0"/>
                    <w:bidi w:val="0"/>
                    <w:spacing w:before="0" w:beforeAutospacing="0" w:after="0" w:afterAutospacing="0"/>
                    <w:ind w:left="0" w:right="0"/>
                    <w:jc w:val="center"/>
                    <w:rPr>
                      <w:rFonts w:hint="default"/>
                      <w:b/>
                      <w:bCs/>
                      <w:color w:val="auto"/>
                      <w:u w:val="none"/>
                      <w:lang w:val="en-US" w:eastAsia="zh-CN"/>
                    </w:rPr>
                  </w:pPr>
                  <w:r>
                    <w:rPr>
                      <w:rFonts w:hint="eastAsia"/>
                      <w:b/>
                      <w:bCs/>
                      <w:color w:val="auto"/>
                      <w:u w:val="none"/>
                      <w:lang w:val="en-US" w:eastAsia="zh-CN"/>
                    </w:rPr>
                    <w:t>用途或去向</w:t>
                  </w:r>
                </w:p>
              </w:tc>
            </w:tr>
            <w:tr w14:paraId="502FE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3" w:hRule="atLeast"/>
                <w:jc w:val="center"/>
              </w:trPr>
              <w:tc>
                <w:tcPr>
                  <w:tcW w:w="359" w:type="pct"/>
                  <w:vMerge w:val="continue"/>
                  <w:noWrap w:val="0"/>
                  <w:vAlign w:val="center"/>
                </w:tcPr>
                <w:p w14:paraId="6B5FACBD">
                  <w:pPr>
                    <w:pStyle w:val="27"/>
                    <w:keepNext w:val="0"/>
                    <w:keepLines w:val="0"/>
                    <w:suppressLineNumbers w:val="0"/>
                    <w:bidi w:val="0"/>
                    <w:spacing w:before="0" w:beforeAutospacing="0" w:after="0" w:afterAutospacing="0"/>
                    <w:ind w:left="0" w:right="0"/>
                    <w:jc w:val="center"/>
                    <w:rPr>
                      <w:rFonts w:hint="default"/>
                      <w:b/>
                      <w:bCs/>
                    </w:rPr>
                  </w:pPr>
                </w:p>
              </w:tc>
              <w:tc>
                <w:tcPr>
                  <w:tcW w:w="1227" w:type="pct"/>
                  <w:vMerge w:val="continue"/>
                  <w:noWrap w:val="0"/>
                  <w:vAlign w:val="center"/>
                </w:tcPr>
                <w:p w14:paraId="2BFE57F5">
                  <w:pPr>
                    <w:pStyle w:val="27"/>
                    <w:keepNext w:val="0"/>
                    <w:keepLines w:val="0"/>
                    <w:suppressLineNumbers w:val="0"/>
                    <w:bidi w:val="0"/>
                    <w:spacing w:before="0" w:beforeAutospacing="0" w:after="0" w:afterAutospacing="0"/>
                    <w:ind w:left="0" w:right="0"/>
                    <w:jc w:val="center"/>
                    <w:rPr>
                      <w:rFonts w:hint="default"/>
                      <w:b/>
                      <w:bCs/>
                    </w:rPr>
                  </w:pPr>
                </w:p>
              </w:tc>
              <w:tc>
                <w:tcPr>
                  <w:tcW w:w="593" w:type="pct"/>
                  <w:noWrap w:val="0"/>
                  <w:vAlign w:val="center"/>
                </w:tcPr>
                <w:p w14:paraId="37F45BBE">
                  <w:pPr>
                    <w:pStyle w:val="27"/>
                    <w:keepNext w:val="0"/>
                    <w:keepLines w:val="0"/>
                    <w:suppressLineNumbers w:val="0"/>
                    <w:bidi w:val="0"/>
                    <w:spacing w:before="0" w:beforeAutospacing="0" w:after="0" w:afterAutospacing="0"/>
                    <w:ind w:left="0" w:right="0"/>
                    <w:jc w:val="center"/>
                    <w:rPr>
                      <w:rFonts w:hint="default"/>
                      <w:b/>
                      <w:bCs/>
                      <w:color w:val="auto"/>
                      <w:u w:val="none"/>
                      <w:lang w:val="en-US" w:eastAsia="zh-CN"/>
                    </w:rPr>
                  </w:pPr>
                  <w:r>
                    <w:rPr>
                      <w:rFonts w:hint="eastAsia"/>
                      <w:b/>
                      <w:bCs/>
                      <w:color w:val="auto"/>
                      <w:u w:val="none"/>
                      <w:lang w:val="en-US" w:eastAsia="zh-CN"/>
                    </w:rPr>
                    <w:t>二轮车kg</w:t>
                  </w:r>
                </w:p>
              </w:tc>
              <w:tc>
                <w:tcPr>
                  <w:tcW w:w="701" w:type="pct"/>
                  <w:noWrap w:val="0"/>
                  <w:vAlign w:val="center"/>
                </w:tcPr>
                <w:p w14:paraId="29611574">
                  <w:pPr>
                    <w:pStyle w:val="27"/>
                    <w:keepNext w:val="0"/>
                    <w:keepLines w:val="0"/>
                    <w:suppressLineNumbers w:val="0"/>
                    <w:bidi w:val="0"/>
                    <w:spacing w:before="0" w:beforeAutospacing="0" w:after="0" w:afterAutospacing="0"/>
                    <w:ind w:left="0" w:right="0"/>
                    <w:jc w:val="center"/>
                    <w:rPr>
                      <w:rFonts w:hint="default"/>
                      <w:b/>
                      <w:bCs/>
                      <w:color w:val="auto"/>
                      <w:u w:val="none"/>
                      <w:lang w:val="en-US" w:eastAsia="zh-CN"/>
                    </w:rPr>
                  </w:pPr>
                  <w:r>
                    <w:rPr>
                      <w:rFonts w:hint="eastAsia"/>
                      <w:b/>
                      <w:bCs/>
                      <w:color w:val="auto"/>
                      <w:u w:val="none"/>
                      <w:lang w:val="en-US" w:eastAsia="zh-CN"/>
                    </w:rPr>
                    <w:t>三轮车kg</w:t>
                  </w:r>
                </w:p>
              </w:tc>
              <w:tc>
                <w:tcPr>
                  <w:tcW w:w="640" w:type="pct"/>
                  <w:noWrap w:val="0"/>
                  <w:vAlign w:val="center"/>
                </w:tcPr>
                <w:p w14:paraId="5A193C0A">
                  <w:pPr>
                    <w:pStyle w:val="27"/>
                    <w:keepNext w:val="0"/>
                    <w:keepLines w:val="0"/>
                    <w:suppressLineNumbers w:val="0"/>
                    <w:bidi w:val="0"/>
                    <w:spacing w:before="0" w:beforeAutospacing="0" w:after="0" w:afterAutospacing="0"/>
                    <w:ind w:left="0" w:right="0"/>
                    <w:jc w:val="center"/>
                    <w:rPr>
                      <w:rFonts w:hint="default"/>
                      <w:b/>
                      <w:bCs/>
                      <w:color w:val="auto"/>
                      <w:u w:val="none"/>
                      <w:lang w:val="en-US" w:eastAsia="zh-CN"/>
                    </w:rPr>
                  </w:pPr>
                  <w:r>
                    <w:rPr>
                      <w:rFonts w:hint="eastAsia"/>
                      <w:b/>
                      <w:bCs/>
                      <w:color w:val="auto"/>
                      <w:u w:val="none"/>
                      <w:lang w:val="en-US" w:eastAsia="zh-CN"/>
                    </w:rPr>
                    <w:t>四轮车kg</w:t>
                  </w:r>
                </w:p>
              </w:tc>
              <w:tc>
                <w:tcPr>
                  <w:tcW w:w="1087" w:type="pct"/>
                  <w:vMerge w:val="continue"/>
                  <w:noWrap w:val="0"/>
                  <w:vAlign w:val="center"/>
                </w:tcPr>
                <w:p w14:paraId="44BA85FF">
                  <w:pPr>
                    <w:pStyle w:val="27"/>
                    <w:keepNext w:val="0"/>
                    <w:keepLines w:val="0"/>
                    <w:suppressLineNumbers w:val="0"/>
                    <w:bidi w:val="0"/>
                    <w:spacing w:before="0" w:beforeAutospacing="0" w:after="0" w:afterAutospacing="0"/>
                    <w:ind w:left="0" w:right="0"/>
                    <w:jc w:val="center"/>
                    <w:rPr>
                      <w:rFonts w:hint="eastAsia"/>
                      <w:b w:val="0"/>
                      <w:bCs w:val="0"/>
                      <w:color w:val="auto"/>
                      <w:u w:val="none"/>
                      <w:lang w:val="en-US" w:eastAsia="zh-CN"/>
                    </w:rPr>
                  </w:pPr>
                </w:p>
              </w:tc>
              <w:tc>
                <w:tcPr>
                  <w:tcW w:w="388" w:type="pct"/>
                  <w:vMerge w:val="continue"/>
                  <w:noWrap w:val="0"/>
                  <w:vAlign w:val="center"/>
                </w:tcPr>
                <w:p w14:paraId="20205903">
                  <w:pPr>
                    <w:pStyle w:val="27"/>
                    <w:keepNext w:val="0"/>
                    <w:keepLines w:val="0"/>
                    <w:suppressLineNumbers w:val="0"/>
                    <w:bidi w:val="0"/>
                    <w:spacing w:before="0" w:beforeAutospacing="0" w:after="0" w:afterAutospacing="0"/>
                    <w:ind w:left="0" w:right="0"/>
                    <w:jc w:val="center"/>
                    <w:rPr>
                      <w:rFonts w:hint="eastAsia"/>
                      <w:b w:val="0"/>
                      <w:bCs w:val="0"/>
                      <w:color w:val="auto"/>
                      <w:u w:val="none"/>
                      <w:lang w:val="en-US" w:eastAsia="zh-CN"/>
                    </w:rPr>
                  </w:pPr>
                </w:p>
              </w:tc>
            </w:tr>
            <w:tr w14:paraId="28971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59" w:type="pct"/>
                  <w:noWrap w:val="0"/>
                  <w:vAlign w:val="center"/>
                </w:tcPr>
                <w:p w14:paraId="6D5B00C1">
                  <w:pPr>
                    <w:pStyle w:val="27"/>
                    <w:keepNext w:val="0"/>
                    <w:keepLines w:val="0"/>
                    <w:suppressLineNumbers w:val="0"/>
                    <w:bidi w:val="0"/>
                    <w:spacing w:before="0" w:beforeAutospacing="0" w:after="0" w:afterAutospacing="0"/>
                    <w:ind w:left="0" w:right="0"/>
                    <w:jc w:val="center"/>
                    <w:rPr>
                      <w:rFonts w:hint="default"/>
                      <w:b w:val="0"/>
                      <w:bCs w:val="0"/>
                      <w:color w:val="auto"/>
                      <w:u w:val="none"/>
                      <w:lang w:val="en-US" w:eastAsia="zh-CN"/>
                    </w:rPr>
                  </w:pPr>
                  <w:r>
                    <w:rPr>
                      <w:rFonts w:hint="eastAsia"/>
                      <w:b w:val="0"/>
                      <w:bCs w:val="0"/>
                      <w:color w:val="auto"/>
                      <w:u w:val="none"/>
                      <w:lang w:val="en-US" w:eastAsia="zh-CN"/>
                    </w:rPr>
                    <w:t>1</w:t>
                  </w:r>
                </w:p>
              </w:tc>
              <w:tc>
                <w:tcPr>
                  <w:tcW w:w="1227" w:type="pct"/>
                  <w:noWrap w:val="0"/>
                  <w:vAlign w:val="center"/>
                </w:tcPr>
                <w:p w14:paraId="2FD59143">
                  <w:pPr>
                    <w:pStyle w:val="27"/>
                    <w:keepNext w:val="0"/>
                    <w:keepLines w:val="0"/>
                    <w:suppressLineNumbers w:val="0"/>
                    <w:bidi w:val="0"/>
                    <w:spacing w:before="0" w:beforeAutospacing="0" w:after="0" w:afterAutospacing="0"/>
                    <w:ind w:left="0" w:right="0"/>
                    <w:rPr>
                      <w:rFonts w:hint="default"/>
                      <w:b w:val="0"/>
                      <w:bCs w:val="0"/>
                      <w:color w:val="auto"/>
                      <w:u w:val="none"/>
                      <w:lang w:val="en-US" w:eastAsia="zh-CN"/>
                    </w:rPr>
                  </w:pPr>
                  <w:r>
                    <w:rPr>
                      <w:rFonts w:hint="eastAsia"/>
                      <w:b w:val="0"/>
                      <w:bCs w:val="0"/>
                      <w:color w:val="auto"/>
                      <w:u w:val="none"/>
                      <w:lang w:val="en-US" w:eastAsia="zh-CN"/>
                    </w:rPr>
                    <w:t>电机</w:t>
                  </w:r>
                </w:p>
              </w:tc>
              <w:tc>
                <w:tcPr>
                  <w:tcW w:w="593" w:type="pct"/>
                  <w:noWrap w:val="0"/>
                  <w:vAlign w:val="center"/>
                </w:tcPr>
                <w:p w14:paraId="233CEF89">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7.5-8.1</w:t>
                  </w:r>
                </w:p>
              </w:tc>
              <w:tc>
                <w:tcPr>
                  <w:tcW w:w="701" w:type="pct"/>
                  <w:noWrap w:val="0"/>
                  <w:vAlign w:val="center"/>
                </w:tcPr>
                <w:p w14:paraId="0F1679E6">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s="Times New Roman"/>
                      <w:color w:val="auto"/>
                      <w:kern w:val="0"/>
                      <w:sz w:val="21"/>
                      <w:szCs w:val="20"/>
                      <w:lang w:val="en-US" w:eastAsia="zh-CN" w:bidi="ar-SA"/>
                    </w:rPr>
                    <w:t>7.0-8.0</w:t>
                  </w:r>
                </w:p>
              </w:tc>
              <w:tc>
                <w:tcPr>
                  <w:tcW w:w="640" w:type="pct"/>
                  <w:noWrap w:val="0"/>
                  <w:vAlign w:val="center"/>
                </w:tcPr>
                <w:p w14:paraId="3AB0E4AD">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8.0-9.0</w:t>
                  </w:r>
                </w:p>
              </w:tc>
              <w:tc>
                <w:tcPr>
                  <w:tcW w:w="1087" w:type="pct"/>
                  <w:noWrap w:val="0"/>
                  <w:vAlign w:val="center"/>
                </w:tcPr>
                <w:p w14:paraId="55984638">
                  <w:pPr>
                    <w:pStyle w:val="27"/>
                    <w:keepNext w:val="0"/>
                    <w:keepLines w:val="0"/>
                    <w:suppressLineNumbers w:val="0"/>
                    <w:bidi w:val="0"/>
                    <w:spacing w:before="0" w:beforeAutospacing="0" w:after="0" w:afterAutospacing="0"/>
                    <w:ind w:left="0" w:right="0"/>
                    <w:rPr>
                      <w:rFonts w:hint="default"/>
                      <w:b w:val="0"/>
                      <w:bCs w:val="0"/>
                      <w:color w:val="auto"/>
                      <w:u w:val="none"/>
                      <w:lang w:val="en-US" w:eastAsia="zh-CN"/>
                    </w:rPr>
                  </w:pPr>
                  <w:r>
                    <w:rPr>
                      <w:rFonts w:hint="eastAsia"/>
                      <w:b w:val="0"/>
                      <w:bCs w:val="0"/>
                      <w:color w:val="auto"/>
                      <w:u w:val="none"/>
                      <w:lang w:val="en-US" w:eastAsia="zh-CN"/>
                    </w:rPr>
                    <w:t>钢铁件、有色金属</w:t>
                  </w:r>
                </w:p>
              </w:tc>
              <w:tc>
                <w:tcPr>
                  <w:tcW w:w="388" w:type="pct"/>
                  <w:noWrap w:val="0"/>
                  <w:vAlign w:val="center"/>
                </w:tcPr>
                <w:p w14:paraId="51B2C235">
                  <w:pPr>
                    <w:pStyle w:val="27"/>
                    <w:keepNext w:val="0"/>
                    <w:keepLines w:val="0"/>
                    <w:suppressLineNumbers w:val="0"/>
                    <w:bidi w:val="0"/>
                    <w:spacing w:before="0" w:beforeAutospacing="0" w:after="0" w:afterAutospacing="0"/>
                    <w:ind w:left="0" w:right="0"/>
                    <w:rPr>
                      <w:rFonts w:hint="default"/>
                      <w:b w:val="0"/>
                      <w:bCs w:val="0"/>
                      <w:color w:val="auto"/>
                      <w:u w:val="none"/>
                      <w:lang w:val="en-US" w:eastAsia="zh-CN"/>
                    </w:rPr>
                  </w:pPr>
                  <w:r>
                    <w:rPr>
                      <w:rFonts w:hint="eastAsia"/>
                      <w:b w:val="0"/>
                      <w:bCs w:val="0"/>
                      <w:color w:val="auto"/>
                      <w:u w:val="none"/>
                      <w:lang w:val="en-US" w:eastAsia="zh-CN"/>
                    </w:rPr>
                    <w:t>外售</w:t>
                  </w:r>
                </w:p>
              </w:tc>
            </w:tr>
            <w:tr w14:paraId="56513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59" w:type="pct"/>
                  <w:noWrap w:val="0"/>
                  <w:vAlign w:val="center"/>
                </w:tcPr>
                <w:p w14:paraId="16F6BEBF">
                  <w:pPr>
                    <w:pStyle w:val="27"/>
                    <w:keepNext w:val="0"/>
                    <w:keepLines w:val="0"/>
                    <w:suppressLineNumbers w:val="0"/>
                    <w:bidi w:val="0"/>
                    <w:spacing w:before="0" w:beforeAutospacing="0" w:after="0" w:afterAutospacing="0"/>
                    <w:ind w:left="0" w:right="0"/>
                    <w:rPr>
                      <w:rFonts w:hint="default" w:ascii="Times New Roman" w:hAnsi="Times New Roman" w:cs="Times New Roman"/>
                      <w:b w:val="0"/>
                      <w:bCs w:val="0"/>
                      <w:color w:val="auto"/>
                      <w:u w:val="none"/>
                      <w:lang w:val="en-US" w:eastAsia="zh-CN"/>
                    </w:rPr>
                  </w:pPr>
                  <w:r>
                    <w:rPr>
                      <w:rFonts w:hint="eastAsia" w:cs="Times New Roman"/>
                      <w:b w:val="0"/>
                      <w:bCs w:val="0"/>
                      <w:color w:val="auto"/>
                      <w:u w:val="none"/>
                      <w:lang w:val="en-US" w:eastAsia="zh-CN"/>
                    </w:rPr>
                    <w:t>2</w:t>
                  </w:r>
                </w:p>
              </w:tc>
              <w:tc>
                <w:tcPr>
                  <w:tcW w:w="1227" w:type="pct"/>
                  <w:noWrap w:val="0"/>
                  <w:vAlign w:val="center"/>
                </w:tcPr>
                <w:p w14:paraId="2327F735">
                  <w:pPr>
                    <w:pStyle w:val="27"/>
                    <w:keepNext w:val="0"/>
                    <w:keepLines w:val="0"/>
                    <w:suppressLineNumbers w:val="0"/>
                    <w:bidi w:val="0"/>
                    <w:spacing w:before="0" w:beforeAutospacing="0" w:after="0" w:afterAutospacing="0"/>
                    <w:ind w:left="0" w:right="0"/>
                    <w:rPr>
                      <w:rFonts w:hint="default" w:ascii="Times New Roman" w:hAnsi="Times New Roman" w:cs="Times New Roman"/>
                      <w:b w:val="0"/>
                      <w:bCs w:val="0"/>
                      <w:color w:val="auto"/>
                      <w:u w:val="none"/>
                      <w:lang w:val="en-US" w:eastAsia="zh-CN"/>
                    </w:rPr>
                  </w:pPr>
                  <w:r>
                    <w:rPr>
                      <w:rFonts w:hint="eastAsia" w:cs="Times New Roman"/>
                      <w:b w:val="0"/>
                      <w:bCs w:val="0"/>
                      <w:color w:val="auto"/>
                      <w:u w:val="none"/>
                      <w:lang w:val="en-US" w:eastAsia="zh-CN"/>
                    </w:rPr>
                    <w:t>钢铁件（车架、轮毂、钢圈、车把、刹车片/刹车盘等）</w:t>
                  </w:r>
                </w:p>
              </w:tc>
              <w:tc>
                <w:tcPr>
                  <w:tcW w:w="593" w:type="pct"/>
                  <w:noWrap w:val="0"/>
                  <w:vAlign w:val="center"/>
                </w:tcPr>
                <w:p w14:paraId="0B8BA253">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19.6-26.2</w:t>
                  </w:r>
                </w:p>
              </w:tc>
              <w:tc>
                <w:tcPr>
                  <w:tcW w:w="701" w:type="pct"/>
                  <w:noWrap w:val="0"/>
                  <w:vAlign w:val="center"/>
                </w:tcPr>
                <w:p w14:paraId="6A157ADD">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91.8-162.2</w:t>
                  </w:r>
                </w:p>
              </w:tc>
              <w:tc>
                <w:tcPr>
                  <w:tcW w:w="640" w:type="pct"/>
                  <w:noWrap w:val="0"/>
                  <w:vAlign w:val="center"/>
                </w:tcPr>
                <w:p w14:paraId="2CAC0264">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s="Times New Roman"/>
                      <w:color w:val="auto"/>
                      <w:kern w:val="0"/>
                      <w:sz w:val="21"/>
                      <w:szCs w:val="20"/>
                      <w:lang w:val="en-US" w:eastAsia="zh-CN" w:bidi="ar-SA"/>
                    </w:rPr>
                    <w:t>183.4-267.6</w:t>
                  </w:r>
                </w:p>
              </w:tc>
              <w:tc>
                <w:tcPr>
                  <w:tcW w:w="1087" w:type="pct"/>
                  <w:noWrap w:val="0"/>
                  <w:vAlign w:val="center"/>
                </w:tcPr>
                <w:p w14:paraId="79134866">
                  <w:pPr>
                    <w:pStyle w:val="27"/>
                    <w:keepNext w:val="0"/>
                    <w:keepLines w:val="0"/>
                    <w:suppressLineNumbers w:val="0"/>
                    <w:bidi w:val="0"/>
                    <w:spacing w:before="0" w:beforeAutospacing="0" w:after="0" w:afterAutospacing="0"/>
                    <w:ind w:left="0" w:right="0"/>
                    <w:rPr>
                      <w:rFonts w:hint="default" w:ascii="Times New Roman" w:hAnsi="Times New Roman" w:cs="Times New Roman"/>
                      <w:b w:val="0"/>
                      <w:bCs w:val="0"/>
                      <w:color w:val="auto"/>
                      <w:u w:val="none"/>
                      <w:lang w:val="en-US" w:eastAsia="zh-CN"/>
                    </w:rPr>
                  </w:pPr>
                  <w:r>
                    <w:rPr>
                      <w:rFonts w:hint="eastAsia" w:cs="Times New Roman"/>
                      <w:b w:val="0"/>
                      <w:bCs w:val="0"/>
                      <w:color w:val="auto"/>
                      <w:u w:val="none"/>
                      <w:lang w:val="en-US" w:eastAsia="zh-CN"/>
                    </w:rPr>
                    <w:t>钢铁件</w:t>
                  </w:r>
                  <w:r>
                    <w:rPr>
                      <w:rFonts w:hint="eastAsia"/>
                      <w:b w:val="0"/>
                      <w:bCs w:val="0"/>
                      <w:color w:val="auto"/>
                      <w:u w:val="none"/>
                      <w:lang w:val="en-US" w:eastAsia="zh-CN"/>
                    </w:rPr>
                    <w:t>、有色金属</w:t>
                  </w:r>
                </w:p>
              </w:tc>
              <w:tc>
                <w:tcPr>
                  <w:tcW w:w="388" w:type="pct"/>
                  <w:noWrap w:val="0"/>
                  <w:vAlign w:val="center"/>
                </w:tcPr>
                <w:p w14:paraId="63F63571">
                  <w:pPr>
                    <w:pStyle w:val="27"/>
                    <w:keepNext w:val="0"/>
                    <w:keepLines w:val="0"/>
                    <w:suppressLineNumbers w:val="0"/>
                    <w:bidi w:val="0"/>
                    <w:spacing w:before="0" w:beforeAutospacing="0" w:after="0" w:afterAutospacing="0"/>
                    <w:ind w:left="0" w:right="0"/>
                    <w:rPr>
                      <w:rFonts w:hint="default" w:ascii="Times New Roman" w:hAnsi="Times New Roman" w:cs="Times New Roman"/>
                      <w:b w:val="0"/>
                      <w:bCs w:val="0"/>
                      <w:color w:val="auto"/>
                      <w:u w:val="none"/>
                      <w:lang w:val="en-US" w:eastAsia="zh-CN"/>
                    </w:rPr>
                  </w:pPr>
                  <w:r>
                    <w:rPr>
                      <w:rFonts w:hint="eastAsia" w:cs="Times New Roman"/>
                      <w:b w:val="0"/>
                      <w:bCs w:val="0"/>
                      <w:color w:val="auto"/>
                      <w:u w:val="none"/>
                      <w:lang w:val="en-US" w:eastAsia="zh-CN"/>
                    </w:rPr>
                    <w:t>外售</w:t>
                  </w:r>
                </w:p>
              </w:tc>
            </w:tr>
            <w:tr w14:paraId="10C55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59" w:type="pct"/>
                  <w:noWrap w:val="0"/>
                  <w:vAlign w:val="center"/>
                </w:tcPr>
                <w:p w14:paraId="5B28F2A0">
                  <w:pPr>
                    <w:pStyle w:val="27"/>
                    <w:keepNext w:val="0"/>
                    <w:keepLines w:val="0"/>
                    <w:suppressLineNumbers w:val="0"/>
                    <w:bidi w:val="0"/>
                    <w:spacing w:before="0" w:beforeAutospacing="0" w:after="0" w:afterAutospacing="0"/>
                    <w:ind w:left="0" w:right="0"/>
                    <w:rPr>
                      <w:rFonts w:hint="default" w:cs="Times New Roman"/>
                      <w:b w:val="0"/>
                      <w:bCs w:val="0"/>
                      <w:color w:val="auto"/>
                      <w:u w:val="none"/>
                      <w:lang w:val="en-US" w:eastAsia="zh-CN"/>
                    </w:rPr>
                  </w:pPr>
                  <w:r>
                    <w:rPr>
                      <w:rFonts w:hint="eastAsia" w:cs="Times New Roman"/>
                      <w:b w:val="0"/>
                      <w:bCs w:val="0"/>
                      <w:color w:val="auto"/>
                      <w:u w:val="none"/>
                      <w:lang w:val="en-US" w:eastAsia="zh-CN"/>
                    </w:rPr>
                    <w:t>3</w:t>
                  </w:r>
                </w:p>
              </w:tc>
              <w:tc>
                <w:tcPr>
                  <w:tcW w:w="1227" w:type="pct"/>
                  <w:noWrap w:val="0"/>
                  <w:vAlign w:val="center"/>
                </w:tcPr>
                <w:p w14:paraId="238FC4D4">
                  <w:pPr>
                    <w:pStyle w:val="27"/>
                    <w:keepNext w:val="0"/>
                    <w:keepLines w:val="0"/>
                    <w:suppressLineNumbers w:val="0"/>
                    <w:bidi w:val="0"/>
                    <w:spacing w:before="0" w:beforeAutospacing="0" w:after="0" w:afterAutospacing="0"/>
                    <w:ind w:left="0" w:right="0"/>
                    <w:rPr>
                      <w:rFonts w:hint="default" w:ascii="Times New Roman" w:hAnsi="Times New Roman" w:cs="Times New Roman"/>
                      <w:b w:val="0"/>
                      <w:bCs w:val="0"/>
                      <w:color w:val="auto"/>
                      <w:u w:val="none"/>
                      <w:lang w:val="en-US" w:eastAsia="zh-CN"/>
                    </w:rPr>
                  </w:pPr>
                  <w:r>
                    <w:rPr>
                      <w:rFonts w:hint="eastAsia" w:cs="Times New Roman"/>
                      <w:b w:val="0"/>
                      <w:bCs w:val="0"/>
                      <w:color w:val="auto"/>
                      <w:u w:val="none"/>
                      <w:lang w:val="en-US" w:eastAsia="zh-CN"/>
                    </w:rPr>
                    <w:t>减震器（前后）</w:t>
                  </w:r>
                </w:p>
              </w:tc>
              <w:tc>
                <w:tcPr>
                  <w:tcW w:w="593" w:type="pct"/>
                  <w:noWrap w:val="0"/>
                  <w:vAlign w:val="center"/>
                </w:tcPr>
                <w:p w14:paraId="654EE029">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1.0-2.0</w:t>
                  </w:r>
                </w:p>
              </w:tc>
              <w:tc>
                <w:tcPr>
                  <w:tcW w:w="701" w:type="pct"/>
                  <w:noWrap w:val="0"/>
                  <w:vAlign w:val="center"/>
                </w:tcPr>
                <w:p w14:paraId="7E0D9496">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5.0-7.0</w:t>
                  </w:r>
                </w:p>
              </w:tc>
              <w:tc>
                <w:tcPr>
                  <w:tcW w:w="640" w:type="pct"/>
                  <w:noWrap w:val="0"/>
                  <w:vAlign w:val="center"/>
                </w:tcPr>
                <w:p w14:paraId="42F2818C">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10-20</w:t>
                  </w:r>
                </w:p>
              </w:tc>
              <w:tc>
                <w:tcPr>
                  <w:tcW w:w="1087" w:type="pct"/>
                  <w:noWrap w:val="0"/>
                  <w:vAlign w:val="center"/>
                </w:tcPr>
                <w:p w14:paraId="70EDA042">
                  <w:pPr>
                    <w:pStyle w:val="27"/>
                    <w:keepNext w:val="0"/>
                    <w:keepLines w:val="0"/>
                    <w:suppressLineNumbers w:val="0"/>
                    <w:bidi w:val="0"/>
                    <w:spacing w:before="0" w:beforeAutospacing="0" w:after="0" w:afterAutospacing="0"/>
                    <w:ind w:left="0" w:right="0" w:firstLine="0" w:firstLineChars="0"/>
                    <w:rPr>
                      <w:rFonts w:hint="default" w:ascii="Times New Roman" w:hAnsi="Times New Roman" w:cs="Times New Roman"/>
                      <w:b w:val="0"/>
                      <w:bCs w:val="0"/>
                      <w:color w:val="auto"/>
                      <w:u w:val="none"/>
                      <w:lang w:val="en-US" w:eastAsia="zh-CN"/>
                    </w:rPr>
                  </w:pPr>
                  <w:r>
                    <w:rPr>
                      <w:rFonts w:hint="eastAsia" w:cs="Times New Roman"/>
                      <w:b w:val="0"/>
                      <w:bCs w:val="0"/>
                      <w:color w:val="auto"/>
                      <w:u w:val="none"/>
                      <w:lang w:val="en-US" w:eastAsia="zh-CN"/>
                    </w:rPr>
                    <w:t>钢铁件</w:t>
                  </w:r>
                  <w:r>
                    <w:rPr>
                      <w:rFonts w:hint="eastAsia"/>
                      <w:b w:val="0"/>
                      <w:bCs w:val="0"/>
                      <w:color w:val="auto"/>
                      <w:u w:val="none"/>
                      <w:lang w:val="en-US" w:eastAsia="zh-CN"/>
                    </w:rPr>
                    <w:t>、有色金属</w:t>
                  </w:r>
                </w:p>
              </w:tc>
              <w:tc>
                <w:tcPr>
                  <w:tcW w:w="388" w:type="pct"/>
                  <w:noWrap w:val="0"/>
                  <w:vAlign w:val="center"/>
                </w:tcPr>
                <w:p w14:paraId="07741579">
                  <w:pPr>
                    <w:pStyle w:val="27"/>
                    <w:keepNext w:val="0"/>
                    <w:keepLines w:val="0"/>
                    <w:suppressLineNumbers w:val="0"/>
                    <w:bidi w:val="0"/>
                    <w:spacing w:before="0" w:beforeAutospacing="0" w:after="0" w:afterAutospacing="0"/>
                    <w:ind w:left="0" w:right="0" w:firstLine="0" w:firstLineChars="0"/>
                    <w:rPr>
                      <w:rFonts w:hint="default" w:ascii="Times New Roman" w:hAnsi="Times New Roman" w:cs="Times New Roman"/>
                      <w:b w:val="0"/>
                      <w:bCs w:val="0"/>
                      <w:color w:val="auto"/>
                      <w:u w:val="none"/>
                      <w:lang w:val="en-US" w:eastAsia="zh-CN"/>
                    </w:rPr>
                  </w:pPr>
                  <w:r>
                    <w:rPr>
                      <w:rFonts w:hint="eastAsia" w:cs="Times New Roman"/>
                      <w:b w:val="0"/>
                      <w:bCs w:val="0"/>
                      <w:color w:val="auto"/>
                      <w:u w:val="none"/>
                      <w:lang w:val="en-US" w:eastAsia="zh-CN"/>
                    </w:rPr>
                    <w:t>外售</w:t>
                  </w:r>
                </w:p>
              </w:tc>
            </w:tr>
            <w:tr w14:paraId="21DB6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59" w:type="pct"/>
                  <w:noWrap w:val="0"/>
                  <w:vAlign w:val="center"/>
                </w:tcPr>
                <w:p w14:paraId="36CB17D6">
                  <w:pPr>
                    <w:pStyle w:val="27"/>
                    <w:keepNext w:val="0"/>
                    <w:keepLines w:val="0"/>
                    <w:suppressLineNumbers w:val="0"/>
                    <w:bidi w:val="0"/>
                    <w:spacing w:before="0" w:beforeAutospacing="0" w:after="0" w:afterAutospacing="0"/>
                    <w:ind w:left="0" w:right="0"/>
                    <w:rPr>
                      <w:rFonts w:hint="default" w:cs="Times New Roman"/>
                      <w:b w:val="0"/>
                      <w:bCs w:val="0"/>
                      <w:color w:val="auto"/>
                      <w:u w:val="none"/>
                      <w:lang w:val="en-US" w:eastAsia="zh-CN"/>
                    </w:rPr>
                  </w:pPr>
                  <w:r>
                    <w:rPr>
                      <w:rFonts w:hint="eastAsia" w:cs="Times New Roman"/>
                      <w:b w:val="0"/>
                      <w:bCs w:val="0"/>
                      <w:color w:val="auto"/>
                      <w:u w:val="none"/>
                      <w:lang w:val="en-US" w:eastAsia="zh-CN"/>
                    </w:rPr>
                    <w:t>4</w:t>
                  </w:r>
                </w:p>
              </w:tc>
              <w:tc>
                <w:tcPr>
                  <w:tcW w:w="1227" w:type="pct"/>
                  <w:noWrap w:val="0"/>
                  <w:vAlign w:val="center"/>
                </w:tcPr>
                <w:p w14:paraId="2167A3DB">
                  <w:pPr>
                    <w:pStyle w:val="27"/>
                    <w:keepNext w:val="0"/>
                    <w:keepLines w:val="0"/>
                    <w:suppressLineNumbers w:val="0"/>
                    <w:bidi w:val="0"/>
                    <w:spacing w:before="0" w:beforeAutospacing="0" w:after="0" w:afterAutospacing="0"/>
                    <w:ind w:left="0" w:right="0"/>
                    <w:rPr>
                      <w:rFonts w:hint="default" w:cs="Times New Roman"/>
                      <w:b w:val="0"/>
                      <w:bCs w:val="0"/>
                      <w:color w:val="auto"/>
                      <w:u w:val="none"/>
                      <w:lang w:val="en-US" w:eastAsia="zh-CN"/>
                    </w:rPr>
                  </w:pPr>
                  <w:r>
                    <w:rPr>
                      <w:rFonts w:hint="eastAsia" w:cs="Times New Roman"/>
                      <w:b w:val="0"/>
                      <w:bCs w:val="0"/>
                      <w:color w:val="auto"/>
                      <w:u w:val="none"/>
                      <w:lang w:val="en-US" w:eastAsia="zh-CN"/>
                    </w:rPr>
                    <w:t>轮胎/密封件</w:t>
                  </w:r>
                </w:p>
              </w:tc>
              <w:tc>
                <w:tcPr>
                  <w:tcW w:w="593" w:type="pct"/>
                  <w:noWrap w:val="0"/>
                  <w:vAlign w:val="center"/>
                </w:tcPr>
                <w:p w14:paraId="0F4F1F47">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4.0-5.0</w:t>
                  </w:r>
                </w:p>
              </w:tc>
              <w:tc>
                <w:tcPr>
                  <w:tcW w:w="701" w:type="pct"/>
                  <w:noWrap w:val="0"/>
                  <w:vAlign w:val="center"/>
                </w:tcPr>
                <w:p w14:paraId="00B6CD5F">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6.0-8.0</w:t>
                  </w:r>
                </w:p>
              </w:tc>
              <w:tc>
                <w:tcPr>
                  <w:tcW w:w="640" w:type="pct"/>
                  <w:noWrap w:val="0"/>
                  <w:vAlign w:val="center"/>
                </w:tcPr>
                <w:p w14:paraId="3A37CA48">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13.0-19.0</w:t>
                  </w:r>
                </w:p>
              </w:tc>
              <w:tc>
                <w:tcPr>
                  <w:tcW w:w="1087" w:type="pct"/>
                  <w:noWrap w:val="0"/>
                  <w:vAlign w:val="center"/>
                </w:tcPr>
                <w:p w14:paraId="22D15745">
                  <w:pPr>
                    <w:pStyle w:val="27"/>
                    <w:keepNext w:val="0"/>
                    <w:keepLines w:val="0"/>
                    <w:suppressLineNumbers w:val="0"/>
                    <w:bidi w:val="0"/>
                    <w:spacing w:before="0" w:beforeAutospacing="0" w:after="0" w:afterAutospacing="0"/>
                    <w:ind w:left="0" w:right="0"/>
                    <w:rPr>
                      <w:rFonts w:hint="default" w:ascii="Times New Roman" w:hAnsi="Times New Roman" w:cs="Times New Roman"/>
                      <w:b w:val="0"/>
                      <w:bCs w:val="0"/>
                      <w:color w:val="auto"/>
                      <w:u w:val="none"/>
                      <w:lang w:val="en-US" w:eastAsia="zh-CN"/>
                    </w:rPr>
                  </w:pPr>
                  <w:r>
                    <w:rPr>
                      <w:rFonts w:hint="eastAsia" w:cs="Times New Roman"/>
                      <w:b w:val="0"/>
                      <w:bCs w:val="0"/>
                      <w:color w:val="auto"/>
                      <w:u w:val="none"/>
                      <w:lang w:val="en-US" w:eastAsia="zh-CN"/>
                    </w:rPr>
                    <w:t>橡胶</w:t>
                  </w:r>
                </w:p>
              </w:tc>
              <w:tc>
                <w:tcPr>
                  <w:tcW w:w="388" w:type="pct"/>
                  <w:noWrap w:val="0"/>
                  <w:vAlign w:val="center"/>
                </w:tcPr>
                <w:p w14:paraId="21576A41">
                  <w:pPr>
                    <w:pStyle w:val="27"/>
                    <w:keepNext w:val="0"/>
                    <w:keepLines w:val="0"/>
                    <w:suppressLineNumbers w:val="0"/>
                    <w:bidi w:val="0"/>
                    <w:spacing w:before="0" w:beforeAutospacing="0" w:after="0" w:afterAutospacing="0"/>
                    <w:ind w:left="0" w:right="0"/>
                    <w:rPr>
                      <w:rFonts w:hint="default" w:ascii="Times New Roman" w:hAnsi="Times New Roman" w:cs="Times New Roman"/>
                      <w:b w:val="0"/>
                      <w:bCs w:val="0"/>
                      <w:color w:val="auto"/>
                      <w:u w:val="none"/>
                      <w:lang w:val="en-US" w:eastAsia="zh-CN"/>
                    </w:rPr>
                  </w:pPr>
                  <w:r>
                    <w:rPr>
                      <w:rFonts w:hint="eastAsia" w:cs="Times New Roman"/>
                      <w:b w:val="0"/>
                      <w:bCs w:val="0"/>
                      <w:color w:val="auto"/>
                      <w:u w:val="none"/>
                      <w:lang w:val="en-US" w:eastAsia="zh-CN"/>
                    </w:rPr>
                    <w:t>外售</w:t>
                  </w:r>
                </w:p>
              </w:tc>
            </w:tr>
            <w:tr w14:paraId="022A6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59" w:type="pct"/>
                  <w:noWrap w:val="0"/>
                  <w:vAlign w:val="center"/>
                </w:tcPr>
                <w:p w14:paraId="5C0B1353">
                  <w:pPr>
                    <w:pStyle w:val="27"/>
                    <w:keepNext w:val="0"/>
                    <w:keepLines w:val="0"/>
                    <w:suppressLineNumbers w:val="0"/>
                    <w:bidi w:val="0"/>
                    <w:spacing w:before="0" w:beforeAutospacing="0" w:after="0" w:afterAutospacing="0"/>
                    <w:ind w:left="0" w:right="0"/>
                    <w:rPr>
                      <w:rFonts w:hint="default" w:cs="Times New Roman"/>
                      <w:b w:val="0"/>
                      <w:bCs w:val="0"/>
                      <w:color w:val="auto"/>
                      <w:u w:val="none"/>
                      <w:lang w:val="en-US" w:eastAsia="zh-CN"/>
                    </w:rPr>
                  </w:pPr>
                  <w:r>
                    <w:rPr>
                      <w:rFonts w:hint="eastAsia" w:cs="Times New Roman"/>
                      <w:b w:val="0"/>
                      <w:bCs w:val="0"/>
                      <w:color w:val="auto"/>
                      <w:u w:val="none"/>
                      <w:lang w:val="en-US" w:eastAsia="zh-CN"/>
                    </w:rPr>
                    <w:t>5</w:t>
                  </w:r>
                </w:p>
              </w:tc>
              <w:tc>
                <w:tcPr>
                  <w:tcW w:w="1227" w:type="pct"/>
                  <w:noWrap w:val="0"/>
                  <w:vAlign w:val="center"/>
                </w:tcPr>
                <w:p w14:paraId="2BE6A45C">
                  <w:pPr>
                    <w:pStyle w:val="27"/>
                    <w:keepNext w:val="0"/>
                    <w:keepLines w:val="0"/>
                    <w:suppressLineNumbers w:val="0"/>
                    <w:bidi w:val="0"/>
                    <w:spacing w:before="0" w:beforeAutospacing="0" w:after="0" w:afterAutospacing="0"/>
                    <w:ind w:left="0" w:right="0"/>
                    <w:rPr>
                      <w:rFonts w:hint="default" w:cs="Times New Roman"/>
                      <w:b w:val="0"/>
                      <w:bCs w:val="0"/>
                      <w:color w:val="auto"/>
                      <w:u w:val="none"/>
                      <w:lang w:val="en-US" w:eastAsia="zh-CN"/>
                    </w:rPr>
                  </w:pPr>
                  <w:r>
                    <w:rPr>
                      <w:rFonts w:hint="eastAsia" w:cs="Times New Roman"/>
                      <w:b w:val="0"/>
                      <w:bCs w:val="0"/>
                      <w:color w:val="auto"/>
                      <w:u w:val="none"/>
                      <w:lang w:val="en-US" w:eastAsia="zh-CN"/>
                    </w:rPr>
                    <w:t>塑料件（塑料外壳、手柄）</w:t>
                  </w:r>
                </w:p>
              </w:tc>
              <w:tc>
                <w:tcPr>
                  <w:tcW w:w="593" w:type="pct"/>
                  <w:noWrap w:val="0"/>
                  <w:vAlign w:val="center"/>
                </w:tcPr>
                <w:p w14:paraId="5443DCEB">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1.5-2.9</w:t>
                  </w:r>
                </w:p>
              </w:tc>
              <w:tc>
                <w:tcPr>
                  <w:tcW w:w="701" w:type="pct"/>
                  <w:noWrap w:val="0"/>
                  <w:vAlign w:val="center"/>
                </w:tcPr>
                <w:p w14:paraId="6049AF93">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1.4-1.8</w:t>
                  </w:r>
                </w:p>
              </w:tc>
              <w:tc>
                <w:tcPr>
                  <w:tcW w:w="640" w:type="pct"/>
                  <w:noWrap w:val="0"/>
                  <w:vAlign w:val="center"/>
                </w:tcPr>
                <w:p w14:paraId="6791B3A2">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4.0-6.0</w:t>
                  </w:r>
                </w:p>
              </w:tc>
              <w:tc>
                <w:tcPr>
                  <w:tcW w:w="1087" w:type="pct"/>
                  <w:noWrap w:val="0"/>
                  <w:vAlign w:val="center"/>
                </w:tcPr>
                <w:p w14:paraId="6782B9B5">
                  <w:pPr>
                    <w:pStyle w:val="27"/>
                    <w:keepNext w:val="0"/>
                    <w:keepLines w:val="0"/>
                    <w:suppressLineNumbers w:val="0"/>
                    <w:bidi w:val="0"/>
                    <w:spacing w:before="0" w:beforeAutospacing="0" w:after="0" w:afterAutospacing="0"/>
                    <w:ind w:left="0" w:right="0"/>
                    <w:rPr>
                      <w:rFonts w:hint="default" w:ascii="Times New Roman" w:hAnsi="Times New Roman" w:cs="Times New Roman"/>
                      <w:b w:val="0"/>
                      <w:bCs w:val="0"/>
                      <w:color w:val="auto"/>
                      <w:u w:val="none"/>
                      <w:lang w:val="en-US" w:eastAsia="zh-CN"/>
                    </w:rPr>
                  </w:pPr>
                  <w:r>
                    <w:rPr>
                      <w:rFonts w:hint="eastAsia" w:cs="Times New Roman"/>
                      <w:b w:val="0"/>
                      <w:bCs w:val="0"/>
                      <w:color w:val="auto"/>
                      <w:u w:val="none"/>
                      <w:lang w:val="en-US" w:eastAsia="zh-CN"/>
                    </w:rPr>
                    <w:t>塑料</w:t>
                  </w:r>
                </w:p>
              </w:tc>
              <w:tc>
                <w:tcPr>
                  <w:tcW w:w="388" w:type="pct"/>
                  <w:noWrap w:val="0"/>
                  <w:vAlign w:val="center"/>
                </w:tcPr>
                <w:p w14:paraId="6951081F">
                  <w:pPr>
                    <w:pStyle w:val="27"/>
                    <w:keepNext w:val="0"/>
                    <w:keepLines w:val="0"/>
                    <w:suppressLineNumbers w:val="0"/>
                    <w:bidi w:val="0"/>
                    <w:spacing w:before="0" w:beforeAutospacing="0" w:after="0" w:afterAutospacing="0"/>
                    <w:ind w:left="0" w:right="0"/>
                    <w:rPr>
                      <w:rFonts w:hint="default" w:ascii="Times New Roman" w:hAnsi="Times New Roman" w:cs="Times New Roman"/>
                      <w:b w:val="0"/>
                      <w:bCs w:val="0"/>
                      <w:color w:val="auto"/>
                      <w:u w:val="none"/>
                      <w:lang w:val="en-US" w:eastAsia="zh-CN"/>
                    </w:rPr>
                  </w:pPr>
                  <w:r>
                    <w:rPr>
                      <w:rFonts w:hint="eastAsia" w:cs="Times New Roman"/>
                      <w:b w:val="0"/>
                      <w:bCs w:val="0"/>
                      <w:color w:val="auto"/>
                      <w:u w:val="none"/>
                      <w:lang w:val="en-US" w:eastAsia="zh-CN"/>
                    </w:rPr>
                    <w:t>外售</w:t>
                  </w:r>
                </w:p>
              </w:tc>
            </w:tr>
            <w:tr w14:paraId="6F57B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59" w:type="pct"/>
                  <w:noWrap w:val="0"/>
                  <w:vAlign w:val="center"/>
                </w:tcPr>
                <w:p w14:paraId="513C47E4">
                  <w:pPr>
                    <w:pStyle w:val="27"/>
                    <w:keepNext w:val="0"/>
                    <w:keepLines w:val="0"/>
                    <w:suppressLineNumbers w:val="0"/>
                    <w:bidi w:val="0"/>
                    <w:spacing w:before="0" w:beforeAutospacing="0" w:after="0" w:afterAutospacing="0"/>
                    <w:ind w:left="0" w:right="0"/>
                    <w:rPr>
                      <w:rFonts w:hint="default" w:cs="Times New Roman"/>
                      <w:b w:val="0"/>
                      <w:bCs w:val="0"/>
                      <w:color w:val="auto"/>
                      <w:u w:val="none"/>
                      <w:lang w:val="en-US" w:eastAsia="zh-CN"/>
                    </w:rPr>
                  </w:pPr>
                  <w:r>
                    <w:rPr>
                      <w:rFonts w:hint="eastAsia" w:cs="Times New Roman"/>
                      <w:b w:val="0"/>
                      <w:bCs w:val="0"/>
                      <w:color w:val="auto"/>
                      <w:u w:val="none"/>
                      <w:lang w:val="en-US" w:eastAsia="zh-CN"/>
                    </w:rPr>
                    <w:t>6</w:t>
                  </w:r>
                </w:p>
              </w:tc>
              <w:tc>
                <w:tcPr>
                  <w:tcW w:w="1227" w:type="pct"/>
                  <w:noWrap w:val="0"/>
                  <w:vAlign w:val="center"/>
                </w:tcPr>
                <w:p w14:paraId="6A519A81">
                  <w:pPr>
                    <w:pStyle w:val="27"/>
                    <w:keepNext w:val="0"/>
                    <w:keepLines w:val="0"/>
                    <w:suppressLineNumbers w:val="0"/>
                    <w:bidi w:val="0"/>
                    <w:spacing w:before="0" w:beforeAutospacing="0" w:after="0" w:afterAutospacing="0"/>
                    <w:ind w:left="0" w:right="0"/>
                    <w:rPr>
                      <w:rFonts w:hint="eastAsia" w:cs="Times New Roman"/>
                      <w:b w:val="0"/>
                      <w:bCs w:val="0"/>
                      <w:color w:val="auto"/>
                      <w:u w:val="none"/>
                      <w:lang w:val="en-US" w:eastAsia="zh-CN"/>
                    </w:rPr>
                  </w:pPr>
                  <w:r>
                    <w:rPr>
                      <w:rFonts w:hint="eastAsia" w:cs="Times New Roman"/>
                      <w:b w:val="0"/>
                      <w:bCs w:val="0"/>
                      <w:color w:val="auto"/>
                      <w:u w:val="none"/>
                      <w:lang w:val="en-US" w:eastAsia="zh-CN"/>
                    </w:rPr>
                    <w:t>废电线</w:t>
                  </w:r>
                </w:p>
              </w:tc>
              <w:tc>
                <w:tcPr>
                  <w:tcW w:w="593" w:type="pct"/>
                  <w:noWrap w:val="0"/>
                  <w:vAlign w:val="center"/>
                </w:tcPr>
                <w:p w14:paraId="4B077217">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0.4-0.6</w:t>
                  </w:r>
                </w:p>
              </w:tc>
              <w:tc>
                <w:tcPr>
                  <w:tcW w:w="701" w:type="pct"/>
                  <w:noWrap w:val="0"/>
                  <w:vAlign w:val="center"/>
                </w:tcPr>
                <w:p w14:paraId="7DDADE36">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0.8-1.2</w:t>
                  </w:r>
                </w:p>
              </w:tc>
              <w:tc>
                <w:tcPr>
                  <w:tcW w:w="640" w:type="pct"/>
                  <w:noWrap w:val="0"/>
                  <w:vAlign w:val="center"/>
                </w:tcPr>
                <w:p w14:paraId="4BF3D0E1">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4.5-5.5</w:t>
                  </w:r>
                </w:p>
              </w:tc>
              <w:tc>
                <w:tcPr>
                  <w:tcW w:w="1087" w:type="pct"/>
                  <w:noWrap w:val="0"/>
                  <w:vAlign w:val="center"/>
                </w:tcPr>
                <w:p w14:paraId="5AE10CA5">
                  <w:pPr>
                    <w:pStyle w:val="27"/>
                    <w:keepNext w:val="0"/>
                    <w:keepLines w:val="0"/>
                    <w:suppressLineNumbers w:val="0"/>
                    <w:bidi w:val="0"/>
                    <w:spacing w:before="0" w:beforeAutospacing="0" w:after="0" w:afterAutospacing="0"/>
                    <w:ind w:left="0" w:right="0"/>
                    <w:rPr>
                      <w:rFonts w:hint="default" w:cs="Times New Roman"/>
                      <w:b w:val="0"/>
                      <w:bCs w:val="0"/>
                      <w:color w:val="auto"/>
                      <w:u w:val="none"/>
                      <w:lang w:val="en-US" w:eastAsia="zh-CN"/>
                    </w:rPr>
                  </w:pPr>
                  <w:r>
                    <w:rPr>
                      <w:rFonts w:hint="eastAsia" w:cs="Times New Roman"/>
                      <w:b w:val="0"/>
                      <w:bCs w:val="0"/>
                      <w:color w:val="auto"/>
                      <w:u w:val="none"/>
                      <w:lang w:val="en-US" w:eastAsia="zh-CN"/>
                    </w:rPr>
                    <w:t>塑料、有色金属</w:t>
                  </w:r>
                </w:p>
              </w:tc>
              <w:tc>
                <w:tcPr>
                  <w:tcW w:w="388" w:type="pct"/>
                  <w:noWrap w:val="0"/>
                  <w:vAlign w:val="center"/>
                </w:tcPr>
                <w:p w14:paraId="060E752D">
                  <w:pPr>
                    <w:pStyle w:val="27"/>
                    <w:keepNext w:val="0"/>
                    <w:keepLines w:val="0"/>
                    <w:suppressLineNumbers w:val="0"/>
                    <w:bidi w:val="0"/>
                    <w:spacing w:before="0" w:beforeAutospacing="0" w:after="0" w:afterAutospacing="0"/>
                    <w:ind w:left="0" w:right="0"/>
                    <w:rPr>
                      <w:rFonts w:hint="default" w:ascii="Times New Roman" w:hAnsi="Times New Roman" w:cs="Times New Roman"/>
                      <w:b w:val="0"/>
                      <w:bCs w:val="0"/>
                      <w:color w:val="auto"/>
                      <w:u w:val="none"/>
                      <w:lang w:val="en-US" w:eastAsia="zh-CN"/>
                    </w:rPr>
                  </w:pPr>
                  <w:r>
                    <w:rPr>
                      <w:rFonts w:hint="eastAsia" w:cs="Times New Roman"/>
                      <w:b w:val="0"/>
                      <w:bCs w:val="0"/>
                      <w:color w:val="auto"/>
                      <w:u w:val="none"/>
                      <w:lang w:val="en-US" w:eastAsia="zh-CN"/>
                    </w:rPr>
                    <w:t>外售</w:t>
                  </w:r>
                </w:p>
              </w:tc>
            </w:tr>
            <w:tr w14:paraId="0AFEE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59" w:type="pct"/>
                  <w:noWrap w:val="0"/>
                  <w:vAlign w:val="center"/>
                </w:tcPr>
                <w:p w14:paraId="11B514AA">
                  <w:pPr>
                    <w:pStyle w:val="27"/>
                    <w:keepNext w:val="0"/>
                    <w:keepLines w:val="0"/>
                    <w:suppressLineNumbers w:val="0"/>
                    <w:bidi w:val="0"/>
                    <w:spacing w:before="0" w:beforeAutospacing="0" w:after="0" w:afterAutospacing="0"/>
                    <w:ind w:left="0" w:right="0"/>
                    <w:rPr>
                      <w:rFonts w:hint="default" w:cs="Times New Roman"/>
                      <w:b w:val="0"/>
                      <w:bCs w:val="0"/>
                      <w:color w:val="auto"/>
                      <w:u w:val="none"/>
                      <w:lang w:val="en-US" w:eastAsia="zh-CN"/>
                    </w:rPr>
                  </w:pPr>
                  <w:r>
                    <w:rPr>
                      <w:rFonts w:hint="eastAsia" w:cs="Times New Roman"/>
                      <w:b w:val="0"/>
                      <w:bCs w:val="0"/>
                      <w:color w:val="auto"/>
                      <w:u w:val="none"/>
                      <w:lang w:val="en-US" w:eastAsia="zh-CN"/>
                    </w:rPr>
                    <w:t>7</w:t>
                  </w:r>
                </w:p>
              </w:tc>
              <w:tc>
                <w:tcPr>
                  <w:tcW w:w="1227" w:type="pct"/>
                  <w:noWrap w:val="0"/>
                  <w:vAlign w:val="center"/>
                </w:tcPr>
                <w:p w14:paraId="540B1811">
                  <w:pPr>
                    <w:pStyle w:val="27"/>
                    <w:keepNext w:val="0"/>
                    <w:keepLines w:val="0"/>
                    <w:suppressLineNumbers w:val="0"/>
                    <w:bidi w:val="0"/>
                    <w:spacing w:before="0" w:beforeAutospacing="0" w:after="0" w:afterAutospacing="0"/>
                    <w:ind w:left="0" w:right="0"/>
                    <w:rPr>
                      <w:rFonts w:hint="default" w:cs="Times New Roman"/>
                      <w:b w:val="0"/>
                      <w:bCs w:val="0"/>
                      <w:color w:val="auto"/>
                      <w:u w:val="none"/>
                      <w:lang w:val="en-US" w:eastAsia="zh-CN"/>
                    </w:rPr>
                  </w:pPr>
                  <w:r>
                    <w:rPr>
                      <w:rFonts w:hint="eastAsia" w:cs="Times New Roman"/>
                      <w:b w:val="0"/>
                      <w:bCs w:val="0"/>
                      <w:color w:val="auto"/>
                      <w:u w:val="none"/>
                      <w:lang w:val="en-US" w:eastAsia="zh-CN"/>
                    </w:rPr>
                    <w:t>车灯（不含元器件）</w:t>
                  </w:r>
                </w:p>
              </w:tc>
              <w:tc>
                <w:tcPr>
                  <w:tcW w:w="593" w:type="pct"/>
                  <w:noWrap w:val="0"/>
                  <w:vAlign w:val="center"/>
                </w:tcPr>
                <w:p w14:paraId="6D74957D">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0.2-0.4</w:t>
                  </w:r>
                </w:p>
              </w:tc>
              <w:tc>
                <w:tcPr>
                  <w:tcW w:w="701" w:type="pct"/>
                  <w:noWrap w:val="0"/>
                  <w:vAlign w:val="center"/>
                </w:tcPr>
                <w:p w14:paraId="530E9833">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0.8-1.2</w:t>
                  </w:r>
                </w:p>
              </w:tc>
              <w:tc>
                <w:tcPr>
                  <w:tcW w:w="640" w:type="pct"/>
                  <w:noWrap w:val="0"/>
                  <w:vAlign w:val="center"/>
                </w:tcPr>
                <w:p w14:paraId="737C8C5D">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3.0-5.0</w:t>
                  </w:r>
                </w:p>
              </w:tc>
              <w:tc>
                <w:tcPr>
                  <w:tcW w:w="1087" w:type="pct"/>
                  <w:noWrap w:val="0"/>
                  <w:vAlign w:val="center"/>
                </w:tcPr>
                <w:p w14:paraId="5D7FAD5D">
                  <w:pPr>
                    <w:pStyle w:val="27"/>
                    <w:keepNext w:val="0"/>
                    <w:keepLines w:val="0"/>
                    <w:suppressLineNumbers w:val="0"/>
                    <w:bidi w:val="0"/>
                    <w:spacing w:before="0" w:beforeAutospacing="0" w:after="0" w:afterAutospacing="0"/>
                    <w:ind w:left="0" w:right="0"/>
                    <w:rPr>
                      <w:rFonts w:hint="default" w:ascii="Times New Roman" w:hAnsi="Times New Roman" w:cs="Times New Roman"/>
                      <w:b w:val="0"/>
                      <w:bCs w:val="0"/>
                      <w:color w:val="auto"/>
                      <w:u w:val="none"/>
                      <w:lang w:val="en-US" w:eastAsia="zh-CN"/>
                    </w:rPr>
                  </w:pPr>
                  <w:r>
                    <w:rPr>
                      <w:rFonts w:hint="eastAsia" w:cs="Times New Roman"/>
                      <w:b w:val="0"/>
                      <w:bCs w:val="0"/>
                      <w:color w:val="auto"/>
                      <w:u w:val="none"/>
                      <w:lang w:val="en-US" w:eastAsia="zh-CN"/>
                    </w:rPr>
                    <w:t>塑料</w:t>
                  </w:r>
                </w:p>
              </w:tc>
              <w:tc>
                <w:tcPr>
                  <w:tcW w:w="388" w:type="pct"/>
                  <w:noWrap w:val="0"/>
                  <w:vAlign w:val="center"/>
                </w:tcPr>
                <w:p w14:paraId="545B7273">
                  <w:pPr>
                    <w:pStyle w:val="27"/>
                    <w:keepNext w:val="0"/>
                    <w:keepLines w:val="0"/>
                    <w:suppressLineNumbers w:val="0"/>
                    <w:bidi w:val="0"/>
                    <w:spacing w:before="0" w:beforeAutospacing="0" w:after="0" w:afterAutospacing="0"/>
                    <w:ind w:left="0" w:right="0"/>
                    <w:rPr>
                      <w:rFonts w:hint="default" w:ascii="Times New Roman" w:hAnsi="Times New Roman" w:cs="Times New Roman"/>
                      <w:b w:val="0"/>
                      <w:bCs w:val="0"/>
                      <w:color w:val="auto"/>
                      <w:u w:val="none"/>
                      <w:lang w:val="en-US" w:eastAsia="zh-CN"/>
                    </w:rPr>
                  </w:pPr>
                  <w:r>
                    <w:rPr>
                      <w:rFonts w:hint="eastAsia" w:cs="Times New Roman"/>
                      <w:b w:val="0"/>
                      <w:bCs w:val="0"/>
                      <w:color w:val="auto"/>
                      <w:u w:val="none"/>
                      <w:lang w:val="en-US" w:eastAsia="zh-CN"/>
                    </w:rPr>
                    <w:t>外售</w:t>
                  </w:r>
                </w:p>
              </w:tc>
            </w:tr>
            <w:tr w14:paraId="6574D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59" w:type="pct"/>
                  <w:noWrap w:val="0"/>
                  <w:vAlign w:val="center"/>
                </w:tcPr>
                <w:p w14:paraId="6B43267C">
                  <w:pPr>
                    <w:pStyle w:val="27"/>
                    <w:keepNext w:val="0"/>
                    <w:keepLines w:val="0"/>
                    <w:suppressLineNumbers w:val="0"/>
                    <w:bidi w:val="0"/>
                    <w:spacing w:before="0" w:beforeAutospacing="0" w:after="0" w:afterAutospacing="0"/>
                    <w:ind w:left="0" w:right="0"/>
                    <w:rPr>
                      <w:rFonts w:hint="default" w:cs="Times New Roman"/>
                      <w:b w:val="0"/>
                      <w:bCs w:val="0"/>
                      <w:color w:val="auto"/>
                      <w:u w:val="none"/>
                      <w:lang w:val="en-US" w:eastAsia="zh-CN"/>
                    </w:rPr>
                  </w:pPr>
                  <w:r>
                    <w:rPr>
                      <w:rFonts w:hint="eastAsia" w:cs="Times New Roman"/>
                      <w:b w:val="0"/>
                      <w:bCs w:val="0"/>
                      <w:color w:val="auto"/>
                      <w:u w:val="none"/>
                      <w:lang w:val="en-US" w:eastAsia="zh-CN"/>
                    </w:rPr>
                    <w:t>8</w:t>
                  </w:r>
                </w:p>
              </w:tc>
              <w:tc>
                <w:tcPr>
                  <w:tcW w:w="1227" w:type="pct"/>
                  <w:noWrap w:val="0"/>
                  <w:vAlign w:val="center"/>
                </w:tcPr>
                <w:p w14:paraId="39D4B483">
                  <w:pPr>
                    <w:pStyle w:val="27"/>
                    <w:keepNext w:val="0"/>
                    <w:keepLines w:val="0"/>
                    <w:suppressLineNumbers w:val="0"/>
                    <w:bidi w:val="0"/>
                    <w:spacing w:before="0" w:beforeAutospacing="0" w:after="0" w:afterAutospacing="0"/>
                    <w:ind w:left="0" w:right="0"/>
                    <w:rPr>
                      <w:rFonts w:hint="default" w:cs="Times New Roman"/>
                      <w:b w:val="0"/>
                      <w:bCs w:val="0"/>
                      <w:color w:val="auto"/>
                      <w:u w:val="none"/>
                      <w:lang w:val="en-US" w:eastAsia="zh-CN"/>
                    </w:rPr>
                  </w:pPr>
                  <w:r>
                    <w:rPr>
                      <w:rFonts w:hint="eastAsia" w:cs="Times New Roman"/>
                      <w:b w:val="0"/>
                      <w:bCs w:val="0"/>
                      <w:color w:val="auto"/>
                      <w:u w:val="none"/>
                      <w:lang w:val="en-US" w:eastAsia="zh-CN"/>
                    </w:rPr>
                    <w:t>玻璃（挡风、车窗、倒车镜）</w:t>
                  </w:r>
                </w:p>
              </w:tc>
              <w:tc>
                <w:tcPr>
                  <w:tcW w:w="593" w:type="pct"/>
                  <w:shd w:val="clear" w:color="auto" w:fill="auto"/>
                  <w:noWrap w:val="0"/>
                  <w:vAlign w:val="center"/>
                </w:tcPr>
                <w:p w14:paraId="31C9503D">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0~1</w:t>
                  </w:r>
                </w:p>
              </w:tc>
              <w:tc>
                <w:tcPr>
                  <w:tcW w:w="701" w:type="pct"/>
                  <w:shd w:val="clear" w:color="auto" w:fill="auto"/>
                  <w:noWrap w:val="0"/>
                  <w:vAlign w:val="center"/>
                </w:tcPr>
                <w:p w14:paraId="0F30FCDE">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5~7</w:t>
                  </w:r>
                </w:p>
              </w:tc>
              <w:tc>
                <w:tcPr>
                  <w:tcW w:w="640" w:type="pct"/>
                  <w:shd w:val="clear" w:color="auto" w:fill="auto"/>
                  <w:noWrap w:val="0"/>
                  <w:vAlign w:val="center"/>
                </w:tcPr>
                <w:p w14:paraId="3179823A">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15~25</w:t>
                  </w:r>
                </w:p>
              </w:tc>
              <w:tc>
                <w:tcPr>
                  <w:tcW w:w="1087" w:type="pct"/>
                  <w:noWrap w:val="0"/>
                  <w:vAlign w:val="center"/>
                </w:tcPr>
                <w:p w14:paraId="4AA40C51">
                  <w:pPr>
                    <w:pStyle w:val="27"/>
                    <w:keepNext w:val="0"/>
                    <w:keepLines w:val="0"/>
                    <w:suppressLineNumbers w:val="0"/>
                    <w:bidi w:val="0"/>
                    <w:spacing w:before="0" w:beforeAutospacing="0" w:after="0" w:afterAutospacing="0"/>
                    <w:ind w:left="0" w:right="0"/>
                    <w:rPr>
                      <w:rFonts w:hint="default" w:ascii="Times New Roman" w:hAnsi="Times New Roman" w:cs="Times New Roman"/>
                      <w:b w:val="0"/>
                      <w:bCs w:val="0"/>
                      <w:color w:val="auto"/>
                      <w:u w:val="none"/>
                      <w:lang w:val="en-US" w:eastAsia="zh-CN"/>
                    </w:rPr>
                  </w:pPr>
                  <w:r>
                    <w:rPr>
                      <w:rFonts w:hint="eastAsia" w:cs="Times New Roman"/>
                      <w:b w:val="0"/>
                      <w:bCs w:val="0"/>
                      <w:color w:val="auto"/>
                      <w:u w:val="none"/>
                      <w:lang w:val="en-US" w:eastAsia="zh-CN"/>
                    </w:rPr>
                    <w:t>玻璃</w:t>
                  </w:r>
                </w:p>
              </w:tc>
              <w:tc>
                <w:tcPr>
                  <w:tcW w:w="388" w:type="pct"/>
                  <w:noWrap w:val="0"/>
                  <w:vAlign w:val="center"/>
                </w:tcPr>
                <w:p w14:paraId="468F2AE9">
                  <w:pPr>
                    <w:pStyle w:val="27"/>
                    <w:keepNext w:val="0"/>
                    <w:keepLines w:val="0"/>
                    <w:suppressLineNumbers w:val="0"/>
                    <w:bidi w:val="0"/>
                    <w:spacing w:before="0" w:beforeAutospacing="0" w:after="0" w:afterAutospacing="0"/>
                    <w:ind w:left="0" w:right="0"/>
                    <w:rPr>
                      <w:rFonts w:hint="default" w:ascii="Times New Roman" w:hAnsi="Times New Roman" w:cs="Times New Roman"/>
                      <w:b w:val="0"/>
                      <w:bCs w:val="0"/>
                      <w:color w:val="auto"/>
                      <w:u w:val="none"/>
                      <w:lang w:val="en-US" w:eastAsia="zh-CN"/>
                    </w:rPr>
                  </w:pPr>
                  <w:r>
                    <w:rPr>
                      <w:rFonts w:hint="eastAsia" w:cs="Times New Roman"/>
                      <w:b w:val="0"/>
                      <w:bCs w:val="0"/>
                      <w:color w:val="auto"/>
                      <w:u w:val="none"/>
                      <w:lang w:val="en-US" w:eastAsia="zh-CN"/>
                    </w:rPr>
                    <w:t>外售</w:t>
                  </w:r>
                </w:p>
              </w:tc>
            </w:tr>
            <w:tr w14:paraId="0ACEA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59" w:type="pct"/>
                  <w:noWrap w:val="0"/>
                  <w:vAlign w:val="center"/>
                </w:tcPr>
                <w:p w14:paraId="14CA0C36">
                  <w:pPr>
                    <w:pStyle w:val="27"/>
                    <w:keepNext w:val="0"/>
                    <w:keepLines w:val="0"/>
                    <w:suppressLineNumbers w:val="0"/>
                    <w:bidi w:val="0"/>
                    <w:spacing w:before="0" w:beforeAutospacing="0" w:after="0" w:afterAutospacing="0"/>
                    <w:ind w:left="0" w:right="0"/>
                    <w:rPr>
                      <w:rFonts w:hint="default" w:cs="Times New Roman"/>
                      <w:b w:val="0"/>
                      <w:bCs w:val="0"/>
                      <w:color w:val="auto"/>
                      <w:u w:val="none"/>
                      <w:lang w:val="en-US" w:eastAsia="zh-CN"/>
                    </w:rPr>
                  </w:pPr>
                  <w:r>
                    <w:rPr>
                      <w:rFonts w:hint="eastAsia" w:cs="Times New Roman"/>
                      <w:b w:val="0"/>
                      <w:bCs w:val="0"/>
                      <w:color w:val="auto"/>
                      <w:u w:val="none"/>
                      <w:lang w:val="en-US" w:eastAsia="zh-CN"/>
                    </w:rPr>
                    <w:t>9</w:t>
                  </w:r>
                </w:p>
              </w:tc>
              <w:tc>
                <w:tcPr>
                  <w:tcW w:w="1227" w:type="pct"/>
                  <w:noWrap w:val="0"/>
                  <w:vAlign w:val="center"/>
                </w:tcPr>
                <w:p w14:paraId="79CE3EFE">
                  <w:pPr>
                    <w:pStyle w:val="27"/>
                    <w:keepNext w:val="0"/>
                    <w:keepLines w:val="0"/>
                    <w:suppressLineNumbers w:val="0"/>
                    <w:bidi w:val="0"/>
                    <w:spacing w:before="0" w:beforeAutospacing="0" w:after="0" w:afterAutospacing="0"/>
                    <w:ind w:left="0" w:right="0"/>
                    <w:rPr>
                      <w:rFonts w:hint="default" w:cs="Times New Roman"/>
                      <w:b w:val="0"/>
                      <w:bCs w:val="0"/>
                      <w:color w:val="auto"/>
                      <w:u w:val="none"/>
                      <w:lang w:val="en-US" w:eastAsia="zh-CN"/>
                    </w:rPr>
                  </w:pPr>
                  <w:r>
                    <w:rPr>
                      <w:rFonts w:hint="eastAsia" w:cs="Times New Roman"/>
                      <w:b w:val="0"/>
                      <w:bCs w:val="0"/>
                      <w:color w:val="auto"/>
                      <w:u w:val="none"/>
                      <w:lang w:val="en-US" w:eastAsia="zh-CN"/>
                    </w:rPr>
                    <w:t>座椅、内饰</w:t>
                  </w:r>
                </w:p>
              </w:tc>
              <w:tc>
                <w:tcPr>
                  <w:tcW w:w="593" w:type="pct"/>
                  <w:noWrap w:val="0"/>
                  <w:vAlign w:val="center"/>
                </w:tcPr>
                <w:p w14:paraId="38CD16FF">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eastAsia="宋体"/>
                      <w:color w:val="auto"/>
                      <w:lang w:val="en-US" w:eastAsia="zh-CN"/>
                    </w:rPr>
                    <w:t>0.6-1.0</w:t>
                  </w:r>
                </w:p>
              </w:tc>
              <w:tc>
                <w:tcPr>
                  <w:tcW w:w="701" w:type="pct"/>
                  <w:noWrap w:val="0"/>
                  <w:vAlign w:val="center"/>
                </w:tcPr>
                <w:p w14:paraId="520C7D39">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1.0-2.0</w:t>
                  </w:r>
                </w:p>
              </w:tc>
              <w:tc>
                <w:tcPr>
                  <w:tcW w:w="640" w:type="pct"/>
                  <w:noWrap w:val="0"/>
                  <w:vAlign w:val="center"/>
                </w:tcPr>
                <w:p w14:paraId="4F868871">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2.5-5.5</w:t>
                  </w:r>
                </w:p>
              </w:tc>
              <w:tc>
                <w:tcPr>
                  <w:tcW w:w="1087" w:type="pct"/>
                  <w:noWrap w:val="0"/>
                  <w:vAlign w:val="center"/>
                </w:tcPr>
                <w:p w14:paraId="21B3CBB9">
                  <w:pPr>
                    <w:pStyle w:val="27"/>
                    <w:keepNext w:val="0"/>
                    <w:keepLines w:val="0"/>
                    <w:suppressLineNumbers w:val="0"/>
                    <w:bidi w:val="0"/>
                    <w:spacing w:before="0" w:beforeAutospacing="0" w:after="0" w:afterAutospacing="0"/>
                    <w:ind w:left="0" w:right="0"/>
                    <w:rPr>
                      <w:rFonts w:hint="default" w:ascii="Times New Roman" w:hAnsi="Times New Roman" w:cs="Times New Roman"/>
                      <w:b w:val="0"/>
                      <w:bCs w:val="0"/>
                      <w:color w:val="auto"/>
                      <w:u w:val="none"/>
                      <w:lang w:val="en-US" w:eastAsia="zh-CN"/>
                    </w:rPr>
                  </w:pPr>
                  <w:r>
                    <w:rPr>
                      <w:rFonts w:hint="eastAsia" w:cs="Times New Roman"/>
                      <w:b w:val="0"/>
                      <w:bCs w:val="0"/>
                      <w:color w:val="auto"/>
                      <w:u w:val="none"/>
                      <w:lang w:val="en-US" w:eastAsia="zh-CN"/>
                    </w:rPr>
                    <w:t>布制品/皮制品、塑料</w:t>
                  </w:r>
                </w:p>
              </w:tc>
              <w:tc>
                <w:tcPr>
                  <w:tcW w:w="388" w:type="pct"/>
                  <w:noWrap w:val="0"/>
                  <w:vAlign w:val="center"/>
                </w:tcPr>
                <w:p w14:paraId="0C20425A">
                  <w:pPr>
                    <w:pStyle w:val="27"/>
                    <w:keepNext w:val="0"/>
                    <w:keepLines w:val="0"/>
                    <w:suppressLineNumbers w:val="0"/>
                    <w:bidi w:val="0"/>
                    <w:spacing w:before="0" w:beforeAutospacing="0" w:after="0" w:afterAutospacing="0"/>
                    <w:ind w:left="0" w:right="0"/>
                    <w:rPr>
                      <w:rFonts w:hint="default" w:ascii="Times New Roman" w:hAnsi="Times New Roman" w:cs="Times New Roman"/>
                      <w:b w:val="0"/>
                      <w:bCs w:val="0"/>
                      <w:color w:val="auto"/>
                      <w:u w:val="none"/>
                      <w:lang w:val="en-US" w:eastAsia="zh-CN"/>
                    </w:rPr>
                  </w:pPr>
                  <w:r>
                    <w:rPr>
                      <w:rFonts w:hint="eastAsia" w:cs="Times New Roman"/>
                      <w:b w:val="0"/>
                      <w:bCs w:val="0"/>
                      <w:color w:val="auto"/>
                      <w:u w:val="none"/>
                      <w:lang w:val="en-US" w:eastAsia="zh-CN"/>
                    </w:rPr>
                    <w:t>外售</w:t>
                  </w:r>
                </w:p>
              </w:tc>
            </w:tr>
            <w:tr w14:paraId="544986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59" w:type="pct"/>
                  <w:noWrap w:val="0"/>
                  <w:vAlign w:val="center"/>
                </w:tcPr>
                <w:p w14:paraId="1C403B8D">
                  <w:pPr>
                    <w:pStyle w:val="27"/>
                    <w:keepNext w:val="0"/>
                    <w:keepLines w:val="0"/>
                    <w:suppressLineNumbers w:val="0"/>
                    <w:bidi w:val="0"/>
                    <w:spacing w:before="0" w:beforeAutospacing="0" w:after="0" w:afterAutospacing="0"/>
                    <w:ind w:left="0" w:right="0"/>
                    <w:rPr>
                      <w:rFonts w:hint="default" w:cs="Times New Roman"/>
                      <w:b w:val="0"/>
                      <w:bCs w:val="0"/>
                      <w:color w:val="auto"/>
                      <w:u w:val="none"/>
                      <w:lang w:val="en-US" w:eastAsia="zh-CN"/>
                    </w:rPr>
                  </w:pPr>
                  <w:r>
                    <w:rPr>
                      <w:rFonts w:hint="eastAsia" w:cs="Times New Roman"/>
                      <w:b w:val="0"/>
                      <w:bCs w:val="0"/>
                      <w:color w:val="auto"/>
                      <w:u w:val="none"/>
                      <w:lang w:val="en-US" w:eastAsia="zh-CN"/>
                    </w:rPr>
                    <w:t>10</w:t>
                  </w:r>
                </w:p>
              </w:tc>
              <w:tc>
                <w:tcPr>
                  <w:tcW w:w="1227" w:type="pct"/>
                  <w:noWrap w:val="0"/>
                  <w:vAlign w:val="center"/>
                </w:tcPr>
                <w:p w14:paraId="40E4B670">
                  <w:pPr>
                    <w:pStyle w:val="27"/>
                    <w:keepNext w:val="0"/>
                    <w:keepLines w:val="0"/>
                    <w:suppressLineNumbers w:val="0"/>
                    <w:bidi w:val="0"/>
                    <w:spacing w:before="0" w:beforeAutospacing="0" w:after="0" w:afterAutospacing="0"/>
                    <w:ind w:left="0" w:right="0"/>
                    <w:rPr>
                      <w:rFonts w:hint="default" w:cs="Times New Roman"/>
                      <w:b w:val="0"/>
                      <w:bCs w:val="0"/>
                      <w:color w:val="auto"/>
                      <w:u w:val="none"/>
                      <w:lang w:val="en-US" w:eastAsia="zh-CN"/>
                    </w:rPr>
                  </w:pPr>
                  <w:r>
                    <w:rPr>
                      <w:rFonts w:hint="eastAsia" w:cs="Times New Roman"/>
                      <w:b w:val="0"/>
                      <w:bCs w:val="0"/>
                      <w:color w:val="auto"/>
                      <w:u w:val="none"/>
                      <w:lang w:val="en-US" w:eastAsia="zh-CN"/>
                    </w:rPr>
                    <w:t>废电路板、废电子元器件</w:t>
                  </w:r>
                </w:p>
              </w:tc>
              <w:tc>
                <w:tcPr>
                  <w:tcW w:w="593" w:type="pct"/>
                  <w:noWrap w:val="0"/>
                  <w:vAlign w:val="center"/>
                </w:tcPr>
                <w:p w14:paraId="260AC3BB">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13-1.7</w:t>
                  </w:r>
                </w:p>
              </w:tc>
              <w:tc>
                <w:tcPr>
                  <w:tcW w:w="701" w:type="pct"/>
                  <w:noWrap w:val="0"/>
                  <w:vAlign w:val="center"/>
                </w:tcPr>
                <w:p w14:paraId="30689896">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2.5-2.9</w:t>
                  </w:r>
                </w:p>
              </w:tc>
              <w:tc>
                <w:tcPr>
                  <w:tcW w:w="640" w:type="pct"/>
                  <w:noWrap w:val="0"/>
                  <w:vAlign w:val="center"/>
                </w:tcPr>
                <w:p w14:paraId="296C782C">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4.2-7.2</w:t>
                  </w:r>
                </w:p>
              </w:tc>
              <w:tc>
                <w:tcPr>
                  <w:tcW w:w="1087" w:type="pct"/>
                  <w:noWrap w:val="0"/>
                  <w:vAlign w:val="center"/>
                </w:tcPr>
                <w:p w14:paraId="74F2173C">
                  <w:pPr>
                    <w:pStyle w:val="27"/>
                    <w:keepNext w:val="0"/>
                    <w:keepLines w:val="0"/>
                    <w:suppressLineNumbers w:val="0"/>
                    <w:bidi w:val="0"/>
                    <w:spacing w:before="0" w:beforeAutospacing="0" w:after="0" w:afterAutospacing="0"/>
                    <w:ind w:left="0" w:right="0"/>
                    <w:rPr>
                      <w:rFonts w:hint="default" w:ascii="Times New Roman" w:hAnsi="Times New Roman" w:cs="Times New Roman"/>
                      <w:b w:val="0"/>
                      <w:bCs w:val="0"/>
                      <w:color w:val="auto"/>
                      <w:u w:val="none"/>
                      <w:lang w:val="en-US" w:eastAsia="zh-CN"/>
                    </w:rPr>
                  </w:pPr>
                  <w:r>
                    <w:rPr>
                      <w:rFonts w:hint="eastAsia" w:cs="Times New Roman"/>
                      <w:b w:val="0"/>
                      <w:bCs w:val="0"/>
                      <w:color w:val="auto"/>
                      <w:u w:val="none"/>
                      <w:lang w:val="en-US" w:eastAsia="zh-CN"/>
                    </w:rPr>
                    <w:t>电子器件</w:t>
                  </w:r>
                </w:p>
              </w:tc>
              <w:tc>
                <w:tcPr>
                  <w:tcW w:w="388" w:type="pct"/>
                  <w:vMerge w:val="restart"/>
                  <w:noWrap w:val="0"/>
                  <w:vAlign w:val="center"/>
                </w:tcPr>
                <w:p w14:paraId="7996F96C">
                  <w:pPr>
                    <w:pStyle w:val="27"/>
                    <w:keepNext w:val="0"/>
                    <w:keepLines w:val="0"/>
                    <w:suppressLineNumbers w:val="0"/>
                    <w:bidi w:val="0"/>
                    <w:spacing w:before="0" w:beforeAutospacing="0" w:after="0" w:afterAutospacing="0"/>
                    <w:ind w:left="0" w:right="0"/>
                    <w:rPr>
                      <w:rFonts w:hint="default" w:ascii="Times New Roman" w:hAnsi="Times New Roman" w:cs="Times New Roman"/>
                      <w:b w:val="0"/>
                      <w:bCs w:val="0"/>
                      <w:color w:val="auto"/>
                      <w:u w:val="none"/>
                      <w:lang w:val="en-US" w:eastAsia="zh-CN"/>
                    </w:rPr>
                  </w:pPr>
                  <w:r>
                    <w:rPr>
                      <w:rFonts w:hint="eastAsia" w:cs="Times New Roman"/>
                      <w:b w:val="0"/>
                      <w:bCs w:val="0"/>
                      <w:color w:val="auto"/>
                      <w:u w:val="none"/>
                      <w:lang w:val="en-US" w:eastAsia="zh-CN"/>
                    </w:rPr>
                    <w:t>交由资质单位处理</w:t>
                  </w:r>
                </w:p>
              </w:tc>
            </w:tr>
            <w:tr w14:paraId="0767B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59" w:type="pct"/>
                  <w:noWrap w:val="0"/>
                  <w:vAlign w:val="center"/>
                </w:tcPr>
                <w:p w14:paraId="098F1D2C">
                  <w:pPr>
                    <w:pStyle w:val="27"/>
                    <w:keepNext w:val="0"/>
                    <w:keepLines w:val="0"/>
                    <w:suppressLineNumbers w:val="0"/>
                    <w:bidi w:val="0"/>
                    <w:spacing w:before="0" w:beforeAutospacing="0" w:after="0" w:afterAutospacing="0"/>
                    <w:ind w:left="0" w:right="0"/>
                    <w:rPr>
                      <w:rFonts w:hint="default" w:cs="Times New Roman"/>
                      <w:b w:val="0"/>
                      <w:bCs w:val="0"/>
                      <w:color w:val="auto"/>
                      <w:u w:val="none"/>
                      <w:lang w:val="en-US" w:eastAsia="zh-CN"/>
                    </w:rPr>
                  </w:pPr>
                  <w:r>
                    <w:rPr>
                      <w:rFonts w:hint="eastAsia" w:cs="Times New Roman"/>
                      <w:b w:val="0"/>
                      <w:bCs w:val="0"/>
                      <w:color w:val="auto"/>
                      <w:u w:val="none"/>
                      <w:lang w:val="en-US" w:eastAsia="zh-CN"/>
                    </w:rPr>
                    <w:t>11</w:t>
                  </w:r>
                </w:p>
              </w:tc>
              <w:tc>
                <w:tcPr>
                  <w:tcW w:w="1227" w:type="pct"/>
                  <w:noWrap w:val="0"/>
                  <w:vAlign w:val="center"/>
                </w:tcPr>
                <w:p w14:paraId="39220A55">
                  <w:pPr>
                    <w:pStyle w:val="27"/>
                    <w:keepNext w:val="0"/>
                    <w:keepLines w:val="0"/>
                    <w:suppressLineNumbers w:val="0"/>
                    <w:bidi w:val="0"/>
                    <w:spacing w:before="0" w:beforeAutospacing="0" w:after="0" w:afterAutospacing="0"/>
                    <w:ind w:left="0" w:right="0"/>
                    <w:rPr>
                      <w:rFonts w:hint="default" w:cs="Times New Roman"/>
                      <w:b w:val="0"/>
                      <w:bCs w:val="0"/>
                      <w:color w:val="auto"/>
                      <w:u w:val="none"/>
                      <w:lang w:val="en-US" w:eastAsia="zh-CN"/>
                    </w:rPr>
                  </w:pPr>
                  <w:r>
                    <w:rPr>
                      <w:rFonts w:hint="eastAsia" w:cs="Times New Roman"/>
                      <w:b w:val="0"/>
                      <w:bCs w:val="0"/>
                      <w:color w:val="auto"/>
                      <w:u w:val="none"/>
                      <w:lang w:val="en-US" w:eastAsia="zh-CN"/>
                    </w:rPr>
                    <w:t>铅酸电池</w:t>
                  </w:r>
                </w:p>
              </w:tc>
              <w:tc>
                <w:tcPr>
                  <w:tcW w:w="593" w:type="pct"/>
                  <w:noWrap w:val="0"/>
                  <w:vAlign w:val="center"/>
                </w:tcPr>
                <w:p w14:paraId="137E7505">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17-21</w:t>
                  </w:r>
                </w:p>
              </w:tc>
              <w:tc>
                <w:tcPr>
                  <w:tcW w:w="701" w:type="pct"/>
                  <w:noWrap w:val="0"/>
                  <w:vAlign w:val="center"/>
                </w:tcPr>
                <w:p w14:paraId="02C08C50">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50-70</w:t>
                  </w:r>
                </w:p>
              </w:tc>
              <w:tc>
                <w:tcPr>
                  <w:tcW w:w="640" w:type="pct"/>
                  <w:noWrap w:val="0"/>
                  <w:vAlign w:val="center"/>
                </w:tcPr>
                <w:p w14:paraId="59859708">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100-60</w:t>
                  </w:r>
                </w:p>
              </w:tc>
              <w:tc>
                <w:tcPr>
                  <w:tcW w:w="1087" w:type="pct"/>
                  <w:noWrap w:val="0"/>
                  <w:vAlign w:val="center"/>
                </w:tcPr>
                <w:p w14:paraId="23AA1F9B">
                  <w:pPr>
                    <w:pStyle w:val="27"/>
                    <w:keepNext w:val="0"/>
                    <w:keepLines w:val="0"/>
                    <w:suppressLineNumbers w:val="0"/>
                    <w:bidi w:val="0"/>
                    <w:spacing w:before="0" w:beforeAutospacing="0" w:after="0" w:afterAutospacing="0"/>
                    <w:ind w:left="0" w:right="0"/>
                    <w:rPr>
                      <w:rFonts w:hint="default" w:ascii="Times New Roman" w:hAnsi="Times New Roman" w:cs="Times New Roman"/>
                      <w:b w:val="0"/>
                      <w:bCs w:val="0"/>
                      <w:color w:val="auto"/>
                      <w:u w:val="none"/>
                      <w:lang w:val="en-US" w:eastAsia="zh-CN"/>
                    </w:rPr>
                  </w:pPr>
                  <w:r>
                    <w:rPr>
                      <w:rFonts w:hint="eastAsia" w:cs="Times New Roman"/>
                      <w:b w:val="0"/>
                      <w:bCs w:val="0"/>
                      <w:color w:val="auto"/>
                      <w:u w:val="none"/>
                      <w:lang w:val="en-US" w:eastAsia="zh-CN"/>
                    </w:rPr>
                    <w:t>铅及其化合物、硫酸</w:t>
                  </w:r>
                </w:p>
              </w:tc>
              <w:tc>
                <w:tcPr>
                  <w:tcW w:w="388" w:type="pct"/>
                  <w:vMerge w:val="continue"/>
                  <w:noWrap w:val="0"/>
                  <w:vAlign w:val="center"/>
                </w:tcPr>
                <w:p w14:paraId="74D66903">
                  <w:pPr>
                    <w:pStyle w:val="27"/>
                    <w:keepNext w:val="0"/>
                    <w:keepLines w:val="0"/>
                    <w:suppressLineNumbers w:val="0"/>
                    <w:bidi w:val="0"/>
                    <w:spacing w:before="0" w:beforeAutospacing="0" w:after="0" w:afterAutospacing="0"/>
                    <w:ind w:left="0" w:right="0"/>
                    <w:rPr>
                      <w:rFonts w:hint="default" w:ascii="Times New Roman" w:hAnsi="Times New Roman" w:cs="Times New Roman"/>
                      <w:b w:val="0"/>
                      <w:bCs w:val="0"/>
                      <w:color w:val="auto"/>
                      <w:u w:val="none"/>
                      <w:lang w:val="en-US" w:eastAsia="zh-CN"/>
                    </w:rPr>
                  </w:pPr>
                </w:p>
              </w:tc>
            </w:tr>
            <w:tr w14:paraId="47337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359" w:type="pct"/>
                  <w:noWrap w:val="0"/>
                  <w:vAlign w:val="center"/>
                </w:tcPr>
                <w:p w14:paraId="139729B2">
                  <w:pPr>
                    <w:pStyle w:val="27"/>
                    <w:keepNext w:val="0"/>
                    <w:keepLines w:val="0"/>
                    <w:suppressLineNumbers w:val="0"/>
                    <w:bidi w:val="0"/>
                    <w:spacing w:before="0" w:beforeAutospacing="0" w:after="0" w:afterAutospacing="0"/>
                    <w:ind w:left="0" w:right="0"/>
                    <w:rPr>
                      <w:rFonts w:hint="default" w:cs="Times New Roman"/>
                      <w:b w:val="0"/>
                      <w:bCs w:val="0"/>
                      <w:color w:val="auto"/>
                      <w:u w:val="none"/>
                      <w:lang w:val="en-US" w:eastAsia="zh-CN"/>
                    </w:rPr>
                  </w:pPr>
                  <w:r>
                    <w:rPr>
                      <w:rFonts w:hint="eastAsia" w:cs="Times New Roman"/>
                      <w:b w:val="0"/>
                      <w:bCs w:val="0"/>
                      <w:color w:val="auto"/>
                      <w:u w:val="none"/>
                      <w:lang w:val="en-US" w:eastAsia="zh-CN"/>
                    </w:rPr>
                    <w:t>12</w:t>
                  </w:r>
                </w:p>
              </w:tc>
              <w:tc>
                <w:tcPr>
                  <w:tcW w:w="1227" w:type="pct"/>
                  <w:noWrap w:val="0"/>
                  <w:vAlign w:val="center"/>
                </w:tcPr>
                <w:p w14:paraId="53027291">
                  <w:pPr>
                    <w:pStyle w:val="27"/>
                    <w:keepNext w:val="0"/>
                    <w:keepLines w:val="0"/>
                    <w:suppressLineNumbers w:val="0"/>
                    <w:bidi w:val="0"/>
                    <w:spacing w:before="0" w:beforeAutospacing="0" w:after="0" w:afterAutospacing="0"/>
                    <w:ind w:left="0" w:right="0"/>
                    <w:rPr>
                      <w:rFonts w:hint="default" w:cs="Times New Roman"/>
                      <w:b w:val="0"/>
                      <w:bCs w:val="0"/>
                      <w:color w:val="auto"/>
                      <w:u w:val="none"/>
                      <w:lang w:val="en-US" w:eastAsia="zh-CN"/>
                    </w:rPr>
                  </w:pPr>
                  <w:r>
                    <w:rPr>
                      <w:rFonts w:hint="eastAsia" w:cs="Times New Roman"/>
                      <w:b w:val="0"/>
                      <w:bCs w:val="0"/>
                      <w:color w:val="auto"/>
                      <w:u w:val="none"/>
                      <w:lang w:val="en-US" w:eastAsia="zh-CN"/>
                    </w:rPr>
                    <w:t>锂电池</w:t>
                  </w:r>
                </w:p>
              </w:tc>
              <w:tc>
                <w:tcPr>
                  <w:tcW w:w="593" w:type="pct"/>
                  <w:noWrap w:val="0"/>
                  <w:vAlign w:val="center"/>
                </w:tcPr>
                <w:p w14:paraId="4384CC8E">
                  <w:pPr>
                    <w:pStyle w:val="27"/>
                    <w:keepNext w:val="0"/>
                    <w:keepLines w:val="0"/>
                    <w:suppressLineNumbers w:val="0"/>
                    <w:spacing w:before="0" w:beforeAutospacing="0" w:after="0" w:afterAutospacing="0"/>
                    <w:ind w:left="0" w:right="0" w:firstLine="0" w:firstLineChars="0"/>
                    <w:rPr>
                      <w:rFonts w:hint="default"/>
                      <w:color w:val="auto"/>
                      <w:lang w:val="en-US" w:eastAsia="zh-CN"/>
                    </w:rPr>
                  </w:pPr>
                  <w:r>
                    <w:rPr>
                      <w:rFonts w:hint="eastAsia"/>
                      <w:color w:val="auto"/>
                      <w:lang w:val="en-US" w:eastAsia="zh-CN"/>
                    </w:rPr>
                    <w:t>5-7</w:t>
                  </w:r>
                </w:p>
              </w:tc>
              <w:tc>
                <w:tcPr>
                  <w:tcW w:w="701" w:type="pct"/>
                  <w:noWrap w:val="0"/>
                  <w:vAlign w:val="center"/>
                </w:tcPr>
                <w:p w14:paraId="32B617BB">
                  <w:pPr>
                    <w:pStyle w:val="27"/>
                    <w:keepNext w:val="0"/>
                    <w:keepLines w:val="0"/>
                    <w:suppressLineNumbers w:val="0"/>
                    <w:spacing w:before="0" w:beforeAutospacing="0" w:after="0" w:afterAutospacing="0"/>
                    <w:ind w:left="0" w:right="0" w:firstLine="0" w:firstLineChars="0"/>
                    <w:rPr>
                      <w:rFonts w:hint="default"/>
                      <w:color w:val="auto"/>
                      <w:lang w:val="en-US" w:eastAsia="zh-CN"/>
                    </w:rPr>
                  </w:pPr>
                  <w:r>
                    <w:rPr>
                      <w:rFonts w:hint="eastAsia"/>
                      <w:color w:val="auto"/>
                      <w:lang w:val="en-US" w:eastAsia="zh-CN"/>
                    </w:rPr>
                    <w:t>10-50</w:t>
                  </w:r>
                </w:p>
              </w:tc>
              <w:tc>
                <w:tcPr>
                  <w:tcW w:w="640" w:type="pct"/>
                  <w:noWrap w:val="0"/>
                  <w:vAlign w:val="center"/>
                </w:tcPr>
                <w:p w14:paraId="55D59B00">
                  <w:pPr>
                    <w:pStyle w:val="27"/>
                    <w:keepNext w:val="0"/>
                    <w:keepLines w:val="0"/>
                    <w:suppressLineNumbers w:val="0"/>
                    <w:spacing w:before="0" w:beforeAutospacing="0" w:after="0" w:afterAutospacing="0"/>
                    <w:ind w:left="0" w:right="0" w:firstLine="0" w:firstLineChars="0"/>
                    <w:rPr>
                      <w:rFonts w:hint="default"/>
                      <w:color w:val="auto"/>
                      <w:lang w:val="en-US" w:eastAsia="zh-CN"/>
                    </w:rPr>
                  </w:pPr>
                  <w:r>
                    <w:rPr>
                      <w:rFonts w:hint="eastAsia"/>
                      <w:color w:val="auto"/>
                      <w:lang w:val="en-US" w:eastAsia="zh-CN"/>
                    </w:rPr>
                    <w:t>40-70</w:t>
                  </w:r>
                </w:p>
              </w:tc>
              <w:tc>
                <w:tcPr>
                  <w:tcW w:w="1087" w:type="pct"/>
                  <w:noWrap w:val="0"/>
                  <w:vAlign w:val="center"/>
                </w:tcPr>
                <w:p w14:paraId="761B223F">
                  <w:pPr>
                    <w:pStyle w:val="27"/>
                    <w:keepNext w:val="0"/>
                    <w:keepLines w:val="0"/>
                    <w:suppressLineNumbers w:val="0"/>
                    <w:bidi w:val="0"/>
                    <w:spacing w:before="0" w:beforeAutospacing="0" w:after="0" w:afterAutospacing="0"/>
                    <w:ind w:left="0" w:right="0"/>
                    <w:rPr>
                      <w:rFonts w:hint="eastAsia" w:cs="Times New Roman"/>
                      <w:b w:val="0"/>
                      <w:bCs w:val="0"/>
                      <w:color w:val="auto"/>
                      <w:u w:val="none"/>
                      <w:lang w:val="en-US" w:eastAsia="zh-CN"/>
                    </w:rPr>
                  </w:pPr>
                  <w:r>
                    <w:rPr>
                      <w:rFonts w:hint="eastAsia" w:cs="Times New Roman"/>
                      <w:b w:val="0"/>
                      <w:bCs w:val="0"/>
                      <w:color w:val="auto"/>
                      <w:u w:val="none"/>
                      <w:lang w:val="en-US" w:eastAsia="zh-CN"/>
                    </w:rPr>
                    <w:t>锂及其化合物</w:t>
                  </w:r>
                </w:p>
              </w:tc>
              <w:tc>
                <w:tcPr>
                  <w:tcW w:w="388" w:type="pct"/>
                  <w:noWrap w:val="0"/>
                  <w:vAlign w:val="center"/>
                </w:tcPr>
                <w:p w14:paraId="32CF7059">
                  <w:pPr>
                    <w:pStyle w:val="27"/>
                    <w:keepNext w:val="0"/>
                    <w:keepLines w:val="0"/>
                    <w:suppressLineNumbers w:val="0"/>
                    <w:bidi w:val="0"/>
                    <w:spacing w:before="0" w:beforeAutospacing="0" w:after="0" w:afterAutospacing="0"/>
                    <w:ind w:left="0" w:right="0"/>
                    <w:rPr>
                      <w:rFonts w:hint="default" w:ascii="Times New Roman" w:hAnsi="Times New Roman" w:cs="Times New Roman"/>
                      <w:b w:val="0"/>
                      <w:bCs w:val="0"/>
                      <w:color w:val="auto"/>
                      <w:u w:val="none"/>
                      <w:lang w:val="en-US" w:eastAsia="zh-CN"/>
                    </w:rPr>
                  </w:pPr>
                  <w:r>
                    <w:rPr>
                      <w:rFonts w:hint="eastAsia" w:cs="Times New Roman"/>
                      <w:b w:val="0"/>
                      <w:bCs w:val="0"/>
                      <w:color w:val="auto"/>
                      <w:u w:val="none"/>
                      <w:lang w:val="en-US" w:eastAsia="zh-CN"/>
                    </w:rPr>
                    <w:t>外售</w:t>
                  </w:r>
                </w:p>
              </w:tc>
            </w:tr>
            <w:tr w14:paraId="4AA46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586" w:type="pct"/>
                  <w:gridSpan w:val="2"/>
                  <w:noWrap w:val="0"/>
                  <w:vAlign w:val="center"/>
                </w:tcPr>
                <w:p w14:paraId="2FC7BA66">
                  <w:pPr>
                    <w:pStyle w:val="27"/>
                    <w:keepNext w:val="0"/>
                    <w:keepLines w:val="0"/>
                    <w:suppressLineNumbers w:val="0"/>
                    <w:bidi w:val="0"/>
                    <w:spacing w:before="0" w:beforeAutospacing="0" w:after="0" w:afterAutospacing="0"/>
                    <w:ind w:left="0" w:right="0"/>
                    <w:rPr>
                      <w:rFonts w:hint="default" w:cs="Times New Roman"/>
                      <w:b w:val="0"/>
                      <w:bCs w:val="0"/>
                      <w:color w:val="auto"/>
                      <w:u w:val="none"/>
                      <w:lang w:val="en-US" w:eastAsia="zh-CN"/>
                    </w:rPr>
                  </w:pPr>
                  <w:r>
                    <w:rPr>
                      <w:rFonts w:hint="eastAsia" w:cs="Times New Roman"/>
                      <w:b w:val="0"/>
                      <w:bCs w:val="0"/>
                      <w:color w:val="auto"/>
                      <w:u w:val="none"/>
                      <w:lang w:val="en-US" w:eastAsia="zh-CN"/>
                    </w:rPr>
                    <w:t>合计</w:t>
                  </w:r>
                </w:p>
              </w:tc>
              <w:tc>
                <w:tcPr>
                  <w:tcW w:w="593" w:type="pct"/>
                  <w:noWrap w:val="0"/>
                  <w:vAlign w:val="center"/>
                </w:tcPr>
                <w:p w14:paraId="2527C77F">
                  <w:pPr>
                    <w:pStyle w:val="27"/>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b w:val="0"/>
                      <w:bCs w:val="0"/>
                      <w:color w:val="auto"/>
                      <w:kern w:val="0"/>
                      <w:sz w:val="21"/>
                      <w:szCs w:val="20"/>
                      <w:u w:val="none"/>
                      <w:lang w:val="en-US" w:eastAsia="zh-CN" w:bidi="ar-SA"/>
                    </w:rPr>
                  </w:pPr>
                  <w:r>
                    <w:rPr>
                      <w:rFonts w:hint="eastAsia" w:cs="Times New Roman"/>
                      <w:b w:val="0"/>
                      <w:bCs w:val="0"/>
                      <w:color w:val="auto"/>
                      <w:kern w:val="0"/>
                      <w:sz w:val="21"/>
                      <w:szCs w:val="20"/>
                      <w:u w:val="none"/>
                      <w:lang w:val="en-US" w:eastAsia="zh-CN" w:bidi="ar-SA"/>
                    </w:rPr>
                    <w:t>51.3-68.7</w:t>
                  </w:r>
                </w:p>
              </w:tc>
              <w:tc>
                <w:tcPr>
                  <w:tcW w:w="701" w:type="pct"/>
                  <w:noWrap w:val="0"/>
                  <w:vAlign w:val="center"/>
                </w:tcPr>
                <w:p w14:paraId="1F36C253">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olor w:val="auto"/>
                      <w:lang w:val="en-US" w:eastAsia="zh-CN"/>
                    </w:rPr>
                    <w:t>166.3-265.7</w:t>
                  </w:r>
                </w:p>
              </w:tc>
              <w:tc>
                <w:tcPr>
                  <w:tcW w:w="640" w:type="pct"/>
                  <w:noWrap w:val="0"/>
                  <w:vAlign w:val="center"/>
                </w:tcPr>
                <w:p w14:paraId="7FEDE842">
                  <w:pPr>
                    <w:pStyle w:val="27"/>
                    <w:keepNext w:val="0"/>
                    <w:keepLines w:val="0"/>
                    <w:suppressLineNumbers w:val="0"/>
                    <w:spacing w:before="0" w:beforeAutospacing="0" w:after="0" w:afterAutospacing="0"/>
                    <w:ind w:left="0" w:right="0" w:firstLine="0" w:firstLineChars="0"/>
                    <w:rPr>
                      <w:rFonts w:hint="default" w:ascii="Times New Roman" w:hAnsi="Times New Roman" w:eastAsia="宋体" w:cs="Times New Roman"/>
                      <w:color w:val="auto"/>
                      <w:kern w:val="0"/>
                      <w:sz w:val="21"/>
                      <w:szCs w:val="20"/>
                      <w:lang w:val="en-US" w:eastAsia="zh-CN" w:bidi="ar-SA"/>
                    </w:rPr>
                  </w:pPr>
                  <w:r>
                    <w:rPr>
                      <w:rFonts w:hint="eastAsia" w:cs="Times New Roman"/>
                      <w:color w:val="auto"/>
                      <w:kern w:val="0"/>
                      <w:sz w:val="21"/>
                      <w:szCs w:val="20"/>
                      <w:lang w:val="en-US" w:eastAsia="zh-CN" w:bidi="ar-SA"/>
                    </w:rPr>
                    <w:t>366.8-487.6</w:t>
                  </w:r>
                </w:p>
              </w:tc>
              <w:tc>
                <w:tcPr>
                  <w:tcW w:w="1087" w:type="pct"/>
                  <w:noWrap w:val="0"/>
                  <w:vAlign w:val="center"/>
                </w:tcPr>
                <w:p w14:paraId="30C6FFC4">
                  <w:pPr>
                    <w:pStyle w:val="27"/>
                    <w:keepNext w:val="0"/>
                    <w:keepLines w:val="0"/>
                    <w:suppressLineNumbers w:val="0"/>
                    <w:spacing w:before="0" w:beforeAutospacing="0" w:after="0" w:afterAutospacing="0"/>
                    <w:ind w:left="0" w:right="0" w:firstLine="0" w:firstLineChars="0"/>
                    <w:rPr>
                      <w:rFonts w:hint="eastAsia" w:ascii="Times New Roman" w:hAnsi="Times New Roman" w:eastAsia="宋体" w:cs="Times New Roman"/>
                      <w:color w:val="auto"/>
                      <w:kern w:val="0"/>
                      <w:sz w:val="21"/>
                      <w:szCs w:val="20"/>
                      <w:lang w:val="en-US" w:eastAsia="zh-CN" w:bidi="ar-SA"/>
                    </w:rPr>
                  </w:pPr>
                  <w:r>
                    <w:rPr>
                      <w:rFonts w:hint="eastAsia"/>
                      <w:color w:val="auto"/>
                      <w:lang w:val="en-US" w:eastAsia="zh-CN"/>
                    </w:rPr>
                    <w:t>/</w:t>
                  </w:r>
                </w:p>
              </w:tc>
              <w:tc>
                <w:tcPr>
                  <w:tcW w:w="388" w:type="pct"/>
                  <w:noWrap w:val="0"/>
                  <w:vAlign w:val="center"/>
                </w:tcPr>
                <w:p w14:paraId="425BC27E">
                  <w:pPr>
                    <w:pStyle w:val="27"/>
                    <w:keepNext w:val="0"/>
                    <w:keepLines w:val="0"/>
                    <w:suppressLineNumbers w:val="0"/>
                    <w:bidi w:val="0"/>
                    <w:spacing w:before="0" w:beforeAutospacing="0" w:after="0" w:afterAutospacing="0"/>
                    <w:ind w:left="0" w:right="0"/>
                    <w:rPr>
                      <w:rFonts w:hint="default" w:ascii="Times New Roman" w:hAnsi="Times New Roman" w:cs="Times New Roman"/>
                      <w:b w:val="0"/>
                      <w:bCs w:val="0"/>
                      <w:color w:val="auto"/>
                      <w:u w:val="none"/>
                      <w:lang w:val="en-US" w:eastAsia="zh-CN"/>
                    </w:rPr>
                  </w:pPr>
                  <w:r>
                    <w:rPr>
                      <w:rFonts w:hint="eastAsia" w:cs="Times New Roman"/>
                      <w:b w:val="0"/>
                      <w:bCs w:val="0"/>
                      <w:color w:val="auto"/>
                      <w:u w:val="none"/>
                      <w:lang w:val="en-US" w:eastAsia="zh-CN"/>
                    </w:rPr>
                    <w:t>/</w:t>
                  </w:r>
                </w:p>
              </w:tc>
            </w:tr>
            <w:tr w14:paraId="0A21A8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1586" w:type="pct"/>
                  <w:gridSpan w:val="2"/>
                  <w:noWrap w:val="0"/>
                  <w:vAlign w:val="center"/>
                </w:tcPr>
                <w:p w14:paraId="27E49951">
                  <w:pPr>
                    <w:pStyle w:val="27"/>
                    <w:keepNext w:val="0"/>
                    <w:keepLines w:val="0"/>
                    <w:suppressLineNumbers w:val="0"/>
                    <w:bidi w:val="0"/>
                    <w:spacing w:before="0" w:beforeAutospacing="0" w:after="0" w:afterAutospacing="0"/>
                    <w:ind w:left="0" w:right="0"/>
                    <w:rPr>
                      <w:rFonts w:hint="default" w:cs="Times New Roman"/>
                      <w:b w:val="0"/>
                      <w:bCs w:val="0"/>
                      <w:color w:val="auto"/>
                      <w:u w:val="none"/>
                      <w:lang w:val="en-US" w:eastAsia="zh-CN"/>
                    </w:rPr>
                  </w:pPr>
                  <w:r>
                    <w:rPr>
                      <w:rFonts w:hint="eastAsia" w:cs="Times New Roman"/>
                      <w:b w:val="0"/>
                      <w:bCs w:val="0"/>
                      <w:color w:val="auto"/>
                      <w:u w:val="none"/>
                      <w:lang w:val="en-US" w:eastAsia="zh-CN"/>
                    </w:rPr>
                    <w:t>整车重量取值</w:t>
                  </w:r>
                </w:p>
              </w:tc>
              <w:tc>
                <w:tcPr>
                  <w:tcW w:w="593" w:type="pct"/>
                  <w:noWrap w:val="0"/>
                  <w:vAlign w:val="center"/>
                </w:tcPr>
                <w:p w14:paraId="2ED328A6">
                  <w:pPr>
                    <w:pStyle w:val="27"/>
                    <w:keepNext w:val="0"/>
                    <w:keepLines w:val="0"/>
                    <w:suppressLineNumbers w:val="0"/>
                    <w:bidi w:val="0"/>
                    <w:spacing w:before="0" w:beforeAutospacing="0" w:after="0" w:afterAutospacing="0"/>
                    <w:ind w:left="0" w:right="0" w:firstLine="0" w:firstLineChars="0"/>
                    <w:rPr>
                      <w:rFonts w:hint="default" w:cs="Times New Roman"/>
                      <w:b w:val="0"/>
                      <w:bCs w:val="0"/>
                      <w:color w:val="auto"/>
                      <w:kern w:val="0"/>
                      <w:sz w:val="21"/>
                      <w:szCs w:val="20"/>
                      <w:u w:val="none"/>
                      <w:lang w:val="en-US" w:eastAsia="zh-CN" w:bidi="ar-SA"/>
                    </w:rPr>
                  </w:pPr>
                  <w:r>
                    <w:rPr>
                      <w:rFonts w:hint="eastAsia" w:cs="Times New Roman"/>
                      <w:b w:val="0"/>
                      <w:bCs w:val="0"/>
                      <w:color w:val="auto"/>
                      <w:kern w:val="0"/>
                      <w:sz w:val="21"/>
                      <w:szCs w:val="20"/>
                      <w:u w:val="none"/>
                      <w:lang w:val="en-US" w:eastAsia="zh-CN" w:bidi="ar-SA"/>
                    </w:rPr>
                    <w:t>60</w:t>
                  </w:r>
                </w:p>
              </w:tc>
              <w:tc>
                <w:tcPr>
                  <w:tcW w:w="701" w:type="pct"/>
                  <w:noWrap w:val="0"/>
                  <w:vAlign w:val="center"/>
                </w:tcPr>
                <w:p w14:paraId="004E9A76">
                  <w:pPr>
                    <w:pStyle w:val="27"/>
                    <w:keepNext w:val="0"/>
                    <w:keepLines w:val="0"/>
                    <w:suppressLineNumbers w:val="0"/>
                    <w:spacing w:before="0" w:beforeAutospacing="0" w:after="0" w:afterAutospacing="0"/>
                    <w:ind w:left="0" w:right="0" w:firstLine="0" w:firstLineChars="0"/>
                    <w:rPr>
                      <w:rFonts w:hint="default"/>
                      <w:color w:val="auto"/>
                      <w:lang w:val="en-US" w:eastAsia="zh-CN"/>
                    </w:rPr>
                  </w:pPr>
                  <w:r>
                    <w:rPr>
                      <w:rFonts w:hint="eastAsia"/>
                      <w:color w:val="auto"/>
                      <w:lang w:val="en-US" w:eastAsia="zh-CN"/>
                    </w:rPr>
                    <w:t>216</w:t>
                  </w:r>
                </w:p>
              </w:tc>
              <w:tc>
                <w:tcPr>
                  <w:tcW w:w="640" w:type="pct"/>
                  <w:noWrap w:val="0"/>
                  <w:vAlign w:val="center"/>
                </w:tcPr>
                <w:p w14:paraId="56EFCDF8">
                  <w:pPr>
                    <w:pStyle w:val="27"/>
                    <w:keepNext w:val="0"/>
                    <w:keepLines w:val="0"/>
                    <w:suppressLineNumbers w:val="0"/>
                    <w:spacing w:before="0" w:beforeAutospacing="0" w:after="0" w:afterAutospacing="0"/>
                    <w:ind w:left="0" w:right="0" w:firstLine="0" w:firstLineChars="0"/>
                    <w:rPr>
                      <w:rFonts w:hint="default" w:cs="Times New Roman"/>
                      <w:color w:val="auto"/>
                      <w:kern w:val="0"/>
                      <w:sz w:val="21"/>
                      <w:szCs w:val="20"/>
                      <w:lang w:val="en-US" w:eastAsia="zh-CN" w:bidi="ar-SA"/>
                    </w:rPr>
                  </w:pPr>
                  <w:r>
                    <w:rPr>
                      <w:rFonts w:hint="eastAsia" w:cs="Times New Roman"/>
                      <w:color w:val="auto"/>
                      <w:kern w:val="0"/>
                      <w:sz w:val="21"/>
                      <w:szCs w:val="20"/>
                      <w:lang w:val="en-US" w:eastAsia="zh-CN" w:bidi="ar-SA"/>
                    </w:rPr>
                    <w:t>427.2</w:t>
                  </w:r>
                </w:p>
              </w:tc>
              <w:tc>
                <w:tcPr>
                  <w:tcW w:w="1087" w:type="pct"/>
                  <w:noWrap w:val="0"/>
                  <w:vAlign w:val="center"/>
                </w:tcPr>
                <w:p w14:paraId="468D40EF">
                  <w:pPr>
                    <w:pStyle w:val="27"/>
                    <w:keepNext w:val="0"/>
                    <w:keepLines w:val="0"/>
                    <w:suppressLineNumbers w:val="0"/>
                    <w:spacing w:before="0" w:beforeAutospacing="0" w:after="0" w:afterAutospacing="0"/>
                    <w:ind w:left="0" w:right="0" w:firstLine="0" w:firstLineChars="0"/>
                    <w:rPr>
                      <w:rFonts w:hint="default"/>
                      <w:color w:val="auto"/>
                      <w:lang w:val="en-US" w:eastAsia="zh-CN"/>
                    </w:rPr>
                  </w:pPr>
                  <w:r>
                    <w:rPr>
                      <w:rFonts w:hint="eastAsia"/>
                      <w:color w:val="auto"/>
                      <w:lang w:val="en-US" w:eastAsia="zh-CN"/>
                    </w:rPr>
                    <w:t>/</w:t>
                  </w:r>
                </w:p>
              </w:tc>
              <w:tc>
                <w:tcPr>
                  <w:tcW w:w="388" w:type="pct"/>
                  <w:noWrap w:val="0"/>
                  <w:vAlign w:val="center"/>
                </w:tcPr>
                <w:p w14:paraId="041B7787">
                  <w:pPr>
                    <w:pStyle w:val="27"/>
                    <w:keepNext w:val="0"/>
                    <w:keepLines w:val="0"/>
                    <w:suppressLineNumbers w:val="0"/>
                    <w:bidi w:val="0"/>
                    <w:spacing w:before="0" w:beforeAutospacing="0" w:after="0" w:afterAutospacing="0"/>
                    <w:ind w:left="0" w:right="0"/>
                    <w:rPr>
                      <w:rFonts w:hint="default" w:cs="Times New Roman"/>
                      <w:b w:val="0"/>
                      <w:bCs w:val="0"/>
                      <w:color w:val="auto"/>
                      <w:u w:val="none"/>
                      <w:lang w:val="en-US" w:eastAsia="zh-CN"/>
                    </w:rPr>
                  </w:pPr>
                  <w:r>
                    <w:rPr>
                      <w:rFonts w:hint="eastAsia" w:cs="Times New Roman"/>
                      <w:b w:val="0"/>
                      <w:bCs w:val="0"/>
                      <w:color w:val="auto"/>
                      <w:u w:val="none"/>
                      <w:lang w:val="en-US" w:eastAsia="zh-CN"/>
                    </w:rPr>
                    <w:t>取平均值</w:t>
                  </w:r>
                </w:p>
              </w:tc>
            </w:tr>
            <w:tr w14:paraId="5419F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5000" w:type="pct"/>
                  <w:gridSpan w:val="7"/>
                  <w:noWrap w:val="0"/>
                  <w:vAlign w:val="center"/>
                </w:tcPr>
                <w:p w14:paraId="6CD6CD64">
                  <w:pPr>
                    <w:pStyle w:val="61"/>
                    <w:keepNext w:val="0"/>
                    <w:keepLines w:val="0"/>
                    <w:suppressLineNumbers w:val="0"/>
                    <w:bidi w:val="0"/>
                    <w:spacing w:before="0" w:beforeAutospacing="0" w:after="0" w:afterAutospacing="0"/>
                    <w:ind w:left="0" w:right="0"/>
                    <w:jc w:val="left"/>
                    <w:rPr>
                      <w:rFonts w:hint="eastAsia"/>
                      <w:b/>
                      <w:bCs/>
                      <w:sz w:val="18"/>
                      <w:szCs w:val="18"/>
                      <w:lang w:val="en-US" w:eastAsia="zh-CN"/>
                    </w:rPr>
                  </w:pPr>
                  <w:r>
                    <w:rPr>
                      <w:rFonts w:hint="eastAsia"/>
                      <w:b/>
                      <w:bCs/>
                      <w:sz w:val="18"/>
                      <w:szCs w:val="18"/>
                      <w:lang w:val="en-US" w:eastAsia="zh-CN"/>
                    </w:rPr>
                    <w:t>备注：①根据《电动自行车安全技术规范》（GB17761-2024），“使用铅酸蓄电池的装配完整的电动自行车整车质量应小于或等于</w:t>
                  </w:r>
                  <w:r>
                    <w:rPr>
                      <w:rFonts w:hint="default"/>
                      <w:b/>
                      <w:bCs/>
                      <w:sz w:val="18"/>
                      <w:szCs w:val="18"/>
                      <w:lang w:val="en-US" w:eastAsia="zh-CN"/>
                    </w:rPr>
                    <w:t>63kg</w:t>
                  </w:r>
                  <w:r>
                    <w:rPr>
                      <w:rFonts w:hint="eastAsia"/>
                      <w:b/>
                      <w:bCs/>
                      <w:sz w:val="18"/>
                      <w:szCs w:val="18"/>
                      <w:lang w:val="en-US" w:eastAsia="zh-CN"/>
                    </w:rPr>
                    <w:t>，其他类型的装配完整的电动自行车的整车质量应小于或等于</w:t>
                  </w:r>
                  <w:r>
                    <w:rPr>
                      <w:rFonts w:hint="default"/>
                      <w:b/>
                      <w:bCs/>
                      <w:sz w:val="18"/>
                      <w:szCs w:val="18"/>
                      <w:lang w:val="en-US" w:eastAsia="zh-CN"/>
                    </w:rPr>
                    <w:t>55kg</w:t>
                  </w:r>
                  <w:r>
                    <w:rPr>
                      <w:rFonts w:hint="eastAsia"/>
                      <w:b/>
                      <w:bCs/>
                      <w:sz w:val="18"/>
                      <w:szCs w:val="18"/>
                      <w:lang w:val="en-US" w:eastAsia="zh-CN"/>
                    </w:rPr>
                    <w:t>”。由于项目拆解的电动二轮车品牌不同，本次评价拆解的单台废电动二轮车整车质量平均按</w:t>
                  </w:r>
                  <w:r>
                    <w:rPr>
                      <w:rFonts w:hint="default"/>
                      <w:b/>
                      <w:bCs/>
                      <w:sz w:val="18"/>
                      <w:szCs w:val="18"/>
                      <w:lang w:val="en-US" w:eastAsia="zh-CN"/>
                    </w:rPr>
                    <w:t>60kg</w:t>
                  </w:r>
                  <w:r>
                    <w:rPr>
                      <w:rFonts w:hint="eastAsia"/>
                      <w:b/>
                      <w:bCs/>
                      <w:sz w:val="18"/>
                      <w:szCs w:val="18"/>
                      <w:lang w:val="en-US" w:eastAsia="zh-CN"/>
                    </w:rPr>
                    <w:t>计；</w:t>
                  </w:r>
                </w:p>
                <w:p w14:paraId="37C63893">
                  <w:pPr>
                    <w:pStyle w:val="61"/>
                    <w:keepNext w:val="0"/>
                    <w:keepLines w:val="0"/>
                    <w:suppressLineNumbers w:val="0"/>
                    <w:bidi w:val="0"/>
                    <w:spacing w:before="0" w:beforeAutospacing="0" w:after="0" w:afterAutospacing="0"/>
                    <w:ind w:left="0" w:right="0"/>
                    <w:jc w:val="left"/>
                    <w:rPr>
                      <w:rFonts w:hint="eastAsia"/>
                      <w:b/>
                      <w:bCs/>
                      <w:sz w:val="18"/>
                      <w:szCs w:val="18"/>
                      <w:lang w:val="en-US" w:eastAsia="zh-CN"/>
                    </w:rPr>
                  </w:pPr>
                  <w:r>
                    <w:rPr>
                      <w:rFonts w:hint="eastAsia"/>
                      <w:b/>
                      <w:bCs/>
                      <w:sz w:val="18"/>
                      <w:szCs w:val="18"/>
                      <w:lang w:val="en-US" w:eastAsia="zh-CN"/>
                    </w:rPr>
                    <w:t>②根据企业提供资料及市场调查，三轮车重量范围166.3—265.7</w:t>
                  </w:r>
                  <w:r>
                    <w:rPr>
                      <w:rFonts w:hint="default"/>
                      <w:b/>
                      <w:bCs/>
                      <w:sz w:val="18"/>
                      <w:szCs w:val="18"/>
                      <w:lang w:val="en-US" w:eastAsia="zh-CN"/>
                    </w:rPr>
                    <w:t>kg</w:t>
                  </w:r>
                  <w:r>
                    <w:rPr>
                      <w:rFonts w:hint="eastAsia"/>
                      <w:b/>
                      <w:bCs/>
                      <w:sz w:val="18"/>
                      <w:szCs w:val="18"/>
                      <w:lang w:val="en-US" w:eastAsia="zh-CN"/>
                    </w:rPr>
                    <w:t>，本次评价拆解单台废电动三轮车整车质量平均按280</w:t>
                  </w:r>
                  <w:r>
                    <w:rPr>
                      <w:rFonts w:hint="default"/>
                      <w:b/>
                      <w:bCs/>
                      <w:sz w:val="18"/>
                      <w:szCs w:val="18"/>
                      <w:lang w:val="en-US" w:eastAsia="zh-CN"/>
                    </w:rPr>
                    <w:t>kg</w:t>
                  </w:r>
                  <w:r>
                    <w:rPr>
                      <w:rFonts w:hint="eastAsia"/>
                      <w:b/>
                      <w:bCs/>
                      <w:sz w:val="18"/>
                      <w:szCs w:val="18"/>
                      <w:lang w:val="en-US" w:eastAsia="zh-CN"/>
                    </w:rPr>
                    <w:t>计；四轮车重量范围366.8—487.6kg，本次评价拆解的单台废电动四轮车整车质量平均按427.2kg计。</w:t>
                  </w:r>
                </w:p>
                <w:p w14:paraId="4D928404">
                  <w:pPr>
                    <w:pStyle w:val="61"/>
                    <w:keepNext w:val="0"/>
                    <w:keepLines w:val="0"/>
                    <w:suppressLineNumbers w:val="0"/>
                    <w:bidi w:val="0"/>
                    <w:spacing w:before="0" w:beforeAutospacing="0" w:after="0" w:afterAutospacing="0"/>
                    <w:ind w:left="0" w:right="0"/>
                    <w:jc w:val="left"/>
                    <w:rPr>
                      <w:rFonts w:hint="default"/>
                      <w:b/>
                      <w:bCs/>
                      <w:sz w:val="18"/>
                      <w:szCs w:val="18"/>
                      <w:lang w:val="en-US" w:eastAsia="zh-CN"/>
                    </w:rPr>
                  </w:pPr>
                  <w:r>
                    <w:rPr>
                      <w:rFonts w:hint="eastAsia"/>
                      <w:b/>
                      <w:bCs/>
                      <w:sz w:val="18"/>
                      <w:szCs w:val="18"/>
                      <w:lang w:val="en-US" w:eastAsia="zh-CN"/>
                    </w:rPr>
                    <w:t>③因铅蓄电池重量＞锂电池，整车重量取值用铅蓄电池计算</w:t>
                  </w:r>
                </w:p>
              </w:tc>
            </w:tr>
          </w:tbl>
          <w:p w14:paraId="591C7E7A">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根据建设单位提供的资料可知，项目回收废旧电动车除交警部门收缴证照不全达到报废标准的电动车、企业及个人拥有的电动车外，大部分门店、网点及维修单位回收的报废电动自行车中电池均已拆除，项目回收废旧电动自行车含电池车辆仅占总拆解车辆的20%，其中铅蓄电池为市场主流占比约55%。则本项目非电动车拆解产物见下表。</w:t>
            </w:r>
          </w:p>
          <w:p w14:paraId="00921353">
            <w:pPr>
              <w:pStyle w:val="65"/>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表2-7  本项目废电动车拆解产物一览表</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23"/>
              <w:gridCol w:w="741"/>
              <w:gridCol w:w="810"/>
              <w:gridCol w:w="645"/>
              <w:gridCol w:w="780"/>
              <w:gridCol w:w="870"/>
              <w:gridCol w:w="705"/>
              <w:gridCol w:w="810"/>
              <w:gridCol w:w="720"/>
              <w:gridCol w:w="630"/>
              <w:gridCol w:w="624"/>
              <w:gridCol w:w="491"/>
            </w:tblGrid>
            <w:tr w14:paraId="4ED77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6" w:hRule="atLeast"/>
                <w:jc w:val="center"/>
              </w:trPr>
              <w:tc>
                <w:tcPr>
                  <w:tcW w:w="422" w:type="pct"/>
                  <w:vMerge w:val="restart"/>
                  <w:vAlign w:val="center"/>
                </w:tcPr>
                <w:p w14:paraId="7708FE28">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拆解件名称</w:t>
                  </w:r>
                </w:p>
              </w:tc>
              <w:tc>
                <w:tcPr>
                  <w:tcW w:w="1284" w:type="pct"/>
                  <w:gridSpan w:val="3"/>
                  <w:vAlign w:val="center"/>
                </w:tcPr>
                <w:p w14:paraId="0C43AB83">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二轮车</w:t>
                  </w:r>
                </w:p>
              </w:tc>
              <w:tc>
                <w:tcPr>
                  <w:tcW w:w="1377" w:type="pct"/>
                  <w:gridSpan w:val="3"/>
                  <w:vAlign w:val="center"/>
                </w:tcPr>
                <w:p w14:paraId="0703751D">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三轮车</w:t>
                  </w:r>
                </w:p>
              </w:tc>
              <w:tc>
                <w:tcPr>
                  <w:tcW w:w="1263" w:type="pct"/>
                  <w:gridSpan w:val="3"/>
                  <w:vAlign w:val="center"/>
                </w:tcPr>
                <w:p w14:paraId="267EE44D">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四轮车</w:t>
                  </w:r>
                </w:p>
              </w:tc>
              <w:tc>
                <w:tcPr>
                  <w:tcW w:w="364" w:type="pct"/>
                  <w:vMerge w:val="restart"/>
                  <w:vAlign w:val="center"/>
                </w:tcPr>
                <w:p w14:paraId="6CDBB34A">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小计t/a</w:t>
                  </w:r>
                </w:p>
              </w:tc>
              <w:tc>
                <w:tcPr>
                  <w:tcW w:w="287" w:type="pct"/>
                  <w:vMerge w:val="restart"/>
                  <w:vAlign w:val="center"/>
                </w:tcPr>
                <w:p w14:paraId="6F3B364E">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用途或去向</w:t>
                  </w:r>
                </w:p>
              </w:tc>
            </w:tr>
            <w:tr w14:paraId="682AC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6" w:hRule="atLeast"/>
                <w:jc w:val="center"/>
              </w:trPr>
              <w:tc>
                <w:tcPr>
                  <w:tcW w:w="422" w:type="pct"/>
                  <w:vMerge w:val="continue"/>
                  <w:vAlign w:val="center"/>
                </w:tcPr>
                <w:p w14:paraId="00CF8941">
                  <w:pPr>
                    <w:pStyle w:val="61"/>
                    <w:keepNext w:val="0"/>
                    <w:keepLines w:val="0"/>
                    <w:suppressLineNumbers w:val="0"/>
                    <w:bidi w:val="0"/>
                    <w:spacing w:before="0" w:beforeAutospacing="0" w:after="0" w:afterAutospacing="0"/>
                    <w:ind w:left="0" w:right="0"/>
                    <w:rPr>
                      <w:rFonts w:hint="default"/>
                      <w:b/>
                      <w:bCs/>
                    </w:rPr>
                  </w:pPr>
                </w:p>
              </w:tc>
              <w:tc>
                <w:tcPr>
                  <w:tcW w:w="433" w:type="pct"/>
                  <w:vAlign w:val="center"/>
                </w:tcPr>
                <w:p w14:paraId="6A9CA062">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数量（辆/年）</w:t>
                  </w:r>
                </w:p>
              </w:tc>
              <w:tc>
                <w:tcPr>
                  <w:tcW w:w="473" w:type="pct"/>
                  <w:vAlign w:val="center"/>
                </w:tcPr>
                <w:p w14:paraId="423887D9">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重量（kg/辆）</w:t>
                  </w:r>
                </w:p>
              </w:tc>
              <w:tc>
                <w:tcPr>
                  <w:tcW w:w="377" w:type="pct"/>
                  <w:vAlign w:val="center"/>
                </w:tcPr>
                <w:p w14:paraId="034F4F82">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总重量（t/a）</w:t>
                  </w:r>
                </w:p>
              </w:tc>
              <w:tc>
                <w:tcPr>
                  <w:tcW w:w="456" w:type="pct"/>
                  <w:vAlign w:val="center"/>
                </w:tcPr>
                <w:p w14:paraId="65156B48">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数量（辆/年）</w:t>
                  </w:r>
                </w:p>
              </w:tc>
              <w:tc>
                <w:tcPr>
                  <w:tcW w:w="508" w:type="pct"/>
                  <w:vAlign w:val="center"/>
                </w:tcPr>
                <w:p w14:paraId="0B2DF21D">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重量（kg/辆）</w:t>
                  </w:r>
                </w:p>
              </w:tc>
              <w:tc>
                <w:tcPr>
                  <w:tcW w:w="412" w:type="pct"/>
                  <w:vAlign w:val="center"/>
                </w:tcPr>
                <w:p w14:paraId="36A22366">
                  <w:pPr>
                    <w:pStyle w:val="61"/>
                    <w:keepNext w:val="0"/>
                    <w:keepLines w:val="0"/>
                    <w:suppressLineNumbers w:val="0"/>
                    <w:bidi w:val="0"/>
                    <w:spacing w:before="0" w:beforeAutospacing="0" w:after="0" w:afterAutospacing="0"/>
                    <w:ind w:left="0" w:right="0"/>
                    <w:rPr>
                      <w:rFonts w:hint="eastAsia"/>
                      <w:b/>
                      <w:bCs/>
                      <w:lang w:val="en-US" w:eastAsia="zh-CN"/>
                    </w:rPr>
                  </w:pPr>
                  <w:r>
                    <w:rPr>
                      <w:rFonts w:hint="eastAsia"/>
                      <w:b/>
                      <w:bCs/>
                      <w:lang w:val="en-US" w:eastAsia="zh-CN"/>
                    </w:rPr>
                    <w:t>总重量（t/a）</w:t>
                  </w:r>
                </w:p>
              </w:tc>
              <w:tc>
                <w:tcPr>
                  <w:tcW w:w="473" w:type="pct"/>
                  <w:shd w:val="clear" w:color="auto" w:fill="auto"/>
                  <w:vAlign w:val="center"/>
                </w:tcPr>
                <w:p w14:paraId="4AF9D8B7">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数量（辆/年）</w:t>
                  </w:r>
                </w:p>
              </w:tc>
              <w:tc>
                <w:tcPr>
                  <w:tcW w:w="421" w:type="pct"/>
                  <w:shd w:val="clear" w:color="auto" w:fill="auto"/>
                  <w:vAlign w:val="center"/>
                </w:tcPr>
                <w:p w14:paraId="51B47029">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重量（kg/辆）</w:t>
                  </w:r>
                </w:p>
              </w:tc>
              <w:tc>
                <w:tcPr>
                  <w:tcW w:w="368" w:type="pct"/>
                  <w:shd w:val="clear" w:color="auto" w:fill="auto"/>
                  <w:vAlign w:val="center"/>
                </w:tcPr>
                <w:p w14:paraId="32791ADD">
                  <w:pPr>
                    <w:pStyle w:val="61"/>
                    <w:keepNext w:val="0"/>
                    <w:keepLines w:val="0"/>
                    <w:suppressLineNumbers w:val="0"/>
                    <w:bidi w:val="0"/>
                    <w:spacing w:before="0" w:beforeAutospacing="0" w:after="0" w:afterAutospacing="0"/>
                    <w:ind w:left="0" w:right="0"/>
                    <w:rPr>
                      <w:rFonts w:hint="eastAsia"/>
                      <w:b/>
                      <w:bCs/>
                      <w:lang w:val="en-US" w:eastAsia="zh-CN"/>
                    </w:rPr>
                  </w:pPr>
                  <w:r>
                    <w:rPr>
                      <w:rFonts w:hint="eastAsia"/>
                      <w:b/>
                      <w:bCs/>
                      <w:lang w:val="en-US" w:eastAsia="zh-CN"/>
                    </w:rPr>
                    <w:t>总重量（t/a）</w:t>
                  </w:r>
                </w:p>
              </w:tc>
              <w:tc>
                <w:tcPr>
                  <w:tcW w:w="364" w:type="pct"/>
                  <w:vMerge w:val="continue"/>
                  <w:vAlign w:val="center"/>
                </w:tcPr>
                <w:p w14:paraId="146F88AE">
                  <w:pPr>
                    <w:pStyle w:val="61"/>
                    <w:keepNext w:val="0"/>
                    <w:keepLines w:val="0"/>
                    <w:suppressLineNumbers w:val="0"/>
                    <w:bidi w:val="0"/>
                    <w:spacing w:before="0" w:beforeAutospacing="0" w:after="0" w:afterAutospacing="0"/>
                    <w:ind w:left="0" w:right="0"/>
                    <w:rPr>
                      <w:rFonts w:hint="eastAsia"/>
                      <w:lang w:val="en-US" w:eastAsia="zh-CN"/>
                    </w:rPr>
                  </w:pPr>
                </w:p>
              </w:tc>
              <w:tc>
                <w:tcPr>
                  <w:tcW w:w="287" w:type="pct"/>
                  <w:vMerge w:val="continue"/>
                  <w:vAlign w:val="center"/>
                </w:tcPr>
                <w:p w14:paraId="3AD6206E">
                  <w:pPr>
                    <w:pStyle w:val="61"/>
                    <w:keepNext w:val="0"/>
                    <w:keepLines w:val="0"/>
                    <w:suppressLineNumbers w:val="0"/>
                    <w:bidi w:val="0"/>
                    <w:spacing w:before="0" w:beforeAutospacing="0" w:after="0" w:afterAutospacing="0"/>
                    <w:ind w:left="0" w:right="0"/>
                    <w:rPr>
                      <w:rFonts w:hint="eastAsia"/>
                      <w:lang w:val="en-US" w:eastAsia="zh-CN"/>
                    </w:rPr>
                  </w:pPr>
                </w:p>
              </w:tc>
            </w:tr>
            <w:tr w14:paraId="43D56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8" w:hRule="atLeast"/>
                <w:jc w:val="center"/>
              </w:trPr>
              <w:tc>
                <w:tcPr>
                  <w:tcW w:w="422" w:type="pct"/>
                  <w:shd w:val="clear" w:color="auto" w:fill="auto"/>
                  <w:vAlign w:val="center"/>
                </w:tcPr>
                <w:p w14:paraId="234A50D6">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电机</w:t>
                  </w:r>
                </w:p>
              </w:tc>
              <w:tc>
                <w:tcPr>
                  <w:tcW w:w="433" w:type="pct"/>
                  <w:vAlign w:val="center"/>
                </w:tcPr>
                <w:p w14:paraId="65466BFB">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80000</w:t>
                  </w:r>
                </w:p>
              </w:tc>
              <w:tc>
                <w:tcPr>
                  <w:tcW w:w="473" w:type="pct"/>
                  <w:vAlign w:val="center"/>
                </w:tcPr>
                <w:p w14:paraId="6482738A">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7.8</w:t>
                  </w:r>
                </w:p>
              </w:tc>
              <w:tc>
                <w:tcPr>
                  <w:tcW w:w="377" w:type="pct"/>
                  <w:vAlign w:val="center"/>
                </w:tcPr>
                <w:p w14:paraId="76D7D106">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624</w:t>
                  </w:r>
                </w:p>
              </w:tc>
              <w:tc>
                <w:tcPr>
                  <w:tcW w:w="456" w:type="pct"/>
                  <w:vAlign w:val="center"/>
                </w:tcPr>
                <w:p w14:paraId="4A856856">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10000</w:t>
                  </w:r>
                </w:p>
              </w:tc>
              <w:tc>
                <w:tcPr>
                  <w:tcW w:w="508" w:type="pct"/>
                  <w:vAlign w:val="center"/>
                </w:tcPr>
                <w:p w14:paraId="7A20CF13">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7.5</w:t>
                  </w:r>
                </w:p>
              </w:tc>
              <w:tc>
                <w:tcPr>
                  <w:tcW w:w="412" w:type="pct"/>
                  <w:vAlign w:val="center"/>
                </w:tcPr>
                <w:p w14:paraId="490D9DCA">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75</w:t>
                  </w:r>
                </w:p>
              </w:tc>
              <w:tc>
                <w:tcPr>
                  <w:tcW w:w="473" w:type="pct"/>
                  <w:shd w:val="clear" w:color="auto" w:fill="auto"/>
                  <w:vAlign w:val="center"/>
                </w:tcPr>
                <w:p w14:paraId="56C04FA0">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10000</w:t>
                  </w:r>
                </w:p>
              </w:tc>
              <w:tc>
                <w:tcPr>
                  <w:tcW w:w="421" w:type="pct"/>
                  <w:vAlign w:val="center"/>
                </w:tcPr>
                <w:p w14:paraId="59BB91AB">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8.5</w:t>
                  </w:r>
                </w:p>
              </w:tc>
              <w:tc>
                <w:tcPr>
                  <w:tcW w:w="368" w:type="pct"/>
                  <w:vAlign w:val="center"/>
                </w:tcPr>
                <w:p w14:paraId="3F3DDE2F">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85</w:t>
                  </w:r>
                </w:p>
              </w:tc>
              <w:tc>
                <w:tcPr>
                  <w:tcW w:w="364" w:type="pct"/>
                  <w:vAlign w:val="center"/>
                </w:tcPr>
                <w:p w14:paraId="1C88D6DC">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784</w:t>
                  </w:r>
                </w:p>
              </w:tc>
              <w:tc>
                <w:tcPr>
                  <w:tcW w:w="287" w:type="pct"/>
                  <w:vAlign w:val="center"/>
                </w:tcPr>
                <w:p w14:paraId="74D7222F">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外售</w:t>
                  </w:r>
                </w:p>
              </w:tc>
            </w:tr>
            <w:tr w14:paraId="6C66C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71" w:hRule="atLeast"/>
                <w:jc w:val="center"/>
              </w:trPr>
              <w:tc>
                <w:tcPr>
                  <w:tcW w:w="422" w:type="pct"/>
                  <w:shd w:val="clear" w:color="auto" w:fill="auto"/>
                  <w:vAlign w:val="center"/>
                </w:tcPr>
                <w:p w14:paraId="611002ED">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钢铁件</w:t>
                  </w:r>
                </w:p>
              </w:tc>
              <w:tc>
                <w:tcPr>
                  <w:tcW w:w="433" w:type="pct"/>
                  <w:vAlign w:val="center"/>
                </w:tcPr>
                <w:p w14:paraId="4D1DDB96">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80000</w:t>
                  </w:r>
                </w:p>
              </w:tc>
              <w:tc>
                <w:tcPr>
                  <w:tcW w:w="473" w:type="pct"/>
                  <w:vAlign w:val="center"/>
                </w:tcPr>
                <w:p w14:paraId="72604423">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22.9</w:t>
                  </w:r>
                </w:p>
              </w:tc>
              <w:tc>
                <w:tcPr>
                  <w:tcW w:w="377" w:type="pct"/>
                  <w:vAlign w:val="center"/>
                </w:tcPr>
                <w:p w14:paraId="27CE17AE">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1832</w:t>
                  </w:r>
                </w:p>
              </w:tc>
              <w:tc>
                <w:tcPr>
                  <w:tcW w:w="456" w:type="pct"/>
                  <w:vAlign w:val="center"/>
                </w:tcPr>
                <w:p w14:paraId="1F666247">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10000</w:t>
                  </w:r>
                </w:p>
              </w:tc>
              <w:tc>
                <w:tcPr>
                  <w:tcW w:w="508" w:type="pct"/>
                  <w:vAlign w:val="center"/>
                </w:tcPr>
                <w:p w14:paraId="4F2269B0">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127</w:t>
                  </w:r>
                </w:p>
              </w:tc>
              <w:tc>
                <w:tcPr>
                  <w:tcW w:w="412" w:type="pct"/>
                  <w:vAlign w:val="center"/>
                </w:tcPr>
                <w:p w14:paraId="3CF590C9">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1270</w:t>
                  </w:r>
                </w:p>
              </w:tc>
              <w:tc>
                <w:tcPr>
                  <w:tcW w:w="473" w:type="pct"/>
                  <w:shd w:val="clear" w:color="auto" w:fill="auto"/>
                  <w:vAlign w:val="center"/>
                </w:tcPr>
                <w:p w14:paraId="1D588B4D">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10000</w:t>
                  </w:r>
                </w:p>
              </w:tc>
              <w:tc>
                <w:tcPr>
                  <w:tcW w:w="421" w:type="pct"/>
                  <w:vAlign w:val="center"/>
                </w:tcPr>
                <w:p w14:paraId="22B091E3">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225.5</w:t>
                  </w:r>
                </w:p>
              </w:tc>
              <w:tc>
                <w:tcPr>
                  <w:tcW w:w="368" w:type="pct"/>
                  <w:vAlign w:val="center"/>
                </w:tcPr>
                <w:p w14:paraId="3C99BBA7">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2255</w:t>
                  </w:r>
                </w:p>
              </w:tc>
              <w:tc>
                <w:tcPr>
                  <w:tcW w:w="364" w:type="pct"/>
                  <w:vAlign w:val="center"/>
                </w:tcPr>
                <w:p w14:paraId="20A9A2AD">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5357</w:t>
                  </w:r>
                </w:p>
              </w:tc>
              <w:tc>
                <w:tcPr>
                  <w:tcW w:w="287" w:type="pct"/>
                  <w:vAlign w:val="center"/>
                </w:tcPr>
                <w:p w14:paraId="1EBB0765">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外售</w:t>
                  </w:r>
                </w:p>
              </w:tc>
            </w:tr>
            <w:tr w14:paraId="543C2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8" w:hRule="atLeast"/>
                <w:jc w:val="center"/>
              </w:trPr>
              <w:tc>
                <w:tcPr>
                  <w:tcW w:w="422" w:type="pct"/>
                  <w:shd w:val="clear" w:color="auto" w:fill="auto"/>
                  <w:vAlign w:val="center"/>
                </w:tcPr>
                <w:p w14:paraId="3EFC734E">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减震器</w:t>
                  </w:r>
                </w:p>
              </w:tc>
              <w:tc>
                <w:tcPr>
                  <w:tcW w:w="433" w:type="pct"/>
                  <w:vAlign w:val="center"/>
                </w:tcPr>
                <w:p w14:paraId="3FBC7447">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80000</w:t>
                  </w:r>
                </w:p>
              </w:tc>
              <w:tc>
                <w:tcPr>
                  <w:tcW w:w="473" w:type="pct"/>
                  <w:vAlign w:val="center"/>
                </w:tcPr>
                <w:p w14:paraId="2D62DB6D">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1.5</w:t>
                  </w:r>
                </w:p>
              </w:tc>
              <w:tc>
                <w:tcPr>
                  <w:tcW w:w="377" w:type="pct"/>
                  <w:vAlign w:val="center"/>
                </w:tcPr>
                <w:p w14:paraId="10CA2243">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120</w:t>
                  </w:r>
                </w:p>
              </w:tc>
              <w:tc>
                <w:tcPr>
                  <w:tcW w:w="456" w:type="pct"/>
                  <w:vAlign w:val="center"/>
                </w:tcPr>
                <w:p w14:paraId="4AC49757">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10000</w:t>
                  </w:r>
                </w:p>
              </w:tc>
              <w:tc>
                <w:tcPr>
                  <w:tcW w:w="508" w:type="pct"/>
                  <w:vAlign w:val="center"/>
                </w:tcPr>
                <w:p w14:paraId="3639E9C8">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6</w:t>
                  </w:r>
                </w:p>
              </w:tc>
              <w:tc>
                <w:tcPr>
                  <w:tcW w:w="412" w:type="pct"/>
                  <w:vAlign w:val="center"/>
                </w:tcPr>
                <w:p w14:paraId="177DF00F">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60</w:t>
                  </w:r>
                </w:p>
              </w:tc>
              <w:tc>
                <w:tcPr>
                  <w:tcW w:w="473" w:type="pct"/>
                  <w:shd w:val="clear" w:color="auto" w:fill="auto"/>
                  <w:vAlign w:val="center"/>
                </w:tcPr>
                <w:p w14:paraId="4F00677D">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10000</w:t>
                  </w:r>
                </w:p>
              </w:tc>
              <w:tc>
                <w:tcPr>
                  <w:tcW w:w="421" w:type="pct"/>
                  <w:vAlign w:val="center"/>
                </w:tcPr>
                <w:p w14:paraId="16450E91">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15</w:t>
                  </w:r>
                </w:p>
              </w:tc>
              <w:tc>
                <w:tcPr>
                  <w:tcW w:w="368" w:type="pct"/>
                  <w:vAlign w:val="center"/>
                </w:tcPr>
                <w:p w14:paraId="28D0E95D">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150</w:t>
                  </w:r>
                </w:p>
              </w:tc>
              <w:tc>
                <w:tcPr>
                  <w:tcW w:w="364" w:type="pct"/>
                  <w:vAlign w:val="center"/>
                </w:tcPr>
                <w:p w14:paraId="314F1E38">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330</w:t>
                  </w:r>
                </w:p>
              </w:tc>
              <w:tc>
                <w:tcPr>
                  <w:tcW w:w="287" w:type="pct"/>
                  <w:vAlign w:val="center"/>
                </w:tcPr>
                <w:p w14:paraId="4D0811F1">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外售</w:t>
                  </w:r>
                </w:p>
              </w:tc>
            </w:tr>
            <w:tr w14:paraId="370C2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8" w:hRule="atLeast"/>
                <w:jc w:val="center"/>
              </w:trPr>
              <w:tc>
                <w:tcPr>
                  <w:tcW w:w="422" w:type="pct"/>
                  <w:shd w:val="clear" w:color="auto" w:fill="auto"/>
                  <w:vAlign w:val="center"/>
                </w:tcPr>
                <w:p w14:paraId="4892573C">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轮胎/密封件</w:t>
                  </w:r>
                </w:p>
              </w:tc>
              <w:tc>
                <w:tcPr>
                  <w:tcW w:w="433" w:type="pct"/>
                  <w:vAlign w:val="center"/>
                </w:tcPr>
                <w:p w14:paraId="3212C28B">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80000</w:t>
                  </w:r>
                </w:p>
              </w:tc>
              <w:tc>
                <w:tcPr>
                  <w:tcW w:w="473" w:type="pct"/>
                  <w:vAlign w:val="center"/>
                </w:tcPr>
                <w:p w14:paraId="3AC2A687">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4.95</w:t>
                  </w:r>
                </w:p>
              </w:tc>
              <w:tc>
                <w:tcPr>
                  <w:tcW w:w="377" w:type="pct"/>
                  <w:vAlign w:val="center"/>
                </w:tcPr>
                <w:p w14:paraId="613D60A9">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396</w:t>
                  </w:r>
                </w:p>
              </w:tc>
              <w:tc>
                <w:tcPr>
                  <w:tcW w:w="456" w:type="pct"/>
                  <w:vAlign w:val="center"/>
                </w:tcPr>
                <w:p w14:paraId="1B2BFF0F">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10000</w:t>
                  </w:r>
                </w:p>
              </w:tc>
              <w:tc>
                <w:tcPr>
                  <w:tcW w:w="508" w:type="pct"/>
                  <w:vAlign w:val="center"/>
                </w:tcPr>
                <w:p w14:paraId="0EDF717F">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7.0</w:t>
                  </w:r>
                </w:p>
              </w:tc>
              <w:tc>
                <w:tcPr>
                  <w:tcW w:w="412" w:type="pct"/>
                  <w:vAlign w:val="center"/>
                </w:tcPr>
                <w:p w14:paraId="5467575C">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70</w:t>
                  </w:r>
                </w:p>
              </w:tc>
              <w:tc>
                <w:tcPr>
                  <w:tcW w:w="473" w:type="pct"/>
                  <w:shd w:val="clear" w:color="auto" w:fill="auto"/>
                  <w:vAlign w:val="center"/>
                </w:tcPr>
                <w:p w14:paraId="6CAAA310">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10000</w:t>
                  </w:r>
                </w:p>
              </w:tc>
              <w:tc>
                <w:tcPr>
                  <w:tcW w:w="421" w:type="pct"/>
                  <w:vAlign w:val="center"/>
                </w:tcPr>
                <w:p w14:paraId="449C9DA5">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16</w:t>
                  </w:r>
                </w:p>
              </w:tc>
              <w:tc>
                <w:tcPr>
                  <w:tcW w:w="368" w:type="pct"/>
                  <w:vAlign w:val="center"/>
                </w:tcPr>
                <w:p w14:paraId="4E2D0D83">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160</w:t>
                  </w:r>
                </w:p>
              </w:tc>
              <w:tc>
                <w:tcPr>
                  <w:tcW w:w="364" w:type="pct"/>
                  <w:vAlign w:val="center"/>
                </w:tcPr>
                <w:p w14:paraId="1268637C">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626</w:t>
                  </w:r>
                </w:p>
              </w:tc>
              <w:tc>
                <w:tcPr>
                  <w:tcW w:w="287" w:type="pct"/>
                  <w:vAlign w:val="center"/>
                </w:tcPr>
                <w:p w14:paraId="41442931">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外售</w:t>
                  </w:r>
                </w:p>
              </w:tc>
            </w:tr>
            <w:tr w14:paraId="468F56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8" w:hRule="atLeast"/>
                <w:jc w:val="center"/>
              </w:trPr>
              <w:tc>
                <w:tcPr>
                  <w:tcW w:w="422" w:type="pct"/>
                  <w:shd w:val="clear" w:color="auto" w:fill="auto"/>
                  <w:vAlign w:val="center"/>
                </w:tcPr>
                <w:p w14:paraId="1E21051E">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塑料</w:t>
                  </w:r>
                </w:p>
              </w:tc>
              <w:tc>
                <w:tcPr>
                  <w:tcW w:w="433" w:type="pct"/>
                  <w:vAlign w:val="center"/>
                </w:tcPr>
                <w:p w14:paraId="44EF91E0">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80000</w:t>
                  </w:r>
                </w:p>
              </w:tc>
              <w:tc>
                <w:tcPr>
                  <w:tcW w:w="473" w:type="pct"/>
                  <w:vAlign w:val="center"/>
                </w:tcPr>
                <w:p w14:paraId="6782C02C">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2.4</w:t>
                  </w:r>
                </w:p>
              </w:tc>
              <w:tc>
                <w:tcPr>
                  <w:tcW w:w="377" w:type="pct"/>
                  <w:vAlign w:val="center"/>
                </w:tcPr>
                <w:p w14:paraId="72F0AFD8">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192</w:t>
                  </w:r>
                </w:p>
              </w:tc>
              <w:tc>
                <w:tcPr>
                  <w:tcW w:w="456" w:type="pct"/>
                  <w:vAlign w:val="center"/>
                </w:tcPr>
                <w:p w14:paraId="0DDC2ADB">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10000</w:t>
                  </w:r>
                </w:p>
              </w:tc>
              <w:tc>
                <w:tcPr>
                  <w:tcW w:w="508" w:type="pct"/>
                  <w:vAlign w:val="center"/>
                </w:tcPr>
                <w:p w14:paraId="6A757917">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2.6</w:t>
                  </w:r>
                </w:p>
              </w:tc>
              <w:tc>
                <w:tcPr>
                  <w:tcW w:w="412" w:type="pct"/>
                  <w:vAlign w:val="center"/>
                </w:tcPr>
                <w:p w14:paraId="7DB728CE">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26</w:t>
                  </w:r>
                </w:p>
              </w:tc>
              <w:tc>
                <w:tcPr>
                  <w:tcW w:w="473" w:type="pct"/>
                  <w:shd w:val="clear" w:color="auto" w:fill="auto"/>
                  <w:vAlign w:val="center"/>
                </w:tcPr>
                <w:p w14:paraId="631ED003">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10000</w:t>
                  </w:r>
                </w:p>
              </w:tc>
              <w:tc>
                <w:tcPr>
                  <w:tcW w:w="421" w:type="pct"/>
                  <w:vAlign w:val="center"/>
                </w:tcPr>
                <w:p w14:paraId="72A4D288">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7.5</w:t>
                  </w:r>
                </w:p>
              </w:tc>
              <w:tc>
                <w:tcPr>
                  <w:tcW w:w="368" w:type="pct"/>
                  <w:vAlign w:val="center"/>
                </w:tcPr>
                <w:p w14:paraId="75CB51B6">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75</w:t>
                  </w:r>
                </w:p>
              </w:tc>
              <w:tc>
                <w:tcPr>
                  <w:tcW w:w="364" w:type="pct"/>
                  <w:vAlign w:val="center"/>
                </w:tcPr>
                <w:p w14:paraId="7C14BE34">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293</w:t>
                  </w:r>
                </w:p>
              </w:tc>
              <w:tc>
                <w:tcPr>
                  <w:tcW w:w="287" w:type="pct"/>
                  <w:vAlign w:val="center"/>
                </w:tcPr>
                <w:p w14:paraId="78706EE8">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外售</w:t>
                  </w:r>
                </w:p>
              </w:tc>
            </w:tr>
            <w:tr w14:paraId="47346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8" w:hRule="atLeast"/>
                <w:jc w:val="center"/>
              </w:trPr>
              <w:tc>
                <w:tcPr>
                  <w:tcW w:w="422" w:type="pct"/>
                  <w:shd w:val="clear" w:color="auto" w:fill="auto"/>
                  <w:vAlign w:val="center"/>
                </w:tcPr>
                <w:p w14:paraId="0808CA0A">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电线</w:t>
                  </w:r>
                </w:p>
              </w:tc>
              <w:tc>
                <w:tcPr>
                  <w:tcW w:w="433" w:type="pct"/>
                  <w:vAlign w:val="center"/>
                </w:tcPr>
                <w:p w14:paraId="33D1503F">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80000</w:t>
                  </w:r>
                </w:p>
              </w:tc>
              <w:tc>
                <w:tcPr>
                  <w:tcW w:w="473" w:type="pct"/>
                  <w:vAlign w:val="center"/>
                </w:tcPr>
                <w:p w14:paraId="73143C08">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0.5</w:t>
                  </w:r>
                </w:p>
              </w:tc>
              <w:tc>
                <w:tcPr>
                  <w:tcW w:w="377" w:type="pct"/>
                  <w:vAlign w:val="center"/>
                </w:tcPr>
                <w:p w14:paraId="2CEEAAA6">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40</w:t>
                  </w:r>
                </w:p>
              </w:tc>
              <w:tc>
                <w:tcPr>
                  <w:tcW w:w="456" w:type="pct"/>
                  <w:vAlign w:val="center"/>
                </w:tcPr>
                <w:p w14:paraId="56757895">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10000</w:t>
                  </w:r>
                </w:p>
              </w:tc>
              <w:tc>
                <w:tcPr>
                  <w:tcW w:w="508" w:type="pct"/>
                  <w:vAlign w:val="center"/>
                </w:tcPr>
                <w:p w14:paraId="3108FF52">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w:t>
                  </w:r>
                </w:p>
              </w:tc>
              <w:tc>
                <w:tcPr>
                  <w:tcW w:w="412" w:type="pct"/>
                  <w:vAlign w:val="center"/>
                </w:tcPr>
                <w:p w14:paraId="6F4D0E20">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10</w:t>
                  </w:r>
                </w:p>
              </w:tc>
              <w:tc>
                <w:tcPr>
                  <w:tcW w:w="473" w:type="pct"/>
                  <w:shd w:val="clear" w:color="auto" w:fill="auto"/>
                  <w:vAlign w:val="center"/>
                </w:tcPr>
                <w:p w14:paraId="2336AA00">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10000</w:t>
                  </w:r>
                </w:p>
              </w:tc>
              <w:tc>
                <w:tcPr>
                  <w:tcW w:w="421" w:type="pct"/>
                  <w:vAlign w:val="center"/>
                </w:tcPr>
                <w:p w14:paraId="1B097A32">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5.0</w:t>
                  </w:r>
                </w:p>
              </w:tc>
              <w:tc>
                <w:tcPr>
                  <w:tcW w:w="368" w:type="pct"/>
                  <w:vAlign w:val="center"/>
                </w:tcPr>
                <w:p w14:paraId="004E97FF">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50</w:t>
                  </w:r>
                </w:p>
              </w:tc>
              <w:tc>
                <w:tcPr>
                  <w:tcW w:w="364" w:type="pct"/>
                  <w:vAlign w:val="center"/>
                </w:tcPr>
                <w:p w14:paraId="607DA83C">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100</w:t>
                  </w:r>
                </w:p>
              </w:tc>
              <w:tc>
                <w:tcPr>
                  <w:tcW w:w="287" w:type="pct"/>
                  <w:vAlign w:val="center"/>
                </w:tcPr>
                <w:p w14:paraId="2791376D">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外售</w:t>
                  </w:r>
                </w:p>
              </w:tc>
            </w:tr>
            <w:tr w14:paraId="085EE6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8" w:hRule="atLeast"/>
                <w:jc w:val="center"/>
              </w:trPr>
              <w:tc>
                <w:tcPr>
                  <w:tcW w:w="422" w:type="pct"/>
                  <w:shd w:val="clear" w:color="auto" w:fill="auto"/>
                  <w:vAlign w:val="center"/>
                </w:tcPr>
                <w:p w14:paraId="61B7D3EB">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玻璃</w:t>
                  </w:r>
                </w:p>
              </w:tc>
              <w:tc>
                <w:tcPr>
                  <w:tcW w:w="433" w:type="pct"/>
                  <w:vAlign w:val="center"/>
                </w:tcPr>
                <w:p w14:paraId="65C050FD">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80000</w:t>
                  </w:r>
                </w:p>
              </w:tc>
              <w:tc>
                <w:tcPr>
                  <w:tcW w:w="473" w:type="pct"/>
                  <w:vAlign w:val="center"/>
                </w:tcPr>
                <w:p w14:paraId="552D719C">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0.5</w:t>
                  </w:r>
                </w:p>
              </w:tc>
              <w:tc>
                <w:tcPr>
                  <w:tcW w:w="377" w:type="pct"/>
                  <w:vAlign w:val="center"/>
                </w:tcPr>
                <w:p w14:paraId="046455B6">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40</w:t>
                  </w:r>
                </w:p>
              </w:tc>
              <w:tc>
                <w:tcPr>
                  <w:tcW w:w="456" w:type="pct"/>
                  <w:vAlign w:val="center"/>
                </w:tcPr>
                <w:p w14:paraId="35DDC7A8">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10000</w:t>
                  </w:r>
                </w:p>
              </w:tc>
              <w:tc>
                <w:tcPr>
                  <w:tcW w:w="508" w:type="pct"/>
                  <w:vAlign w:val="center"/>
                </w:tcPr>
                <w:p w14:paraId="18B9A19D">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6.0</w:t>
                  </w:r>
                </w:p>
              </w:tc>
              <w:tc>
                <w:tcPr>
                  <w:tcW w:w="412" w:type="pct"/>
                  <w:vAlign w:val="center"/>
                </w:tcPr>
                <w:p w14:paraId="6F9EE914">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60</w:t>
                  </w:r>
                </w:p>
              </w:tc>
              <w:tc>
                <w:tcPr>
                  <w:tcW w:w="473" w:type="pct"/>
                  <w:shd w:val="clear" w:color="auto" w:fill="auto"/>
                  <w:vAlign w:val="center"/>
                </w:tcPr>
                <w:p w14:paraId="37CB1159">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10000</w:t>
                  </w:r>
                </w:p>
              </w:tc>
              <w:tc>
                <w:tcPr>
                  <w:tcW w:w="421" w:type="pct"/>
                  <w:vAlign w:val="center"/>
                </w:tcPr>
                <w:p w14:paraId="7C97ED44">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20</w:t>
                  </w:r>
                </w:p>
              </w:tc>
              <w:tc>
                <w:tcPr>
                  <w:tcW w:w="368" w:type="pct"/>
                  <w:vAlign w:val="center"/>
                </w:tcPr>
                <w:p w14:paraId="4C00287C">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200</w:t>
                  </w:r>
                </w:p>
              </w:tc>
              <w:tc>
                <w:tcPr>
                  <w:tcW w:w="364" w:type="pct"/>
                  <w:vAlign w:val="center"/>
                </w:tcPr>
                <w:p w14:paraId="44C5892F">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300</w:t>
                  </w:r>
                </w:p>
              </w:tc>
              <w:tc>
                <w:tcPr>
                  <w:tcW w:w="287" w:type="pct"/>
                  <w:vAlign w:val="center"/>
                </w:tcPr>
                <w:p w14:paraId="5F35C6BE">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外售</w:t>
                  </w:r>
                </w:p>
              </w:tc>
            </w:tr>
            <w:tr w14:paraId="19834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9" w:hRule="atLeast"/>
                <w:jc w:val="center"/>
              </w:trPr>
              <w:tc>
                <w:tcPr>
                  <w:tcW w:w="422" w:type="pct"/>
                  <w:shd w:val="clear" w:color="auto" w:fill="auto"/>
                  <w:vAlign w:val="center"/>
                </w:tcPr>
                <w:p w14:paraId="2B853D07">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座椅、内饰</w:t>
                  </w:r>
                </w:p>
              </w:tc>
              <w:tc>
                <w:tcPr>
                  <w:tcW w:w="433" w:type="pct"/>
                  <w:vAlign w:val="center"/>
                </w:tcPr>
                <w:p w14:paraId="6E0A7C4D">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80000</w:t>
                  </w:r>
                </w:p>
              </w:tc>
              <w:tc>
                <w:tcPr>
                  <w:tcW w:w="473" w:type="pct"/>
                  <w:vAlign w:val="center"/>
                </w:tcPr>
                <w:p w14:paraId="25AB3405">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0.8</w:t>
                  </w:r>
                </w:p>
              </w:tc>
              <w:tc>
                <w:tcPr>
                  <w:tcW w:w="377" w:type="pct"/>
                  <w:vAlign w:val="center"/>
                </w:tcPr>
                <w:p w14:paraId="33A0CB81">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64</w:t>
                  </w:r>
                </w:p>
              </w:tc>
              <w:tc>
                <w:tcPr>
                  <w:tcW w:w="456" w:type="pct"/>
                  <w:vAlign w:val="center"/>
                </w:tcPr>
                <w:p w14:paraId="33EF1BCF">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10000</w:t>
                  </w:r>
                </w:p>
              </w:tc>
              <w:tc>
                <w:tcPr>
                  <w:tcW w:w="508" w:type="pct"/>
                  <w:vAlign w:val="center"/>
                </w:tcPr>
                <w:p w14:paraId="4E79C961">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2.0</w:t>
                  </w:r>
                </w:p>
              </w:tc>
              <w:tc>
                <w:tcPr>
                  <w:tcW w:w="412" w:type="pct"/>
                  <w:vAlign w:val="center"/>
                </w:tcPr>
                <w:p w14:paraId="7DD0DB55">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20</w:t>
                  </w:r>
                </w:p>
              </w:tc>
              <w:tc>
                <w:tcPr>
                  <w:tcW w:w="473" w:type="pct"/>
                  <w:shd w:val="clear" w:color="auto" w:fill="auto"/>
                  <w:vAlign w:val="center"/>
                </w:tcPr>
                <w:p w14:paraId="1B3A8D90">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10000</w:t>
                  </w:r>
                </w:p>
              </w:tc>
              <w:tc>
                <w:tcPr>
                  <w:tcW w:w="421" w:type="pct"/>
                  <w:vAlign w:val="center"/>
                </w:tcPr>
                <w:p w14:paraId="4B3DA244">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5.0</w:t>
                  </w:r>
                </w:p>
              </w:tc>
              <w:tc>
                <w:tcPr>
                  <w:tcW w:w="368" w:type="pct"/>
                  <w:vAlign w:val="center"/>
                </w:tcPr>
                <w:p w14:paraId="7CA8B55E">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50</w:t>
                  </w:r>
                </w:p>
              </w:tc>
              <w:tc>
                <w:tcPr>
                  <w:tcW w:w="364" w:type="pct"/>
                  <w:vAlign w:val="center"/>
                </w:tcPr>
                <w:p w14:paraId="2C071521">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134</w:t>
                  </w:r>
                </w:p>
              </w:tc>
              <w:tc>
                <w:tcPr>
                  <w:tcW w:w="287" w:type="pct"/>
                  <w:vAlign w:val="center"/>
                </w:tcPr>
                <w:p w14:paraId="4C188BD4">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外售</w:t>
                  </w:r>
                </w:p>
              </w:tc>
            </w:tr>
            <w:tr w14:paraId="0FF4D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9" w:hRule="atLeast"/>
                <w:jc w:val="center"/>
              </w:trPr>
              <w:tc>
                <w:tcPr>
                  <w:tcW w:w="422" w:type="pct"/>
                  <w:shd w:val="clear" w:color="auto" w:fill="auto"/>
                  <w:vAlign w:val="center"/>
                </w:tcPr>
                <w:p w14:paraId="5A372BEB">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废电路板、废电子元器件</w:t>
                  </w:r>
                </w:p>
              </w:tc>
              <w:tc>
                <w:tcPr>
                  <w:tcW w:w="433" w:type="pct"/>
                  <w:vAlign w:val="center"/>
                </w:tcPr>
                <w:p w14:paraId="3EABBAAE">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80000</w:t>
                  </w:r>
                </w:p>
              </w:tc>
              <w:tc>
                <w:tcPr>
                  <w:tcW w:w="473" w:type="pct"/>
                  <w:vAlign w:val="center"/>
                </w:tcPr>
                <w:p w14:paraId="0284EE86">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1.5</w:t>
                  </w:r>
                </w:p>
              </w:tc>
              <w:tc>
                <w:tcPr>
                  <w:tcW w:w="377" w:type="pct"/>
                  <w:vAlign w:val="center"/>
                </w:tcPr>
                <w:p w14:paraId="74ECF35F">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120</w:t>
                  </w:r>
                </w:p>
              </w:tc>
              <w:tc>
                <w:tcPr>
                  <w:tcW w:w="456" w:type="pct"/>
                  <w:vAlign w:val="center"/>
                </w:tcPr>
                <w:p w14:paraId="38FB3CC6">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10000</w:t>
                  </w:r>
                </w:p>
              </w:tc>
              <w:tc>
                <w:tcPr>
                  <w:tcW w:w="508" w:type="pct"/>
                  <w:vAlign w:val="center"/>
                </w:tcPr>
                <w:p w14:paraId="47E8AAE2">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2.65</w:t>
                  </w:r>
                </w:p>
              </w:tc>
              <w:tc>
                <w:tcPr>
                  <w:tcW w:w="412" w:type="pct"/>
                  <w:vAlign w:val="center"/>
                </w:tcPr>
                <w:p w14:paraId="28E3A1CD">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26.5</w:t>
                  </w:r>
                </w:p>
              </w:tc>
              <w:tc>
                <w:tcPr>
                  <w:tcW w:w="473" w:type="pct"/>
                  <w:shd w:val="clear" w:color="auto" w:fill="auto"/>
                  <w:vAlign w:val="center"/>
                </w:tcPr>
                <w:p w14:paraId="13D1CDEF">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10000</w:t>
                  </w:r>
                </w:p>
              </w:tc>
              <w:tc>
                <w:tcPr>
                  <w:tcW w:w="421" w:type="pct"/>
                  <w:vAlign w:val="center"/>
                </w:tcPr>
                <w:p w14:paraId="4B16A4D8">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5.7</w:t>
                  </w:r>
                </w:p>
              </w:tc>
              <w:tc>
                <w:tcPr>
                  <w:tcW w:w="368" w:type="pct"/>
                  <w:vAlign w:val="center"/>
                </w:tcPr>
                <w:p w14:paraId="3F2A3345">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57</w:t>
                  </w:r>
                </w:p>
              </w:tc>
              <w:tc>
                <w:tcPr>
                  <w:tcW w:w="364" w:type="pct"/>
                  <w:vAlign w:val="center"/>
                </w:tcPr>
                <w:p w14:paraId="4CC5661F">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203.5</w:t>
                  </w:r>
                </w:p>
              </w:tc>
              <w:tc>
                <w:tcPr>
                  <w:tcW w:w="287" w:type="pct"/>
                  <w:vMerge w:val="restart"/>
                  <w:vAlign w:val="center"/>
                </w:tcPr>
                <w:p w14:paraId="6F8A59C3">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委托有资质的单位处理</w:t>
                  </w:r>
                </w:p>
              </w:tc>
            </w:tr>
            <w:tr w14:paraId="409F8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9" w:hRule="atLeast"/>
                <w:jc w:val="center"/>
              </w:trPr>
              <w:tc>
                <w:tcPr>
                  <w:tcW w:w="422" w:type="pct"/>
                  <w:shd w:val="clear" w:color="auto" w:fill="auto"/>
                  <w:vAlign w:val="center"/>
                </w:tcPr>
                <w:p w14:paraId="03AFDFF8">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铅酸电池</w:t>
                  </w:r>
                </w:p>
              </w:tc>
              <w:tc>
                <w:tcPr>
                  <w:tcW w:w="433" w:type="pct"/>
                  <w:vAlign w:val="center"/>
                </w:tcPr>
                <w:p w14:paraId="09E5A74C">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880</w:t>
                  </w:r>
                </w:p>
              </w:tc>
              <w:tc>
                <w:tcPr>
                  <w:tcW w:w="473" w:type="pct"/>
                  <w:vAlign w:val="center"/>
                </w:tcPr>
                <w:p w14:paraId="05F47201">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19</w:t>
                  </w:r>
                </w:p>
              </w:tc>
              <w:tc>
                <w:tcPr>
                  <w:tcW w:w="377" w:type="pct"/>
                  <w:vAlign w:val="center"/>
                </w:tcPr>
                <w:p w14:paraId="5FBA87FF">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16.72</w:t>
                  </w:r>
                </w:p>
              </w:tc>
              <w:tc>
                <w:tcPr>
                  <w:tcW w:w="456" w:type="pct"/>
                  <w:vAlign w:val="center"/>
                </w:tcPr>
                <w:p w14:paraId="6D463A77">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1100</w:t>
                  </w:r>
                </w:p>
              </w:tc>
              <w:tc>
                <w:tcPr>
                  <w:tcW w:w="508" w:type="pct"/>
                  <w:vAlign w:val="center"/>
                </w:tcPr>
                <w:p w14:paraId="6F4135EF">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60</w:t>
                  </w:r>
                </w:p>
              </w:tc>
              <w:tc>
                <w:tcPr>
                  <w:tcW w:w="412" w:type="pct"/>
                  <w:vAlign w:val="center"/>
                </w:tcPr>
                <w:p w14:paraId="58C9A5A2">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66</w:t>
                  </w:r>
                </w:p>
              </w:tc>
              <w:tc>
                <w:tcPr>
                  <w:tcW w:w="473" w:type="pct"/>
                  <w:vAlign w:val="center"/>
                </w:tcPr>
                <w:p w14:paraId="6D123CC5">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1100</w:t>
                  </w:r>
                </w:p>
              </w:tc>
              <w:tc>
                <w:tcPr>
                  <w:tcW w:w="421" w:type="pct"/>
                  <w:vAlign w:val="center"/>
                </w:tcPr>
                <w:p w14:paraId="2C36C250">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120</w:t>
                  </w:r>
                </w:p>
              </w:tc>
              <w:tc>
                <w:tcPr>
                  <w:tcW w:w="368" w:type="pct"/>
                  <w:vAlign w:val="center"/>
                </w:tcPr>
                <w:p w14:paraId="18267BFF">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132</w:t>
                  </w:r>
                </w:p>
              </w:tc>
              <w:tc>
                <w:tcPr>
                  <w:tcW w:w="364" w:type="pct"/>
                  <w:vAlign w:val="center"/>
                </w:tcPr>
                <w:p w14:paraId="0FEF2917">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214.72</w:t>
                  </w:r>
                </w:p>
              </w:tc>
              <w:tc>
                <w:tcPr>
                  <w:tcW w:w="287" w:type="pct"/>
                  <w:vMerge w:val="continue"/>
                  <w:vAlign w:val="center"/>
                </w:tcPr>
                <w:p w14:paraId="120D700F">
                  <w:pPr>
                    <w:pStyle w:val="61"/>
                    <w:keepNext w:val="0"/>
                    <w:keepLines w:val="0"/>
                    <w:suppressLineNumbers w:val="0"/>
                    <w:bidi w:val="0"/>
                    <w:spacing w:before="0" w:beforeAutospacing="0" w:after="0" w:afterAutospacing="0"/>
                    <w:ind w:left="0" w:right="0"/>
                    <w:rPr>
                      <w:rFonts w:hint="default"/>
                      <w:lang w:val="en-US" w:eastAsia="zh-CN"/>
                    </w:rPr>
                  </w:pPr>
                </w:p>
              </w:tc>
            </w:tr>
            <w:tr w14:paraId="60229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9" w:hRule="atLeast"/>
                <w:jc w:val="center"/>
              </w:trPr>
              <w:tc>
                <w:tcPr>
                  <w:tcW w:w="422" w:type="pct"/>
                  <w:shd w:val="clear" w:color="auto" w:fill="auto"/>
                  <w:vAlign w:val="center"/>
                </w:tcPr>
                <w:p w14:paraId="56D67BA5">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锂电池</w:t>
                  </w:r>
                </w:p>
              </w:tc>
              <w:tc>
                <w:tcPr>
                  <w:tcW w:w="433" w:type="pct"/>
                  <w:vAlign w:val="center"/>
                </w:tcPr>
                <w:p w14:paraId="04D7965A">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720</w:t>
                  </w:r>
                </w:p>
              </w:tc>
              <w:tc>
                <w:tcPr>
                  <w:tcW w:w="473" w:type="pct"/>
                  <w:vAlign w:val="center"/>
                </w:tcPr>
                <w:p w14:paraId="3F666149">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6.0</w:t>
                  </w:r>
                </w:p>
              </w:tc>
              <w:tc>
                <w:tcPr>
                  <w:tcW w:w="377" w:type="pct"/>
                  <w:vAlign w:val="center"/>
                </w:tcPr>
                <w:p w14:paraId="4547CD58">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4.32</w:t>
                  </w:r>
                </w:p>
              </w:tc>
              <w:tc>
                <w:tcPr>
                  <w:tcW w:w="456" w:type="pct"/>
                  <w:vAlign w:val="center"/>
                </w:tcPr>
                <w:p w14:paraId="7D6CCA40">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900</w:t>
                  </w:r>
                </w:p>
              </w:tc>
              <w:tc>
                <w:tcPr>
                  <w:tcW w:w="508" w:type="pct"/>
                  <w:vAlign w:val="center"/>
                </w:tcPr>
                <w:p w14:paraId="399D12AC">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30</w:t>
                  </w:r>
                </w:p>
              </w:tc>
              <w:tc>
                <w:tcPr>
                  <w:tcW w:w="412" w:type="pct"/>
                  <w:vAlign w:val="center"/>
                </w:tcPr>
                <w:p w14:paraId="222753C1">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27</w:t>
                  </w:r>
                </w:p>
              </w:tc>
              <w:tc>
                <w:tcPr>
                  <w:tcW w:w="473" w:type="pct"/>
                  <w:vAlign w:val="center"/>
                </w:tcPr>
                <w:p w14:paraId="35274AEB">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900</w:t>
                  </w:r>
                </w:p>
              </w:tc>
              <w:tc>
                <w:tcPr>
                  <w:tcW w:w="421" w:type="pct"/>
                  <w:vAlign w:val="center"/>
                </w:tcPr>
                <w:p w14:paraId="123EB84E">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55</w:t>
                  </w:r>
                </w:p>
              </w:tc>
              <w:tc>
                <w:tcPr>
                  <w:tcW w:w="368" w:type="pct"/>
                  <w:vAlign w:val="center"/>
                </w:tcPr>
                <w:p w14:paraId="7F5577F4">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49.5</w:t>
                  </w:r>
                </w:p>
              </w:tc>
              <w:tc>
                <w:tcPr>
                  <w:tcW w:w="364" w:type="pct"/>
                  <w:vAlign w:val="center"/>
                </w:tcPr>
                <w:p w14:paraId="20563C67">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80.825</w:t>
                  </w:r>
                </w:p>
              </w:tc>
              <w:tc>
                <w:tcPr>
                  <w:tcW w:w="287" w:type="pct"/>
                  <w:vAlign w:val="center"/>
                </w:tcPr>
                <w:p w14:paraId="708620B0">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外售</w:t>
                  </w:r>
                </w:p>
              </w:tc>
            </w:tr>
            <w:tr w14:paraId="5FA7C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9" w:hRule="atLeast"/>
                <w:jc w:val="center"/>
              </w:trPr>
              <w:tc>
                <w:tcPr>
                  <w:tcW w:w="422" w:type="pct"/>
                  <w:shd w:val="clear" w:color="auto" w:fill="auto"/>
                  <w:vAlign w:val="center"/>
                </w:tcPr>
                <w:p w14:paraId="362295CD">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合计</w:t>
                  </w:r>
                </w:p>
              </w:tc>
              <w:tc>
                <w:tcPr>
                  <w:tcW w:w="433" w:type="pct"/>
                  <w:vAlign w:val="center"/>
                </w:tcPr>
                <w:p w14:paraId="6E8BAE81">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80000</w:t>
                  </w:r>
                </w:p>
              </w:tc>
              <w:tc>
                <w:tcPr>
                  <w:tcW w:w="473" w:type="pct"/>
                  <w:vAlign w:val="center"/>
                </w:tcPr>
                <w:p w14:paraId="6B751D1A">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w:t>
                  </w:r>
                </w:p>
              </w:tc>
              <w:tc>
                <w:tcPr>
                  <w:tcW w:w="377" w:type="pct"/>
                  <w:vAlign w:val="center"/>
                </w:tcPr>
                <w:p w14:paraId="11DE3A8A">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3449</w:t>
                  </w:r>
                </w:p>
              </w:tc>
              <w:tc>
                <w:tcPr>
                  <w:tcW w:w="456" w:type="pct"/>
                  <w:vAlign w:val="center"/>
                </w:tcPr>
                <w:p w14:paraId="7ED3712A">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10000</w:t>
                  </w:r>
                </w:p>
              </w:tc>
              <w:tc>
                <w:tcPr>
                  <w:tcW w:w="508" w:type="pct"/>
                  <w:vAlign w:val="center"/>
                </w:tcPr>
                <w:p w14:paraId="733067A9">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w:t>
                  </w:r>
                </w:p>
              </w:tc>
              <w:tc>
                <w:tcPr>
                  <w:tcW w:w="412" w:type="pct"/>
                  <w:vAlign w:val="center"/>
                </w:tcPr>
                <w:p w14:paraId="34331F89">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1710.5</w:t>
                  </w:r>
                </w:p>
              </w:tc>
              <w:tc>
                <w:tcPr>
                  <w:tcW w:w="473" w:type="pct"/>
                  <w:vAlign w:val="center"/>
                </w:tcPr>
                <w:p w14:paraId="1F595AA1">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10000</w:t>
                  </w:r>
                </w:p>
              </w:tc>
              <w:tc>
                <w:tcPr>
                  <w:tcW w:w="421" w:type="pct"/>
                  <w:vAlign w:val="center"/>
                </w:tcPr>
                <w:p w14:paraId="3661B0A0">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w:t>
                  </w:r>
                </w:p>
              </w:tc>
              <w:tc>
                <w:tcPr>
                  <w:tcW w:w="368" w:type="pct"/>
                  <w:vAlign w:val="center"/>
                </w:tcPr>
                <w:p w14:paraId="5F6D83F3">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3263.5</w:t>
                  </w:r>
                </w:p>
              </w:tc>
              <w:tc>
                <w:tcPr>
                  <w:tcW w:w="364" w:type="pct"/>
                  <w:vAlign w:val="center"/>
                </w:tcPr>
                <w:p w14:paraId="59D15AAB">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8423</w:t>
                  </w:r>
                </w:p>
              </w:tc>
              <w:tc>
                <w:tcPr>
                  <w:tcW w:w="287" w:type="pct"/>
                  <w:vAlign w:val="center"/>
                </w:tcPr>
                <w:p w14:paraId="60E7D287">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w:t>
                  </w:r>
                </w:p>
              </w:tc>
            </w:tr>
            <w:tr w14:paraId="4A12B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9" w:hRule="atLeast"/>
                <w:jc w:val="center"/>
              </w:trPr>
              <w:tc>
                <w:tcPr>
                  <w:tcW w:w="5000" w:type="pct"/>
                  <w:gridSpan w:val="12"/>
                  <w:shd w:val="clear" w:color="auto" w:fill="auto"/>
                  <w:vAlign w:val="center"/>
                </w:tcPr>
                <w:p w14:paraId="2FEFB9A8">
                  <w:pPr>
                    <w:pStyle w:val="61"/>
                    <w:keepNext w:val="0"/>
                    <w:keepLines w:val="0"/>
                    <w:suppressLineNumbers w:val="0"/>
                    <w:bidi w:val="0"/>
                    <w:spacing w:before="0" w:beforeAutospacing="0" w:after="0" w:afterAutospacing="0"/>
                    <w:ind w:left="0" w:right="0"/>
                    <w:jc w:val="left"/>
                    <w:rPr>
                      <w:rFonts w:hint="default"/>
                      <w:lang w:val="en-US" w:eastAsia="zh-CN"/>
                    </w:rPr>
                  </w:pPr>
                  <w:r>
                    <w:rPr>
                      <w:rFonts w:hint="eastAsia"/>
                      <w:b/>
                      <w:bCs/>
                      <w:sz w:val="18"/>
                      <w:szCs w:val="18"/>
                      <w:lang w:val="en-US" w:eastAsia="zh-CN"/>
                    </w:rPr>
                    <w:t>备注：各拆解件重量按照</w:t>
                  </w:r>
                  <w:r>
                    <w:rPr>
                      <w:rFonts w:hint="eastAsia"/>
                      <w:b/>
                      <w:bCs/>
                      <w:sz w:val="18"/>
                      <w:szCs w:val="18"/>
                      <w:highlight w:val="none"/>
                      <w:lang w:val="en-US" w:eastAsia="zh-CN"/>
                    </w:rPr>
                    <w:t>表2-6平</w:t>
                  </w:r>
                  <w:r>
                    <w:rPr>
                      <w:rFonts w:hint="eastAsia"/>
                      <w:b/>
                      <w:bCs/>
                      <w:sz w:val="18"/>
                      <w:szCs w:val="18"/>
                      <w:lang w:val="en-US" w:eastAsia="zh-CN"/>
                    </w:rPr>
                    <w:t>均重量进行核算，塑料包含表2-6中塑料件及车灯（不含电子元器件）</w:t>
                  </w:r>
                </w:p>
              </w:tc>
            </w:tr>
          </w:tbl>
          <w:p w14:paraId="6BF64FEB">
            <w:pPr>
              <w:keepNext w:val="0"/>
              <w:keepLines w:val="0"/>
              <w:suppressLineNumbers w:val="0"/>
              <w:bidi w:val="0"/>
              <w:spacing w:before="0" w:beforeAutospacing="0" w:after="0" w:afterAutospacing="0"/>
              <w:ind w:left="0" w:leftChars="0" w:right="0" w:firstLine="0" w:firstLineChars="0"/>
              <w:rPr>
                <w:rFonts w:hint="default"/>
                <w:b/>
                <w:bCs/>
                <w:color w:val="auto"/>
              </w:rPr>
            </w:pPr>
            <w:r>
              <w:rPr>
                <w:rFonts w:hint="eastAsia"/>
                <w:b/>
                <w:bCs/>
                <w:color w:val="auto"/>
                <w:lang w:val="en-US" w:eastAsia="zh-CN"/>
              </w:rPr>
              <w:t>4</w:t>
            </w:r>
            <w:r>
              <w:rPr>
                <w:rFonts w:hint="eastAsia"/>
                <w:b/>
                <w:bCs/>
                <w:color w:val="auto"/>
                <w:lang w:eastAsia="zh-CN"/>
              </w:rPr>
              <w:t>、</w:t>
            </w:r>
            <w:r>
              <w:rPr>
                <w:rFonts w:hint="eastAsia"/>
                <w:b/>
                <w:bCs/>
                <w:color w:val="auto"/>
              </w:rPr>
              <w:t>项目</w:t>
            </w:r>
            <w:r>
              <w:rPr>
                <w:rFonts w:hint="default"/>
                <w:b/>
                <w:bCs/>
                <w:color w:val="auto"/>
              </w:rPr>
              <w:t>原辅材料</w:t>
            </w:r>
          </w:p>
          <w:p w14:paraId="11119132">
            <w:pPr>
              <w:keepNext w:val="0"/>
              <w:keepLines w:val="0"/>
              <w:numPr>
                <w:ilvl w:val="0"/>
                <w:numId w:val="4"/>
              </w:numPr>
              <w:suppressLineNumbers w:val="0"/>
              <w:bidi w:val="0"/>
              <w:spacing w:before="0" w:beforeAutospacing="0" w:after="0" w:afterAutospacing="0"/>
              <w:ind w:left="0" w:right="0"/>
              <w:rPr>
                <w:rFonts w:hint="eastAsia"/>
                <w:b/>
                <w:bCs/>
                <w:color w:val="auto"/>
              </w:rPr>
            </w:pPr>
            <w:r>
              <w:rPr>
                <w:rFonts w:hint="eastAsia"/>
                <w:b/>
                <w:bCs/>
                <w:color w:val="auto"/>
                <w:lang w:val="en-US" w:eastAsia="zh-CN"/>
              </w:rPr>
              <w:t>原辅材料用量</w:t>
            </w:r>
          </w:p>
          <w:p w14:paraId="4E71AC39">
            <w:pPr>
              <w:keepNext w:val="0"/>
              <w:keepLines w:val="0"/>
              <w:suppressLineNumbers w:val="0"/>
              <w:bidi w:val="0"/>
              <w:spacing w:before="0" w:beforeAutospacing="0" w:after="0" w:afterAutospacing="0"/>
              <w:ind w:left="0" w:right="0"/>
              <w:rPr>
                <w:rFonts w:hint="default"/>
                <w:color w:val="auto"/>
              </w:rPr>
            </w:pPr>
            <w:r>
              <w:rPr>
                <w:rFonts w:hint="default"/>
                <w:color w:val="auto"/>
              </w:rPr>
              <w:t>项目主要原辅材料种类及消耗量详见</w:t>
            </w:r>
            <w:r>
              <w:rPr>
                <w:rFonts w:hint="eastAsia"/>
                <w:color w:val="auto"/>
                <w:lang w:val="en-US" w:eastAsia="zh-CN"/>
              </w:rPr>
              <w:t>下表</w:t>
            </w:r>
            <w:r>
              <w:rPr>
                <w:rFonts w:hint="eastAsia"/>
                <w:color w:val="auto"/>
              </w:rPr>
              <w:t>。</w:t>
            </w:r>
          </w:p>
          <w:p w14:paraId="1C8B7D84">
            <w:pPr>
              <w:pStyle w:val="43"/>
              <w:keepNext w:val="0"/>
              <w:keepLines w:val="0"/>
              <w:suppressLineNumbers w:val="0"/>
              <w:bidi w:val="0"/>
              <w:spacing w:before="0" w:beforeAutospacing="0" w:after="0" w:afterAutospacing="0"/>
              <w:ind w:left="0" w:right="0"/>
              <w:rPr>
                <w:color w:val="auto"/>
              </w:rPr>
            </w:pPr>
            <w:r>
              <w:rPr>
                <w:color w:val="auto"/>
              </w:rPr>
              <w:t>表</w:t>
            </w:r>
            <w:r>
              <w:rPr>
                <w:rFonts w:hint="eastAsia"/>
                <w:color w:val="auto"/>
                <w:lang w:val="en-US" w:eastAsia="zh-CN"/>
              </w:rPr>
              <w:t>2-8</w:t>
            </w:r>
            <w:r>
              <w:rPr>
                <w:rFonts w:hint="eastAsia"/>
                <w:color w:val="auto"/>
                <w:lang w:eastAsia="zh-CN"/>
              </w:rPr>
              <w:t xml:space="preserve">  </w:t>
            </w:r>
            <w:r>
              <w:rPr>
                <w:color w:val="auto"/>
              </w:rPr>
              <w:t>原辅料</w:t>
            </w:r>
            <w:r>
              <w:rPr>
                <w:rFonts w:hint="eastAsia"/>
                <w:color w:val="auto"/>
                <w:lang w:val="en-US" w:eastAsia="zh-CN"/>
              </w:rPr>
              <w:t>及能源</w:t>
            </w:r>
            <w:r>
              <w:rPr>
                <w:color w:val="auto"/>
              </w:rPr>
              <w:t>用量情况</w:t>
            </w:r>
          </w:p>
          <w:tbl>
            <w:tblPr>
              <w:tblStyle w:val="38"/>
              <w:tblW w:w="4998"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90"/>
              <w:gridCol w:w="330"/>
              <w:gridCol w:w="2371"/>
              <w:gridCol w:w="1093"/>
              <w:gridCol w:w="1057"/>
              <w:gridCol w:w="1207"/>
              <w:gridCol w:w="1044"/>
              <w:gridCol w:w="958"/>
            </w:tblGrid>
            <w:tr w14:paraId="4F84B5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286" w:type="pct"/>
                  <w:noWrap w:val="0"/>
                  <w:vAlign w:val="center"/>
                </w:tcPr>
                <w:p w14:paraId="3BEC8FAC">
                  <w:pPr>
                    <w:pStyle w:val="46"/>
                    <w:bidi w:val="0"/>
                    <w:jc w:val="center"/>
                    <w:rPr>
                      <w:rFonts w:hint="eastAsia"/>
                      <w:b/>
                      <w:bCs/>
                      <w:color w:val="auto"/>
                      <w:lang w:val="en-US" w:eastAsia="zh-CN"/>
                    </w:rPr>
                  </w:pPr>
                  <w:r>
                    <w:rPr>
                      <w:rFonts w:hint="eastAsia"/>
                      <w:b/>
                      <w:bCs/>
                      <w:color w:val="auto"/>
                      <w:lang w:val="en-US" w:eastAsia="zh-CN"/>
                    </w:rPr>
                    <w:t>序号</w:t>
                  </w:r>
                </w:p>
              </w:tc>
              <w:tc>
                <w:tcPr>
                  <w:tcW w:w="1579" w:type="pct"/>
                  <w:gridSpan w:val="2"/>
                  <w:noWrap w:val="0"/>
                  <w:vAlign w:val="center"/>
                </w:tcPr>
                <w:p w14:paraId="2D7113E4">
                  <w:pPr>
                    <w:pStyle w:val="46"/>
                    <w:bidi w:val="0"/>
                    <w:jc w:val="center"/>
                    <w:rPr>
                      <w:b/>
                      <w:bCs/>
                      <w:color w:val="auto"/>
                    </w:rPr>
                  </w:pPr>
                  <w:r>
                    <w:rPr>
                      <w:b/>
                      <w:bCs/>
                      <w:color w:val="auto"/>
                    </w:rPr>
                    <w:t>原辅材料名称</w:t>
                  </w:r>
                </w:p>
              </w:tc>
              <w:tc>
                <w:tcPr>
                  <w:tcW w:w="639" w:type="pct"/>
                  <w:shd w:val="clear" w:color="auto" w:fill="auto"/>
                  <w:noWrap w:val="0"/>
                  <w:vAlign w:val="center"/>
                </w:tcPr>
                <w:p w14:paraId="533F322C">
                  <w:pPr>
                    <w:pStyle w:val="46"/>
                    <w:bidi w:val="0"/>
                    <w:ind w:left="24" w:leftChars="10" w:right="24" w:rightChars="10" w:firstLine="0" w:firstLineChars="0"/>
                    <w:jc w:val="center"/>
                    <w:rPr>
                      <w:rFonts w:hint="default" w:ascii="Times New Roman" w:hAnsi="Times New Roman" w:eastAsia="宋体" w:cs="Times New Roman"/>
                      <w:b/>
                      <w:bCs/>
                      <w:color w:val="auto"/>
                      <w:kern w:val="2"/>
                      <w:sz w:val="21"/>
                      <w:szCs w:val="21"/>
                      <w:lang w:val="en-US" w:eastAsia="zh-CN" w:bidi="ar-SA"/>
                    </w:rPr>
                  </w:pPr>
                  <w:r>
                    <w:rPr>
                      <w:b/>
                      <w:bCs/>
                      <w:color w:val="auto"/>
                    </w:rPr>
                    <w:t>年用量</w:t>
                  </w:r>
                </w:p>
              </w:tc>
              <w:tc>
                <w:tcPr>
                  <w:tcW w:w="618" w:type="pct"/>
                  <w:shd w:val="clear" w:color="auto" w:fill="auto"/>
                  <w:noWrap w:val="0"/>
                  <w:vAlign w:val="center"/>
                </w:tcPr>
                <w:p w14:paraId="05C0E830">
                  <w:pPr>
                    <w:pStyle w:val="46"/>
                    <w:bidi w:val="0"/>
                    <w:ind w:left="24" w:leftChars="10" w:right="24" w:rightChars="10" w:firstLine="0" w:firstLineChars="0"/>
                    <w:jc w:val="center"/>
                    <w:rPr>
                      <w:rFonts w:hint="default" w:ascii="Times New Roman" w:hAnsi="Times New Roman" w:eastAsia="宋体" w:cs="Times New Roman"/>
                      <w:b/>
                      <w:bCs/>
                      <w:color w:val="auto"/>
                      <w:kern w:val="2"/>
                      <w:sz w:val="21"/>
                      <w:szCs w:val="21"/>
                      <w:lang w:val="en-US" w:eastAsia="zh-CN" w:bidi="ar-SA"/>
                    </w:rPr>
                  </w:pPr>
                  <w:r>
                    <w:rPr>
                      <w:rFonts w:hint="eastAsia"/>
                      <w:b/>
                      <w:bCs/>
                      <w:color w:val="auto"/>
                      <w:lang w:val="en-US" w:eastAsia="zh-CN"/>
                    </w:rPr>
                    <w:t>形态规格</w:t>
                  </w:r>
                </w:p>
              </w:tc>
              <w:tc>
                <w:tcPr>
                  <w:tcW w:w="705" w:type="pct"/>
                  <w:shd w:val="clear" w:color="auto" w:fill="auto"/>
                  <w:noWrap w:val="0"/>
                  <w:vAlign w:val="center"/>
                </w:tcPr>
                <w:p w14:paraId="1824D1AC">
                  <w:pPr>
                    <w:pStyle w:val="46"/>
                    <w:bidi w:val="0"/>
                    <w:ind w:left="24" w:leftChars="10" w:right="24" w:rightChars="10" w:firstLine="0" w:firstLineChars="0"/>
                    <w:jc w:val="center"/>
                    <w:rPr>
                      <w:rFonts w:hint="eastAsia" w:ascii="Times New Roman" w:hAnsi="Times New Roman" w:eastAsia="宋体" w:cs="Times New Roman"/>
                      <w:b/>
                      <w:bCs/>
                      <w:color w:val="auto"/>
                      <w:kern w:val="2"/>
                      <w:sz w:val="21"/>
                      <w:szCs w:val="21"/>
                      <w:lang w:val="en-US" w:eastAsia="zh-CN" w:bidi="ar-SA"/>
                    </w:rPr>
                  </w:pPr>
                  <w:commentRangeStart w:id="17"/>
                  <w:commentRangeStart w:id="18"/>
                  <w:r>
                    <w:rPr>
                      <w:b/>
                      <w:bCs/>
                      <w:color w:val="auto"/>
                    </w:rPr>
                    <w:t>最大</w:t>
                  </w:r>
                  <w:r>
                    <w:rPr>
                      <w:rFonts w:hint="eastAsia"/>
                      <w:b/>
                      <w:bCs/>
                      <w:color w:val="auto"/>
                      <w:lang w:val="en-US" w:eastAsia="zh-CN"/>
                    </w:rPr>
                    <w:t>暂存量</w:t>
                  </w:r>
                  <w:commentRangeEnd w:id="17"/>
                  <w:r>
                    <w:commentReference w:id="17"/>
                  </w:r>
                  <w:commentRangeEnd w:id="18"/>
                  <w:r>
                    <w:commentReference w:id="18"/>
                  </w:r>
                </w:p>
              </w:tc>
              <w:tc>
                <w:tcPr>
                  <w:tcW w:w="610" w:type="pct"/>
                  <w:tcBorders>
                    <w:bottom w:val="single" w:color="auto" w:sz="4" w:space="0"/>
                  </w:tcBorders>
                  <w:noWrap w:val="0"/>
                  <w:vAlign w:val="center"/>
                </w:tcPr>
                <w:p w14:paraId="27A81FCF">
                  <w:pPr>
                    <w:pStyle w:val="46"/>
                    <w:bidi w:val="0"/>
                    <w:jc w:val="center"/>
                    <w:rPr>
                      <w:rFonts w:hint="default" w:eastAsia="宋体"/>
                      <w:b/>
                      <w:bCs/>
                      <w:color w:val="auto"/>
                      <w:lang w:val="en-US" w:eastAsia="zh-CN"/>
                    </w:rPr>
                  </w:pPr>
                  <w:r>
                    <w:rPr>
                      <w:rFonts w:hint="eastAsia"/>
                      <w:b/>
                      <w:bCs/>
                      <w:color w:val="auto"/>
                      <w:lang w:val="en-US" w:eastAsia="zh-CN"/>
                    </w:rPr>
                    <w:t>暂存位置</w:t>
                  </w:r>
                </w:p>
              </w:tc>
              <w:tc>
                <w:tcPr>
                  <w:tcW w:w="560" w:type="pct"/>
                  <w:tcBorders>
                    <w:bottom w:val="single" w:color="auto" w:sz="4" w:space="0"/>
                  </w:tcBorders>
                  <w:noWrap w:val="0"/>
                  <w:vAlign w:val="center"/>
                </w:tcPr>
                <w:p w14:paraId="7002C53C">
                  <w:pPr>
                    <w:pStyle w:val="46"/>
                    <w:bidi w:val="0"/>
                    <w:jc w:val="center"/>
                    <w:rPr>
                      <w:b/>
                      <w:bCs/>
                      <w:color w:val="auto"/>
                    </w:rPr>
                  </w:pPr>
                  <w:r>
                    <w:rPr>
                      <w:b/>
                      <w:bCs/>
                      <w:color w:val="auto"/>
                    </w:rPr>
                    <w:t>备注</w:t>
                  </w:r>
                </w:p>
              </w:tc>
            </w:tr>
            <w:tr w14:paraId="66B809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286" w:type="pct"/>
                  <w:vMerge w:val="restart"/>
                  <w:noWrap w:val="0"/>
                  <w:vAlign w:val="center"/>
                </w:tcPr>
                <w:p w14:paraId="60A59D88">
                  <w:pPr>
                    <w:pStyle w:val="46"/>
                    <w:bidi w:val="0"/>
                    <w:jc w:val="center"/>
                    <w:rPr>
                      <w:rFonts w:hint="default"/>
                      <w:color w:val="auto"/>
                      <w:lang w:val="en-US" w:eastAsia="zh-CN"/>
                    </w:rPr>
                  </w:pPr>
                  <w:r>
                    <w:rPr>
                      <w:rFonts w:hint="eastAsia"/>
                      <w:color w:val="auto"/>
                      <w:lang w:val="en-US" w:eastAsia="zh-CN"/>
                    </w:rPr>
                    <w:t>1</w:t>
                  </w:r>
                </w:p>
              </w:tc>
              <w:tc>
                <w:tcPr>
                  <w:tcW w:w="1579" w:type="pct"/>
                  <w:gridSpan w:val="2"/>
                  <w:noWrap w:val="0"/>
                  <w:vAlign w:val="center"/>
                </w:tcPr>
                <w:p w14:paraId="3109AB1E">
                  <w:pPr>
                    <w:pStyle w:val="46"/>
                    <w:bidi w:val="0"/>
                    <w:jc w:val="center"/>
                    <w:rPr>
                      <w:rFonts w:hint="default"/>
                      <w:color w:val="auto"/>
                      <w:highlight w:val="none"/>
                      <w:lang w:val="en-US" w:eastAsia="zh-CN"/>
                    </w:rPr>
                  </w:pPr>
                  <w:r>
                    <w:rPr>
                      <w:rFonts w:hint="eastAsia"/>
                      <w:color w:val="auto"/>
                      <w:highlight w:val="none"/>
                      <w:lang w:val="en-US" w:eastAsia="zh-CN"/>
                    </w:rPr>
                    <w:t>废旧电动自行车</w:t>
                  </w:r>
                </w:p>
              </w:tc>
              <w:tc>
                <w:tcPr>
                  <w:tcW w:w="639" w:type="pct"/>
                  <w:shd w:val="clear" w:color="auto" w:fill="auto"/>
                  <w:noWrap w:val="0"/>
                  <w:vAlign w:val="center"/>
                </w:tcPr>
                <w:p w14:paraId="732C8C59">
                  <w:pPr>
                    <w:pStyle w:val="46"/>
                    <w:bidi w:val="0"/>
                    <w:ind w:left="24" w:leftChars="10" w:right="24" w:rightChars="10" w:firstLine="0" w:firstLineChars="0"/>
                    <w:rPr>
                      <w:rFonts w:hint="default" w:ascii="Times New Roman" w:hAnsi="Times New Roman" w:eastAsia="宋体" w:cs="Times New Roman"/>
                      <w:b w:val="0"/>
                      <w:color w:val="auto"/>
                      <w:kern w:val="2"/>
                      <w:sz w:val="21"/>
                      <w:szCs w:val="21"/>
                      <w:highlight w:val="none"/>
                      <w:lang w:val="en-US" w:eastAsia="zh-CN" w:bidi="ar-SA"/>
                    </w:rPr>
                  </w:pPr>
                  <w:r>
                    <w:rPr>
                      <w:rFonts w:hint="eastAsia" w:cs="Times New Roman"/>
                      <w:b w:val="0"/>
                      <w:color w:val="auto"/>
                      <w:kern w:val="2"/>
                      <w:sz w:val="21"/>
                      <w:szCs w:val="21"/>
                      <w:highlight w:val="none"/>
                      <w:lang w:val="en-US" w:eastAsia="zh-CN" w:bidi="ar-SA"/>
                    </w:rPr>
                    <w:t>100000辆</w:t>
                  </w:r>
                </w:p>
              </w:tc>
              <w:tc>
                <w:tcPr>
                  <w:tcW w:w="618" w:type="pct"/>
                  <w:vMerge w:val="restart"/>
                  <w:shd w:val="clear" w:color="auto" w:fill="auto"/>
                  <w:noWrap w:val="0"/>
                  <w:vAlign w:val="center"/>
                </w:tcPr>
                <w:p w14:paraId="238B148E">
                  <w:pPr>
                    <w:pStyle w:val="46"/>
                    <w:bidi w:val="0"/>
                    <w:ind w:left="24" w:leftChars="10" w:right="24" w:rightChars="10" w:firstLine="0" w:firstLineChars="0"/>
                    <w:jc w:val="center"/>
                    <w:rPr>
                      <w:rFonts w:hint="default" w:ascii="Times New Roman" w:hAnsi="Times New Roman" w:eastAsia="宋体" w:cs="Times New Roman"/>
                      <w:b w:val="0"/>
                      <w:color w:val="auto"/>
                      <w:kern w:val="2"/>
                      <w:sz w:val="21"/>
                      <w:szCs w:val="21"/>
                      <w:highlight w:val="none"/>
                      <w:lang w:val="en-US" w:eastAsia="zh-CN" w:bidi="ar-SA"/>
                    </w:rPr>
                  </w:pPr>
                  <w:r>
                    <w:rPr>
                      <w:rFonts w:hint="eastAsia" w:cs="Times New Roman"/>
                      <w:b w:val="0"/>
                      <w:color w:val="auto"/>
                      <w:kern w:val="2"/>
                      <w:sz w:val="21"/>
                      <w:szCs w:val="21"/>
                      <w:highlight w:val="none"/>
                      <w:lang w:val="en-US" w:eastAsia="zh-CN" w:bidi="ar-SA"/>
                    </w:rPr>
                    <w:t>固态</w:t>
                  </w:r>
                </w:p>
              </w:tc>
              <w:tc>
                <w:tcPr>
                  <w:tcW w:w="705" w:type="pct"/>
                  <w:shd w:val="clear" w:color="auto" w:fill="auto"/>
                  <w:noWrap w:val="0"/>
                  <w:vAlign w:val="center"/>
                </w:tcPr>
                <w:p w14:paraId="6B337C11">
                  <w:pPr>
                    <w:pStyle w:val="46"/>
                    <w:bidi w:val="0"/>
                    <w:ind w:left="24" w:leftChars="10" w:right="24" w:rightChars="10" w:firstLine="0" w:firstLineChars="0"/>
                    <w:rPr>
                      <w:rFonts w:hint="default" w:ascii="Times New Roman" w:hAnsi="Times New Roman" w:eastAsia="宋体" w:cs="Times New Roman"/>
                      <w:b w:val="0"/>
                      <w:color w:val="auto"/>
                      <w:kern w:val="2"/>
                      <w:sz w:val="21"/>
                      <w:szCs w:val="21"/>
                      <w:highlight w:val="none"/>
                      <w:lang w:val="en-US" w:eastAsia="zh-CN" w:bidi="ar-SA"/>
                    </w:rPr>
                  </w:pPr>
                  <w:r>
                    <w:rPr>
                      <w:rFonts w:hint="eastAsia" w:cs="Times New Roman"/>
                      <w:b w:val="0"/>
                      <w:color w:val="auto"/>
                      <w:kern w:val="2"/>
                      <w:sz w:val="21"/>
                      <w:szCs w:val="21"/>
                      <w:highlight w:val="none"/>
                      <w:lang w:val="en-US" w:eastAsia="zh-CN" w:bidi="ar-SA"/>
                    </w:rPr>
                    <w:t>290辆</w:t>
                  </w:r>
                </w:p>
              </w:tc>
              <w:tc>
                <w:tcPr>
                  <w:tcW w:w="610" w:type="pct"/>
                  <w:vMerge w:val="restart"/>
                  <w:tcBorders>
                    <w:top w:val="single" w:color="auto" w:sz="4" w:space="0"/>
                    <w:left w:val="single" w:color="auto" w:sz="4" w:space="0"/>
                    <w:right w:val="single" w:color="auto" w:sz="4" w:space="0"/>
                  </w:tcBorders>
                  <w:shd w:val="clear" w:color="auto" w:fill="auto"/>
                  <w:noWrap w:val="0"/>
                  <w:vAlign w:val="center"/>
                </w:tcPr>
                <w:p w14:paraId="2AE966AF">
                  <w:pPr>
                    <w:pStyle w:val="46"/>
                    <w:bidi w:val="0"/>
                    <w:ind w:left="24" w:leftChars="10" w:right="24" w:rightChars="10" w:firstLine="0" w:firstLineChars="0"/>
                    <w:jc w:val="center"/>
                    <w:rPr>
                      <w:rFonts w:hint="default"/>
                      <w:color w:val="auto"/>
                      <w:highlight w:val="none"/>
                      <w:lang w:val="en-US" w:eastAsia="zh-CN"/>
                    </w:rPr>
                  </w:pPr>
                  <w:r>
                    <w:rPr>
                      <w:rFonts w:hint="eastAsia"/>
                      <w:color w:val="auto"/>
                      <w:highlight w:val="none"/>
                      <w:lang w:val="en-US" w:eastAsia="zh-CN"/>
                    </w:rPr>
                    <w:t>车间内分区暂存</w:t>
                  </w:r>
                </w:p>
              </w:tc>
              <w:tc>
                <w:tcPr>
                  <w:tcW w:w="560" w:type="pct"/>
                  <w:tcBorders>
                    <w:top w:val="single" w:color="auto" w:sz="4" w:space="0"/>
                    <w:left w:val="single" w:color="auto" w:sz="4" w:space="0"/>
                    <w:bottom w:val="single" w:color="auto" w:sz="4" w:space="0"/>
                    <w:right w:val="single" w:color="auto" w:sz="4" w:space="0"/>
                  </w:tcBorders>
                  <w:shd w:val="clear" w:color="auto" w:fill="auto"/>
                  <w:noWrap w:val="0"/>
                  <w:vAlign w:val="center"/>
                </w:tcPr>
                <w:p w14:paraId="204D3F11">
                  <w:pPr>
                    <w:pStyle w:val="46"/>
                    <w:bidi w:val="0"/>
                    <w:ind w:left="24" w:leftChars="10" w:right="24" w:rightChars="10" w:firstLine="0" w:firstLineChars="0"/>
                    <w:jc w:val="center"/>
                    <w:rPr>
                      <w:rFonts w:hint="eastAsia" w:ascii="Times New Roman" w:hAnsi="Times New Roman" w:eastAsia="宋体" w:cs="Times New Roman"/>
                      <w:b w:val="0"/>
                      <w:color w:val="auto"/>
                      <w:kern w:val="2"/>
                      <w:sz w:val="21"/>
                      <w:szCs w:val="21"/>
                      <w:highlight w:val="none"/>
                      <w:lang w:val="en-US" w:eastAsia="zh-CN" w:bidi="ar-SA"/>
                    </w:rPr>
                  </w:pPr>
                  <w:r>
                    <w:rPr>
                      <w:rFonts w:hint="eastAsia"/>
                      <w:color w:val="auto"/>
                      <w:highlight w:val="none"/>
                      <w:lang w:val="en-US" w:eastAsia="zh-CN"/>
                    </w:rPr>
                    <w:t>/</w:t>
                  </w:r>
                </w:p>
              </w:tc>
            </w:tr>
            <w:tr w14:paraId="02A857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286" w:type="pct"/>
                  <w:vMerge w:val="continue"/>
                  <w:noWrap w:val="0"/>
                  <w:vAlign w:val="center"/>
                </w:tcPr>
                <w:p w14:paraId="414E9D12">
                  <w:pPr>
                    <w:pStyle w:val="46"/>
                    <w:bidi w:val="0"/>
                    <w:jc w:val="center"/>
                    <w:rPr>
                      <w:rFonts w:hint="eastAsia"/>
                      <w:color w:val="auto"/>
                      <w:lang w:val="en-US" w:eastAsia="zh-CN"/>
                    </w:rPr>
                  </w:pPr>
                </w:p>
              </w:tc>
              <w:tc>
                <w:tcPr>
                  <w:tcW w:w="192" w:type="pct"/>
                  <w:vMerge w:val="restart"/>
                  <w:noWrap w:val="0"/>
                  <w:vAlign w:val="center"/>
                </w:tcPr>
                <w:p w14:paraId="72D63A27">
                  <w:pPr>
                    <w:pStyle w:val="46"/>
                    <w:bidi w:val="0"/>
                    <w:jc w:val="center"/>
                    <w:rPr>
                      <w:rFonts w:hint="default"/>
                      <w:color w:val="auto"/>
                      <w:highlight w:val="none"/>
                      <w:lang w:val="en-US" w:eastAsia="zh-CN"/>
                    </w:rPr>
                  </w:pPr>
                  <w:r>
                    <w:rPr>
                      <w:rFonts w:hint="eastAsia"/>
                      <w:color w:val="auto"/>
                      <w:highlight w:val="none"/>
                      <w:lang w:val="en-US" w:eastAsia="zh-CN"/>
                    </w:rPr>
                    <w:t>其中</w:t>
                  </w:r>
                </w:p>
              </w:tc>
              <w:tc>
                <w:tcPr>
                  <w:tcW w:w="1386" w:type="pct"/>
                  <w:shd w:val="clear" w:color="auto" w:fill="auto"/>
                  <w:noWrap w:val="0"/>
                  <w:vAlign w:val="top"/>
                </w:tcPr>
                <w:p w14:paraId="4FA33920">
                  <w:pPr>
                    <w:pStyle w:val="6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lang w:val="en-US" w:eastAsia="zh-CN"/>
                    </w:rPr>
                    <w:t>电动自行车（两轮）</w:t>
                  </w:r>
                </w:p>
              </w:tc>
              <w:tc>
                <w:tcPr>
                  <w:tcW w:w="639" w:type="pct"/>
                  <w:shd w:val="clear" w:color="auto" w:fill="auto"/>
                  <w:noWrap w:val="0"/>
                  <w:vAlign w:val="top"/>
                </w:tcPr>
                <w:p w14:paraId="678928F8">
                  <w:pPr>
                    <w:pStyle w:val="6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80000辆</w:t>
                  </w:r>
                </w:p>
              </w:tc>
              <w:tc>
                <w:tcPr>
                  <w:tcW w:w="618" w:type="pct"/>
                  <w:vMerge w:val="continue"/>
                  <w:shd w:val="clear" w:color="auto" w:fill="auto"/>
                  <w:noWrap w:val="0"/>
                  <w:vAlign w:val="top"/>
                </w:tcPr>
                <w:p w14:paraId="69364D91">
                  <w:pPr>
                    <w:pStyle w:val="61"/>
                    <w:bidi w:val="0"/>
                    <w:ind w:firstLine="0" w:firstLineChars="0"/>
                    <w:rPr>
                      <w:rFonts w:hint="eastAsia" w:ascii="Times New Roman" w:hAnsi="Times New Roman" w:eastAsia="宋体" w:cs="Times New Roman"/>
                      <w:color w:val="auto"/>
                      <w:kern w:val="2"/>
                      <w:sz w:val="21"/>
                      <w:szCs w:val="24"/>
                      <w:lang w:val="en-US" w:eastAsia="zh-CN" w:bidi="ar-SA"/>
                    </w:rPr>
                  </w:pPr>
                </w:p>
              </w:tc>
              <w:tc>
                <w:tcPr>
                  <w:tcW w:w="705" w:type="pct"/>
                  <w:shd w:val="clear" w:color="auto" w:fill="auto"/>
                  <w:noWrap w:val="0"/>
                  <w:vAlign w:val="top"/>
                </w:tcPr>
                <w:p w14:paraId="5CDCB758">
                  <w:pPr>
                    <w:pStyle w:val="61"/>
                    <w:bidi w:val="0"/>
                    <w:ind w:firstLine="0" w:firstLineChars="0"/>
                    <w:rPr>
                      <w:rFonts w:hint="default" w:cs="Times New Roman"/>
                      <w:b w:val="0"/>
                      <w:color w:val="auto"/>
                      <w:kern w:val="2"/>
                      <w:sz w:val="21"/>
                      <w:szCs w:val="21"/>
                      <w:highlight w:val="none"/>
                      <w:lang w:val="en-US" w:eastAsia="zh-CN" w:bidi="ar-SA"/>
                    </w:rPr>
                  </w:pPr>
                  <w:r>
                    <w:rPr>
                      <w:rFonts w:hint="eastAsia"/>
                      <w:color w:val="auto"/>
                      <w:lang w:val="en-US" w:eastAsia="zh-CN"/>
                    </w:rPr>
                    <w:t>185辆</w:t>
                  </w:r>
                </w:p>
              </w:tc>
              <w:tc>
                <w:tcPr>
                  <w:tcW w:w="610" w:type="pct"/>
                  <w:vMerge w:val="continue"/>
                  <w:tcBorders>
                    <w:left w:val="single" w:color="auto" w:sz="4" w:space="0"/>
                    <w:right w:val="single" w:color="auto" w:sz="4" w:space="0"/>
                  </w:tcBorders>
                  <w:shd w:val="clear" w:color="auto" w:fill="auto"/>
                  <w:noWrap w:val="0"/>
                  <w:vAlign w:val="center"/>
                </w:tcPr>
                <w:p w14:paraId="64810357">
                  <w:pPr>
                    <w:pStyle w:val="46"/>
                    <w:bidi w:val="0"/>
                    <w:ind w:left="24" w:leftChars="10" w:right="24" w:rightChars="10" w:firstLine="0" w:firstLineChars="0"/>
                    <w:jc w:val="center"/>
                    <w:rPr>
                      <w:rFonts w:hint="eastAsia"/>
                      <w:color w:val="auto"/>
                      <w:highlight w:val="none"/>
                      <w:lang w:val="en-US" w:eastAsia="zh-CN"/>
                    </w:rPr>
                  </w:pPr>
                </w:p>
              </w:tc>
              <w:tc>
                <w:tcPr>
                  <w:tcW w:w="560" w:type="pct"/>
                  <w:tcBorders>
                    <w:top w:val="single" w:color="auto" w:sz="4" w:space="0"/>
                    <w:left w:val="single" w:color="auto" w:sz="4" w:space="0"/>
                    <w:bottom w:val="single" w:color="auto" w:sz="4" w:space="0"/>
                    <w:right w:val="single" w:color="auto" w:sz="4" w:space="0"/>
                  </w:tcBorders>
                  <w:shd w:val="clear" w:color="auto" w:fill="auto"/>
                  <w:noWrap w:val="0"/>
                  <w:vAlign w:val="center"/>
                </w:tcPr>
                <w:p w14:paraId="7EA6FEE5">
                  <w:pPr>
                    <w:pStyle w:val="46"/>
                    <w:bidi w:val="0"/>
                    <w:ind w:left="24" w:leftChars="10" w:right="24" w:rightChars="10" w:firstLine="0" w:firstLineChars="0"/>
                    <w:jc w:val="center"/>
                    <w:rPr>
                      <w:rFonts w:hint="default"/>
                      <w:color w:val="auto"/>
                      <w:highlight w:val="none"/>
                      <w:lang w:val="en-US" w:eastAsia="zh-CN"/>
                    </w:rPr>
                  </w:pPr>
                  <w:r>
                    <w:rPr>
                      <w:rFonts w:hint="eastAsia"/>
                      <w:color w:val="auto"/>
                      <w:highlight w:val="none"/>
                      <w:lang w:val="en-US" w:eastAsia="zh-CN"/>
                    </w:rPr>
                    <w:t>/</w:t>
                  </w:r>
                </w:p>
              </w:tc>
            </w:tr>
            <w:tr w14:paraId="7F21C5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286" w:type="pct"/>
                  <w:vMerge w:val="continue"/>
                  <w:noWrap w:val="0"/>
                  <w:vAlign w:val="center"/>
                </w:tcPr>
                <w:p w14:paraId="4A8D25FA">
                  <w:pPr>
                    <w:pStyle w:val="46"/>
                    <w:bidi w:val="0"/>
                    <w:jc w:val="center"/>
                    <w:rPr>
                      <w:rFonts w:hint="eastAsia"/>
                      <w:color w:val="auto"/>
                      <w:lang w:val="en-US" w:eastAsia="zh-CN"/>
                    </w:rPr>
                  </w:pPr>
                </w:p>
              </w:tc>
              <w:tc>
                <w:tcPr>
                  <w:tcW w:w="192" w:type="pct"/>
                  <w:vMerge w:val="continue"/>
                  <w:noWrap w:val="0"/>
                  <w:vAlign w:val="center"/>
                </w:tcPr>
                <w:p w14:paraId="141D2C21">
                  <w:pPr>
                    <w:pStyle w:val="46"/>
                    <w:bidi w:val="0"/>
                    <w:jc w:val="center"/>
                    <w:rPr>
                      <w:rFonts w:hint="eastAsia"/>
                      <w:color w:val="auto"/>
                      <w:highlight w:val="none"/>
                      <w:lang w:val="en-US" w:eastAsia="zh-CN"/>
                    </w:rPr>
                  </w:pPr>
                </w:p>
              </w:tc>
              <w:tc>
                <w:tcPr>
                  <w:tcW w:w="1386" w:type="pct"/>
                  <w:shd w:val="clear" w:color="auto" w:fill="auto"/>
                  <w:noWrap w:val="0"/>
                  <w:vAlign w:val="top"/>
                </w:tcPr>
                <w:p w14:paraId="5A33AEC9">
                  <w:pPr>
                    <w:pStyle w:val="6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lang w:val="en-US" w:eastAsia="zh-CN"/>
                    </w:rPr>
                    <w:t>电动自行车（三轮）</w:t>
                  </w:r>
                </w:p>
              </w:tc>
              <w:tc>
                <w:tcPr>
                  <w:tcW w:w="639" w:type="pct"/>
                  <w:shd w:val="clear" w:color="auto" w:fill="auto"/>
                  <w:noWrap w:val="0"/>
                  <w:vAlign w:val="top"/>
                </w:tcPr>
                <w:p w14:paraId="25E644EC">
                  <w:pPr>
                    <w:pStyle w:val="6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10000辆</w:t>
                  </w:r>
                </w:p>
              </w:tc>
              <w:tc>
                <w:tcPr>
                  <w:tcW w:w="618" w:type="pct"/>
                  <w:vMerge w:val="continue"/>
                  <w:shd w:val="clear" w:color="auto" w:fill="auto"/>
                  <w:noWrap w:val="0"/>
                  <w:vAlign w:val="top"/>
                </w:tcPr>
                <w:p w14:paraId="4D15C41B">
                  <w:pPr>
                    <w:pStyle w:val="61"/>
                    <w:bidi w:val="0"/>
                    <w:ind w:firstLine="0" w:firstLineChars="0"/>
                    <w:rPr>
                      <w:rFonts w:hint="eastAsia" w:ascii="Times New Roman" w:hAnsi="Times New Roman" w:eastAsia="宋体" w:cs="Times New Roman"/>
                      <w:color w:val="auto"/>
                      <w:kern w:val="2"/>
                      <w:sz w:val="21"/>
                      <w:szCs w:val="24"/>
                      <w:lang w:val="en-US" w:eastAsia="zh-CN" w:bidi="ar-SA"/>
                    </w:rPr>
                  </w:pPr>
                </w:p>
              </w:tc>
              <w:tc>
                <w:tcPr>
                  <w:tcW w:w="705" w:type="pct"/>
                  <w:shd w:val="clear" w:color="auto" w:fill="auto"/>
                  <w:noWrap w:val="0"/>
                  <w:vAlign w:val="top"/>
                </w:tcPr>
                <w:p w14:paraId="73DB2916">
                  <w:pPr>
                    <w:pStyle w:val="61"/>
                    <w:bidi w:val="0"/>
                    <w:ind w:firstLine="0" w:firstLineChars="0"/>
                    <w:rPr>
                      <w:rFonts w:hint="default" w:cs="Times New Roman"/>
                      <w:b w:val="0"/>
                      <w:color w:val="auto"/>
                      <w:kern w:val="2"/>
                      <w:sz w:val="21"/>
                      <w:szCs w:val="21"/>
                      <w:highlight w:val="none"/>
                      <w:lang w:val="en-US" w:eastAsia="zh-CN" w:bidi="ar-SA"/>
                    </w:rPr>
                  </w:pPr>
                  <w:r>
                    <w:rPr>
                      <w:rFonts w:hint="eastAsia"/>
                      <w:color w:val="auto"/>
                      <w:lang w:val="en-US" w:eastAsia="zh-CN"/>
                    </w:rPr>
                    <w:t>80辆</w:t>
                  </w:r>
                </w:p>
              </w:tc>
              <w:tc>
                <w:tcPr>
                  <w:tcW w:w="610" w:type="pct"/>
                  <w:vMerge w:val="continue"/>
                  <w:tcBorders>
                    <w:left w:val="single" w:color="auto" w:sz="4" w:space="0"/>
                    <w:right w:val="single" w:color="auto" w:sz="4" w:space="0"/>
                  </w:tcBorders>
                  <w:shd w:val="clear" w:color="auto" w:fill="auto"/>
                  <w:noWrap w:val="0"/>
                  <w:vAlign w:val="center"/>
                </w:tcPr>
                <w:p w14:paraId="6A18C932">
                  <w:pPr>
                    <w:pStyle w:val="46"/>
                    <w:bidi w:val="0"/>
                    <w:ind w:left="24" w:leftChars="10" w:right="24" w:rightChars="10" w:firstLine="0" w:firstLineChars="0"/>
                    <w:jc w:val="center"/>
                    <w:rPr>
                      <w:rFonts w:hint="eastAsia"/>
                      <w:color w:val="auto"/>
                      <w:highlight w:val="none"/>
                      <w:lang w:val="en-US" w:eastAsia="zh-CN"/>
                    </w:rPr>
                  </w:pPr>
                </w:p>
              </w:tc>
              <w:tc>
                <w:tcPr>
                  <w:tcW w:w="560" w:type="pct"/>
                  <w:tcBorders>
                    <w:top w:val="single" w:color="auto" w:sz="4" w:space="0"/>
                    <w:left w:val="single" w:color="auto" w:sz="4" w:space="0"/>
                    <w:bottom w:val="single" w:color="auto" w:sz="4" w:space="0"/>
                    <w:right w:val="single" w:color="auto" w:sz="4" w:space="0"/>
                  </w:tcBorders>
                  <w:shd w:val="clear" w:color="auto" w:fill="auto"/>
                  <w:noWrap w:val="0"/>
                  <w:vAlign w:val="center"/>
                </w:tcPr>
                <w:p w14:paraId="6117A4A4">
                  <w:pPr>
                    <w:pStyle w:val="46"/>
                    <w:bidi w:val="0"/>
                    <w:ind w:left="24" w:leftChars="10" w:right="24" w:rightChars="10" w:firstLine="0" w:firstLineChars="0"/>
                    <w:jc w:val="center"/>
                    <w:rPr>
                      <w:rFonts w:hint="default"/>
                      <w:color w:val="auto"/>
                      <w:highlight w:val="none"/>
                      <w:lang w:val="en-US" w:eastAsia="zh-CN"/>
                    </w:rPr>
                  </w:pPr>
                  <w:r>
                    <w:rPr>
                      <w:rFonts w:hint="eastAsia"/>
                      <w:color w:val="auto"/>
                      <w:highlight w:val="none"/>
                      <w:lang w:val="en-US" w:eastAsia="zh-CN"/>
                    </w:rPr>
                    <w:t>/</w:t>
                  </w:r>
                </w:p>
              </w:tc>
            </w:tr>
            <w:tr w14:paraId="069890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286" w:type="pct"/>
                  <w:vMerge w:val="continue"/>
                  <w:noWrap w:val="0"/>
                  <w:vAlign w:val="center"/>
                </w:tcPr>
                <w:p w14:paraId="154F744F">
                  <w:pPr>
                    <w:pStyle w:val="46"/>
                    <w:bidi w:val="0"/>
                    <w:jc w:val="center"/>
                    <w:rPr>
                      <w:rFonts w:hint="eastAsia"/>
                      <w:color w:val="auto"/>
                      <w:lang w:val="en-US" w:eastAsia="zh-CN"/>
                    </w:rPr>
                  </w:pPr>
                </w:p>
              </w:tc>
              <w:tc>
                <w:tcPr>
                  <w:tcW w:w="192" w:type="pct"/>
                  <w:vMerge w:val="continue"/>
                  <w:noWrap w:val="0"/>
                  <w:vAlign w:val="center"/>
                </w:tcPr>
                <w:p w14:paraId="1477056F">
                  <w:pPr>
                    <w:pStyle w:val="46"/>
                    <w:bidi w:val="0"/>
                    <w:jc w:val="center"/>
                    <w:rPr>
                      <w:rFonts w:hint="eastAsia"/>
                      <w:color w:val="auto"/>
                      <w:highlight w:val="none"/>
                      <w:lang w:val="en-US" w:eastAsia="zh-CN"/>
                    </w:rPr>
                  </w:pPr>
                </w:p>
              </w:tc>
              <w:tc>
                <w:tcPr>
                  <w:tcW w:w="1386" w:type="pct"/>
                  <w:shd w:val="clear" w:color="auto" w:fill="auto"/>
                  <w:noWrap w:val="0"/>
                  <w:vAlign w:val="top"/>
                </w:tcPr>
                <w:p w14:paraId="2C4A31C3">
                  <w:pPr>
                    <w:pStyle w:val="61"/>
                    <w:bidi w:val="0"/>
                    <w:ind w:firstLine="0" w:firstLineChars="0"/>
                    <w:rPr>
                      <w:rFonts w:hint="eastAsia" w:ascii="Times New Roman" w:hAnsi="Times New Roman" w:eastAsia="宋体" w:cs="Times New Roman"/>
                      <w:color w:val="auto"/>
                      <w:kern w:val="2"/>
                      <w:sz w:val="21"/>
                      <w:szCs w:val="24"/>
                      <w:lang w:val="en-US" w:eastAsia="zh-CN" w:bidi="ar-SA"/>
                    </w:rPr>
                  </w:pPr>
                  <w:r>
                    <w:rPr>
                      <w:rFonts w:hint="eastAsia"/>
                      <w:color w:val="auto"/>
                      <w:lang w:val="en-US" w:eastAsia="zh-CN"/>
                    </w:rPr>
                    <w:t>电动自行车（四轮）</w:t>
                  </w:r>
                </w:p>
              </w:tc>
              <w:tc>
                <w:tcPr>
                  <w:tcW w:w="639" w:type="pct"/>
                  <w:shd w:val="clear" w:color="auto" w:fill="auto"/>
                  <w:noWrap w:val="0"/>
                  <w:vAlign w:val="top"/>
                </w:tcPr>
                <w:p w14:paraId="70A459BF">
                  <w:pPr>
                    <w:pStyle w:val="6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10000辆</w:t>
                  </w:r>
                </w:p>
              </w:tc>
              <w:tc>
                <w:tcPr>
                  <w:tcW w:w="618" w:type="pct"/>
                  <w:vMerge w:val="continue"/>
                  <w:shd w:val="clear" w:color="auto" w:fill="auto"/>
                  <w:noWrap w:val="0"/>
                  <w:vAlign w:val="top"/>
                </w:tcPr>
                <w:p w14:paraId="7FC397C1">
                  <w:pPr>
                    <w:pStyle w:val="61"/>
                    <w:bidi w:val="0"/>
                    <w:ind w:firstLine="0" w:firstLineChars="0"/>
                    <w:rPr>
                      <w:rFonts w:hint="eastAsia" w:ascii="Times New Roman" w:hAnsi="Times New Roman" w:eastAsia="宋体" w:cs="Times New Roman"/>
                      <w:color w:val="auto"/>
                      <w:kern w:val="2"/>
                      <w:sz w:val="21"/>
                      <w:szCs w:val="24"/>
                      <w:lang w:val="en-US" w:eastAsia="zh-CN" w:bidi="ar-SA"/>
                    </w:rPr>
                  </w:pPr>
                </w:p>
              </w:tc>
              <w:tc>
                <w:tcPr>
                  <w:tcW w:w="705" w:type="pct"/>
                  <w:shd w:val="clear" w:color="auto" w:fill="auto"/>
                  <w:noWrap w:val="0"/>
                  <w:vAlign w:val="top"/>
                </w:tcPr>
                <w:p w14:paraId="687F76E3">
                  <w:pPr>
                    <w:pStyle w:val="61"/>
                    <w:bidi w:val="0"/>
                    <w:ind w:firstLine="0" w:firstLineChars="0"/>
                    <w:rPr>
                      <w:rFonts w:hint="default" w:cs="Times New Roman"/>
                      <w:b w:val="0"/>
                      <w:color w:val="auto"/>
                      <w:kern w:val="2"/>
                      <w:sz w:val="21"/>
                      <w:szCs w:val="21"/>
                      <w:highlight w:val="none"/>
                      <w:lang w:val="en-US" w:eastAsia="zh-CN" w:bidi="ar-SA"/>
                    </w:rPr>
                  </w:pPr>
                  <w:r>
                    <w:rPr>
                      <w:rFonts w:hint="eastAsia"/>
                      <w:color w:val="auto"/>
                      <w:lang w:val="en-US" w:eastAsia="zh-CN"/>
                    </w:rPr>
                    <w:t>25辆</w:t>
                  </w:r>
                </w:p>
              </w:tc>
              <w:tc>
                <w:tcPr>
                  <w:tcW w:w="610" w:type="pct"/>
                  <w:vMerge w:val="continue"/>
                  <w:tcBorders>
                    <w:left w:val="single" w:color="auto" w:sz="4" w:space="0"/>
                    <w:right w:val="single" w:color="auto" w:sz="4" w:space="0"/>
                  </w:tcBorders>
                  <w:shd w:val="clear" w:color="auto" w:fill="auto"/>
                  <w:noWrap w:val="0"/>
                  <w:vAlign w:val="center"/>
                </w:tcPr>
                <w:p w14:paraId="21657F83">
                  <w:pPr>
                    <w:pStyle w:val="46"/>
                    <w:bidi w:val="0"/>
                    <w:ind w:left="24" w:leftChars="10" w:right="24" w:rightChars="10" w:firstLine="0" w:firstLineChars="0"/>
                    <w:jc w:val="center"/>
                    <w:rPr>
                      <w:rFonts w:hint="eastAsia"/>
                      <w:color w:val="auto"/>
                      <w:highlight w:val="none"/>
                      <w:lang w:val="en-US" w:eastAsia="zh-CN"/>
                    </w:rPr>
                  </w:pPr>
                </w:p>
              </w:tc>
              <w:tc>
                <w:tcPr>
                  <w:tcW w:w="560" w:type="pct"/>
                  <w:tcBorders>
                    <w:top w:val="single" w:color="auto" w:sz="4" w:space="0"/>
                    <w:left w:val="single" w:color="auto" w:sz="4" w:space="0"/>
                    <w:bottom w:val="single" w:color="auto" w:sz="4" w:space="0"/>
                    <w:right w:val="single" w:color="auto" w:sz="4" w:space="0"/>
                  </w:tcBorders>
                  <w:shd w:val="clear" w:color="auto" w:fill="auto"/>
                  <w:noWrap w:val="0"/>
                  <w:vAlign w:val="center"/>
                </w:tcPr>
                <w:p w14:paraId="2C6D12C0">
                  <w:pPr>
                    <w:pStyle w:val="46"/>
                    <w:bidi w:val="0"/>
                    <w:ind w:left="24" w:leftChars="10" w:right="24" w:rightChars="10" w:firstLine="0" w:firstLineChars="0"/>
                    <w:jc w:val="center"/>
                    <w:rPr>
                      <w:rFonts w:hint="default"/>
                      <w:color w:val="auto"/>
                      <w:highlight w:val="none"/>
                      <w:lang w:val="en-US" w:eastAsia="zh-CN"/>
                    </w:rPr>
                  </w:pPr>
                  <w:r>
                    <w:rPr>
                      <w:rFonts w:hint="eastAsia"/>
                      <w:color w:val="auto"/>
                      <w:highlight w:val="none"/>
                      <w:lang w:val="en-US" w:eastAsia="zh-CN"/>
                    </w:rPr>
                    <w:t>/</w:t>
                  </w:r>
                </w:p>
              </w:tc>
            </w:tr>
            <w:tr w14:paraId="574CD5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286" w:type="pct"/>
                  <w:noWrap w:val="0"/>
                  <w:vAlign w:val="center"/>
                </w:tcPr>
                <w:p w14:paraId="429A6C90">
                  <w:pPr>
                    <w:pStyle w:val="46"/>
                    <w:bidi w:val="0"/>
                    <w:jc w:val="center"/>
                    <w:rPr>
                      <w:rFonts w:hint="default"/>
                      <w:color w:val="auto"/>
                      <w:lang w:val="en-US" w:eastAsia="zh-CN"/>
                    </w:rPr>
                  </w:pPr>
                  <w:r>
                    <w:rPr>
                      <w:rFonts w:hint="eastAsia"/>
                      <w:color w:val="auto"/>
                      <w:lang w:val="en-US" w:eastAsia="zh-CN"/>
                    </w:rPr>
                    <w:t>2</w:t>
                  </w:r>
                </w:p>
              </w:tc>
              <w:tc>
                <w:tcPr>
                  <w:tcW w:w="1579" w:type="pct"/>
                  <w:gridSpan w:val="2"/>
                  <w:noWrap w:val="0"/>
                  <w:vAlign w:val="center"/>
                </w:tcPr>
                <w:p w14:paraId="420FFC1D">
                  <w:pPr>
                    <w:pStyle w:val="61"/>
                    <w:bidi w:val="0"/>
                    <w:ind w:firstLine="0" w:firstLineChars="0"/>
                    <w:rPr>
                      <w:rFonts w:hint="default"/>
                      <w:color w:val="auto"/>
                      <w:lang w:val="en-US" w:eastAsia="zh-CN"/>
                    </w:rPr>
                  </w:pPr>
                  <w:r>
                    <w:rPr>
                      <w:rFonts w:hint="eastAsia"/>
                      <w:color w:val="auto"/>
                      <w:lang w:val="en-US" w:eastAsia="zh-CN"/>
                    </w:rPr>
                    <w:t>润滑油</w:t>
                  </w:r>
                </w:p>
              </w:tc>
              <w:tc>
                <w:tcPr>
                  <w:tcW w:w="639" w:type="pct"/>
                  <w:shd w:val="clear" w:color="auto" w:fill="auto"/>
                  <w:noWrap w:val="0"/>
                  <w:vAlign w:val="top"/>
                </w:tcPr>
                <w:p w14:paraId="4DE9B784">
                  <w:pPr>
                    <w:pStyle w:val="61"/>
                    <w:bidi w:val="0"/>
                    <w:ind w:firstLine="0" w:firstLineChars="0"/>
                    <w:rPr>
                      <w:rFonts w:hint="default"/>
                      <w:color w:val="auto"/>
                      <w:lang w:val="en-US" w:eastAsia="zh-CN"/>
                    </w:rPr>
                  </w:pPr>
                  <w:r>
                    <w:rPr>
                      <w:rFonts w:hint="eastAsia"/>
                      <w:color w:val="auto"/>
                      <w:lang w:val="en-US" w:eastAsia="zh-CN"/>
                    </w:rPr>
                    <w:t>0.5t</w:t>
                  </w:r>
                </w:p>
              </w:tc>
              <w:tc>
                <w:tcPr>
                  <w:tcW w:w="618" w:type="pct"/>
                  <w:shd w:val="clear" w:color="auto" w:fill="auto"/>
                  <w:noWrap w:val="0"/>
                  <w:vAlign w:val="top"/>
                </w:tcPr>
                <w:p w14:paraId="255938CF">
                  <w:pPr>
                    <w:pStyle w:val="61"/>
                    <w:bidi w:val="0"/>
                    <w:ind w:firstLine="0" w:firstLineChars="0"/>
                    <w:rPr>
                      <w:rFonts w:hint="default" w:ascii="Times New Roman" w:hAnsi="Times New Roman" w:eastAsia="宋体" w:cs="Times New Roman"/>
                      <w:color w:val="auto"/>
                      <w:kern w:val="2"/>
                      <w:sz w:val="21"/>
                      <w:szCs w:val="24"/>
                      <w:lang w:val="en-US" w:eastAsia="zh-CN" w:bidi="ar-SA"/>
                    </w:rPr>
                  </w:pPr>
                  <w:r>
                    <w:rPr>
                      <w:rFonts w:hint="eastAsia" w:cs="Times New Roman"/>
                      <w:color w:val="auto"/>
                      <w:kern w:val="2"/>
                      <w:sz w:val="21"/>
                      <w:szCs w:val="24"/>
                      <w:lang w:val="en-US" w:eastAsia="zh-CN" w:bidi="ar-SA"/>
                    </w:rPr>
                    <w:t>液态</w:t>
                  </w:r>
                </w:p>
              </w:tc>
              <w:tc>
                <w:tcPr>
                  <w:tcW w:w="705" w:type="pct"/>
                  <w:shd w:val="clear" w:color="auto" w:fill="auto"/>
                  <w:noWrap w:val="0"/>
                  <w:vAlign w:val="top"/>
                </w:tcPr>
                <w:p w14:paraId="031A24BF">
                  <w:pPr>
                    <w:pStyle w:val="61"/>
                    <w:bidi w:val="0"/>
                    <w:ind w:firstLine="0" w:firstLineChars="0"/>
                    <w:rPr>
                      <w:rFonts w:hint="default"/>
                      <w:color w:val="auto"/>
                      <w:lang w:val="en-US" w:eastAsia="zh-CN"/>
                    </w:rPr>
                  </w:pPr>
                  <w:r>
                    <w:rPr>
                      <w:rFonts w:hint="eastAsia"/>
                      <w:color w:val="auto"/>
                      <w:lang w:val="en-US" w:eastAsia="zh-CN"/>
                    </w:rPr>
                    <w:t>0.5t</w:t>
                  </w:r>
                </w:p>
              </w:tc>
              <w:tc>
                <w:tcPr>
                  <w:tcW w:w="610" w:type="pct"/>
                  <w:tcBorders>
                    <w:left w:val="single" w:color="auto" w:sz="4" w:space="0"/>
                    <w:right w:val="single" w:color="auto" w:sz="4" w:space="0"/>
                  </w:tcBorders>
                  <w:shd w:val="clear" w:color="auto" w:fill="auto"/>
                  <w:noWrap w:val="0"/>
                  <w:vAlign w:val="center"/>
                </w:tcPr>
                <w:p w14:paraId="3BD6A930">
                  <w:pPr>
                    <w:pStyle w:val="46"/>
                    <w:bidi w:val="0"/>
                    <w:ind w:left="24" w:leftChars="10" w:right="24" w:rightChars="10" w:firstLine="0" w:firstLineChars="0"/>
                    <w:jc w:val="center"/>
                    <w:rPr>
                      <w:rFonts w:hint="default"/>
                      <w:color w:val="auto"/>
                      <w:highlight w:val="none"/>
                      <w:lang w:val="en-US" w:eastAsia="zh-CN"/>
                    </w:rPr>
                  </w:pPr>
                  <w:r>
                    <w:rPr>
                      <w:rFonts w:hint="eastAsia"/>
                      <w:color w:val="auto"/>
                      <w:highlight w:val="none"/>
                      <w:lang w:val="en-US" w:eastAsia="zh-CN"/>
                    </w:rPr>
                    <w:t>拆解车间</w:t>
                  </w:r>
                </w:p>
              </w:tc>
              <w:tc>
                <w:tcPr>
                  <w:tcW w:w="560" w:type="pct"/>
                  <w:tcBorders>
                    <w:top w:val="single" w:color="auto" w:sz="4" w:space="0"/>
                    <w:left w:val="single" w:color="auto" w:sz="4" w:space="0"/>
                    <w:bottom w:val="single" w:color="auto" w:sz="4" w:space="0"/>
                    <w:right w:val="single" w:color="auto" w:sz="4" w:space="0"/>
                  </w:tcBorders>
                  <w:shd w:val="clear" w:color="auto" w:fill="auto"/>
                  <w:noWrap w:val="0"/>
                  <w:vAlign w:val="center"/>
                </w:tcPr>
                <w:p w14:paraId="01E1DE83">
                  <w:pPr>
                    <w:pStyle w:val="46"/>
                    <w:bidi w:val="0"/>
                    <w:ind w:left="24" w:leftChars="10" w:right="24" w:rightChars="10" w:firstLine="0" w:firstLineChars="0"/>
                    <w:jc w:val="center"/>
                    <w:rPr>
                      <w:rFonts w:hint="default"/>
                      <w:color w:val="auto"/>
                      <w:highlight w:val="none"/>
                      <w:lang w:val="en-US" w:eastAsia="zh-CN"/>
                    </w:rPr>
                  </w:pPr>
                  <w:r>
                    <w:rPr>
                      <w:rFonts w:hint="eastAsia"/>
                      <w:color w:val="auto"/>
                      <w:highlight w:val="none"/>
                      <w:lang w:val="en-US" w:eastAsia="zh-CN"/>
                    </w:rPr>
                    <w:t>/</w:t>
                  </w:r>
                </w:p>
              </w:tc>
            </w:tr>
            <w:tr w14:paraId="56D2C1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286" w:type="pct"/>
                  <w:shd w:val="clear" w:color="auto" w:fill="auto"/>
                  <w:noWrap w:val="0"/>
                  <w:vAlign w:val="center"/>
                </w:tcPr>
                <w:p w14:paraId="4D124F2F">
                  <w:pPr>
                    <w:pStyle w:val="46"/>
                    <w:bidi w:val="0"/>
                    <w:ind w:left="24" w:leftChars="10" w:right="24" w:rightChars="10" w:firstLine="0" w:firstLineChars="0"/>
                    <w:jc w:val="center"/>
                    <w:rPr>
                      <w:rFonts w:hint="default" w:ascii="Times New Roman" w:hAnsi="Times New Roman" w:eastAsia="宋体"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3</w:t>
                  </w:r>
                </w:p>
              </w:tc>
              <w:tc>
                <w:tcPr>
                  <w:tcW w:w="192" w:type="pct"/>
                  <w:vMerge w:val="restart"/>
                  <w:shd w:val="clear" w:color="auto" w:fill="auto"/>
                  <w:noWrap w:val="0"/>
                  <w:vAlign w:val="center"/>
                </w:tcPr>
                <w:p w14:paraId="41AD6BFB">
                  <w:pPr>
                    <w:pStyle w:val="46"/>
                    <w:bidi w:val="0"/>
                    <w:ind w:left="24" w:leftChars="10" w:right="24" w:rightChars="10" w:firstLine="0" w:firstLineChars="0"/>
                    <w:jc w:val="center"/>
                    <w:rPr>
                      <w:rFonts w:hint="eastAsia"/>
                      <w:color w:val="auto"/>
                      <w:lang w:val="en-US" w:eastAsia="zh-CN"/>
                    </w:rPr>
                  </w:pPr>
                  <w:r>
                    <w:rPr>
                      <w:rFonts w:hint="eastAsia"/>
                      <w:color w:val="auto"/>
                      <w:lang w:val="en-US" w:eastAsia="zh-CN"/>
                    </w:rPr>
                    <w:t>能源</w:t>
                  </w:r>
                </w:p>
              </w:tc>
              <w:tc>
                <w:tcPr>
                  <w:tcW w:w="1386" w:type="pct"/>
                  <w:shd w:val="clear" w:color="auto" w:fill="auto"/>
                  <w:noWrap w:val="0"/>
                  <w:vAlign w:val="center"/>
                </w:tcPr>
                <w:p w14:paraId="01A42785">
                  <w:pPr>
                    <w:pStyle w:val="46"/>
                    <w:bidi w:val="0"/>
                    <w:ind w:left="24" w:leftChars="10" w:right="24" w:rightChars="10" w:firstLine="0" w:firstLineChars="0"/>
                    <w:rPr>
                      <w:rFonts w:hint="eastAsia" w:ascii="Times New Roman" w:hAnsi="Times New Roman" w:eastAsia="宋体" w:cs="Times New Roman"/>
                      <w:b w:val="0"/>
                      <w:color w:val="auto"/>
                      <w:kern w:val="2"/>
                      <w:sz w:val="21"/>
                      <w:szCs w:val="21"/>
                      <w:lang w:val="en-US" w:eastAsia="zh-CN" w:bidi="ar-SA"/>
                    </w:rPr>
                  </w:pPr>
                  <w:r>
                    <w:rPr>
                      <w:color w:val="auto"/>
                    </w:rPr>
                    <w:t>水</w:t>
                  </w:r>
                </w:p>
              </w:tc>
              <w:tc>
                <w:tcPr>
                  <w:tcW w:w="1962" w:type="pct"/>
                  <w:gridSpan w:val="3"/>
                  <w:shd w:val="clear" w:color="auto" w:fill="auto"/>
                  <w:noWrap w:val="0"/>
                  <w:vAlign w:val="center"/>
                </w:tcPr>
                <w:p w14:paraId="04750585">
                  <w:pPr>
                    <w:pStyle w:val="46"/>
                    <w:bidi w:val="0"/>
                    <w:ind w:left="24" w:leftChars="10" w:right="24" w:rightChars="10" w:firstLine="0" w:firstLineChars="0"/>
                    <w:jc w:val="center"/>
                    <w:rPr>
                      <w:rFonts w:hint="default" w:ascii="Times New Roman" w:hAnsi="Times New Roman" w:eastAsia="宋体" w:cs="Times New Roman"/>
                      <w:b w:val="0"/>
                      <w:color w:val="auto"/>
                      <w:kern w:val="2"/>
                      <w:sz w:val="21"/>
                      <w:szCs w:val="21"/>
                      <w:highlight w:val="none"/>
                      <w:lang w:val="en-US" w:eastAsia="zh-CN" w:bidi="ar-SA"/>
                    </w:rPr>
                  </w:pPr>
                  <w:r>
                    <w:rPr>
                      <w:rFonts w:hint="eastAsia"/>
                      <w:color w:val="auto"/>
                      <w:highlight w:val="none"/>
                      <w:lang w:val="en-US" w:eastAsia="zh-CN"/>
                    </w:rPr>
                    <w:t>811.3m³/a</w:t>
                  </w:r>
                </w:p>
              </w:tc>
              <w:tc>
                <w:tcPr>
                  <w:tcW w:w="610" w:type="pct"/>
                  <w:tcBorders>
                    <w:top w:val="single" w:color="auto" w:sz="4" w:space="0"/>
                    <w:left w:val="single" w:color="auto" w:sz="4" w:space="0"/>
                    <w:bottom w:val="single" w:color="auto" w:sz="4" w:space="0"/>
                    <w:right w:val="single" w:color="auto" w:sz="4" w:space="0"/>
                  </w:tcBorders>
                  <w:shd w:val="clear" w:color="auto" w:fill="auto"/>
                  <w:noWrap w:val="0"/>
                  <w:vAlign w:val="center"/>
                </w:tcPr>
                <w:p w14:paraId="305BCE76">
                  <w:pPr>
                    <w:pStyle w:val="46"/>
                    <w:bidi w:val="0"/>
                    <w:ind w:left="24" w:leftChars="10" w:right="24" w:rightChars="10" w:firstLine="0" w:firstLineChars="0"/>
                    <w:rPr>
                      <w:rFonts w:hint="eastAsia" w:eastAsia="宋体"/>
                      <w:color w:val="auto"/>
                      <w:lang w:val="en-US" w:eastAsia="zh-CN"/>
                    </w:rPr>
                  </w:pPr>
                  <w:r>
                    <w:rPr>
                      <w:rFonts w:hint="eastAsia"/>
                      <w:color w:val="auto"/>
                      <w:lang w:val="en-US" w:eastAsia="zh-CN"/>
                    </w:rPr>
                    <w:t>/</w:t>
                  </w:r>
                </w:p>
              </w:tc>
              <w:tc>
                <w:tcPr>
                  <w:tcW w:w="560" w:type="pct"/>
                  <w:tcBorders>
                    <w:top w:val="single" w:color="auto" w:sz="4" w:space="0"/>
                    <w:left w:val="single" w:color="auto" w:sz="4" w:space="0"/>
                    <w:bottom w:val="single" w:color="auto" w:sz="4" w:space="0"/>
                    <w:right w:val="single" w:color="auto" w:sz="4" w:space="0"/>
                  </w:tcBorders>
                  <w:shd w:val="clear" w:color="auto" w:fill="auto"/>
                  <w:noWrap w:val="0"/>
                  <w:vAlign w:val="center"/>
                </w:tcPr>
                <w:p w14:paraId="3CE4CDBF">
                  <w:pPr>
                    <w:pStyle w:val="46"/>
                    <w:bidi w:val="0"/>
                    <w:ind w:left="24" w:leftChars="10" w:right="24" w:rightChars="10" w:firstLine="0" w:firstLineChars="0"/>
                    <w:rPr>
                      <w:rFonts w:hint="eastAsia" w:ascii="Times New Roman" w:hAnsi="Times New Roman" w:eastAsia="宋体" w:cs="Times New Roman"/>
                      <w:b w:val="0"/>
                      <w:color w:val="auto"/>
                      <w:kern w:val="2"/>
                      <w:sz w:val="21"/>
                      <w:szCs w:val="21"/>
                      <w:lang w:val="en-US" w:eastAsia="zh-CN" w:bidi="ar-SA"/>
                    </w:rPr>
                  </w:pPr>
                  <w:r>
                    <w:rPr>
                      <w:color w:val="auto"/>
                    </w:rPr>
                    <w:t>园区管网</w:t>
                  </w:r>
                </w:p>
              </w:tc>
            </w:tr>
            <w:tr w14:paraId="69F0F7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286" w:type="pct"/>
                  <w:shd w:val="clear" w:color="auto" w:fill="auto"/>
                  <w:noWrap w:val="0"/>
                  <w:vAlign w:val="center"/>
                </w:tcPr>
                <w:p w14:paraId="6ADCBAFB">
                  <w:pPr>
                    <w:pStyle w:val="46"/>
                    <w:bidi w:val="0"/>
                    <w:ind w:left="24" w:leftChars="10" w:right="24" w:rightChars="10" w:firstLine="0" w:firstLineChars="0"/>
                    <w:jc w:val="center"/>
                    <w:rPr>
                      <w:rFonts w:hint="default" w:ascii="Times New Roman" w:hAnsi="Times New Roman" w:eastAsia="宋体"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4</w:t>
                  </w:r>
                </w:p>
              </w:tc>
              <w:tc>
                <w:tcPr>
                  <w:tcW w:w="192" w:type="pct"/>
                  <w:vMerge w:val="continue"/>
                  <w:noWrap w:val="0"/>
                  <w:vAlign w:val="center"/>
                </w:tcPr>
                <w:p w14:paraId="3DA36859">
                  <w:pPr>
                    <w:pStyle w:val="46"/>
                    <w:bidi w:val="0"/>
                    <w:jc w:val="center"/>
                    <w:rPr>
                      <w:rFonts w:hint="eastAsia"/>
                      <w:color w:val="auto"/>
                      <w:lang w:val="en-US" w:eastAsia="zh-CN"/>
                    </w:rPr>
                  </w:pPr>
                </w:p>
              </w:tc>
              <w:tc>
                <w:tcPr>
                  <w:tcW w:w="1386" w:type="pct"/>
                  <w:shd w:val="clear" w:color="auto" w:fill="auto"/>
                  <w:noWrap w:val="0"/>
                  <w:vAlign w:val="center"/>
                </w:tcPr>
                <w:p w14:paraId="33F34C3C">
                  <w:pPr>
                    <w:pStyle w:val="46"/>
                    <w:bidi w:val="0"/>
                    <w:ind w:left="24" w:leftChars="10" w:right="24" w:rightChars="10" w:firstLine="0" w:firstLineChars="0"/>
                    <w:rPr>
                      <w:rFonts w:hint="eastAsia" w:ascii="Times New Roman" w:hAnsi="Times New Roman" w:eastAsia="宋体" w:cs="Times New Roman"/>
                      <w:b w:val="0"/>
                      <w:color w:val="auto"/>
                      <w:kern w:val="2"/>
                      <w:sz w:val="21"/>
                      <w:szCs w:val="21"/>
                      <w:lang w:val="en-US" w:eastAsia="zh-CN" w:bidi="ar-SA"/>
                    </w:rPr>
                  </w:pPr>
                  <w:r>
                    <w:rPr>
                      <w:color w:val="auto"/>
                    </w:rPr>
                    <w:t>电</w:t>
                  </w:r>
                </w:p>
              </w:tc>
              <w:tc>
                <w:tcPr>
                  <w:tcW w:w="1962" w:type="pct"/>
                  <w:gridSpan w:val="3"/>
                  <w:shd w:val="clear" w:color="auto" w:fill="auto"/>
                  <w:noWrap w:val="0"/>
                  <w:vAlign w:val="center"/>
                </w:tcPr>
                <w:p w14:paraId="6A323849">
                  <w:pPr>
                    <w:pStyle w:val="46"/>
                    <w:bidi w:val="0"/>
                    <w:ind w:left="24" w:leftChars="10" w:right="24" w:rightChars="10" w:firstLine="0" w:firstLineChars="0"/>
                    <w:jc w:val="center"/>
                    <w:rPr>
                      <w:rFonts w:hint="default" w:eastAsia="宋体"/>
                      <w:color w:val="auto"/>
                      <w:highlight w:val="none"/>
                      <w:lang w:val="en-US" w:eastAsia="zh-CN"/>
                    </w:rPr>
                  </w:pPr>
                  <w:r>
                    <w:rPr>
                      <w:rFonts w:hint="eastAsia"/>
                      <w:color w:val="auto"/>
                      <w:highlight w:val="none"/>
                      <w:lang w:val="en-US" w:eastAsia="zh-CN"/>
                    </w:rPr>
                    <w:t>5</w:t>
                  </w:r>
                  <w:r>
                    <w:rPr>
                      <w:rFonts w:hint="eastAsia"/>
                      <w:color w:val="auto"/>
                      <w:highlight w:val="none"/>
                    </w:rPr>
                    <w:t>万kW</w:t>
                  </w:r>
                  <w:r>
                    <w:rPr>
                      <w:color w:val="auto"/>
                      <w:highlight w:val="none"/>
                    </w:rPr>
                    <w:t>•</w:t>
                  </w:r>
                  <w:r>
                    <w:rPr>
                      <w:rFonts w:hint="eastAsia"/>
                      <w:color w:val="auto"/>
                      <w:highlight w:val="none"/>
                    </w:rPr>
                    <w:t>h</w:t>
                  </w:r>
                  <w:r>
                    <w:rPr>
                      <w:rFonts w:hint="eastAsia"/>
                      <w:color w:val="auto"/>
                      <w:highlight w:val="none"/>
                      <w:lang w:val="en-US" w:eastAsia="zh-CN"/>
                    </w:rPr>
                    <w:t>/a</w:t>
                  </w:r>
                </w:p>
              </w:tc>
              <w:tc>
                <w:tcPr>
                  <w:tcW w:w="610" w:type="pct"/>
                  <w:tcBorders>
                    <w:top w:val="single" w:color="auto" w:sz="4" w:space="0"/>
                    <w:left w:val="single" w:color="auto" w:sz="4" w:space="0"/>
                    <w:bottom w:val="single" w:color="auto" w:sz="4" w:space="0"/>
                    <w:right w:val="single" w:color="auto" w:sz="4" w:space="0"/>
                  </w:tcBorders>
                  <w:shd w:val="clear" w:color="auto" w:fill="auto"/>
                  <w:noWrap w:val="0"/>
                  <w:vAlign w:val="center"/>
                </w:tcPr>
                <w:p w14:paraId="05450BED">
                  <w:pPr>
                    <w:pStyle w:val="46"/>
                    <w:bidi w:val="0"/>
                    <w:ind w:left="24" w:leftChars="10" w:right="24" w:rightChars="10" w:firstLine="0" w:firstLineChars="0"/>
                    <w:rPr>
                      <w:rFonts w:hint="eastAsia" w:eastAsia="宋体"/>
                      <w:color w:val="auto"/>
                      <w:lang w:val="en-US" w:eastAsia="zh-CN"/>
                    </w:rPr>
                  </w:pPr>
                  <w:r>
                    <w:rPr>
                      <w:rFonts w:hint="eastAsia"/>
                      <w:color w:val="auto"/>
                      <w:lang w:val="en-US" w:eastAsia="zh-CN"/>
                    </w:rPr>
                    <w:t>/</w:t>
                  </w:r>
                </w:p>
              </w:tc>
              <w:tc>
                <w:tcPr>
                  <w:tcW w:w="560" w:type="pct"/>
                  <w:tcBorders>
                    <w:top w:val="single" w:color="auto" w:sz="4" w:space="0"/>
                    <w:left w:val="single" w:color="auto" w:sz="4" w:space="0"/>
                    <w:bottom w:val="single" w:color="auto" w:sz="4" w:space="0"/>
                    <w:right w:val="single" w:color="auto" w:sz="4" w:space="0"/>
                  </w:tcBorders>
                  <w:shd w:val="clear" w:color="auto" w:fill="auto"/>
                  <w:noWrap w:val="0"/>
                  <w:vAlign w:val="center"/>
                </w:tcPr>
                <w:p w14:paraId="05AF5179">
                  <w:pPr>
                    <w:pStyle w:val="46"/>
                    <w:bidi w:val="0"/>
                    <w:ind w:left="24" w:leftChars="10" w:right="24" w:rightChars="10" w:firstLine="0" w:firstLineChars="0"/>
                    <w:rPr>
                      <w:rFonts w:hint="eastAsia" w:ascii="Times New Roman" w:hAnsi="Times New Roman" w:eastAsia="宋体" w:cs="Times New Roman"/>
                      <w:b w:val="0"/>
                      <w:color w:val="auto"/>
                      <w:kern w:val="2"/>
                      <w:sz w:val="21"/>
                      <w:szCs w:val="21"/>
                      <w:lang w:val="en-US" w:eastAsia="zh-CN" w:bidi="ar-SA"/>
                    </w:rPr>
                  </w:pPr>
                  <w:r>
                    <w:rPr>
                      <w:color w:val="auto"/>
                    </w:rPr>
                    <w:t>园区电网</w:t>
                  </w:r>
                </w:p>
              </w:tc>
            </w:tr>
          </w:tbl>
          <w:p w14:paraId="20476B1F">
            <w:pPr>
              <w:keepNext w:val="0"/>
              <w:keepLines w:val="0"/>
              <w:numPr>
                <w:ilvl w:val="0"/>
                <w:numId w:val="4"/>
              </w:numPr>
              <w:suppressLineNumbers w:val="0"/>
              <w:bidi w:val="0"/>
              <w:spacing w:before="0" w:beforeAutospacing="0" w:after="0" w:afterAutospacing="0"/>
              <w:ind w:left="0" w:leftChars="0" w:right="0" w:firstLine="482" w:firstLineChars="200"/>
              <w:rPr>
                <w:rFonts w:hint="eastAsia"/>
                <w:b/>
                <w:bCs/>
                <w:color w:val="auto"/>
                <w:lang w:val="en-US" w:eastAsia="zh-CN"/>
              </w:rPr>
            </w:pPr>
            <w:r>
              <w:rPr>
                <w:rFonts w:hint="eastAsia"/>
                <w:b/>
                <w:bCs/>
                <w:color w:val="auto"/>
                <w:lang w:val="en-US" w:eastAsia="zh-CN"/>
              </w:rPr>
              <w:t>原辅材料及有毒有害物质理化性质</w:t>
            </w:r>
          </w:p>
          <w:p w14:paraId="2517269F">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根据项目拆解过程中回收的产品可知，本项目运营过程中涉及的有毒有害物质主要为废液压油、废铅蓄电池，项目涉及有毒有害物质理化性质见下表。</w:t>
            </w:r>
          </w:p>
          <w:p w14:paraId="72782670">
            <w:pPr>
              <w:pStyle w:val="43"/>
              <w:keepNext w:val="0"/>
              <w:keepLines w:val="0"/>
              <w:suppressLineNumbers w:val="0"/>
              <w:bidi w:val="0"/>
              <w:spacing w:before="0" w:beforeAutospacing="0" w:after="0" w:afterAutospacing="0"/>
              <w:ind w:left="0" w:right="0"/>
              <w:rPr>
                <w:rFonts w:hint="default" w:eastAsia="宋体"/>
                <w:color w:val="auto"/>
                <w:lang w:val="en-US" w:eastAsia="zh-CN"/>
              </w:rPr>
            </w:pPr>
            <w:r>
              <w:rPr>
                <w:color w:val="auto"/>
              </w:rPr>
              <w:t>表</w:t>
            </w:r>
            <w:r>
              <w:rPr>
                <w:rFonts w:hint="eastAsia"/>
                <w:color w:val="auto"/>
                <w:lang w:val="en-US" w:eastAsia="zh-CN"/>
              </w:rPr>
              <w:t>2-9</w:t>
            </w:r>
            <w:r>
              <w:rPr>
                <w:rFonts w:hint="eastAsia"/>
                <w:color w:val="auto"/>
                <w:lang w:eastAsia="zh-CN"/>
              </w:rPr>
              <w:t xml:space="preserve">  </w:t>
            </w:r>
            <w:r>
              <w:rPr>
                <w:rFonts w:hint="eastAsia"/>
                <w:color w:val="auto"/>
                <w:lang w:val="en-US" w:eastAsia="zh-CN"/>
              </w:rPr>
              <w:t>原辅材料及涉及有毒有害物质理化性质一览表</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319"/>
              <w:gridCol w:w="1021"/>
              <w:gridCol w:w="6208"/>
            </w:tblGrid>
            <w:tr w14:paraId="1C98A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19" w:type="dxa"/>
                  <w:vAlign w:val="center"/>
                </w:tcPr>
                <w:p w14:paraId="11B3A399">
                  <w:pPr>
                    <w:pStyle w:val="61"/>
                    <w:keepNext w:val="0"/>
                    <w:keepLines w:val="0"/>
                    <w:suppressLineNumbers w:val="0"/>
                    <w:bidi w:val="0"/>
                    <w:spacing w:before="0" w:beforeAutospacing="0" w:after="0" w:afterAutospacing="0"/>
                    <w:ind w:left="0" w:right="0"/>
                    <w:jc w:val="center"/>
                    <w:rPr>
                      <w:rFonts w:hint="default"/>
                      <w:b/>
                      <w:bCs/>
                      <w:lang w:val="en-US" w:eastAsia="zh-CN"/>
                    </w:rPr>
                  </w:pPr>
                  <w:r>
                    <w:rPr>
                      <w:rFonts w:hint="eastAsia"/>
                      <w:b/>
                      <w:bCs/>
                      <w:lang w:val="en-US" w:eastAsia="zh-CN"/>
                    </w:rPr>
                    <w:t>物质名称</w:t>
                  </w:r>
                </w:p>
              </w:tc>
              <w:tc>
                <w:tcPr>
                  <w:tcW w:w="7229" w:type="dxa"/>
                  <w:gridSpan w:val="2"/>
                  <w:vAlign w:val="center"/>
                </w:tcPr>
                <w:p w14:paraId="6E645FC0">
                  <w:pPr>
                    <w:pStyle w:val="61"/>
                    <w:keepNext w:val="0"/>
                    <w:keepLines w:val="0"/>
                    <w:suppressLineNumbers w:val="0"/>
                    <w:bidi w:val="0"/>
                    <w:spacing w:before="0" w:beforeAutospacing="0" w:after="0" w:afterAutospacing="0"/>
                    <w:ind w:left="0" w:right="0"/>
                    <w:jc w:val="center"/>
                    <w:rPr>
                      <w:rFonts w:hint="default"/>
                      <w:b/>
                      <w:bCs/>
                      <w:lang w:val="en-US" w:eastAsia="zh-CN"/>
                    </w:rPr>
                  </w:pPr>
                  <w:r>
                    <w:rPr>
                      <w:rFonts w:hint="eastAsia"/>
                      <w:b/>
                      <w:bCs/>
                      <w:lang w:val="en-US" w:eastAsia="zh-CN"/>
                    </w:rPr>
                    <w:t>理化性质</w:t>
                  </w:r>
                </w:p>
              </w:tc>
            </w:tr>
            <w:tr w14:paraId="3F50F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19" w:type="dxa"/>
                  <w:vAlign w:val="center"/>
                </w:tcPr>
                <w:p w14:paraId="4229F1E0">
                  <w:pPr>
                    <w:pStyle w:val="61"/>
                    <w:keepNext w:val="0"/>
                    <w:keepLines w:val="0"/>
                    <w:suppressLineNumbers w:val="0"/>
                    <w:bidi w:val="0"/>
                    <w:spacing w:before="0" w:beforeAutospacing="0" w:after="0" w:afterAutospacing="0"/>
                    <w:ind w:left="0" w:right="0"/>
                    <w:jc w:val="center"/>
                    <w:rPr>
                      <w:rFonts w:hint="default"/>
                      <w:lang w:val="en-US" w:eastAsia="zh-CN"/>
                    </w:rPr>
                  </w:pPr>
                  <w:r>
                    <w:rPr>
                      <w:rFonts w:hint="eastAsia"/>
                      <w:lang w:val="en-US" w:eastAsia="zh-CN"/>
                    </w:rPr>
                    <w:t>液压油</w:t>
                  </w:r>
                </w:p>
              </w:tc>
              <w:tc>
                <w:tcPr>
                  <w:tcW w:w="7229" w:type="dxa"/>
                  <w:gridSpan w:val="2"/>
                  <w:vAlign w:val="center"/>
                </w:tcPr>
                <w:p w14:paraId="22F641B6">
                  <w:pPr>
                    <w:pStyle w:val="61"/>
                    <w:keepNext w:val="0"/>
                    <w:keepLines w:val="0"/>
                    <w:suppressLineNumbers w:val="0"/>
                    <w:bidi w:val="0"/>
                    <w:spacing w:before="0" w:beforeAutospacing="0" w:after="0" w:afterAutospacing="0"/>
                    <w:ind w:left="0" w:right="0"/>
                    <w:jc w:val="center"/>
                    <w:rPr>
                      <w:rFonts w:hint="default" w:eastAsia="微软雅黑"/>
                      <w:lang w:val="en-US" w:eastAsia="zh-CN"/>
                    </w:rPr>
                  </w:pPr>
                  <w:r>
                    <w:rPr>
                      <w:rFonts w:hint="eastAsia" w:ascii="Times New Roman" w:hAnsi="Times New Roman" w:eastAsia="宋体" w:cs="Times New Roman"/>
                      <w:lang w:val="en-US" w:eastAsia="zh-CN"/>
                    </w:rPr>
                    <w:t>液压油</w:t>
                  </w:r>
                  <w:r>
                    <w:rPr>
                      <w:rFonts w:hint="default" w:ascii="Times New Roman" w:hAnsi="Times New Roman" w:eastAsia="宋体" w:cs="Times New Roman"/>
                    </w:rPr>
                    <w:t>是液压系统使用的专用工作介质，在液压系统中起着能量传递、抗磨、系统润滑、防腐、防锈、冷却等作用</w:t>
                  </w:r>
                  <w:r>
                    <w:rPr>
                      <w:rFonts w:hint="eastAsia" w:ascii="Times New Roman" w:hAnsi="Times New Roman" w:eastAsia="宋体" w:cs="Times New Roman"/>
                      <w:lang w:eastAsia="zh-CN"/>
                    </w:rPr>
                    <w:t>，通常为红色透明液体，</w:t>
                  </w:r>
                  <w:r>
                    <w:rPr>
                      <w:rFonts w:hint="default" w:ascii="Times New Roman" w:hAnsi="Times New Roman" w:eastAsia="宋体" w:cs="Times New Roman"/>
                    </w:rPr>
                    <w:t>20℃时密度约为850～900 kg/m³</w:t>
                  </w:r>
                  <w:r>
                    <w:rPr>
                      <w:rFonts w:hint="eastAsia" w:ascii="Times New Roman" w:hAnsi="Times New Roman" w:eastAsia="宋体" w:cs="Times New Roman"/>
                      <w:lang w:eastAsia="zh-CN"/>
                    </w:rPr>
                    <w:t>，</w:t>
                  </w:r>
                  <w:r>
                    <w:rPr>
                      <w:rFonts w:hint="default" w:ascii="Times New Roman" w:hAnsi="Times New Roman" w:eastAsia="宋体" w:cs="Times New Roman"/>
                    </w:rPr>
                    <w:t>40℃时</w:t>
                  </w:r>
                  <w:r>
                    <w:rPr>
                      <w:rFonts w:hint="eastAsia" w:ascii="Times New Roman" w:hAnsi="Times New Roman" w:eastAsia="宋体" w:cs="Times New Roman"/>
                      <w:lang w:val="en-US" w:eastAsia="zh-CN"/>
                    </w:rPr>
                    <w:t>运动</w:t>
                  </w:r>
                  <w:r>
                    <w:rPr>
                      <w:rFonts w:hint="default" w:ascii="Times New Roman" w:hAnsi="Times New Roman" w:eastAsia="宋体" w:cs="Times New Roman"/>
                    </w:rPr>
                    <w:t>粘度典型范围1076–1885mm²/s</w:t>
                  </w:r>
                  <w:r>
                    <w:rPr>
                      <w:rFonts w:hint="eastAsia" w:ascii="Times New Roman" w:hAnsi="Times New Roman" w:eastAsia="宋体" w:cs="Times New Roman"/>
                      <w:lang w:eastAsia="zh-CN"/>
                    </w:rPr>
                    <w:t>。</w:t>
                  </w:r>
                  <w:r>
                    <w:rPr>
                      <w:rFonts w:hint="eastAsia" w:ascii="Times New Roman" w:hAnsi="Times New Roman" w:eastAsia="宋体" w:cs="Times New Roman"/>
                      <w:lang w:val="en-US" w:eastAsia="zh-CN"/>
                    </w:rPr>
                    <w:t>常见矿物油液压油的闪点不低于180℃，普通抗磨液压油通常＞200℃，高闪点液压油可超过250℃。闪点越高，抗燃性越好，不易引发火灾；液压油的凝固点不高于-30℃，酸值不超过0.5 mgKOH/g。</w:t>
                  </w:r>
                </w:p>
              </w:tc>
            </w:tr>
            <w:tr w14:paraId="26F2B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19" w:type="dxa"/>
                  <w:vMerge w:val="restart"/>
                  <w:vAlign w:val="center"/>
                </w:tcPr>
                <w:p w14:paraId="50F7FF82">
                  <w:pPr>
                    <w:pStyle w:val="61"/>
                    <w:keepNext w:val="0"/>
                    <w:keepLines w:val="0"/>
                    <w:suppressLineNumbers w:val="0"/>
                    <w:bidi w:val="0"/>
                    <w:spacing w:before="0" w:beforeAutospacing="0" w:after="0" w:afterAutospacing="0"/>
                    <w:ind w:left="0" w:right="0"/>
                    <w:jc w:val="center"/>
                    <w:rPr>
                      <w:rFonts w:hint="default"/>
                      <w:lang w:val="en-US" w:eastAsia="zh-CN"/>
                    </w:rPr>
                  </w:pPr>
                  <w:r>
                    <w:rPr>
                      <w:rFonts w:hint="eastAsia"/>
                      <w:lang w:val="en-US" w:eastAsia="zh-CN"/>
                    </w:rPr>
                    <w:t>废铅蓄电池</w:t>
                  </w:r>
                </w:p>
              </w:tc>
              <w:tc>
                <w:tcPr>
                  <w:tcW w:w="7229" w:type="dxa"/>
                  <w:gridSpan w:val="2"/>
                  <w:vAlign w:val="center"/>
                </w:tcPr>
                <w:p w14:paraId="466DC28F">
                  <w:pPr>
                    <w:pStyle w:val="61"/>
                    <w:keepNext w:val="0"/>
                    <w:keepLines w:val="0"/>
                    <w:suppressLineNumbers w:val="0"/>
                    <w:bidi w:val="0"/>
                    <w:spacing w:before="0" w:beforeAutospacing="0" w:after="0" w:afterAutospacing="0"/>
                    <w:ind w:left="0" w:right="0"/>
                    <w:jc w:val="center"/>
                    <w:rPr>
                      <w:rFonts w:hint="default"/>
                      <w:lang w:val="en-US" w:eastAsia="zh-CN"/>
                    </w:rPr>
                  </w:pPr>
                  <w:r>
                    <w:rPr>
                      <w:rFonts w:hint="eastAsia"/>
                      <w:lang w:val="en-US" w:eastAsia="zh-CN"/>
                    </w:rPr>
                    <w:t>主要由铅及其化合物、塑料、硫酸等成分组成</w:t>
                  </w:r>
                </w:p>
              </w:tc>
            </w:tr>
            <w:tr w14:paraId="651E2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19" w:type="dxa"/>
                  <w:vMerge w:val="continue"/>
                  <w:vAlign w:val="center"/>
                </w:tcPr>
                <w:p w14:paraId="3803FC54">
                  <w:pPr>
                    <w:pStyle w:val="61"/>
                    <w:keepNext w:val="0"/>
                    <w:keepLines w:val="0"/>
                    <w:suppressLineNumbers w:val="0"/>
                    <w:bidi w:val="0"/>
                    <w:spacing w:before="0" w:beforeAutospacing="0" w:after="0" w:afterAutospacing="0"/>
                    <w:ind w:left="0" w:right="0"/>
                    <w:jc w:val="center"/>
                    <w:rPr>
                      <w:rFonts w:hint="eastAsia"/>
                      <w:lang w:val="en-US" w:eastAsia="zh-CN"/>
                    </w:rPr>
                  </w:pPr>
                </w:p>
              </w:tc>
              <w:tc>
                <w:tcPr>
                  <w:tcW w:w="1021" w:type="dxa"/>
                  <w:vAlign w:val="center"/>
                </w:tcPr>
                <w:p w14:paraId="4FB2F988">
                  <w:pPr>
                    <w:pStyle w:val="27"/>
                    <w:keepNext w:val="0"/>
                    <w:keepLines w:val="0"/>
                    <w:suppressLineNumbers w:val="0"/>
                    <w:bidi w:val="0"/>
                    <w:spacing w:before="0" w:beforeAutospacing="0" w:after="0" w:afterAutospacing="0"/>
                    <w:ind w:left="0" w:right="0" w:firstLine="0" w:firstLineChars="0"/>
                    <w:jc w:val="center"/>
                    <w:rPr>
                      <w:rFonts w:hint="default"/>
                      <w:lang w:val="en-US" w:eastAsia="zh-CN"/>
                    </w:rPr>
                  </w:pPr>
                  <w:r>
                    <w:rPr>
                      <w:rFonts w:hint="eastAsia"/>
                      <w:b w:val="0"/>
                      <w:bCs w:val="0"/>
                      <w:color w:val="auto"/>
                      <w:u w:val="none"/>
                      <w:lang w:val="en-US" w:eastAsia="zh-CN"/>
                    </w:rPr>
                    <w:t>铅</w:t>
                  </w:r>
                </w:p>
              </w:tc>
              <w:tc>
                <w:tcPr>
                  <w:tcW w:w="6208" w:type="dxa"/>
                  <w:vAlign w:val="center"/>
                </w:tcPr>
                <w:p w14:paraId="3F50E874">
                  <w:pPr>
                    <w:pStyle w:val="27"/>
                    <w:keepNext w:val="0"/>
                    <w:keepLines w:val="0"/>
                    <w:suppressLineNumbers w:val="0"/>
                    <w:bidi w:val="0"/>
                    <w:spacing w:before="0" w:beforeAutospacing="0" w:after="0" w:afterAutospacing="0"/>
                    <w:ind w:left="0" w:right="0"/>
                    <w:jc w:val="center"/>
                    <w:rPr>
                      <w:rFonts w:hint="eastAsia"/>
                      <w:b w:val="0"/>
                      <w:bCs w:val="0"/>
                      <w:color w:val="auto"/>
                      <w:u w:val="none"/>
                      <w:lang w:val="en-US" w:eastAsia="zh-CN"/>
                    </w:rPr>
                  </w:pPr>
                  <w:r>
                    <w:rPr>
                      <w:rFonts w:hint="eastAsia"/>
                      <w:b w:val="0"/>
                      <w:bCs w:val="0"/>
                      <w:color w:val="auto"/>
                      <w:u w:val="none"/>
                      <w:lang w:val="en-US" w:eastAsia="zh-CN"/>
                    </w:rPr>
                    <w:t>理化性质：蓝灰色金属，相对密度</w:t>
                  </w:r>
                  <w:r>
                    <w:rPr>
                      <w:rFonts w:hint="default"/>
                      <w:b w:val="0"/>
                      <w:bCs w:val="0"/>
                      <w:color w:val="auto"/>
                      <w:u w:val="none"/>
                      <w:lang w:val="en-US" w:eastAsia="zh-CN"/>
                    </w:rPr>
                    <w:t>11.34</w:t>
                  </w:r>
                  <w:r>
                    <w:rPr>
                      <w:rFonts w:hint="eastAsia"/>
                      <w:b w:val="0"/>
                      <w:bCs w:val="0"/>
                      <w:color w:val="auto"/>
                      <w:u w:val="none"/>
                      <w:lang w:val="en-US" w:eastAsia="zh-CN"/>
                    </w:rPr>
                    <w:t>。熔点</w:t>
                  </w:r>
                  <w:r>
                    <w:rPr>
                      <w:rFonts w:hint="default"/>
                      <w:b w:val="0"/>
                      <w:bCs w:val="0"/>
                      <w:color w:val="auto"/>
                      <w:u w:val="none"/>
                      <w:lang w:val="en-US" w:eastAsia="zh-CN"/>
                    </w:rPr>
                    <w:t>327.5</w:t>
                  </w:r>
                  <w:r>
                    <w:rPr>
                      <w:rFonts w:hint="eastAsia"/>
                      <w:b w:val="0"/>
                      <w:bCs w:val="0"/>
                      <w:color w:val="auto"/>
                      <w:u w:val="none"/>
                      <w:lang w:val="en-US" w:eastAsia="zh-CN"/>
                    </w:rPr>
                    <w:t>℃，沸点</w:t>
                  </w:r>
                  <w:r>
                    <w:rPr>
                      <w:rFonts w:hint="default"/>
                      <w:b w:val="0"/>
                      <w:bCs w:val="0"/>
                      <w:color w:val="auto"/>
                      <w:u w:val="none"/>
                      <w:lang w:val="en-US" w:eastAsia="zh-CN"/>
                    </w:rPr>
                    <w:t>1749</w:t>
                  </w:r>
                  <w:r>
                    <w:rPr>
                      <w:rFonts w:hint="eastAsia"/>
                      <w:b w:val="0"/>
                      <w:bCs w:val="0"/>
                      <w:color w:val="auto"/>
                      <w:u w:val="none"/>
                      <w:lang w:val="en-US" w:eastAsia="zh-CN"/>
                    </w:rPr>
                    <w:t>℃。不溶于水，溶于硝酸、热的浓硫酸。</w:t>
                  </w:r>
                </w:p>
                <w:p w14:paraId="4B7DE5DD">
                  <w:pPr>
                    <w:pStyle w:val="27"/>
                    <w:keepNext w:val="0"/>
                    <w:keepLines w:val="0"/>
                    <w:suppressLineNumbers w:val="0"/>
                    <w:bidi w:val="0"/>
                    <w:spacing w:before="0" w:beforeAutospacing="0" w:after="0" w:afterAutospacing="0"/>
                    <w:ind w:left="0" w:right="0" w:firstLine="0" w:firstLineChars="0"/>
                    <w:jc w:val="center"/>
                    <w:rPr>
                      <w:rFonts w:hint="eastAsia"/>
                      <w:lang w:val="en-US" w:eastAsia="zh-CN"/>
                    </w:rPr>
                  </w:pPr>
                  <w:r>
                    <w:rPr>
                      <w:rFonts w:hint="eastAsia"/>
                      <w:b w:val="0"/>
                      <w:bCs w:val="0"/>
                      <w:color w:val="auto"/>
                      <w:u w:val="none"/>
                      <w:lang w:val="en-US" w:eastAsia="zh-CN"/>
                    </w:rPr>
                    <w:t>毒性：有毒。急性毒性，大鼠经静脉</w:t>
                  </w:r>
                  <w:r>
                    <w:rPr>
                      <w:rFonts w:hint="default"/>
                      <w:b w:val="0"/>
                      <w:bCs w:val="0"/>
                      <w:color w:val="auto"/>
                      <w:u w:val="none"/>
                      <w:lang w:val="en-US" w:eastAsia="zh-CN"/>
                    </w:rPr>
                    <w:t>LD</w:t>
                  </w:r>
                  <w:r>
                    <w:rPr>
                      <w:rFonts w:hint="default"/>
                      <w:b w:val="0"/>
                      <w:bCs w:val="0"/>
                      <w:color w:val="auto"/>
                      <w:u w:val="none"/>
                      <w:vertAlign w:val="subscript"/>
                      <w:lang w:val="en-US" w:eastAsia="zh-CN"/>
                    </w:rPr>
                    <w:t>50</w:t>
                  </w:r>
                  <w:r>
                    <w:rPr>
                      <w:rFonts w:hint="eastAsia"/>
                      <w:b w:val="0"/>
                      <w:bCs w:val="0"/>
                      <w:color w:val="auto"/>
                      <w:u w:val="none"/>
                      <w:vertAlign w:val="subscript"/>
                      <w:lang w:val="en-US" w:eastAsia="zh-CN"/>
                    </w:rPr>
                    <w:t>:</w:t>
                  </w:r>
                  <w:r>
                    <w:rPr>
                      <w:rFonts w:hint="default"/>
                      <w:b w:val="0"/>
                      <w:bCs w:val="0"/>
                      <w:color w:val="auto"/>
                      <w:u w:val="none"/>
                      <w:lang w:val="en-US" w:eastAsia="zh-CN"/>
                    </w:rPr>
                    <w:t>70mg/kg</w:t>
                  </w:r>
                  <w:r>
                    <w:rPr>
                      <w:rFonts w:hint="eastAsia"/>
                      <w:b w:val="0"/>
                      <w:bCs w:val="0"/>
                      <w:color w:val="auto"/>
                      <w:u w:val="none"/>
                      <w:lang w:val="en-US" w:eastAsia="zh-CN"/>
                    </w:rPr>
                    <w:t>。铅及其化合物主要以粉尘、烟或蒸汽形式经呼吸道进入人体，其次是经消化道进入血液循环，其中与红细胞结合在血浆中的铅，呈血浆蛋白结合铅；另一部分呈活性大的可溶性铅。危险特性：可燃。有害燃烧产物氧化铅。</w:t>
                  </w:r>
                </w:p>
              </w:tc>
            </w:tr>
            <w:tr w14:paraId="144993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19" w:type="dxa"/>
                  <w:vMerge w:val="continue"/>
                  <w:vAlign w:val="center"/>
                </w:tcPr>
                <w:p w14:paraId="5D217699">
                  <w:pPr>
                    <w:pStyle w:val="61"/>
                    <w:keepNext w:val="0"/>
                    <w:keepLines w:val="0"/>
                    <w:suppressLineNumbers w:val="0"/>
                    <w:bidi w:val="0"/>
                    <w:spacing w:before="0" w:beforeAutospacing="0" w:after="0" w:afterAutospacing="0"/>
                    <w:ind w:left="0" w:right="0"/>
                    <w:jc w:val="center"/>
                    <w:rPr>
                      <w:rFonts w:hint="eastAsia"/>
                      <w:lang w:val="en-US" w:eastAsia="zh-CN"/>
                    </w:rPr>
                  </w:pPr>
                </w:p>
              </w:tc>
              <w:tc>
                <w:tcPr>
                  <w:tcW w:w="1021" w:type="dxa"/>
                  <w:vAlign w:val="center"/>
                </w:tcPr>
                <w:p w14:paraId="0FDF6631">
                  <w:pPr>
                    <w:pStyle w:val="27"/>
                    <w:keepNext w:val="0"/>
                    <w:keepLines w:val="0"/>
                    <w:suppressLineNumbers w:val="0"/>
                    <w:bidi w:val="0"/>
                    <w:spacing w:before="0" w:beforeAutospacing="0" w:after="0" w:afterAutospacing="0"/>
                    <w:ind w:left="0" w:right="0" w:firstLine="0" w:firstLineChars="0"/>
                    <w:jc w:val="center"/>
                    <w:rPr>
                      <w:rFonts w:hint="eastAsia"/>
                      <w:lang w:val="en-US" w:eastAsia="zh-CN"/>
                    </w:rPr>
                  </w:pPr>
                  <w:r>
                    <w:rPr>
                      <w:rFonts w:hint="eastAsia"/>
                      <w:b w:val="0"/>
                      <w:bCs w:val="0"/>
                      <w:color w:val="auto"/>
                      <w:u w:val="none"/>
                      <w:lang w:val="en-US" w:eastAsia="zh-CN"/>
                    </w:rPr>
                    <w:t>二氧化铅</w:t>
                  </w:r>
                </w:p>
              </w:tc>
              <w:tc>
                <w:tcPr>
                  <w:tcW w:w="6208" w:type="dxa"/>
                  <w:vAlign w:val="center"/>
                </w:tcPr>
                <w:p w14:paraId="55B15FE6">
                  <w:pPr>
                    <w:pStyle w:val="27"/>
                    <w:keepNext w:val="0"/>
                    <w:keepLines w:val="0"/>
                    <w:suppressLineNumbers w:val="0"/>
                    <w:bidi w:val="0"/>
                    <w:spacing w:before="0" w:beforeAutospacing="0" w:after="0" w:afterAutospacing="0"/>
                    <w:ind w:left="0" w:right="0"/>
                    <w:jc w:val="center"/>
                    <w:rPr>
                      <w:rFonts w:hint="eastAsia"/>
                      <w:b w:val="0"/>
                      <w:bCs w:val="0"/>
                      <w:color w:val="auto"/>
                      <w:u w:val="none"/>
                      <w:lang w:val="en-US" w:eastAsia="zh-CN"/>
                    </w:rPr>
                  </w:pPr>
                  <w:r>
                    <w:rPr>
                      <w:rFonts w:hint="eastAsia"/>
                      <w:b w:val="0"/>
                      <w:bCs w:val="0"/>
                      <w:color w:val="auto"/>
                      <w:u w:val="none"/>
                      <w:lang w:val="en-US" w:eastAsia="zh-CN"/>
                    </w:rPr>
                    <w:t>外观：棕褐色结晶或粉末；熔点：</w:t>
                  </w:r>
                  <w:r>
                    <w:rPr>
                      <w:rFonts w:hint="default"/>
                      <w:b w:val="0"/>
                      <w:bCs w:val="0"/>
                      <w:color w:val="auto"/>
                      <w:u w:val="none"/>
                      <w:lang w:val="en-US" w:eastAsia="zh-CN"/>
                    </w:rPr>
                    <w:t>290</w:t>
                  </w:r>
                  <w:r>
                    <w:rPr>
                      <w:rFonts w:hint="eastAsia"/>
                      <w:b w:val="0"/>
                      <w:bCs w:val="0"/>
                      <w:color w:val="auto"/>
                      <w:u w:val="none"/>
                      <w:lang w:val="en-US" w:eastAsia="zh-CN"/>
                    </w:rPr>
                    <w:t>℃；相对密度（水</w:t>
                  </w:r>
                  <w:r>
                    <w:rPr>
                      <w:rFonts w:hint="default"/>
                      <w:b w:val="0"/>
                      <w:bCs w:val="0"/>
                      <w:color w:val="auto"/>
                      <w:u w:val="none"/>
                      <w:lang w:val="en-US" w:eastAsia="zh-CN"/>
                    </w:rPr>
                    <w:t>=1</w:t>
                  </w:r>
                  <w:r>
                    <w:rPr>
                      <w:rFonts w:hint="eastAsia"/>
                      <w:b w:val="0"/>
                      <w:bCs w:val="0"/>
                      <w:color w:val="auto"/>
                      <w:u w:val="none"/>
                      <w:lang w:val="en-US" w:eastAsia="zh-CN"/>
                    </w:rPr>
                    <w:t>）：</w:t>
                  </w:r>
                  <w:r>
                    <w:rPr>
                      <w:rFonts w:hint="default"/>
                      <w:b w:val="0"/>
                      <w:bCs w:val="0"/>
                      <w:color w:val="auto"/>
                      <w:u w:val="none"/>
                      <w:lang w:val="en-US" w:eastAsia="zh-CN"/>
                    </w:rPr>
                    <w:t>9.38</w:t>
                  </w:r>
                  <w:r>
                    <w:rPr>
                      <w:rFonts w:hint="eastAsia"/>
                      <w:b w:val="0"/>
                      <w:bCs w:val="0"/>
                      <w:color w:val="auto"/>
                      <w:u w:val="none"/>
                      <w:lang w:val="en-US" w:eastAsia="zh-CN"/>
                    </w:rPr>
                    <w:t>。</w:t>
                  </w:r>
                </w:p>
                <w:p w14:paraId="77E57CE7">
                  <w:pPr>
                    <w:pStyle w:val="27"/>
                    <w:keepNext w:val="0"/>
                    <w:keepLines w:val="0"/>
                    <w:suppressLineNumbers w:val="0"/>
                    <w:bidi w:val="0"/>
                    <w:spacing w:before="0" w:beforeAutospacing="0" w:after="0" w:afterAutospacing="0"/>
                    <w:ind w:left="0" w:right="0" w:firstLine="0" w:firstLineChars="0"/>
                    <w:jc w:val="center"/>
                    <w:rPr>
                      <w:rFonts w:hint="eastAsia"/>
                      <w:lang w:val="en-US" w:eastAsia="zh-CN"/>
                    </w:rPr>
                  </w:pPr>
                  <w:r>
                    <w:rPr>
                      <w:rFonts w:hint="default"/>
                      <w:b w:val="0"/>
                      <w:bCs w:val="0"/>
                      <w:color w:val="auto"/>
                      <w:u w:val="none"/>
                      <w:lang w:val="en-US" w:eastAsia="zh-CN"/>
                    </w:rPr>
                    <w:t>LD</w:t>
                  </w:r>
                  <w:r>
                    <w:rPr>
                      <w:rFonts w:hint="default"/>
                      <w:b w:val="0"/>
                      <w:bCs w:val="0"/>
                      <w:color w:val="auto"/>
                      <w:u w:val="none"/>
                      <w:vertAlign w:val="subscript"/>
                      <w:lang w:val="en-US" w:eastAsia="zh-CN"/>
                    </w:rPr>
                    <w:t>50</w:t>
                  </w:r>
                  <w:r>
                    <w:rPr>
                      <w:rFonts w:hint="eastAsia"/>
                      <w:b w:val="0"/>
                      <w:bCs w:val="0"/>
                      <w:color w:val="auto"/>
                      <w:u w:val="none"/>
                      <w:vertAlign w:val="subscript"/>
                      <w:lang w:val="en-US" w:eastAsia="zh-CN"/>
                    </w:rPr>
                    <w:t>:</w:t>
                  </w:r>
                  <w:r>
                    <w:rPr>
                      <w:rFonts w:hint="default"/>
                      <w:b w:val="0"/>
                      <w:bCs w:val="0"/>
                      <w:color w:val="auto"/>
                      <w:u w:val="none"/>
                      <w:lang w:val="en-US" w:eastAsia="zh-CN"/>
                    </w:rPr>
                    <w:t>200mg/kg</w:t>
                  </w:r>
                  <w:r>
                    <w:rPr>
                      <w:rFonts w:hint="eastAsia"/>
                      <w:b w:val="0"/>
                      <w:bCs w:val="0"/>
                      <w:color w:val="auto"/>
                      <w:u w:val="none"/>
                      <w:lang w:val="en-US" w:eastAsia="zh-CN"/>
                    </w:rPr>
                    <w:t>（豚鼠腹膜内注射）中等毒性；损害造血、神经、消化系统及肾脏。职业中毒主要为慢性。短时接触大剂量可发生急性或亚急性铅中毒，表现类似重症慢性铅中毒。</w:t>
                  </w:r>
                </w:p>
              </w:tc>
            </w:tr>
            <w:tr w14:paraId="5C2E7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19" w:type="dxa"/>
                  <w:vMerge w:val="continue"/>
                  <w:vAlign w:val="center"/>
                </w:tcPr>
                <w:p w14:paraId="6F6CF08F">
                  <w:pPr>
                    <w:pStyle w:val="61"/>
                    <w:keepNext w:val="0"/>
                    <w:keepLines w:val="0"/>
                    <w:suppressLineNumbers w:val="0"/>
                    <w:bidi w:val="0"/>
                    <w:spacing w:before="0" w:beforeAutospacing="0" w:after="0" w:afterAutospacing="0"/>
                    <w:ind w:left="0" w:right="0"/>
                    <w:jc w:val="center"/>
                    <w:rPr>
                      <w:rFonts w:hint="eastAsia"/>
                      <w:lang w:val="en-US" w:eastAsia="zh-CN"/>
                    </w:rPr>
                  </w:pPr>
                </w:p>
              </w:tc>
              <w:tc>
                <w:tcPr>
                  <w:tcW w:w="1021" w:type="dxa"/>
                  <w:vAlign w:val="center"/>
                </w:tcPr>
                <w:p w14:paraId="0A77B480">
                  <w:pPr>
                    <w:pStyle w:val="27"/>
                    <w:keepNext w:val="0"/>
                    <w:keepLines w:val="0"/>
                    <w:suppressLineNumbers w:val="0"/>
                    <w:bidi w:val="0"/>
                    <w:spacing w:before="0" w:beforeAutospacing="0" w:after="0" w:afterAutospacing="0"/>
                    <w:ind w:left="0" w:right="0" w:firstLine="0" w:firstLineChars="0"/>
                    <w:jc w:val="center"/>
                    <w:rPr>
                      <w:rFonts w:hint="eastAsia"/>
                      <w:lang w:val="en-US" w:eastAsia="zh-CN"/>
                    </w:rPr>
                  </w:pPr>
                  <w:r>
                    <w:rPr>
                      <w:rFonts w:hint="eastAsia"/>
                      <w:b w:val="0"/>
                      <w:bCs w:val="0"/>
                      <w:color w:val="auto"/>
                      <w:u w:val="none"/>
                      <w:lang w:val="en-US" w:eastAsia="zh-CN"/>
                    </w:rPr>
                    <w:t>硫酸铅</w:t>
                  </w:r>
                </w:p>
              </w:tc>
              <w:tc>
                <w:tcPr>
                  <w:tcW w:w="6208" w:type="dxa"/>
                  <w:vAlign w:val="center"/>
                </w:tcPr>
                <w:p w14:paraId="3EEE7D89">
                  <w:pPr>
                    <w:pStyle w:val="27"/>
                    <w:keepNext w:val="0"/>
                    <w:keepLines w:val="0"/>
                    <w:suppressLineNumbers w:val="0"/>
                    <w:bidi w:val="0"/>
                    <w:spacing w:before="0" w:beforeAutospacing="0" w:after="0" w:afterAutospacing="0"/>
                    <w:ind w:left="0" w:right="0"/>
                    <w:jc w:val="center"/>
                    <w:rPr>
                      <w:rFonts w:hint="eastAsia"/>
                      <w:b w:val="0"/>
                      <w:bCs w:val="0"/>
                      <w:color w:val="auto"/>
                      <w:u w:val="none"/>
                      <w:lang w:val="en-US" w:eastAsia="zh-CN"/>
                    </w:rPr>
                  </w:pPr>
                  <w:r>
                    <w:rPr>
                      <w:rFonts w:hint="eastAsia"/>
                      <w:b w:val="0"/>
                      <w:bCs w:val="0"/>
                      <w:color w:val="auto"/>
                      <w:u w:val="none"/>
                      <w:lang w:val="en-US" w:eastAsia="zh-CN"/>
                    </w:rPr>
                    <w:t>白色单斜或正交晶体；熔点：</w:t>
                  </w:r>
                  <w:r>
                    <w:rPr>
                      <w:rFonts w:hint="default"/>
                      <w:b w:val="0"/>
                      <w:bCs w:val="0"/>
                      <w:color w:val="auto"/>
                      <w:u w:val="none"/>
                      <w:lang w:val="en-US" w:eastAsia="zh-CN"/>
                    </w:rPr>
                    <w:t>1170</w:t>
                  </w:r>
                  <w:r>
                    <w:rPr>
                      <w:rFonts w:hint="eastAsia"/>
                      <w:b w:val="0"/>
                      <w:bCs w:val="0"/>
                      <w:color w:val="auto"/>
                      <w:u w:val="none"/>
                      <w:lang w:val="en-US" w:eastAsia="zh-CN"/>
                    </w:rPr>
                    <w:t>℃，密度：</w:t>
                  </w:r>
                  <w:r>
                    <w:rPr>
                      <w:rFonts w:hint="default"/>
                      <w:b w:val="0"/>
                      <w:bCs w:val="0"/>
                      <w:color w:val="auto"/>
                      <w:u w:val="none"/>
                      <w:lang w:val="en-US" w:eastAsia="zh-CN"/>
                    </w:rPr>
                    <w:t>6.2g/cm</w:t>
                  </w:r>
                  <w:r>
                    <w:rPr>
                      <w:rFonts w:hint="default"/>
                      <w:b w:val="0"/>
                      <w:bCs w:val="0"/>
                      <w:color w:val="auto"/>
                      <w:u w:val="none"/>
                      <w:vertAlign w:val="superscript"/>
                      <w:lang w:val="en-US" w:eastAsia="zh-CN"/>
                    </w:rPr>
                    <w:t>3</w:t>
                  </w:r>
                  <w:r>
                    <w:rPr>
                      <w:rFonts w:hint="eastAsia"/>
                      <w:b w:val="0"/>
                      <w:bCs w:val="0"/>
                      <w:color w:val="auto"/>
                      <w:u w:val="none"/>
                      <w:lang w:val="en-US" w:eastAsia="zh-CN"/>
                    </w:rPr>
                    <w:t>；微溶于水，溶解度：</w:t>
                  </w:r>
                  <w:r>
                    <w:rPr>
                      <w:rFonts w:hint="default"/>
                      <w:b w:val="0"/>
                      <w:bCs w:val="0"/>
                      <w:color w:val="auto"/>
                      <w:u w:val="none"/>
                      <w:lang w:val="en-US" w:eastAsia="zh-CN"/>
                    </w:rPr>
                    <w:t>0.0041</w:t>
                  </w:r>
                  <w:r>
                    <w:rPr>
                      <w:rFonts w:hint="eastAsia"/>
                      <w:b w:val="0"/>
                      <w:bCs w:val="0"/>
                      <w:color w:val="auto"/>
                      <w:u w:val="none"/>
                      <w:lang w:val="en-US" w:eastAsia="zh-CN"/>
                    </w:rPr>
                    <w:t>克</w:t>
                  </w:r>
                  <w:r>
                    <w:rPr>
                      <w:rFonts w:hint="default"/>
                      <w:b w:val="0"/>
                      <w:bCs w:val="0"/>
                      <w:color w:val="auto"/>
                      <w:u w:val="none"/>
                      <w:lang w:val="en-US" w:eastAsia="zh-CN"/>
                    </w:rPr>
                    <w:t>/100</w:t>
                  </w:r>
                  <w:r>
                    <w:rPr>
                      <w:rFonts w:hint="eastAsia"/>
                      <w:b w:val="0"/>
                      <w:bCs w:val="0"/>
                      <w:color w:val="auto"/>
                      <w:u w:val="none"/>
                      <w:lang w:val="en-US" w:eastAsia="zh-CN"/>
                    </w:rPr>
                    <w:t>克水（</w:t>
                  </w:r>
                  <w:r>
                    <w:rPr>
                      <w:rFonts w:hint="default"/>
                      <w:b w:val="0"/>
                      <w:bCs w:val="0"/>
                      <w:color w:val="auto"/>
                      <w:u w:val="none"/>
                      <w:lang w:val="en-US" w:eastAsia="zh-CN"/>
                    </w:rPr>
                    <w:t>20°C</w:t>
                  </w:r>
                  <w:r>
                    <w:rPr>
                      <w:rFonts w:hint="eastAsia"/>
                      <w:b w:val="0"/>
                      <w:bCs w:val="0"/>
                      <w:color w:val="auto"/>
                      <w:u w:val="none"/>
                      <w:lang w:val="en-US" w:eastAsia="zh-CN"/>
                    </w:rPr>
                    <w:t>）硫酸铅几乎不溶于稀的强酸溶液，能溶于较浓的硫酸溶液、乙酸铵溶液和强碱溶液。</w:t>
                  </w:r>
                </w:p>
                <w:p w14:paraId="5B67F064">
                  <w:pPr>
                    <w:pStyle w:val="27"/>
                    <w:keepNext w:val="0"/>
                    <w:keepLines w:val="0"/>
                    <w:suppressLineNumbers w:val="0"/>
                    <w:bidi w:val="0"/>
                    <w:spacing w:before="0" w:beforeAutospacing="0" w:after="0" w:afterAutospacing="0"/>
                    <w:ind w:left="0" w:right="0" w:firstLine="0" w:firstLineChars="0"/>
                    <w:jc w:val="center"/>
                    <w:rPr>
                      <w:rFonts w:hint="eastAsia"/>
                      <w:lang w:val="en-US" w:eastAsia="zh-CN"/>
                    </w:rPr>
                  </w:pPr>
                  <w:r>
                    <w:rPr>
                      <w:rFonts w:hint="eastAsia"/>
                      <w:b w:val="0"/>
                      <w:bCs w:val="0"/>
                      <w:color w:val="auto"/>
                      <w:u w:val="none"/>
                      <w:lang w:val="en-US" w:eastAsia="zh-CN"/>
                    </w:rPr>
                    <w:t>损害造血、神经、消化系统及肾脏。职业中毒主要为慢性。短时接触大剂量可发生急性或亚急性铅中毒，表现类似重症慢性铅中毒。</w:t>
                  </w:r>
                </w:p>
              </w:tc>
            </w:tr>
            <w:tr w14:paraId="4C4E0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19" w:type="dxa"/>
                  <w:vMerge w:val="continue"/>
                  <w:vAlign w:val="center"/>
                </w:tcPr>
                <w:p w14:paraId="14185A9E">
                  <w:pPr>
                    <w:pStyle w:val="61"/>
                    <w:keepNext w:val="0"/>
                    <w:keepLines w:val="0"/>
                    <w:suppressLineNumbers w:val="0"/>
                    <w:bidi w:val="0"/>
                    <w:spacing w:before="0" w:beforeAutospacing="0" w:after="0" w:afterAutospacing="0"/>
                    <w:ind w:left="0" w:right="0"/>
                    <w:jc w:val="center"/>
                    <w:rPr>
                      <w:rFonts w:hint="eastAsia"/>
                      <w:lang w:val="en-US" w:eastAsia="zh-CN"/>
                    </w:rPr>
                  </w:pPr>
                </w:p>
              </w:tc>
              <w:tc>
                <w:tcPr>
                  <w:tcW w:w="1021" w:type="dxa"/>
                  <w:vAlign w:val="center"/>
                </w:tcPr>
                <w:p w14:paraId="269AC97A">
                  <w:pPr>
                    <w:pStyle w:val="27"/>
                    <w:keepNext w:val="0"/>
                    <w:keepLines w:val="0"/>
                    <w:suppressLineNumbers w:val="0"/>
                    <w:bidi w:val="0"/>
                    <w:spacing w:before="0" w:beforeAutospacing="0" w:after="0" w:afterAutospacing="0"/>
                    <w:ind w:left="0" w:right="0" w:firstLine="0" w:firstLineChars="0"/>
                    <w:jc w:val="center"/>
                    <w:rPr>
                      <w:rFonts w:hint="eastAsia"/>
                      <w:lang w:val="en-US" w:eastAsia="zh-CN"/>
                    </w:rPr>
                  </w:pPr>
                  <w:r>
                    <w:rPr>
                      <w:rFonts w:hint="eastAsia"/>
                      <w:b w:val="0"/>
                      <w:bCs w:val="0"/>
                      <w:color w:val="auto"/>
                      <w:u w:val="none"/>
                      <w:lang w:val="en-US" w:eastAsia="zh-CN"/>
                    </w:rPr>
                    <w:t>硫酸</w:t>
                  </w:r>
                </w:p>
              </w:tc>
              <w:tc>
                <w:tcPr>
                  <w:tcW w:w="6208" w:type="dxa"/>
                  <w:vAlign w:val="center"/>
                </w:tcPr>
                <w:p w14:paraId="5399E788">
                  <w:pPr>
                    <w:pStyle w:val="27"/>
                    <w:keepNext w:val="0"/>
                    <w:keepLines w:val="0"/>
                    <w:suppressLineNumbers w:val="0"/>
                    <w:bidi w:val="0"/>
                    <w:spacing w:before="0" w:beforeAutospacing="0" w:after="0" w:afterAutospacing="0"/>
                    <w:ind w:left="0" w:right="0"/>
                    <w:jc w:val="center"/>
                    <w:rPr>
                      <w:rFonts w:hint="eastAsia"/>
                      <w:b w:val="0"/>
                      <w:bCs w:val="0"/>
                      <w:color w:val="auto"/>
                      <w:u w:val="none"/>
                      <w:lang w:val="en-US" w:eastAsia="zh-CN"/>
                    </w:rPr>
                  </w:pPr>
                  <w:r>
                    <w:rPr>
                      <w:rFonts w:hint="eastAsia"/>
                      <w:b w:val="0"/>
                      <w:bCs w:val="0"/>
                      <w:color w:val="auto"/>
                      <w:u w:val="none"/>
                      <w:lang w:val="en-US" w:eastAsia="zh-CN"/>
                    </w:rPr>
                    <w:t>理化性质：无色透明液体，能以任意比例溶于水。</w:t>
                  </w:r>
                  <w:r>
                    <w:rPr>
                      <w:rFonts w:hint="default"/>
                      <w:b w:val="0"/>
                      <w:bCs w:val="0"/>
                      <w:color w:val="auto"/>
                      <w:u w:val="none"/>
                      <w:lang w:val="en-US" w:eastAsia="zh-CN"/>
                    </w:rPr>
                    <w:t>30%</w:t>
                  </w:r>
                  <w:r>
                    <w:rPr>
                      <w:rFonts w:hint="eastAsia"/>
                      <w:b w:val="0"/>
                      <w:bCs w:val="0"/>
                      <w:color w:val="auto"/>
                      <w:u w:val="none"/>
                      <w:lang w:val="en-US" w:eastAsia="zh-CN"/>
                    </w:rPr>
                    <w:t>硫酸比重为</w:t>
                  </w:r>
                  <w:r>
                    <w:rPr>
                      <w:rFonts w:hint="default"/>
                      <w:b w:val="0"/>
                      <w:bCs w:val="0"/>
                      <w:color w:val="auto"/>
                      <w:u w:val="none"/>
                      <w:lang w:val="en-US" w:eastAsia="zh-CN"/>
                    </w:rPr>
                    <w:t>1.22</w:t>
                  </w:r>
                  <w:r>
                    <w:rPr>
                      <w:rFonts w:hint="eastAsia"/>
                      <w:b w:val="0"/>
                      <w:bCs w:val="0"/>
                      <w:color w:val="auto"/>
                      <w:u w:val="none"/>
                      <w:lang w:val="en-US" w:eastAsia="zh-CN"/>
                    </w:rPr>
                    <w:t>，沸点</w:t>
                  </w:r>
                  <w:r>
                    <w:rPr>
                      <w:rFonts w:hint="default"/>
                      <w:b w:val="0"/>
                      <w:bCs w:val="0"/>
                      <w:color w:val="auto"/>
                      <w:u w:val="none"/>
                      <w:lang w:val="en-US" w:eastAsia="zh-CN"/>
                    </w:rPr>
                    <w:t>108</w:t>
                  </w:r>
                  <w:r>
                    <w:rPr>
                      <w:rFonts w:hint="eastAsia"/>
                      <w:b w:val="0"/>
                      <w:bCs w:val="0"/>
                      <w:color w:val="auto"/>
                      <w:u w:val="none"/>
                      <w:lang w:val="en-US" w:eastAsia="zh-CN"/>
                    </w:rPr>
                    <w:t>℃。毒性：</w:t>
                  </w:r>
                  <w:r>
                    <w:rPr>
                      <w:rFonts w:hint="default"/>
                      <w:b w:val="0"/>
                      <w:bCs w:val="0"/>
                      <w:color w:val="auto"/>
                      <w:u w:val="none"/>
                      <w:lang w:val="en-US" w:eastAsia="zh-CN"/>
                    </w:rPr>
                    <w:t>LD</w:t>
                  </w:r>
                  <w:r>
                    <w:rPr>
                      <w:rFonts w:hint="default"/>
                      <w:b w:val="0"/>
                      <w:bCs w:val="0"/>
                      <w:color w:val="auto"/>
                      <w:u w:val="none"/>
                      <w:vertAlign w:val="subscript"/>
                      <w:lang w:val="en-US" w:eastAsia="zh-CN"/>
                    </w:rPr>
                    <w:t>50</w:t>
                  </w:r>
                  <w:r>
                    <w:rPr>
                      <w:rFonts w:hint="eastAsia"/>
                      <w:b w:val="0"/>
                      <w:bCs w:val="0"/>
                      <w:color w:val="auto"/>
                      <w:u w:val="none"/>
                      <w:vertAlign w:val="subscript"/>
                      <w:lang w:val="en-US" w:eastAsia="zh-CN"/>
                    </w:rPr>
                    <w:t>:</w:t>
                  </w:r>
                  <w:r>
                    <w:rPr>
                      <w:rFonts w:hint="default"/>
                      <w:b w:val="0"/>
                      <w:bCs w:val="0"/>
                      <w:color w:val="auto"/>
                      <w:u w:val="none"/>
                      <w:lang w:val="en-US" w:eastAsia="zh-CN"/>
                    </w:rPr>
                    <w:t>80mg/kg</w:t>
                  </w:r>
                  <w:r>
                    <w:rPr>
                      <w:rFonts w:hint="eastAsia"/>
                      <w:b w:val="0"/>
                      <w:bCs w:val="0"/>
                      <w:color w:val="auto"/>
                      <w:u w:val="none"/>
                      <w:lang w:val="en-US" w:eastAsia="zh-CN"/>
                    </w:rPr>
                    <w:t>（大鼠经口）；</w:t>
                  </w:r>
                  <w:r>
                    <w:rPr>
                      <w:rFonts w:hint="default"/>
                      <w:b w:val="0"/>
                      <w:bCs w:val="0"/>
                      <w:color w:val="auto"/>
                      <w:u w:val="none"/>
                      <w:lang w:val="en-US" w:eastAsia="zh-CN"/>
                    </w:rPr>
                    <w:t>LC</w:t>
                  </w:r>
                  <w:r>
                    <w:rPr>
                      <w:rFonts w:hint="default"/>
                      <w:b w:val="0"/>
                      <w:bCs w:val="0"/>
                      <w:color w:val="auto"/>
                      <w:u w:val="none"/>
                      <w:vertAlign w:val="subscript"/>
                      <w:lang w:val="en-US" w:eastAsia="zh-CN"/>
                    </w:rPr>
                    <w:t>50</w:t>
                  </w:r>
                  <w:r>
                    <w:rPr>
                      <w:rFonts w:hint="eastAsia"/>
                      <w:b w:val="0"/>
                      <w:bCs w:val="0"/>
                      <w:color w:val="auto"/>
                      <w:u w:val="none"/>
                      <w:vertAlign w:val="subscript"/>
                      <w:lang w:val="en-US" w:eastAsia="zh-CN"/>
                    </w:rPr>
                    <w:t>:</w:t>
                  </w:r>
                  <w:r>
                    <w:rPr>
                      <w:rFonts w:hint="default"/>
                      <w:b w:val="0"/>
                      <w:bCs w:val="0"/>
                      <w:color w:val="auto"/>
                      <w:u w:val="none"/>
                      <w:lang w:val="en-US" w:eastAsia="zh-CN"/>
                    </w:rPr>
                    <w:t>510mg/m</w:t>
                  </w:r>
                  <w:r>
                    <w:rPr>
                      <w:rFonts w:hint="default"/>
                      <w:b w:val="0"/>
                      <w:bCs w:val="0"/>
                      <w:color w:val="auto"/>
                      <w:u w:val="none"/>
                      <w:vertAlign w:val="superscript"/>
                      <w:lang w:val="en-US" w:eastAsia="zh-CN"/>
                    </w:rPr>
                    <w:t>3</w:t>
                  </w:r>
                  <w:r>
                    <w:rPr>
                      <w:rFonts w:hint="default"/>
                      <w:b w:val="0"/>
                      <w:bCs w:val="0"/>
                      <w:color w:val="auto"/>
                      <w:u w:val="none"/>
                      <w:lang w:val="en-US" w:eastAsia="zh-CN"/>
                    </w:rPr>
                    <w:t>(2h</w:t>
                  </w:r>
                  <w:r>
                    <w:rPr>
                      <w:rFonts w:hint="eastAsia"/>
                      <w:b w:val="0"/>
                      <w:bCs w:val="0"/>
                      <w:color w:val="auto"/>
                      <w:u w:val="none"/>
                      <w:lang w:val="en-US" w:eastAsia="zh-CN"/>
                    </w:rPr>
                    <w:t>大鼠吸入），</w:t>
                  </w:r>
                  <w:r>
                    <w:rPr>
                      <w:rFonts w:hint="default"/>
                      <w:b w:val="0"/>
                      <w:bCs w:val="0"/>
                      <w:color w:val="auto"/>
                      <w:u w:val="none"/>
                      <w:lang w:val="en-US" w:eastAsia="zh-CN"/>
                    </w:rPr>
                    <w:t>320mg/m</w:t>
                  </w:r>
                  <w:r>
                    <w:rPr>
                      <w:rFonts w:hint="default"/>
                      <w:b w:val="0"/>
                      <w:bCs w:val="0"/>
                      <w:color w:val="auto"/>
                      <w:u w:val="none"/>
                      <w:vertAlign w:val="superscript"/>
                      <w:lang w:val="en-US" w:eastAsia="zh-CN"/>
                    </w:rPr>
                    <w:t>3</w:t>
                  </w:r>
                  <w:r>
                    <w:rPr>
                      <w:rFonts w:hint="default"/>
                      <w:b w:val="0"/>
                      <w:bCs w:val="0"/>
                      <w:color w:val="auto"/>
                      <w:u w:val="none"/>
                      <w:lang w:val="en-US" w:eastAsia="zh-CN"/>
                    </w:rPr>
                    <w:t>(2h</w:t>
                  </w:r>
                  <w:r>
                    <w:rPr>
                      <w:rFonts w:hint="eastAsia"/>
                      <w:b w:val="0"/>
                      <w:bCs w:val="0"/>
                      <w:color w:val="auto"/>
                      <w:u w:val="none"/>
                      <w:lang w:val="en-US" w:eastAsia="zh-CN"/>
                    </w:rPr>
                    <w:t>小鼠吸入）。</w:t>
                  </w:r>
                </w:p>
                <w:p w14:paraId="57C046D0">
                  <w:pPr>
                    <w:pStyle w:val="27"/>
                    <w:keepNext w:val="0"/>
                    <w:keepLines w:val="0"/>
                    <w:suppressLineNumbers w:val="0"/>
                    <w:bidi w:val="0"/>
                    <w:spacing w:before="0" w:beforeAutospacing="0" w:after="0" w:afterAutospacing="0"/>
                    <w:ind w:left="0" w:right="0" w:firstLine="0" w:firstLineChars="0"/>
                    <w:jc w:val="center"/>
                    <w:rPr>
                      <w:rFonts w:hint="eastAsia"/>
                      <w:lang w:val="en-US" w:eastAsia="zh-CN"/>
                    </w:rPr>
                  </w:pPr>
                  <w:r>
                    <w:rPr>
                      <w:rFonts w:hint="eastAsia"/>
                      <w:b w:val="0"/>
                      <w:bCs w:val="0"/>
                      <w:color w:val="auto"/>
                      <w:u w:val="none"/>
                      <w:lang w:val="en-US" w:eastAsia="zh-CN"/>
                    </w:rPr>
                    <w:t>危险特性：与易燃物和有机物接触会发生剧烈反应。能与一些活性金属粉末发生反应，放出氢气。遇水大量放热，可发生沸。具有强腐蚀性。</w:t>
                  </w:r>
                </w:p>
              </w:tc>
            </w:tr>
          </w:tbl>
          <w:p w14:paraId="3F8B6B0B">
            <w:pPr>
              <w:keepNext w:val="0"/>
              <w:keepLines w:val="0"/>
              <w:suppressLineNumbers w:val="0"/>
              <w:bidi w:val="0"/>
              <w:spacing w:before="0" w:beforeAutospacing="0" w:after="0" w:afterAutospacing="0"/>
              <w:ind w:left="0" w:leftChars="0" w:right="0" w:firstLine="0" w:firstLineChars="0"/>
              <w:rPr>
                <w:rFonts w:hint="default"/>
                <w:b/>
                <w:bCs/>
                <w:color w:val="auto"/>
                <w:lang w:val="en-US" w:eastAsia="zh-CN"/>
              </w:rPr>
            </w:pPr>
            <w:r>
              <w:rPr>
                <w:rFonts w:hint="eastAsia"/>
                <w:b/>
                <w:bCs/>
                <w:color w:val="auto"/>
                <w:lang w:val="en-US" w:eastAsia="zh-CN"/>
              </w:rPr>
              <w:t>5、生产设备</w:t>
            </w:r>
          </w:p>
          <w:p w14:paraId="6D659849">
            <w:pPr>
              <w:keepNext w:val="0"/>
              <w:keepLines w:val="0"/>
              <w:suppressLineNumbers w:val="0"/>
              <w:bidi w:val="0"/>
              <w:spacing w:before="0" w:beforeAutospacing="0" w:after="0" w:afterAutospacing="0"/>
              <w:ind w:left="0" w:right="0"/>
              <w:rPr>
                <w:rFonts w:hint="default" w:eastAsia="宋体"/>
                <w:color w:val="auto"/>
                <w:lang w:val="en-US" w:eastAsia="zh-CN"/>
              </w:rPr>
            </w:pPr>
            <w:r>
              <w:rPr>
                <w:rFonts w:hint="default"/>
                <w:color w:val="auto"/>
              </w:rPr>
              <w:t>项目主要生产设备详见下表</w:t>
            </w:r>
            <w:r>
              <w:rPr>
                <w:rFonts w:hint="eastAsia"/>
                <w:color w:val="auto"/>
                <w:lang w:eastAsia="zh-CN"/>
              </w:rPr>
              <w:t>。</w:t>
            </w:r>
          </w:p>
          <w:p w14:paraId="03646694">
            <w:pPr>
              <w:pStyle w:val="43"/>
              <w:keepNext w:val="0"/>
              <w:keepLines w:val="0"/>
              <w:suppressLineNumbers w:val="0"/>
              <w:bidi w:val="0"/>
              <w:spacing w:before="0" w:beforeAutospacing="0" w:after="0" w:afterAutospacing="0"/>
              <w:ind w:left="0" w:right="0"/>
              <w:rPr>
                <w:color w:val="auto"/>
              </w:rPr>
            </w:pPr>
            <w:r>
              <w:rPr>
                <w:color w:val="auto"/>
              </w:rPr>
              <w:t>表</w:t>
            </w:r>
            <w:r>
              <w:rPr>
                <w:rFonts w:hint="eastAsia"/>
                <w:color w:val="auto"/>
                <w:lang w:val="en-US" w:eastAsia="zh-CN"/>
              </w:rPr>
              <w:t>2-10</w:t>
            </w:r>
            <w:r>
              <w:rPr>
                <w:color w:val="auto"/>
              </w:rPr>
              <w:t xml:space="preserve"> </w:t>
            </w:r>
            <w:r>
              <w:rPr>
                <w:rFonts w:hint="eastAsia"/>
                <w:color w:val="auto"/>
                <w:lang w:val="en-US" w:eastAsia="zh-CN"/>
              </w:rPr>
              <w:t xml:space="preserve"> </w:t>
            </w:r>
            <w:r>
              <w:rPr>
                <w:color w:val="auto"/>
              </w:rPr>
              <w:t>主要生产设备一览表</w:t>
            </w:r>
          </w:p>
          <w:tbl>
            <w:tblPr>
              <w:tblStyle w:val="19"/>
              <w:tblW w:w="4990"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0" w:type="dxa"/>
                <w:bottom w:w="0" w:type="dxa"/>
                <w:right w:w="0" w:type="dxa"/>
              </w:tblCellMar>
            </w:tblPr>
            <w:tblGrid>
              <w:gridCol w:w="624"/>
              <w:gridCol w:w="1118"/>
              <w:gridCol w:w="2082"/>
              <w:gridCol w:w="1933"/>
              <w:gridCol w:w="766"/>
              <w:gridCol w:w="2004"/>
            </w:tblGrid>
            <w:tr w14:paraId="175803A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553" w:hRule="atLeast"/>
                <w:jc w:val="center"/>
              </w:trPr>
              <w:tc>
                <w:tcPr>
                  <w:tcW w:w="365" w:type="pct"/>
                  <w:noWrap w:val="0"/>
                  <w:vAlign w:val="center"/>
                </w:tcPr>
                <w:p w14:paraId="40E5103E">
                  <w:pPr>
                    <w:pStyle w:val="46"/>
                    <w:keepNext w:val="0"/>
                    <w:keepLines w:val="0"/>
                    <w:suppressLineNumbers w:val="0"/>
                    <w:bidi w:val="0"/>
                    <w:spacing w:before="0" w:beforeAutospacing="0" w:after="0" w:afterAutospacing="0"/>
                    <w:rPr>
                      <w:b/>
                      <w:bCs/>
                      <w:color w:val="auto"/>
                    </w:rPr>
                  </w:pPr>
                  <w:r>
                    <w:rPr>
                      <w:b/>
                      <w:bCs/>
                      <w:color w:val="auto"/>
                    </w:rPr>
                    <w:t>序号</w:t>
                  </w:r>
                </w:p>
              </w:tc>
              <w:tc>
                <w:tcPr>
                  <w:tcW w:w="655" w:type="pct"/>
                  <w:noWrap w:val="0"/>
                  <w:vAlign w:val="center"/>
                </w:tcPr>
                <w:p w14:paraId="5C687716">
                  <w:pPr>
                    <w:pStyle w:val="46"/>
                    <w:keepNext w:val="0"/>
                    <w:keepLines w:val="0"/>
                    <w:suppressLineNumbers w:val="0"/>
                    <w:bidi w:val="0"/>
                    <w:spacing w:before="0" w:beforeAutospacing="0" w:after="0" w:afterAutospacing="0"/>
                    <w:rPr>
                      <w:rFonts w:hint="default"/>
                      <w:b/>
                      <w:bCs/>
                      <w:color w:val="auto"/>
                      <w:lang w:val="en-US" w:eastAsia="zh-CN"/>
                    </w:rPr>
                  </w:pPr>
                  <w:r>
                    <w:rPr>
                      <w:rFonts w:hint="eastAsia"/>
                      <w:b/>
                      <w:bCs/>
                      <w:color w:val="auto"/>
                      <w:lang w:val="en-US" w:eastAsia="zh-CN"/>
                    </w:rPr>
                    <w:t>车间</w:t>
                  </w:r>
                </w:p>
              </w:tc>
              <w:tc>
                <w:tcPr>
                  <w:tcW w:w="1220" w:type="pct"/>
                  <w:noWrap w:val="0"/>
                  <w:vAlign w:val="center"/>
                </w:tcPr>
                <w:p w14:paraId="49A5A8CC">
                  <w:pPr>
                    <w:pStyle w:val="46"/>
                    <w:keepNext w:val="0"/>
                    <w:keepLines w:val="0"/>
                    <w:suppressLineNumbers w:val="0"/>
                    <w:bidi w:val="0"/>
                    <w:spacing w:before="0" w:beforeAutospacing="0" w:after="0" w:afterAutospacing="0"/>
                    <w:rPr>
                      <w:b/>
                      <w:bCs/>
                      <w:color w:val="auto"/>
                    </w:rPr>
                  </w:pPr>
                  <w:r>
                    <w:rPr>
                      <w:b/>
                      <w:bCs/>
                      <w:color w:val="auto"/>
                    </w:rPr>
                    <w:t>设备名称</w:t>
                  </w:r>
                </w:p>
              </w:tc>
              <w:tc>
                <w:tcPr>
                  <w:tcW w:w="1133" w:type="pct"/>
                  <w:noWrap w:val="0"/>
                  <w:vAlign w:val="center"/>
                </w:tcPr>
                <w:p w14:paraId="29FCDF59">
                  <w:pPr>
                    <w:pStyle w:val="46"/>
                    <w:keepNext w:val="0"/>
                    <w:keepLines w:val="0"/>
                    <w:suppressLineNumbers w:val="0"/>
                    <w:bidi w:val="0"/>
                    <w:spacing w:before="0" w:beforeAutospacing="0" w:after="0" w:afterAutospacing="0"/>
                    <w:rPr>
                      <w:b/>
                      <w:bCs/>
                      <w:color w:val="auto"/>
                    </w:rPr>
                  </w:pPr>
                  <w:r>
                    <w:rPr>
                      <w:b/>
                      <w:bCs/>
                      <w:color w:val="auto"/>
                    </w:rPr>
                    <w:t>规格型号</w:t>
                  </w:r>
                </w:p>
              </w:tc>
              <w:tc>
                <w:tcPr>
                  <w:tcW w:w="449" w:type="pct"/>
                  <w:noWrap w:val="0"/>
                  <w:vAlign w:val="center"/>
                </w:tcPr>
                <w:p w14:paraId="60661471">
                  <w:pPr>
                    <w:pStyle w:val="46"/>
                    <w:keepNext w:val="0"/>
                    <w:keepLines w:val="0"/>
                    <w:suppressLineNumbers w:val="0"/>
                    <w:bidi w:val="0"/>
                    <w:spacing w:before="0" w:beforeAutospacing="0" w:after="0" w:afterAutospacing="0"/>
                    <w:rPr>
                      <w:rFonts w:hint="eastAsia" w:eastAsia="宋体"/>
                      <w:b/>
                      <w:bCs/>
                      <w:color w:val="auto"/>
                      <w:lang w:val="en-US" w:eastAsia="zh-CN"/>
                    </w:rPr>
                  </w:pPr>
                  <w:r>
                    <w:rPr>
                      <w:b/>
                      <w:bCs/>
                      <w:color w:val="auto"/>
                    </w:rPr>
                    <w:t>数量</w:t>
                  </w:r>
                  <w:r>
                    <w:rPr>
                      <w:rFonts w:hint="eastAsia"/>
                      <w:b/>
                      <w:bCs/>
                      <w:color w:val="auto"/>
                      <w:lang w:val="en-US" w:eastAsia="zh-CN"/>
                    </w:rPr>
                    <w:t>台</w:t>
                  </w:r>
                </w:p>
              </w:tc>
              <w:tc>
                <w:tcPr>
                  <w:tcW w:w="1175" w:type="pct"/>
                  <w:noWrap w:val="0"/>
                  <w:vAlign w:val="center"/>
                </w:tcPr>
                <w:p w14:paraId="39C7F087">
                  <w:pPr>
                    <w:pStyle w:val="46"/>
                    <w:keepNext w:val="0"/>
                    <w:keepLines w:val="0"/>
                    <w:suppressLineNumbers w:val="0"/>
                    <w:bidi w:val="0"/>
                    <w:spacing w:before="0" w:beforeAutospacing="0" w:after="0" w:afterAutospacing="0"/>
                    <w:rPr>
                      <w:b/>
                      <w:bCs/>
                      <w:color w:val="auto"/>
                      <w:lang w:eastAsia="zh-CN"/>
                    </w:rPr>
                  </w:pPr>
                  <w:r>
                    <w:rPr>
                      <w:b/>
                      <w:bCs/>
                      <w:color w:val="auto"/>
                      <w:lang w:eastAsia="zh-CN"/>
                    </w:rPr>
                    <w:t>使用工序</w:t>
                  </w:r>
                </w:p>
              </w:tc>
            </w:tr>
            <w:tr w14:paraId="751F160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65" w:type="pct"/>
                  <w:noWrap w:val="0"/>
                  <w:vAlign w:val="center"/>
                </w:tcPr>
                <w:p w14:paraId="4B128AA5">
                  <w:pPr>
                    <w:pStyle w:val="46"/>
                    <w:keepNext w:val="0"/>
                    <w:keepLines w:val="0"/>
                    <w:suppressLineNumbers w:val="0"/>
                    <w:bidi w:val="0"/>
                    <w:spacing w:before="0" w:beforeAutospacing="0" w:after="0" w:afterAutospacing="0"/>
                    <w:rPr>
                      <w:rFonts w:hint="eastAsia"/>
                      <w:color w:val="auto"/>
                      <w:lang w:eastAsia="zh-CN"/>
                    </w:rPr>
                  </w:pPr>
                  <w:r>
                    <w:rPr>
                      <w:rFonts w:hint="eastAsia"/>
                      <w:color w:val="auto"/>
                      <w:lang w:eastAsia="zh-CN"/>
                    </w:rPr>
                    <w:t>1</w:t>
                  </w:r>
                </w:p>
              </w:tc>
              <w:tc>
                <w:tcPr>
                  <w:tcW w:w="655" w:type="pct"/>
                  <w:vMerge w:val="restart"/>
                  <w:shd w:val="clear" w:color="auto" w:fill="auto"/>
                  <w:noWrap w:val="0"/>
                  <w:vAlign w:val="center"/>
                </w:tcPr>
                <w:p w14:paraId="5E6B36BB">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拆解车间</w:t>
                  </w:r>
                </w:p>
              </w:tc>
              <w:tc>
                <w:tcPr>
                  <w:tcW w:w="1220" w:type="pct"/>
                  <w:shd w:val="clear" w:color="auto" w:fill="auto"/>
                  <w:noWrap w:val="0"/>
                  <w:vAlign w:val="center"/>
                </w:tcPr>
                <w:p w14:paraId="5F1F78A1">
                  <w:pPr>
                    <w:pStyle w:val="27"/>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b w:val="0"/>
                      <w:bCs w:val="0"/>
                      <w:color w:val="auto"/>
                      <w:kern w:val="2"/>
                      <w:sz w:val="21"/>
                      <w:szCs w:val="20"/>
                      <w:u w:val="none"/>
                      <w:lang w:val="en-US" w:eastAsia="zh-CN" w:bidi="ar-SA"/>
                    </w:rPr>
                  </w:pPr>
                  <w:r>
                    <w:rPr>
                      <w:rFonts w:hint="eastAsia"/>
                      <w:b w:val="0"/>
                      <w:bCs w:val="0"/>
                      <w:color w:val="auto"/>
                      <w:u w:val="none"/>
                      <w:lang w:val="en-US" w:eastAsia="zh-CN"/>
                    </w:rPr>
                    <w:t>手持电动扳手</w:t>
                  </w:r>
                </w:p>
              </w:tc>
              <w:tc>
                <w:tcPr>
                  <w:tcW w:w="1133" w:type="pct"/>
                  <w:shd w:val="clear" w:color="auto" w:fill="auto"/>
                  <w:noWrap w:val="0"/>
                  <w:vAlign w:val="center"/>
                </w:tcPr>
                <w:p w14:paraId="5748693D">
                  <w:pPr>
                    <w:pStyle w:val="27"/>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b w:val="0"/>
                      <w:bCs w:val="0"/>
                      <w:color w:val="auto"/>
                      <w:kern w:val="2"/>
                      <w:sz w:val="21"/>
                      <w:szCs w:val="20"/>
                      <w:u w:val="none"/>
                      <w:lang w:val="en-US" w:eastAsia="zh-CN" w:bidi="ar-SA"/>
                    </w:rPr>
                  </w:pPr>
                  <w:r>
                    <w:rPr>
                      <w:rFonts w:hint="eastAsia"/>
                      <w:b w:val="0"/>
                      <w:bCs w:val="0"/>
                      <w:color w:val="auto"/>
                      <w:u w:val="none"/>
                      <w:lang w:val="en-US" w:eastAsia="zh-CN"/>
                    </w:rPr>
                    <w:t>/</w:t>
                  </w:r>
                </w:p>
              </w:tc>
              <w:tc>
                <w:tcPr>
                  <w:tcW w:w="449" w:type="pct"/>
                  <w:shd w:val="clear" w:color="auto" w:fill="auto"/>
                  <w:noWrap w:val="0"/>
                  <w:vAlign w:val="center"/>
                </w:tcPr>
                <w:p w14:paraId="28E078B8">
                  <w:pPr>
                    <w:pStyle w:val="27"/>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b w:val="0"/>
                      <w:bCs w:val="0"/>
                      <w:color w:val="auto"/>
                      <w:kern w:val="2"/>
                      <w:sz w:val="21"/>
                      <w:szCs w:val="20"/>
                      <w:u w:val="none"/>
                      <w:lang w:val="en-US" w:eastAsia="zh-CN" w:bidi="ar-SA"/>
                    </w:rPr>
                  </w:pPr>
                  <w:r>
                    <w:rPr>
                      <w:rFonts w:hint="eastAsia"/>
                      <w:b w:val="0"/>
                      <w:bCs w:val="0"/>
                      <w:color w:val="auto"/>
                      <w:u w:val="none"/>
                      <w:lang w:val="en-US" w:eastAsia="zh-CN"/>
                    </w:rPr>
                    <w:t>8</w:t>
                  </w:r>
                </w:p>
              </w:tc>
              <w:tc>
                <w:tcPr>
                  <w:tcW w:w="1175" w:type="pct"/>
                  <w:shd w:val="clear" w:color="auto" w:fill="auto"/>
                  <w:noWrap w:val="0"/>
                  <w:vAlign w:val="center"/>
                </w:tcPr>
                <w:p w14:paraId="5A389463">
                  <w:pPr>
                    <w:pStyle w:val="27"/>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b w:val="0"/>
                      <w:bCs w:val="0"/>
                      <w:color w:val="auto"/>
                      <w:kern w:val="2"/>
                      <w:sz w:val="21"/>
                      <w:szCs w:val="20"/>
                      <w:u w:val="none"/>
                      <w:lang w:val="en-US" w:eastAsia="zh-CN" w:bidi="ar-SA"/>
                    </w:rPr>
                  </w:pPr>
                  <w:r>
                    <w:rPr>
                      <w:rFonts w:hint="eastAsia"/>
                      <w:b w:val="0"/>
                      <w:bCs w:val="0"/>
                      <w:color w:val="auto"/>
                      <w:u w:val="none"/>
                      <w:lang w:val="en-US" w:eastAsia="zh-CN"/>
                    </w:rPr>
                    <w:t>拆解</w:t>
                  </w:r>
                </w:p>
              </w:tc>
            </w:tr>
            <w:tr w14:paraId="496F1AD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65" w:type="pct"/>
                  <w:noWrap w:val="0"/>
                  <w:vAlign w:val="center"/>
                </w:tcPr>
                <w:p w14:paraId="19C17A2C">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lang w:eastAsia="zh-CN"/>
                    </w:rPr>
                    <w:t>2</w:t>
                  </w:r>
                </w:p>
              </w:tc>
              <w:tc>
                <w:tcPr>
                  <w:tcW w:w="655" w:type="pct"/>
                  <w:vMerge w:val="continue"/>
                  <w:shd w:val="clear" w:color="auto" w:fill="auto"/>
                  <w:noWrap w:val="0"/>
                  <w:vAlign w:val="center"/>
                </w:tcPr>
                <w:p w14:paraId="60029DF7">
                  <w:pPr>
                    <w:pStyle w:val="46"/>
                    <w:keepNext w:val="0"/>
                    <w:keepLines w:val="0"/>
                    <w:suppressLineNumbers w:val="0"/>
                    <w:bidi w:val="0"/>
                    <w:spacing w:before="0" w:beforeAutospacing="0" w:after="0" w:afterAutospacing="0"/>
                    <w:rPr>
                      <w:rFonts w:hint="eastAsia"/>
                      <w:color w:val="auto"/>
                      <w:lang w:val="en-US" w:eastAsia="zh-CN"/>
                    </w:rPr>
                  </w:pPr>
                </w:p>
              </w:tc>
              <w:tc>
                <w:tcPr>
                  <w:tcW w:w="1220" w:type="pct"/>
                  <w:shd w:val="clear" w:color="auto" w:fill="auto"/>
                  <w:noWrap w:val="0"/>
                  <w:vAlign w:val="center"/>
                </w:tcPr>
                <w:p w14:paraId="7EBE7E01">
                  <w:pPr>
                    <w:pStyle w:val="27"/>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b w:val="0"/>
                      <w:bCs w:val="0"/>
                      <w:color w:val="auto"/>
                      <w:kern w:val="2"/>
                      <w:sz w:val="21"/>
                      <w:szCs w:val="20"/>
                      <w:u w:val="none"/>
                      <w:lang w:val="en-US" w:eastAsia="zh-CN" w:bidi="ar-SA"/>
                    </w:rPr>
                  </w:pPr>
                  <w:r>
                    <w:rPr>
                      <w:rFonts w:hint="eastAsia"/>
                      <w:b w:val="0"/>
                      <w:bCs w:val="0"/>
                      <w:color w:val="auto"/>
                      <w:u w:val="none"/>
                      <w:lang w:val="en-US" w:eastAsia="zh-CN"/>
                    </w:rPr>
                    <w:t>手持电动角磨机</w:t>
                  </w:r>
                </w:p>
              </w:tc>
              <w:tc>
                <w:tcPr>
                  <w:tcW w:w="1133" w:type="pct"/>
                  <w:shd w:val="clear" w:color="auto" w:fill="auto"/>
                  <w:noWrap w:val="0"/>
                  <w:vAlign w:val="center"/>
                </w:tcPr>
                <w:p w14:paraId="2EF01DF6">
                  <w:pPr>
                    <w:pStyle w:val="27"/>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b w:val="0"/>
                      <w:bCs w:val="0"/>
                      <w:color w:val="auto"/>
                      <w:kern w:val="2"/>
                      <w:sz w:val="21"/>
                      <w:szCs w:val="20"/>
                      <w:u w:val="none"/>
                      <w:lang w:val="en-US" w:eastAsia="zh-CN" w:bidi="ar-SA"/>
                    </w:rPr>
                  </w:pPr>
                  <w:r>
                    <w:rPr>
                      <w:rFonts w:hint="eastAsia"/>
                      <w:b w:val="0"/>
                      <w:bCs w:val="0"/>
                      <w:color w:val="auto"/>
                      <w:u w:val="none"/>
                      <w:lang w:val="en-US" w:eastAsia="zh-CN"/>
                    </w:rPr>
                    <w:t>/</w:t>
                  </w:r>
                </w:p>
              </w:tc>
              <w:tc>
                <w:tcPr>
                  <w:tcW w:w="449" w:type="pct"/>
                  <w:shd w:val="clear" w:color="auto" w:fill="auto"/>
                  <w:noWrap w:val="0"/>
                  <w:vAlign w:val="center"/>
                </w:tcPr>
                <w:p w14:paraId="1D52CFB3">
                  <w:pPr>
                    <w:pStyle w:val="27"/>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b w:val="0"/>
                      <w:bCs w:val="0"/>
                      <w:color w:val="auto"/>
                      <w:kern w:val="2"/>
                      <w:sz w:val="21"/>
                      <w:szCs w:val="20"/>
                      <w:u w:val="none"/>
                      <w:lang w:val="en-US" w:eastAsia="zh-CN" w:bidi="ar-SA"/>
                    </w:rPr>
                  </w:pPr>
                  <w:r>
                    <w:rPr>
                      <w:rFonts w:hint="eastAsia"/>
                      <w:b w:val="0"/>
                      <w:bCs w:val="0"/>
                      <w:color w:val="auto"/>
                      <w:u w:val="none"/>
                      <w:lang w:val="en-US" w:eastAsia="zh-CN"/>
                    </w:rPr>
                    <w:t>8</w:t>
                  </w:r>
                </w:p>
              </w:tc>
              <w:tc>
                <w:tcPr>
                  <w:tcW w:w="1175" w:type="pct"/>
                  <w:shd w:val="clear" w:color="auto" w:fill="auto"/>
                  <w:noWrap w:val="0"/>
                  <w:vAlign w:val="center"/>
                </w:tcPr>
                <w:p w14:paraId="4BE8DEDE">
                  <w:pPr>
                    <w:pStyle w:val="27"/>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b w:val="0"/>
                      <w:bCs w:val="0"/>
                      <w:color w:val="auto"/>
                      <w:kern w:val="2"/>
                      <w:sz w:val="21"/>
                      <w:szCs w:val="20"/>
                      <w:u w:val="none"/>
                      <w:lang w:val="en-US" w:eastAsia="zh-CN" w:bidi="ar-SA"/>
                    </w:rPr>
                  </w:pPr>
                  <w:r>
                    <w:rPr>
                      <w:rFonts w:hint="eastAsia"/>
                      <w:b w:val="0"/>
                      <w:bCs w:val="0"/>
                      <w:color w:val="auto"/>
                      <w:u w:val="none"/>
                      <w:lang w:val="en-US" w:eastAsia="zh-CN"/>
                    </w:rPr>
                    <w:t>切割</w:t>
                  </w:r>
                </w:p>
              </w:tc>
            </w:tr>
            <w:tr w14:paraId="6B4002A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65" w:type="pct"/>
                  <w:noWrap w:val="0"/>
                  <w:vAlign w:val="center"/>
                </w:tcPr>
                <w:p w14:paraId="79F44C16">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3</w:t>
                  </w:r>
                </w:p>
              </w:tc>
              <w:tc>
                <w:tcPr>
                  <w:tcW w:w="655" w:type="pct"/>
                  <w:vMerge w:val="continue"/>
                  <w:shd w:val="clear" w:color="auto" w:fill="auto"/>
                  <w:noWrap w:val="0"/>
                  <w:vAlign w:val="center"/>
                </w:tcPr>
                <w:p w14:paraId="68A800FD">
                  <w:pPr>
                    <w:pStyle w:val="46"/>
                    <w:keepNext w:val="0"/>
                    <w:keepLines w:val="0"/>
                    <w:suppressLineNumbers w:val="0"/>
                    <w:bidi w:val="0"/>
                    <w:spacing w:before="0" w:beforeAutospacing="0" w:after="0" w:afterAutospacing="0"/>
                    <w:rPr>
                      <w:rFonts w:hint="eastAsia"/>
                      <w:color w:val="auto"/>
                      <w:lang w:val="en-US" w:eastAsia="zh-CN"/>
                    </w:rPr>
                  </w:pPr>
                </w:p>
              </w:tc>
              <w:tc>
                <w:tcPr>
                  <w:tcW w:w="1220" w:type="pct"/>
                  <w:shd w:val="clear" w:color="auto" w:fill="auto"/>
                  <w:noWrap w:val="0"/>
                  <w:vAlign w:val="center"/>
                </w:tcPr>
                <w:p w14:paraId="76938718">
                  <w:pPr>
                    <w:pStyle w:val="27"/>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b w:val="0"/>
                      <w:bCs w:val="0"/>
                      <w:color w:val="auto"/>
                      <w:kern w:val="2"/>
                      <w:sz w:val="21"/>
                      <w:szCs w:val="20"/>
                      <w:u w:val="none"/>
                      <w:lang w:val="en-US" w:eastAsia="zh-CN" w:bidi="ar-SA"/>
                    </w:rPr>
                  </w:pPr>
                  <w:r>
                    <w:rPr>
                      <w:rFonts w:hint="eastAsia"/>
                      <w:b w:val="0"/>
                      <w:bCs w:val="0"/>
                      <w:color w:val="auto"/>
                      <w:u w:val="none"/>
                      <w:lang w:val="en-US" w:eastAsia="zh-CN"/>
                    </w:rPr>
                    <w:t>手持气钻枪</w:t>
                  </w:r>
                </w:p>
              </w:tc>
              <w:tc>
                <w:tcPr>
                  <w:tcW w:w="1133" w:type="pct"/>
                  <w:shd w:val="clear" w:color="auto" w:fill="auto"/>
                  <w:noWrap w:val="0"/>
                  <w:vAlign w:val="center"/>
                </w:tcPr>
                <w:p w14:paraId="6550692C">
                  <w:pPr>
                    <w:pStyle w:val="27"/>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b w:val="0"/>
                      <w:bCs w:val="0"/>
                      <w:color w:val="auto"/>
                      <w:kern w:val="2"/>
                      <w:sz w:val="21"/>
                      <w:szCs w:val="20"/>
                      <w:u w:val="none"/>
                      <w:lang w:val="en-US" w:eastAsia="zh-CN" w:bidi="ar-SA"/>
                    </w:rPr>
                  </w:pPr>
                  <w:r>
                    <w:rPr>
                      <w:rFonts w:hint="eastAsia"/>
                      <w:b w:val="0"/>
                      <w:bCs w:val="0"/>
                      <w:color w:val="auto"/>
                      <w:u w:val="none"/>
                      <w:lang w:val="en-US" w:eastAsia="zh-CN"/>
                    </w:rPr>
                    <w:t>/</w:t>
                  </w:r>
                </w:p>
              </w:tc>
              <w:tc>
                <w:tcPr>
                  <w:tcW w:w="449" w:type="pct"/>
                  <w:shd w:val="clear" w:color="auto" w:fill="auto"/>
                  <w:noWrap w:val="0"/>
                  <w:vAlign w:val="center"/>
                </w:tcPr>
                <w:p w14:paraId="0B908BA5">
                  <w:pPr>
                    <w:pStyle w:val="27"/>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b w:val="0"/>
                      <w:bCs w:val="0"/>
                      <w:color w:val="auto"/>
                      <w:kern w:val="2"/>
                      <w:sz w:val="21"/>
                      <w:szCs w:val="20"/>
                      <w:u w:val="none"/>
                      <w:lang w:val="en-US" w:eastAsia="zh-CN" w:bidi="ar-SA"/>
                    </w:rPr>
                  </w:pPr>
                  <w:r>
                    <w:rPr>
                      <w:rFonts w:hint="eastAsia"/>
                      <w:b w:val="0"/>
                      <w:bCs w:val="0"/>
                      <w:color w:val="auto"/>
                      <w:u w:val="none"/>
                      <w:lang w:val="en-US" w:eastAsia="zh-CN"/>
                    </w:rPr>
                    <w:t>8</w:t>
                  </w:r>
                </w:p>
              </w:tc>
              <w:tc>
                <w:tcPr>
                  <w:tcW w:w="1175" w:type="pct"/>
                  <w:shd w:val="clear" w:color="auto" w:fill="auto"/>
                  <w:noWrap w:val="0"/>
                  <w:vAlign w:val="center"/>
                </w:tcPr>
                <w:p w14:paraId="04D3C0D8">
                  <w:pPr>
                    <w:pStyle w:val="27"/>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b w:val="0"/>
                      <w:bCs w:val="0"/>
                      <w:color w:val="auto"/>
                      <w:kern w:val="2"/>
                      <w:sz w:val="21"/>
                      <w:szCs w:val="20"/>
                      <w:u w:val="none"/>
                      <w:lang w:val="en-US" w:eastAsia="zh-CN" w:bidi="ar-SA"/>
                    </w:rPr>
                  </w:pPr>
                  <w:r>
                    <w:rPr>
                      <w:rFonts w:hint="eastAsia"/>
                      <w:b w:val="0"/>
                      <w:bCs w:val="0"/>
                      <w:color w:val="auto"/>
                      <w:u w:val="none"/>
                      <w:lang w:val="en-US" w:eastAsia="zh-CN"/>
                    </w:rPr>
                    <w:t>拆解</w:t>
                  </w:r>
                </w:p>
              </w:tc>
            </w:tr>
            <w:tr w14:paraId="05C4373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65" w:type="pct"/>
                  <w:shd w:val="clear" w:color="auto" w:fill="auto"/>
                  <w:noWrap w:val="0"/>
                  <w:vAlign w:val="center"/>
                </w:tcPr>
                <w:p w14:paraId="0A289E6F">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4</w:t>
                  </w:r>
                </w:p>
              </w:tc>
              <w:tc>
                <w:tcPr>
                  <w:tcW w:w="655" w:type="pct"/>
                  <w:vMerge w:val="continue"/>
                  <w:shd w:val="clear" w:color="auto" w:fill="auto"/>
                  <w:noWrap w:val="0"/>
                  <w:vAlign w:val="center"/>
                </w:tcPr>
                <w:p w14:paraId="22C4E76F">
                  <w:pPr>
                    <w:pStyle w:val="46"/>
                    <w:keepNext w:val="0"/>
                    <w:keepLines w:val="0"/>
                    <w:suppressLineNumbers w:val="0"/>
                    <w:bidi w:val="0"/>
                    <w:spacing w:before="0" w:beforeAutospacing="0" w:after="0" w:afterAutospacing="0"/>
                    <w:rPr>
                      <w:rFonts w:hint="eastAsia"/>
                      <w:color w:val="auto"/>
                      <w:lang w:val="en-US" w:eastAsia="zh-CN"/>
                    </w:rPr>
                  </w:pPr>
                </w:p>
              </w:tc>
              <w:tc>
                <w:tcPr>
                  <w:tcW w:w="1220" w:type="pct"/>
                  <w:shd w:val="clear" w:color="auto" w:fill="auto"/>
                  <w:noWrap w:val="0"/>
                  <w:vAlign w:val="center"/>
                </w:tcPr>
                <w:p w14:paraId="087E483C">
                  <w:pPr>
                    <w:pStyle w:val="27"/>
                    <w:keepNext w:val="0"/>
                    <w:keepLines w:val="0"/>
                    <w:suppressLineNumbers w:val="0"/>
                    <w:bidi w:val="0"/>
                    <w:spacing w:before="0" w:beforeAutospacing="0" w:after="0" w:afterAutospacing="0"/>
                    <w:ind w:left="0" w:right="0" w:firstLine="0" w:firstLineChars="0"/>
                    <w:rPr>
                      <w:rFonts w:hint="default"/>
                      <w:b w:val="0"/>
                      <w:bCs w:val="0"/>
                      <w:color w:val="auto"/>
                      <w:u w:val="none"/>
                      <w:lang w:val="en-US" w:eastAsia="zh-CN"/>
                    </w:rPr>
                  </w:pPr>
                  <w:r>
                    <w:rPr>
                      <w:rFonts w:hint="eastAsia"/>
                      <w:b w:val="0"/>
                      <w:bCs w:val="0"/>
                      <w:color w:val="auto"/>
                      <w:u w:val="none"/>
                      <w:lang w:val="en-US" w:eastAsia="zh-CN"/>
                    </w:rPr>
                    <w:t>地磅</w:t>
                  </w:r>
                </w:p>
              </w:tc>
              <w:tc>
                <w:tcPr>
                  <w:tcW w:w="1133" w:type="pct"/>
                  <w:shd w:val="clear" w:color="auto" w:fill="auto"/>
                  <w:noWrap w:val="0"/>
                  <w:vAlign w:val="center"/>
                </w:tcPr>
                <w:p w14:paraId="34BE8707">
                  <w:pPr>
                    <w:pStyle w:val="27"/>
                    <w:keepNext w:val="0"/>
                    <w:keepLines w:val="0"/>
                    <w:suppressLineNumbers w:val="0"/>
                    <w:bidi w:val="0"/>
                    <w:spacing w:before="0" w:beforeAutospacing="0" w:after="0" w:afterAutospacing="0"/>
                    <w:ind w:left="0" w:right="0" w:firstLine="0" w:firstLineChars="0"/>
                    <w:rPr>
                      <w:rFonts w:hint="default"/>
                      <w:b w:val="0"/>
                      <w:bCs w:val="0"/>
                      <w:color w:val="auto"/>
                      <w:u w:val="none"/>
                      <w:lang w:val="en-US" w:eastAsia="zh-CN"/>
                    </w:rPr>
                  </w:pPr>
                  <w:r>
                    <w:rPr>
                      <w:rFonts w:hint="eastAsia"/>
                      <w:b w:val="0"/>
                      <w:bCs w:val="0"/>
                      <w:color w:val="auto"/>
                      <w:u w:val="none"/>
                      <w:lang w:val="en-US" w:eastAsia="zh-CN"/>
                    </w:rPr>
                    <w:t>/</w:t>
                  </w:r>
                </w:p>
              </w:tc>
              <w:tc>
                <w:tcPr>
                  <w:tcW w:w="449" w:type="pct"/>
                  <w:shd w:val="clear" w:color="auto" w:fill="auto"/>
                  <w:noWrap w:val="0"/>
                  <w:vAlign w:val="center"/>
                </w:tcPr>
                <w:p w14:paraId="77A826E4">
                  <w:pPr>
                    <w:pStyle w:val="27"/>
                    <w:keepNext w:val="0"/>
                    <w:keepLines w:val="0"/>
                    <w:suppressLineNumbers w:val="0"/>
                    <w:bidi w:val="0"/>
                    <w:spacing w:before="0" w:beforeAutospacing="0" w:after="0" w:afterAutospacing="0"/>
                    <w:ind w:left="0" w:right="0" w:firstLine="0" w:firstLineChars="0"/>
                    <w:rPr>
                      <w:rFonts w:hint="default"/>
                      <w:b w:val="0"/>
                      <w:bCs w:val="0"/>
                      <w:color w:val="auto"/>
                      <w:u w:val="none"/>
                      <w:lang w:val="en-US" w:eastAsia="zh-CN"/>
                    </w:rPr>
                  </w:pPr>
                  <w:r>
                    <w:rPr>
                      <w:rFonts w:hint="eastAsia"/>
                      <w:b w:val="0"/>
                      <w:bCs w:val="0"/>
                      <w:color w:val="auto"/>
                      <w:u w:val="none"/>
                      <w:lang w:val="en-US" w:eastAsia="zh-CN"/>
                    </w:rPr>
                    <w:t>1</w:t>
                  </w:r>
                </w:p>
              </w:tc>
              <w:tc>
                <w:tcPr>
                  <w:tcW w:w="1175" w:type="pct"/>
                  <w:shd w:val="clear" w:color="auto" w:fill="auto"/>
                  <w:noWrap w:val="0"/>
                  <w:vAlign w:val="center"/>
                </w:tcPr>
                <w:p w14:paraId="45689FF2">
                  <w:pPr>
                    <w:pStyle w:val="27"/>
                    <w:keepNext w:val="0"/>
                    <w:keepLines w:val="0"/>
                    <w:suppressLineNumbers w:val="0"/>
                    <w:bidi w:val="0"/>
                    <w:spacing w:before="0" w:beforeAutospacing="0" w:after="0" w:afterAutospacing="0"/>
                    <w:ind w:left="0" w:right="0" w:firstLine="0" w:firstLineChars="0"/>
                    <w:rPr>
                      <w:rFonts w:hint="default"/>
                      <w:b w:val="0"/>
                      <w:bCs w:val="0"/>
                      <w:color w:val="auto"/>
                      <w:u w:val="none"/>
                      <w:lang w:val="en-US" w:eastAsia="zh-CN"/>
                    </w:rPr>
                  </w:pPr>
                  <w:r>
                    <w:rPr>
                      <w:rFonts w:hint="eastAsia"/>
                      <w:b w:val="0"/>
                      <w:bCs w:val="0"/>
                      <w:color w:val="auto"/>
                      <w:u w:val="none"/>
                      <w:lang w:val="en-US" w:eastAsia="zh-CN"/>
                    </w:rPr>
                    <w:t>物料称重</w:t>
                  </w:r>
                </w:p>
              </w:tc>
            </w:tr>
            <w:tr w14:paraId="5C7AE83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65" w:type="pct"/>
                  <w:shd w:val="clear" w:color="auto" w:fill="auto"/>
                  <w:noWrap w:val="0"/>
                  <w:vAlign w:val="center"/>
                </w:tcPr>
                <w:p w14:paraId="30CD0969">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5</w:t>
                  </w:r>
                </w:p>
              </w:tc>
              <w:tc>
                <w:tcPr>
                  <w:tcW w:w="655" w:type="pct"/>
                  <w:vMerge w:val="continue"/>
                  <w:shd w:val="clear" w:color="auto" w:fill="auto"/>
                  <w:noWrap w:val="0"/>
                  <w:vAlign w:val="center"/>
                </w:tcPr>
                <w:p w14:paraId="5CAE0216">
                  <w:pPr>
                    <w:pStyle w:val="46"/>
                    <w:keepNext w:val="0"/>
                    <w:keepLines w:val="0"/>
                    <w:suppressLineNumbers w:val="0"/>
                    <w:bidi w:val="0"/>
                    <w:spacing w:before="0" w:beforeAutospacing="0" w:after="0" w:afterAutospacing="0"/>
                    <w:rPr>
                      <w:rFonts w:hint="eastAsia"/>
                      <w:color w:val="auto"/>
                      <w:lang w:val="en-US" w:eastAsia="zh-CN"/>
                    </w:rPr>
                  </w:pPr>
                </w:p>
              </w:tc>
              <w:tc>
                <w:tcPr>
                  <w:tcW w:w="1220" w:type="pct"/>
                  <w:shd w:val="clear" w:color="auto" w:fill="auto"/>
                  <w:noWrap w:val="0"/>
                  <w:vAlign w:val="center"/>
                </w:tcPr>
                <w:p w14:paraId="7D813F7D">
                  <w:pPr>
                    <w:pStyle w:val="27"/>
                    <w:keepNext w:val="0"/>
                    <w:keepLines w:val="0"/>
                    <w:suppressLineNumbers w:val="0"/>
                    <w:bidi w:val="0"/>
                    <w:spacing w:before="0" w:beforeAutospacing="0" w:after="0" w:afterAutospacing="0"/>
                    <w:ind w:left="0" w:right="0" w:firstLine="0" w:firstLineChars="0"/>
                    <w:rPr>
                      <w:rFonts w:hint="default"/>
                      <w:b w:val="0"/>
                      <w:bCs w:val="0"/>
                      <w:color w:val="auto"/>
                      <w:u w:val="none"/>
                      <w:lang w:val="en-US" w:eastAsia="zh-CN"/>
                    </w:rPr>
                  </w:pPr>
                  <w:r>
                    <w:rPr>
                      <w:rFonts w:hint="eastAsia"/>
                      <w:b w:val="0"/>
                      <w:bCs w:val="0"/>
                      <w:color w:val="auto"/>
                      <w:u w:val="none"/>
                      <w:lang w:val="en-US" w:eastAsia="zh-CN"/>
                    </w:rPr>
                    <w:t>智能放电柜</w:t>
                  </w:r>
                </w:p>
              </w:tc>
              <w:tc>
                <w:tcPr>
                  <w:tcW w:w="1133" w:type="pct"/>
                  <w:shd w:val="clear" w:color="auto" w:fill="auto"/>
                  <w:noWrap w:val="0"/>
                  <w:vAlign w:val="center"/>
                </w:tcPr>
                <w:p w14:paraId="6C9FD20F">
                  <w:pPr>
                    <w:pStyle w:val="27"/>
                    <w:keepNext w:val="0"/>
                    <w:keepLines w:val="0"/>
                    <w:suppressLineNumbers w:val="0"/>
                    <w:bidi w:val="0"/>
                    <w:spacing w:before="0" w:beforeAutospacing="0" w:after="0" w:afterAutospacing="0"/>
                    <w:ind w:left="0" w:right="0" w:firstLine="0" w:firstLineChars="0"/>
                    <w:rPr>
                      <w:rFonts w:hint="default"/>
                      <w:b w:val="0"/>
                      <w:bCs w:val="0"/>
                      <w:color w:val="auto"/>
                      <w:u w:val="none"/>
                      <w:lang w:val="en-US" w:eastAsia="zh-CN"/>
                    </w:rPr>
                  </w:pPr>
                  <w:r>
                    <w:rPr>
                      <w:rFonts w:hint="eastAsia"/>
                      <w:b w:val="0"/>
                      <w:bCs w:val="0"/>
                      <w:color w:val="auto"/>
                      <w:u w:val="none"/>
                      <w:lang w:val="en-US" w:eastAsia="zh-CN"/>
                    </w:rPr>
                    <w:t>/</w:t>
                  </w:r>
                </w:p>
              </w:tc>
              <w:tc>
                <w:tcPr>
                  <w:tcW w:w="449" w:type="pct"/>
                  <w:shd w:val="clear" w:color="auto" w:fill="auto"/>
                  <w:noWrap w:val="0"/>
                  <w:vAlign w:val="center"/>
                </w:tcPr>
                <w:p w14:paraId="2096E05B">
                  <w:pPr>
                    <w:pStyle w:val="27"/>
                    <w:keepNext w:val="0"/>
                    <w:keepLines w:val="0"/>
                    <w:suppressLineNumbers w:val="0"/>
                    <w:bidi w:val="0"/>
                    <w:spacing w:before="0" w:beforeAutospacing="0" w:after="0" w:afterAutospacing="0"/>
                    <w:ind w:left="0" w:right="0" w:firstLine="0" w:firstLineChars="0"/>
                    <w:rPr>
                      <w:rFonts w:hint="default"/>
                      <w:b w:val="0"/>
                      <w:bCs w:val="0"/>
                      <w:color w:val="auto"/>
                      <w:u w:val="none"/>
                      <w:lang w:val="en-US" w:eastAsia="zh-CN"/>
                    </w:rPr>
                  </w:pPr>
                  <w:r>
                    <w:rPr>
                      <w:rFonts w:hint="eastAsia"/>
                      <w:b w:val="0"/>
                      <w:bCs w:val="0"/>
                      <w:color w:val="auto"/>
                      <w:u w:val="none"/>
                      <w:lang w:val="en-US" w:eastAsia="zh-CN"/>
                    </w:rPr>
                    <w:t>1</w:t>
                  </w:r>
                </w:p>
              </w:tc>
              <w:tc>
                <w:tcPr>
                  <w:tcW w:w="1175" w:type="pct"/>
                  <w:shd w:val="clear" w:color="auto" w:fill="auto"/>
                  <w:noWrap w:val="0"/>
                  <w:vAlign w:val="center"/>
                </w:tcPr>
                <w:p w14:paraId="61AA0FC0">
                  <w:pPr>
                    <w:pStyle w:val="27"/>
                    <w:keepNext w:val="0"/>
                    <w:keepLines w:val="0"/>
                    <w:suppressLineNumbers w:val="0"/>
                    <w:bidi w:val="0"/>
                    <w:spacing w:before="0" w:beforeAutospacing="0" w:after="0" w:afterAutospacing="0"/>
                    <w:ind w:left="0" w:right="0" w:firstLine="0" w:firstLineChars="0"/>
                    <w:rPr>
                      <w:rFonts w:hint="default"/>
                      <w:b w:val="0"/>
                      <w:bCs w:val="0"/>
                      <w:color w:val="auto"/>
                      <w:u w:val="none"/>
                      <w:lang w:val="en-US" w:eastAsia="zh-CN"/>
                    </w:rPr>
                  </w:pPr>
                  <w:r>
                    <w:rPr>
                      <w:rFonts w:hint="eastAsia"/>
                      <w:b w:val="0"/>
                      <w:bCs w:val="0"/>
                      <w:color w:val="auto"/>
                      <w:u w:val="none"/>
                      <w:lang w:val="en-US" w:eastAsia="zh-CN"/>
                    </w:rPr>
                    <w:t>锂电池放电</w:t>
                  </w:r>
                </w:p>
              </w:tc>
            </w:tr>
            <w:tr w14:paraId="7FE7FAC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65" w:type="pct"/>
                  <w:shd w:val="clear" w:color="auto" w:fill="auto"/>
                  <w:noWrap w:val="0"/>
                  <w:vAlign w:val="center"/>
                </w:tcPr>
                <w:p w14:paraId="2082D451">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6</w:t>
                  </w:r>
                </w:p>
              </w:tc>
              <w:tc>
                <w:tcPr>
                  <w:tcW w:w="655" w:type="pct"/>
                  <w:vMerge w:val="continue"/>
                  <w:shd w:val="clear" w:color="auto" w:fill="auto"/>
                  <w:noWrap w:val="0"/>
                  <w:vAlign w:val="center"/>
                </w:tcPr>
                <w:p w14:paraId="7B0A5488">
                  <w:pPr>
                    <w:pStyle w:val="46"/>
                    <w:keepNext w:val="0"/>
                    <w:keepLines w:val="0"/>
                    <w:suppressLineNumbers w:val="0"/>
                    <w:bidi w:val="0"/>
                    <w:spacing w:before="0" w:beforeAutospacing="0" w:after="0" w:afterAutospacing="0"/>
                    <w:rPr>
                      <w:rFonts w:hint="eastAsia"/>
                      <w:color w:val="auto"/>
                      <w:lang w:val="en-US" w:eastAsia="zh-CN"/>
                    </w:rPr>
                  </w:pPr>
                </w:p>
              </w:tc>
              <w:tc>
                <w:tcPr>
                  <w:tcW w:w="1220" w:type="pct"/>
                  <w:shd w:val="clear" w:color="auto" w:fill="auto"/>
                  <w:noWrap w:val="0"/>
                  <w:vAlign w:val="center"/>
                </w:tcPr>
                <w:p w14:paraId="4C0BB58F">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液压式打包压块机</w:t>
                  </w:r>
                </w:p>
              </w:tc>
              <w:tc>
                <w:tcPr>
                  <w:tcW w:w="1133" w:type="pct"/>
                  <w:shd w:val="clear" w:color="auto" w:fill="auto"/>
                  <w:noWrap w:val="0"/>
                  <w:vAlign w:val="center"/>
                </w:tcPr>
                <w:p w14:paraId="3E6C9444">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250型号，3t/h</w:t>
                  </w:r>
                </w:p>
              </w:tc>
              <w:tc>
                <w:tcPr>
                  <w:tcW w:w="449" w:type="pct"/>
                  <w:shd w:val="clear" w:color="auto" w:fill="auto"/>
                  <w:noWrap w:val="0"/>
                  <w:vAlign w:val="center"/>
                </w:tcPr>
                <w:p w14:paraId="48B2864D">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1</w:t>
                  </w:r>
                </w:p>
              </w:tc>
              <w:tc>
                <w:tcPr>
                  <w:tcW w:w="1175" w:type="pct"/>
                  <w:shd w:val="clear" w:color="auto" w:fill="auto"/>
                  <w:noWrap w:val="0"/>
                  <w:vAlign w:val="center"/>
                </w:tcPr>
                <w:p w14:paraId="1A12E6E3">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钢铁件打包压块</w:t>
                  </w:r>
                </w:p>
              </w:tc>
            </w:tr>
            <w:tr w14:paraId="2447BE9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65" w:type="pct"/>
                  <w:shd w:val="clear" w:color="auto" w:fill="auto"/>
                  <w:noWrap w:val="0"/>
                  <w:vAlign w:val="center"/>
                </w:tcPr>
                <w:p w14:paraId="668DDD28">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7</w:t>
                  </w:r>
                </w:p>
              </w:tc>
              <w:tc>
                <w:tcPr>
                  <w:tcW w:w="655" w:type="pct"/>
                  <w:vMerge w:val="continue"/>
                  <w:shd w:val="clear" w:color="auto" w:fill="auto"/>
                  <w:noWrap w:val="0"/>
                  <w:vAlign w:val="center"/>
                </w:tcPr>
                <w:p w14:paraId="451ABFA9">
                  <w:pPr>
                    <w:pStyle w:val="46"/>
                    <w:keepNext w:val="0"/>
                    <w:keepLines w:val="0"/>
                    <w:suppressLineNumbers w:val="0"/>
                    <w:bidi w:val="0"/>
                    <w:spacing w:before="0" w:beforeAutospacing="0" w:after="0" w:afterAutospacing="0"/>
                    <w:rPr>
                      <w:rFonts w:hint="eastAsia"/>
                      <w:color w:val="auto"/>
                      <w:lang w:val="en-US" w:eastAsia="zh-CN"/>
                    </w:rPr>
                  </w:pPr>
                </w:p>
              </w:tc>
              <w:tc>
                <w:tcPr>
                  <w:tcW w:w="1220" w:type="pct"/>
                  <w:shd w:val="clear" w:color="auto" w:fill="auto"/>
                  <w:noWrap w:val="0"/>
                  <w:vAlign w:val="center"/>
                </w:tcPr>
                <w:p w14:paraId="192A3A38">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挖掘机</w:t>
                  </w:r>
                </w:p>
              </w:tc>
              <w:tc>
                <w:tcPr>
                  <w:tcW w:w="1133" w:type="pct"/>
                  <w:shd w:val="clear" w:color="auto" w:fill="auto"/>
                  <w:noWrap w:val="0"/>
                  <w:vAlign w:val="center"/>
                </w:tcPr>
                <w:p w14:paraId="68A439D2">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200型</w:t>
                  </w:r>
                </w:p>
              </w:tc>
              <w:tc>
                <w:tcPr>
                  <w:tcW w:w="449" w:type="pct"/>
                  <w:shd w:val="clear" w:color="auto" w:fill="auto"/>
                  <w:noWrap w:val="0"/>
                  <w:vAlign w:val="center"/>
                </w:tcPr>
                <w:p w14:paraId="30F833F8">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1</w:t>
                  </w:r>
                </w:p>
              </w:tc>
              <w:tc>
                <w:tcPr>
                  <w:tcW w:w="1175" w:type="pct"/>
                  <w:shd w:val="clear" w:color="auto" w:fill="auto"/>
                  <w:noWrap w:val="0"/>
                  <w:vAlign w:val="center"/>
                </w:tcPr>
                <w:p w14:paraId="5EFECCF9">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转运</w:t>
                  </w:r>
                </w:p>
              </w:tc>
            </w:tr>
            <w:tr w14:paraId="5943ACB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44" w:hRule="atLeast"/>
                <w:jc w:val="center"/>
              </w:trPr>
              <w:tc>
                <w:tcPr>
                  <w:tcW w:w="365" w:type="pct"/>
                  <w:shd w:val="clear" w:color="auto" w:fill="auto"/>
                  <w:noWrap w:val="0"/>
                  <w:vAlign w:val="center"/>
                </w:tcPr>
                <w:p w14:paraId="45932918">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8</w:t>
                  </w:r>
                </w:p>
              </w:tc>
              <w:tc>
                <w:tcPr>
                  <w:tcW w:w="655" w:type="pct"/>
                  <w:vMerge w:val="continue"/>
                  <w:shd w:val="clear" w:color="auto" w:fill="auto"/>
                  <w:noWrap w:val="0"/>
                  <w:vAlign w:val="center"/>
                </w:tcPr>
                <w:p w14:paraId="668ACA0E">
                  <w:pPr>
                    <w:pStyle w:val="46"/>
                    <w:keepNext w:val="0"/>
                    <w:keepLines w:val="0"/>
                    <w:suppressLineNumbers w:val="0"/>
                    <w:bidi w:val="0"/>
                    <w:spacing w:before="0" w:beforeAutospacing="0" w:after="0" w:afterAutospacing="0"/>
                    <w:rPr>
                      <w:rFonts w:hint="eastAsia"/>
                      <w:color w:val="auto"/>
                      <w:lang w:val="en-US" w:eastAsia="zh-CN"/>
                    </w:rPr>
                  </w:pPr>
                </w:p>
              </w:tc>
              <w:tc>
                <w:tcPr>
                  <w:tcW w:w="1220" w:type="pct"/>
                  <w:shd w:val="clear" w:color="auto" w:fill="auto"/>
                  <w:noWrap w:val="0"/>
                  <w:vAlign w:val="center"/>
                </w:tcPr>
                <w:p w14:paraId="5F365D35">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叉车</w:t>
                  </w:r>
                </w:p>
              </w:tc>
              <w:tc>
                <w:tcPr>
                  <w:tcW w:w="1133" w:type="pct"/>
                  <w:shd w:val="clear" w:color="auto" w:fill="auto"/>
                  <w:noWrap w:val="0"/>
                  <w:vAlign w:val="center"/>
                </w:tcPr>
                <w:p w14:paraId="000AA2D7">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3.5吨</w:t>
                  </w:r>
                </w:p>
              </w:tc>
              <w:tc>
                <w:tcPr>
                  <w:tcW w:w="449" w:type="pct"/>
                  <w:shd w:val="clear" w:color="auto" w:fill="auto"/>
                  <w:noWrap w:val="0"/>
                  <w:vAlign w:val="center"/>
                </w:tcPr>
                <w:p w14:paraId="4980B434">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1</w:t>
                  </w:r>
                </w:p>
              </w:tc>
              <w:tc>
                <w:tcPr>
                  <w:tcW w:w="1175" w:type="pct"/>
                  <w:shd w:val="clear" w:color="auto" w:fill="auto"/>
                  <w:noWrap w:val="0"/>
                  <w:vAlign w:val="center"/>
                </w:tcPr>
                <w:p w14:paraId="53D5781D">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转运</w:t>
                  </w:r>
                </w:p>
              </w:tc>
            </w:tr>
            <w:tr w14:paraId="2D86C78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65" w:type="pct"/>
                  <w:shd w:val="clear" w:color="auto" w:fill="auto"/>
                  <w:noWrap w:val="0"/>
                  <w:vAlign w:val="center"/>
                </w:tcPr>
                <w:p w14:paraId="13D2C334">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9</w:t>
                  </w:r>
                </w:p>
              </w:tc>
              <w:tc>
                <w:tcPr>
                  <w:tcW w:w="655" w:type="pct"/>
                  <w:vMerge w:val="continue"/>
                  <w:shd w:val="clear" w:color="auto" w:fill="auto"/>
                  <w:noWrap w:val="0"/>
                  <w:vAlign w:val="center"/>
                </w:tcPr>
                <w:p w14:paraId="22298588">
                  <w:pPr>
                    <w:pStyle w:val="46"/>
                    <w:keepNext w:val="0"/>
                    <w:keepLines w:val="0"/>
                    <w:suppressLineNumbers w:val="0"/>
                    <w:bidi w:val="0"/>
                    <w:spacing w:before="0" w:beforeAutospacing="0" w:after="0" w:afterAutospacing="0"/>
                    <w:rPr>
                      <w:rFonts w:hint="eastAsia"/>
                      <w:color w:val="auto"/>
                      <w:lang w:val="en-US" w:eastAsia="zh-CN"/>
                    </w:rPr>
                  </w:pPr>
                </w:p>
              </w:tc>
              <w:tc>
                <w:tcPr>
                  <w:tcW w:w="1220" w:type="pct"/>
                  <w:shd w:val="clear" w:color="auto" w:fill="auto"/>
                  <w:noWrap w:val="0"/>
                  <w:vAlign w:val="center"/>
                </w:tcPr>
                <w:p w14:paraId="7EDB84F9">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抱夹</w:t>
                  </w:r>
                </w:p>
              </w:tc>
              <w:tc>
                <w:tcPr>
                  <w:tcW w:w="1133" w:type="pct"/>
                  <w:shd w:val="clear" w:color="auto" w:fill="auto"/>
                  <w:noWrap w:val="0"/>
                  <w:vAlign w:val="center"/>
                </w:tcPr>
                <w:p w14:paraId="6C284E3A">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926型</w:t>
                  </w:r>
                </w:p>
              </w:tc>
              <w:tc>
                <w:tcPr>
                  <w:tcW w:w="449" w:type="pct"/>
                  <w:shd w:val="clear" w:color="auto" w:fill="auto"/>
                  <w:noWrap w:val="0"/>
                  <w:vAlign w:val="center"/>
                </w:tcPr>
                <w:p w14:paraId="530D982F">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1</w:t>
                  </w:r>
                </w:p>
              </w:tc>
              <w:tc>
                <w:tcPr>
                  <w:tcW w:w="1175" w:type="pct"/>
                  <w:shd w:val="clear" w:color="auto" w:fill="auto"/>
                  <w:noWrap w:val="0"/>
                  <w:vAlign w:val="center"/>
                </w:tcPr>
                <w:p w14:paraId="16F2BB96">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装卸转运</w:t>
                  </w:r>
                </w:p>
              </w:tc>
            </w:tr>
            <w:tr w14:paraId="167D06B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65" w:type="pct"/>
                  <w:shd w:val="clear" w:color="auto" w:fill="auto"/>
                  <w:noWrap w:val="0"/>
                  <w:vAlign w:val="center"/>
                </w:tcPr>
                <w:p w14:paraId="25485AD0">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10</w:t>
                  </w:r>
                </w:p>
              </w:tc>
              <w:tc>
                <w:tcPr>
                  <w:tcW w:w="655" w:type="pct"/>
                  <w:vMerge w:val="continue"/>
                  <w:shd w:val="clear" w:color="auto" w:fill="auto"/>
                  <w:noWrap w:val="0"/>
                  <w:vAlign w:val="center"/>
                </w:tcPr>
                <w:p w14:paraId="01483E28">
                  <w:pPr>
                    <w:pStyle w:val="46"/>
                    <w:keepNext w:val="0"/>
                    <w:keepLines w:val="0"/>
                    <w:suppressLineNumbers w:val="0"/>
                    <w:bidi w:val="0"/>
                    <w:spacing w:before="0" w:beforeAutospacing="0" w:after="0" w:afterAutospacing="0"/>
                    <w:rPr>
                      <w:rFonts w:hint="eastAsia"/>
                      <w:color w:val="auto"/>
                      <w:lang w:val="en-US" w:eastAsia="zh-CN"/>
                    </w:rPr>
                  </w:pPr>
                </w:p>
              </w:tc>
              <w:tc>
                <w:tcPr>
                  <w:tcW w:w="1220" w:type="pct"/>
                  <w:shd w:val="clear" w:color="auto" w:fill="auto"/>
                  <w:noWrap w:val="0"/>
                  <w:vAlign w:val="center"/>
                </w:tcPr>
                <w:p w14:paraId="61FC1B6B">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破碎机</w:t>
                  </w:r>
                </w:p>
              </w:tc>
              <w:tc>
                <w:tcPr>
                  <w:tcW w:w="1133" w:type="pct"/>
                  <w:shd w:val="clear" w:color="auto" w:fill="auto"/>
                  <w:noWrap w:val="0"/>
                  <w:vAlign w:val="center"/>
                </w:tcPr>
                <w:p w14:paraId="4859042E">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G80型，1.5t/h</w:t>
                  </w:r>
                </w:p>
              </w:tc>
              <w:tc>
                <w:tcPr>
                  <w:tcW w:w="449" w:type="pct"/>
                  <w:shd w:val="clear" w:color="auto" w:fill="auto"/>
                  <w:noWrap w:val="0"/>
                  <w:vAlign w:val="center"/>
                </w:tcPr>
                <w:p w14:paraId="5C5309D6">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2</w:t>
                  </w:r>
                </w:p>
              </w:tc>
              <w:tc>
                <w:tcPr>
                  <w:tcW w:w="1175" w:type="pct"/>
                  <w:shd w:val="clear" w:color="auto" w:fill="auto"/>
                  <w:noWrap w:val="0"/>
                  <w:vAlign w:val="center"/>
                </w:tcPr>
                <w:p w14:paraId="2D9DB4BE">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塑料破碎</w:t>
                  </w:r>
                </w:p>
              </w:tc>
            </w:tr>
            <w:tr w14:paraId="58CBDCC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65" w:type="pct"/>
                  <w:shd w:val="clear" w:color="auto" w:fill="auto"/>
                  <w:noWrap w:val="0"/>
                  <w:vAlign w:val="center"/>
                </w:tcPr>
                <w:p w14:paraId="0EBC70D6">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11</w:t>
                  </w:r>
                </w:p>
              </w:tc>
              <w:tc>
                <w:tcPr>
                  <w:tcW w:w="655" w:type="pct"/>
                  <w:vMerge w:val="continue"/>
                  <w:shd w:val="clear" w:color="auto" w:fill="auto"/>
                  <w:noWrap w:val="0"/>
                  <w:vAlign w:val="center"/>
                </w:tcPr>
                <w:p w14:paraId="06E11E93">
                  <w:pPr>
                    <w:pStyle w:val="46"/>
                    <w:keepNext w:val="0"/>
                    <w:keepLines w:val="0"/>
                    <w:suppressLineNumbers w:val="0"/>
                    <w:bidi w:val="0"/>
                    <w:spacing w:before="0" w:beforeAutospacing="0" w:after="0" w:afterAutospacing="0"/>
                    <w:rPr>
                      <w:rFonts w:hint="default"/>
                      <w:color w:val="auto"/>
                      <w:lang w:val="en-US" w:eastAsia="zh-CN"/>
                    </w:rPr>
                  </w:pPr>
                </w:p>
              </w:tc>
              <w:tc>
                <w:tcPr>
                  <w:tcW w:w="1220" w:type="pct"/>
                  <w:shd w:val="clear" w:color="auto" w:fill="auto"/>
                  <w:noWrap w:val="0"/>
                  <w:vAlign w:val="center"/>
                </w:tcPr>
                <w:p w14:paraId="7C6717AF">
                  <w:pPr>
                    <w:pStyle w:val="46"/>
                    <w:keepNext w:val="0"/>
                    <w:keepLines w:val="0"/>
                    <w:suppressLineNumbers w:val="0"/>
                    <w:bidi w:val="0"/>
                    <w:spacing w:before="0" w:beforeAutospacing="0" w:after="0" w:afterAutospacing="0"/>
                    <w:rPr>
                      <w:rFonts w:hint="default"/>
                      <w:color w:val="auto"/>
                      <w:lang w:val="en-US" w:eastAsia="zh-CN"/>
                    </w:rPr>
                  </w:pPr>
                  <w:r>
                    <w:rPr>
                      <w:rFonts w:hint="eastAsia"/>
                      <w:lang w:eastAsia="zh-CN"/>
                    </w:rPr>
                    <w:t>颚</w:t>
                  </w:r>
                  <w:r>
                    <w:rPr>
                      <w:rFonts w:hint="default"/>
                    </w:rPr>
                    <w:t>式剪切机</w:t>
                  </w:r>
                </w:p>
              </w:tc>
              <w:tc>
                <w:tcPr>
                  <w:tcW w:w="1133" w:type="pct"/>
                  <w:shd w:val="clear" w:color="auto" w:fill="auto"/>
                  <w:noWrap w:val="0"/>
                  <w:vAlign w:val="center"/>
                </w:tcPr>
                <w:p w14:paraId="7F1B717A">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1米型</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43t/h~250t/h</w:t>
                  </w:r>
                </w:p>
              </w:tc>
              <w:tc>
                <w:tcPr>
                  <w:tcW w:w="449" w:type="pct"/>
                  <w:shd w:val="clear" w:color="auto" w:fill="auto"/>
                  <w:noWrap w:val="0"/>
                  <w:vAlign w:val="center"/>
                </w:tcPr>
                <w:p w14:paraId="6DD44244">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1</w:t>
                  </w:r>
                </w:p>
              </w:tc>
              <w:tc>
                <w:tcPr>
                  <w:tcW w:w="1175" w:type="pct"/>
                  <w:shd w:val="clear" w:color="auto" w:fill="auto"/>
                  <w:noWrap w:val="0"/>
                  <w:vAlign w:val="center"/>
                </w:tcPr>
                <w:p w14:paraId="2ECA74C6">
                  <w:pPr>
                    <w:pStyle w:val="46"/>
                    <w:keepNext w:val="0"/>
                    <w:keepLines w:val="0"/>
                    <w:suppressLineNumbers w:val="0"/>
                    <w:bidi w:val="0"/>
                    <w:spacing w:before="0" w:beforeAutospacing="0" w:after="0" w:afterAutospacing="0"/>
                    <w:rPr>
                      <w:rFonts w:hint="eastAsia"/>
                      <w:color w:val="auto"/>
                      <w:lang w:val="en-US" w:eastAsia="zh-CN"/>
                    </w:rPr>
                  </w:pPr>
                  <w:r>
                    <w:rPr>
                      <w:rFonts w:hint="eastAsia"/>
                      <w:b w:val="0"/>
                      <w:bCs w:val="0"/>
                      <w:color w:val="auto"/>
                      <w:u w:val="none"/>
                      <w:lang w:val="en-US" w:eastAsia="zh-CN"/>
                    </w:rPr>
                    <w:t>剪切</w:t>
                  </w:r>
                </w:p>
              </w:tc>
            </w:tr>
            <w:tr w14:paraId="4450BFB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65" w:type="pct"/>
                  <w:shd w:val="clear" w:color="auto" w:fill="auto"/>
                  <w:noWrap w:val="0"/>
                  <w:vAlign w:val="center"/>
                </w:tcPr>
                <w:p w14:paraId="27FAB614">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12</w:t>
                  </w:r>
                </w:p>
              </w:tc>
              <w:tc>
                <w:tcPr>
                  <w:tcW w:w="655" w:type="pct"/>
                  <w:vMerge w:val="continue"/>
                  <w:shd w:val="clear" w:color="auto" w:fill="auto"/>
                  <w:noWrap w:val="0"/>
                  <w:vAlign w:val="center"/>
                </w:tcPr>
                <w:p w14:paraId="672C9E0F">
                  <w:pPr>
                    <w:pStyle w:val="46"/>
                    <w:keepNext w:val="0"/>
                    <w:keepLines w:val="0"/>
                    <w:suppressLineNumbers w:val="0"/>
                    <w:bidi w:val="0"/>
                    <w:spacing w:before="0" w:beforeAutospacing="0" w:after="0" w:afterAutospacing="0"/>
                    <w:rPr>
                      <w:rFonts w:hint="default"/>
                      <w:color w:val="auto"/>
                      <w:lang w:val="en-US" w:eastAsia="zh-CN"/>
                    </w:rPr>
                  </w:pPr>
                </w:p>
              </w:tc>
              <w:tc>
                <w:tcPr>
                  <w:tcW w:w="1220" w:type="pct"/>
                  <w:shd w:val="clear" w:color="auto" w:fill="auto"/>
                  <w:noWrap w:val="0"/>
                  <w:vAlign w:val="center"/>
                </w:tcPr>
                <w:p w14:paraId="6CD76799">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水泵</w:t>
                  </w:r>
                </w:p>
              </w:tc>
              <w:tc>
                <w:tcPr>
                  <w:tcW w:w="1133" w:type="pct"/>
                  <w:shd w:val="clear" w:color="auto" w:fill="auto"/>
                  <w:noWrap w:val="0"/>
                  <w:vAlign w:val="center"/>
                </w:tcPr>
                <w:p w14:paraId="3D409346">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w:t>
                  </w:r>
                </w:p>
              </w:tc>
              <w:tc>
                <w:tcPr>
                  <w:tcW w:w="449" w:type="pct"/>
                  <w:shd w:val="clear" w:color="auto" w:fill="auto"/>
                  <w:noWrap w:val="0"/>
                  <w:vAlign w:val="center"/>
                </w:tcPr>
                <w:p w14:paraId="3D694D2B">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1</w:t>
                  </w:r>
                </w:p>
              </w:tc>
              <w:tc>
                <w:tcPr>
                  <w:tcW w:w="1175" w:type="pct"/>
                  <w:shd w:val="clear" w:color="auto" w:fill="auto"/>
                  <w:noWrap w:val="0"/>
                  <w:vAlign w:val="center"/>
                </w:tcPr>
                <w:p w14:paraId="42E45A6E">
                  <w:pPr>
                    <w:pStyle w:val="46"/>
                    <w:keepNext w:val="0"/>
                    <w:keepLines w:val="0"/>
                    <w:suppressLineNumbers w:val="0"/>
                    <w:bidi w:val="0"/>
                    <w:spacing w:before="0" w:beforeAutospacing="0" w:after="0" w:afterAutospacing="0"/>
                    <w:rPr>
                      <w:rFonts w:hint="default"/>
                      <w:b w:val="0"/>
                      <w:bCs w:val="0"/>
                      <w:color w:val="auto"/>
                      <w:u w:val="none"/>
                      <w:lang w:val="en-US" w:eastAsia="zh-CN"/>
                    </w:rPr>
                  </w:pPr>
                  <w:r>
                    <w:rPr>
                      <w:rFonts w:hint="eastAsia"/>
                      <w:b w:val="0"/>
                      <w:bCs w:val="0"/>
                      <w:color w:val="auto"/>
                      <w:u w:val="none"/>
                      <w:lang w:val="en-US" w:eastAsia="zh-CN"/>
                    </w:rPr>
                    <w:t>/</w:t>
                  </w:r>
                </w:p>
              </w:tc>
            </w:tr>
            <w:tr w14:paraId="2C5F51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65" w:type="pct"/>
                  <w:shd w:val="clear" w:color="auto" w:fill="auto"/>
                  <w:noWrap w:val="0"/>
                  <w:vAlign w:val="center"/>
                </w:tcPr>
                <w:p w14:paraId="2A131214">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13</w:t>
                  </w:r>
                </w:p>
              </w:tc>
              <w:tc>
                <w:tcPr>
                  <w:tcW w:w="655" w:type="pct"/>
                  <w:vMerge w:val="continue"/>
                  <w:shd w:val="clear" w:color="auto" w:fill="auto"/>
                  <w:noWrap w:val="0"/>
                  <w:vAlign w:val="center"/>
                </w:tcPr>
                <w:p w14:paraId="622F744F">
                  <w:pPr>
                    <w:pStyle w:val="46"/>
                    <w:keepNext w:val="0"/>
                    <w:keepLines w:val="0"/>
                    <w:suppressLineNumbers w:val="0"/>
                    <w:bidi w:val="0"/>
                    <w:spacing w:before="0" w:beforeAutospacing="0" w:after="0" w:afterAutospacing="0"/>
                    <w:rPr>
                      <w:rFonts w:hint="default"/>
                      <w:color w:val="auto"/>
                      <w:lang w:val="en-US" w:eastAsia="zh-CN"/>
                    </w:rPr>
                  </w:pPr>
                </w:p>
              </w:tc>
              <w:tc>
                <w:tcPr>
                  <w:tcW w:w="1220" w:type="pct"/>
                  <w:shd w:val="clear" w:color="auto" w:fill="auto"/>
                  <w:noWrap w:val="0"/>
                  <w:vAlign w:val="center"/>
                </w:tcPr>
                <w:p w14:paraId="59335D4D">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扒胎机</w:t>
                  </w:r>
                </w:p>
              </w:tc>
              <w:tc>
                <w:tcPr>
                  <w:tcW w:w="1133" w:type="pct"/>
                  <w:shd w:val="clear" w:color="auto" w:fill="auto"/>
                  <w:noWrap w:val="0"/>
                  <w:vAlign w:val="center"/>
                </w:tcPr>
                <w:p w14:paraId="6691B617">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w:t>
                  </w:r>
                </w:p>
              </w:tc>
              <w:tc>
                <w:tcPr>
                  <w:tcW w:w="449" w:type="pct"/>
                  <w:shd w:val="clear" w:color="auto" w:fill="auto"/>
                  <w:noWrap w:val="0"/>
                  <w:vAlign w:val="center"/>
                </w:tcPr>
                <w:p w14:paraId="3037CF67">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2</w:t>
                  </w:r>
                </w:p>
              </w:tc>
              <w:tc>
                <w:tcPr>
                  <w:tcW w:w="1175" w:type="pct"/>
                  <w:shd w:val="clear" w:color="auto" w:fill="auto"/>
                  <w:noWrap w:val="0"/>
                  <w:vAlign w:val="center"/>
                </w:tcPr>
                <w:p w14:paraId="10950B62">
                  <w:pPr>
                    <w:pStyle w:val="46"/>
                    <w:keepNext w:val="0"/>
                    <w:keepLines w:val="0"/>
                    <w:suppressLineNumbers w:val="0"/>
                    <w:bidi w:val="0"/>
                    <w:spacing w:before="0" w:beforeAutospacing="0" w:after="0" w:afterAutospacing="0"/>
                    <w:rPr>
                      <w:rFonts w:hint="default"/>
                      <w:b w:val="0"/>
                      <w:bCs w:val="0"/>
                      <w:color w:val="auto"/>
                      <w:u w:val="none"/>
                      <w:lang w:val="en-US" w:eastAsia="zh-CN"/>
                    </w:rPr>
                  </w:pPr>
                  <w:r>
                    <w:rPr>
                      <w:rFonts w:hint="eastAsia"/>
                      <w:b w:val="0"/>
                      <w:bCs w:val="0"/>
                      <w:color w:val="auto"/>
                      <w:u w:val="none"/>
                      <w:lang w:val="en-US" w:eastAsia="zh-CN"/>
                    </w:rPr>
                    <w:t>扒胎</w:t>
                  </w:r>
                </w:p>
              </w:tc>
            </w:tr>
            <w:tr w14:paraId="6C4E773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65" w:type="pct"/>
                  <w:shd w:val="clear" w:color="auto" w:fill="auto"/>
                  <w:noWrap w:val="0"/>
                  <w:vAlign w:val="center"/>
                </w:tcPr>
                <w:p w14:paraId="0F752AC6">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14</w:t>
                  </w:r>
                </w:p>
              </w:tc>
              <w:tc>
                <w:tcPr>
                  <w:tcW w:w="655" w:type="pct"/>
                  <w:vMerge w:val="continue"/>
                  <w:shd w:val="clear" w:color="auto" w:fill="auto"/>
                  <w:noWrap w:val="0"/>
                  <w:vAlign w:val="center"/>
                </w:tcPr>
                <w:p w14:paraId="492033F8">
                  <w:pPr>
                    <w:pStyle w:val="46"/>
                    <w:keepNext w:val="0"/>
                    <w:keepLines w:val="0"/>
                    <w:suppressLineNumbers w:val="0"/>
                    <w:bidi w:val="0"/>
                    <w:spacing w:before="0" w:beforeAutospacing="0" w:after="0" w:afterAutospacing="0"/>
                    <w:rPr>
                      <w:rFonts w:hint="eastAsia"/>
                      <w:color w:val="auto"/>
                      <w:lang w:val="en-US" w:eastAsia="zh-CN"/>
                    </w:rPr>
                  </w:pPr>
                </w:p>
              </w:tc>
              <w:tc>
                <w:tcPr>
                  <w:tcW w:w="1220" w:type="pct"/>
                  <w:shd w:val="clear" w:color="auto" w:fill="auto"/>
                  <w:noWrap w:val="0"/>
                  <w:vAlign w:val="center"/>
                </w:tcPr>
                <w:p w14:paraId="46EB783D">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等离子切割机</w:t>
                  </w:r>
                </w:p>
              </w:tc>
              <w:tc>
                <w:tcPr>
                  <w:tcW w:w="1133" w:type="pct"/>
                  <w:shd w:val="clear" w:color="auto" w:fill="auto"/>
                  <w:noWrap w:val="0"/>
                  <w:vAlign w:val="center"/>
                </w:tcPr>
                <w:p w14:paraId="19D07926">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100型</w:t>
                  </w:r>
                </w:p>
              </w:tc>
              <w:tc>
                <w:tcPr>
                  <w:tcW w:w="449" w:type="pct"/>
                  <w:shd w:val="clear" w:color="auto" w:fill="auto"/>
                  <w:noWrap w:val="0"/>
                  <w:vAlign w:val="center"/>
                </w:tcPr>
                <w:p w14:paraId="4A1274F0">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2</w:t>
                  </w:r>
                </w:p>
              </w:tc>
              <w:tc>
                <w:tcPr>
                  <w:tcW w:w="1175" w:type="pct"/>
                  <w:shd w:val="clear" w:color="auto" w:fill="auto"/>
                  <w:noWrap w:val="0"/>
                  <w:vAlign w:val="center"/>
                </w:tcPr>
                <w:p w14:paraId="40B3996C">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切割</w:t>
                  </w:r>
                </w:p>
              </w:tc>
            </w:tr>
            <w:tr w14:paraId="3AA842A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65" w:type="pct"/>
                  <w:shd w:val="clear" w:color="auto" w:fill="auto"/>
                  <w:noWrap w:val="0"/>
                  <w:vAlign w:val="center"/>
                </w:tcPr>
                <w:p w14:paraId="740EF503">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15</w:t>
                  </w:r>
                </w:p>
              </w:tc>
              <w:tc>
                <w:tcPr>
                  <w:tcW w:w="655" w:type="pct"/>
                  <w:vMerge w:val="restart"/>
                  <w:shd w:val="clear" w:color="auto" w:fill="auto"/>
                  <w:noWrap w:val="0"/>
                  <w:vAlign w:val="center"/>
                </w:tcPr>
                <w:p w14:paraId="2A77BF32">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暂存车间</w:t>
                  </w:r>
                </w:p>
              </w:tc>
              <w:tc>
                <w:tcPr>
                  <w:tcW w:w="1220" w:type="pct"/>
                  <w:shd w:val="clear" w:color="auto" w:fill="auto"/>
                  <w:noWrap w:val="0"/>
                  <w:vAlign w:val="center"/>
                </w:tcPr>
                <w:p w14:paraId="06111684">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防渗托盘</w:t>
                  </w:r>
                </w:p>
              </w:tc>
              <w:tc>
                <w:tcPr>
                  <w:tcW w:w="1133" w:type="pct"/>
                  <w:shd w:val="clear" w:color="auto" w:fill="auto"/>
                  <w:noWrap w:val="0"/>
                  <w:vAlign w:val="center"/>
                </w:tcPr>
                <w:p w14:paraId="5DBAB841">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1m×1m</w:t>
                  </w:r>
                </w:p>
              </w:tc>
              <w:tc>
                <w:tcPr>
                  <w:tcW w:w="449" w:type="pct"/>
                  <w:shd w:val="clear" w:color="auto" w:fill="auto"/>
                  <w:noWrap w:val="0"/>
                  <w:vAlign w:val="center"/>
                </w:tcPr>
                <w:p w14:paraId="057EDB65">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50</w:t>
                  </w:r>
                </w:p>
              </w:tc>
              <w:tc>
                <w:tcPr>
                  <w:tcW w:w="1175" w:type="pct"/>
                  <w:shd w:val="clear" w:color="auto" w:fill="auto"/>
                  <w:noWrap w:val="0"/>
                  <w:vAlign w:val="center"/>
                </w:tcPr>
                <w:p w14:paraId="4D4C4B2E">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完整电池暂存</w:t>
                  </w:r>
                </w:p>
              </w:tc>
            </w:tr>
            <w:tr w14:paraId="6571F33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65" w:type="pct"/>
                  <w:shd w:val="clear" w:color="auto" w:fill="auto"/>
                  <w:noWrap w:val="0"/>
                  <w:vAlign w:val="center"/>
                </w:tcPr>
                <w:p w14:paraId="6989D2E0">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16</w:t>
                  </w:r>
                </w:p>
              </w:tc>
              <w:tc>
                <w:tcPr>
                  <w:tcW w:w="655" w:type="pct"/>
                  <w:vMerge w:val="continue"/>
                  <w:shd w:val="clear" w:color="auto" w:fill="auto"/>
                  <w:noWrap w:val="0"/>
                  <w:vAlign w:val="center"/>
                </w:tcPr>
                <w:p w14:paraId="4DB79DEF">
                  <w:pPr>
                    <w:pStyle w:val="46"/>
                    <w:keepNext w:val="0"/>
                    <w:keepLines w:val="0"/>
                    <w:suppressLineNumbers w:val="0"/>
                    <w:bidi w:val="0"/>
                    <w:spacing w:before="0" w:beforeAutospacing="0" w:after="0" w:afterAutospacing="0"/>
                    <w:rPr>
                      <w:rFonts w:hint="eastAsia"/>
                      <w:color w:val="auto"/>
                      <w:lang w:val="en-US" w:eastAsia="zh-CN"/>
                    </w:rPr>
                  </w:pPr>
                </w:p>
              </w:tc>
              <w:tc>
                <w:tcPr>
                  <w:tcW w:w="1220" w:type="pct"/>
                  <w:shd w:val="clear" w:color="auto" w:fill="auto"/>
                  <w:noWrap w:val="0"/>
                  <w:vAlign w:val="center"/>
                </w:tcPr>
                <w:p w14:paraId="3C0BE811">
                  <w:pPr>
                    <w:pStyle w:val="27"/>
                    <w:keepNext w:val="0"/>
                    <w:keepLines w:val="0"/>
                    <w:suppressLineNumbers w:val="0"/>
                    <w:bidi w:val="0"/>
                    <w:spacing w:before="0" w:beforeAutospacing="0" w:after="0" w:afterAutospacing="0"/>
                    <w:ind w:left="0" w:right="0" w:firstLine="0" w:firstLineChars="0"/>
                    <w:rPr>
                      <w:rFonts w:hint="default"/>
                      <w:color w:val="auto"/>
                      <w:highlight w:val="none"/>
                      <w:lang w:val="en-US" w:eastAsia="zh-CN"/>
                    </w:rPr>
                  </w:pPr>
                  <w:r>
                    <w:rPr>
                      <w:rFonts w:hint="eastAsia"/>
                      <w:b w:val="0"/>
                      <w:bCs w:val="0"/>
                      <w:color w:val="auto"/>
                      <w:highlight w:val="none"/>
                      <w:u w:val="none"/>
                      <w:lang w:val="en-US" w:eastAsia="zh-CN"/>
                    </w:rPr>
                    <w:t>带盖PVC箱</w:t>
                  </w:r>
                </w:p>
              </w:tc>
              <w:tc>
                <w:tcPr>
                  <w:tcW w:w="1133" w:type="pct"/>
                  <w:shd w:val="clear" w:color="auto" w:fill="auto"/>
                  <w:noWrap w:val="0"/>
                  <w:vAlign w:val="center"/>
                </w:tcPr>
                <w:p w14:paraId="10744A25">
                  <w:pPr>
                    <w:pStyle w:val="27"/>
                    <w:keepNext w:val="0"/>
                    <w:keepLines w:val="0"/>
                    <w:suppressLineNumbers w:val="0"/>
                    <w:bidi w:val="0"/>
                    <w:spacing w:before="0" w:beforeAutospacing="0" w:after="0" w:afterAutospacing="0"/>
                    <w:ind w:left="0" w:right="0" w:firstLine="0" w:firstLineChars="0"/>
                    <w:rPr>
                      <w:rFonts w:hint="eastAsia"/>
                      <w:color w:val="auto"/>
                      <w:highlight w:val="none"/>
                      <w:lang w:val="en-US" w:eastAsia="zh-CN"/>
                    </w:rPr>
                  </w:pPr>
                  <w:r>
                    <w:rPr>
                      <w:rFonts w:hint="eastAsia"/>
                      <w:b w:val="0"/>
                      <w:bCs w:val="0"/>
                      <w:color w:val="auto"/>
                      <w:highlight w:val="none"/>
                      <w:u w:val="none"/>
                      <w:lang w:val="en-US" w:eastAsia="zh-CN"/>
                    </w:rPr>
                    <w:t>1m*1m*1.5m</w:t>
                  </w:r>
                </w:p>
              </w:tc>
              <w:tc>
                <w:tcPr>
                  <w:tcW w:w="449" w:type="pct"/>
                  <w:shd w:val="clear" w:color="auto" w:fill="auto"/>
                  <w:noWrap w:val="0"/>
                  <w:vAlign w:val="center"/>
                </w:tcPr>
                <w:p w14:paraId="78A8D362">
                  <w:pPr>
                    <w:pStyle w:val="27"/>
                    <w:keepNext w:val="0"/>
                    <w:keepLines w:val="0"/>
                    <w:suppressLineNumbers w:val="0"/>
                    <w:bidi w:val="0"/>
                    <w:spacing w:before="0" w:beforeAutospacing="0" w:after="0" w:afterAutospacing="0"/>
                    <w:ind w:left="0" w:right="0" w:firstLine="0" w:firstLineChars="0"/>
                    <w:rPr>
                      <w:rFonts w:hint="eastAsia"/>
                      <w:color w:val="auto"/>
                      <w:highlight w:val="none"/>
                      <w:lang w:val="en-US" w:eastAsia="zh-CN"/>
                    </w:rPr>
                  </w:pPr>
                  <w:r>
                    <w:rPr>
                      <w:rFonts w:hint="eastAsia"/>
                      <w:b w:val="0"/>
                      <w:bCs w:val="0"/>
                      <w:color w:val="auto"/>
                      <w:highlight w:val="none"/>
                      <w:u w:val="none"/>
                      <w:lang w:val="en-US" w:eastAsia="zh-CN"/>
                    </w:rPr>
                    <w:t>20</w:t>
                  </w:r>
                </w:p>
              </w:tc>
              <w:tc>
                <w:tcPr>
                  <w:tcW w:w="1175" w:type="pct"/>
                  <w:shd w:val="clear" w:color="auto" w:fill="auto"/>
                  <w:noWrap w:val="0"/>
                  <w:vAlign w:val="center"/>
                </w:tcPr>
                <w:p w14:paraId="4BD6FE24">
                  <w:pPr>
                    <w:pStyle w:val="46"/>
                    <w:keepNext w:val="0"/>
                    <w:keepLines w:val="0"/>
                    <w:suppressLineNumbers w:val="0"/>
                    <w:bidi w:val="0"/>
                    <w:spacing w:before="0" w:beforeAutospacing="0" w:after="0" w:afterAutospacing="0"/>
                    <w:rPr>
                      <w:rFonts w:hint="eastAsia"/>
                      <w:color w:val="auto"/>
                      <w:lang w:val="en-US" w:eastAsia="zh-CN"/>
                    </w:rPr>
                  </w:pPr>
                  <w:r>
                    <w:rPr>
                      <w:rFonts w:hint="eastAsia"/>
                      <w:b w:val="0"/>
                      <w:bCs w:val="0"/>
                      <w:color w:val="auto"/>
                      <w:u w:val="none"/>
                      <w:lang w:val="en-US" w:eastAsia="zh-CN"/>
                    </w:rPr>
                    <w:t>破损铅酸蓄电池贮存</w:t>
                  </w:r>
                </w:p>
              </w:tc>
            </w:tr>
            <w:tr w14:paraId="428304E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65" w:type="pct"/>
                  <w:shd w:val="clear" w:color="auto" w:fill="auto"/>
                  <w:noWrap w:val="0"/>
                  <w:vAlign w:val="center"/>
                </w:tcPr>
                <w:p w14:paraId="5238D5B2">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17</w:t>
                  </w:r>
                </w:p>
              </w:tc>
              <w:tc>
                <w:tcPr>
                  <w:tcW w:w="655" w:type="pct"/>
                  <w:vMerge w:val="restart"/>
                  <w:shd w:val="clear" w:color="auto" w:fill="auto"/>
                  <w:noWrap w:val="0"/>
                  <w:vAlign w:val="center"/>
                </w:tcPr>
                <w:p w14:paraId="33F4A9A9">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公共设备</w:t>
                  </w:r>
                </w:p>
              </w:tc>
              <w:tc>
                <w:tcPr>
                  <w:tcW w:w="1220" w:type="pct"/>
                  <w:shd w:val="clear" w:color="auto" w:fill="auto"/>
                  <w:noWrap w:val="0"/>
                  <w:vAlign w:val="center"/>
                </w:tcPr>
                <w:p w14:paraId="66113E97">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空压机</w:t>
                  </w:r>
                </w:p>
              </w:tc>
              <w:tc>
                <w:tcPr>
                  <w:tcW w:w="1133" w:type="pct"/>
                  <w:shd w:val="clear" w:color="auto" w:fill="auto"/>
                  <w:noWrap w:val="0"/>
                  <w:vAlign w:val="center"/>
                </w:tcPr>
                <w:p w14:paraId="3DE4323D">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w:t>
                  </w:r>
                </w:p>
              </w:tc>
              <w:tc>
                <w:tcPr>
                  <w:tcW w:w="449" w:type="pct"/>
                  <w:shd w:val="clear" w:color="auto" w:fill="auto"/>
                  <w:noWrap w:val="0"/>
                  <w:vAlign w:val="center"/>
                </w:tcPr>
                <w:p w14:paraId="2D08128C">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1</w:t>
                  </w:r>
                </w:p>
              </w:tc>
              <w:tc>
                <w:tcPr>
                  <w:tcW w:w="1175" w:type="pct"/>
                  <w:shd w:val="clear" w:color="auto" w:fill="auto"/>
                  <w:noWrap w:val="0"/>
                  <w:vAlign w:val="center"/>
                </w:tcPr>
                <w:p w14:paraId="32BB56BA">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w:t>
                  </w:r>
                </w:p>
              </w:tc>
            </w:tr>
            <w:tr w14:paraId="40FAB98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107" w:hRule="atLeast"/>
                <w:jc w:val="center"/>
              </w:trPr>
              <w:tc>
                <w:tcPr>
                  <w:tcW w:w="365" w:type="pct"/>
                  <w:shd w:val="clear" w:color="auto" w:fill="auto"/>
                  <w:noWrap w:val="0"/>
                  <w:vAlign w:val="center"/>
                </w:tcPr>
                <w:p w14:paraId="0D972A7C">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18</w:t>
                  </w:r>
                </w:p>
              </w:tc>
              <w:tc>
                <w:tcPr>
                  <w:tcW w:w="655" w:type="pct"/>
                  <w:vMerge w:val="continue"/>
                  <w:shd w:val="clear" w:color="auto" w:fill="auto"/>
                  <w:noWrap w:val="0"/>
                  <w:vAlign w:val="center"/>
                </w:tcPr>
                <w:p w14:paraId="39837D05">
                  <w:pPr>
                    <w:pStyle w:val="46"/>
                    <w:keepNext w:val="0"/>
                    <w:keepLines w:val="0"/>
                    <w:suppressLineNumbers w:val="0"/>
                    <w:bidi w:val="0"/>
                    <w:spacing w:before="0" w:beforeAutospacing="0" w:after="0" w:afterAutospacing="0"/>
                    <w:rPr>
                      <w:rFonts w:hint="eastAsia"/>
                      <w:color w:val="auto"/>
                      <w:lang w:val="en-US" w:eastAsia="zh-CN"/>
                    </w:rPr>
                  </w:pPr>
                </w:p>
              </w:tc>
              <w:tc>
                <w:tcPr>
                  <w:tcW w:w="1220" w:type="pct"/>
                  <w:shd w:val="clear" w:color="auto" w:fill="auto"/>
                  <w:noWrap w:val="0"/>
                  <w:vAlign w:val="center"/>
                </w:tcPr>
                <w:p w14:paraId="4ADF0AD5">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压滤机</w:t>
                  </w:r>
                </w:p>
              </w:tc>
              <w:tc>
                <w:tcPr>
                  <w:tcW w:w="1133" w:type="pct"/>
                  <w:shd w:val="clear" w:color="auto" w:fill="auto"/>
                  <w:noWrap w:val="0"/>
                  <w:vAlign w:val="center"/>
                </w:tcPr>
                <w:p w14:paraId="6D86C1D7">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highlight w:val="none"/>
                      <w:lang w:val="en-US" w:eastAsia="zh-CN"/>
                    </w:rPr>
                    <w:t>/</w:t>
                  </w:r>
                </w:p>
              </w:tc>
              <w:tc>
                <w:tcPr>
                  <w:tcW w:w="449" w:type="pct"/>
                  <w:shd w:val="clear" w:color="auto" w:fill="auto"/>
                  <w:noWrap w:val="0"/>
                  <w:vAlign w:val="center"/>
                </w:tcPr>
                <w:p w14:paraId="3DD1A827">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1</w:t>
                  </w:r>
                </w:p>
              </w:tc>
              <w:tc>
                <w:tcPr>
                  <w:tcW w:w="1175" w:type="pct"/>
                  <w:shd w:val="clear" w:color="auto" w:fill="auto"/>
                  <w:noWrap w:val="0"/>
                  <w:vAlign w:val="center"/>
                </w:tcPr>
                <w:p w14:paraId="3518A4AC">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污泥压滤</w:t>
                  </w:r>
                </w:p>
              </w:tc>
            </w:tr>
            <w:tr w14:paraId="288EE1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65" w:type="pct"/>
                  <w:shd w:val="clear" w:color="auto" w:fill="auto"/>
                  <w:noWrap w:val="0"/>
                  <w:vAlign w:val="center"/>
                </w:tcPr>
                <w:p w14:paraId="0100F462">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19</w:t>
                  </w:r>
                </w:p>
              </w:tc>
              <w:tc>
                <w:tcPr>
                  <w:tcW w:w="655" w:type="pct"/>
                  <w:vMerge w:val="restart"/>
                  <w:shd w:val="clear" w:color="auto" w:fill="auto"/>
                  <w:noWrap w:val="0"/>
                  <w:vAlign w:val="center"/>
                </w:tcPr>
                <w:p w14:paraId="5147B8C2">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环保设备</w:t>
                  </w:r>
                </w:p>
              </w:tc>
              <w:tc>
                <w:tcPr>
                  <w:tcW w:w="1220" w:type="pct"/>
                  <w:shd w:val="clear" w:color="auto" w:fill="auto"/>
                  <w:noWrap w:val="0"/>
                  <w:vAlign w:val="center"/>
                </w:tcPr>
                <w:p w14:paraId="260F3903">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絮凝沉淀池</w:t>
                  </w:r>
                </w:p>
              </w:tc>
              <w:tc>
                <w:tcPr>
                  <w:tcW w:w="1133" w:type="pct"/>
                  <w:shd w:val="clear" w:color="auto" w:fill="auto"/>
                  <w:noWrap w:val="0"/>
                  <w:vAlign w:val="center"/>
                </w:tcPr>
                <w:p w14:paraId="4CA7A2C9">
                  <w:pPr>
                    <w:pStyle w:val="46"/>
                    <w:keepNext w:val="0"/>
                    <w:keepLines w:val="0"/>
                    <w:suppressLineNumbers w:val="0"/>
                    <w:bidi w:val="0"/>
                    <w:spacing w:before="0" w:beforeAutospacing="0" w:after="0" w:afterAutospacing="0"/>
                    <w:rPr>
                      <w:rFonts w:hint="default"/>
                      <w:color w:val="auto"/>
                      <w:lang w:val="en-US" w:eastAsia="zh-CN"/>
                    </w:rPr>
                  </w:pPr>
                  <w:r>
                    <w:rPr>
                      <w:rFonts w:hint="eastAsia"/>
                      <w:b w:val="0"/>
                      <w:bCs w:val="0"/>
                      <w:color w:val="auto"/>
                      <w:u w:val="none"/>
                      <w:lang w:val="en-US" w:eastAsia="zh-CN"/>
                    </w:rPr>
                    <w:t>2.5m*1m*1m</w:t>
                  </w:r>
                </w:p>
              </w:tc>
              <w:tc>
                <w:tcPr>
                  <w:tcW w:w="449" w:type="pct"/>
                  <w:shd w:val="clear" w:color="auto" w:fill="auto"/>
                  <w:noWrap w:val="0"/>
                  <w:vAlign w:val="center"/>
                </w:tcPr>
                <w:p w14:paraId="34D57DD6">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1</w:t>
                  </w:r>
                </w:p>
              </w:tc>
              <w:tc>
                <w:tcPr>
                  <w:tcW w:w="1175" w:type="pct"/>
                  <w:shd w:val="clear" w:color="auto" w:fill="auto"/>
                  <w:noWrap w:val="0"/>
                  <w:vAlign w:val="center"/>
                </w:tcPr>
                <w:p w14:paraId="0C8FCA2D">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污水处理</w:t>
                  </w:r>
                </w:p>
              </w:tc>
            </w:tr>
            <w:tr w14:paraId="57C476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65" w:type="pct"/>
                  <w:shd w:val="clear" w:color="auto" w:fill="auto"/>
                  <w:noWrap w:val="0"/>
                  <w:vAlign w:val="center"/>
                </w:tcPr>
                <w:p w14:paraId="68188440">
                  <w:pPr>
                    <w:pStyle w:val="46"/>
                    <w:keepNext w:val="0"/>
                    <w:keepLines w:val="0"/>
                    <w:suppressLineNumbers w:val="0"/>
                    <w:bidi w:val="0"/>
                    <w:spacing w:before="0" w:beforeAutospacing="0" w:after="0" w:afterAutospacing="0"/>
                    <w:ind w:left="0" w:leftChars="0" w:right="0" w:rightChars="0" w:firstLine="0" w:firstLineChars="0"/>
                    <w:rPr>
                      <w:rFonts w:hint="default"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20</w:t>
                  </w:r>
                </w:p>
              </w:tc>
              <w:tc>
                <w:tcPr>
                  <w:tcW w:w="655" w:type="pct"/>
                  <w:vMerge w:val="continue"/>
                  <w:shd w:val="clear" w:color="auto" w:fill="auto"/>
                  <w:noWrap w:val="0"/>
                  <w:vAlign w:val="center"/>
                </w:tcPr>
                <w:p w14:paraId="375C203C">
                  <w:pPr>
                    <w:pStyle w:val="46"/>
                    <w:keepNext w:val="0"/>
                    <w:keepLines w:val="0"/>
                    <w:suppressLineNumbers w:val="0"/>
                    <w:bidi w:val="0"/>
                    <w:spacing w:before="0" w:beforeAutospacing="0" w:after="0" w:afterAutospacing="0"/>
                    <w:rPr>
                      <w:rFonts w:hint="eastAsia"/>
                      <w:color w:val="auto"/>
                      <w:lang w:val="en-US" w:eastAsia="zh-CN"/>
                    </w:rPr>
                  </w:pPr>
                </w:p>
              </w:tc>
              <w:tc>
                <w:tcPr>
                  <w:tcW w:w="1220" w:type="pct"/>
                  <w:shd w:val="clear" w:color="auto" w:fill="auto"/>
                  <w:noWrap w:val="0"/>
                  <w:vAlign w:val="center"/>
                </w:tcPr>
                <w:p w14:paraId="6CEA6ECA">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袋式除尘器</w:t>
                  </w:r>
                </w:p>
              </w:tc>
              <w:tc>
                <w:tcPr>
                  <w:tcW w:w="1133" w:type="pct"/>
                  <w:shd w:val="clear" w:color="auto" w:fill="auto"/>
                  <w:noWrap w:val="0"/>
                  <w:vAlign w:val="center"/>
                </w:tcPr>
                <w:p w14:paraId="41015E09">
                  <w:pPr>
                    <w:pStyle w:val="46"/>
                    <w:keepNext w:val="0"/>
                    <w:keepLines w:val="0"/>
                    <w:suppressLineNumbers w:val="0"/>
                    <w:bidi w:val="0"/>
                    <w:spacing w:before="0" w:beforeAutospacing="0" w:after="0" w:afterAutospacing="0"/>
                    <w:rPr>
                      <w:rFonts w:hint="default"/>
                      <w:b w:val="0"/>
                      <w:bCs w:val="0"/>
                      <w:color w:val="auto"/>
                      <w:u w:val="none"/>
                      <w:lang w:val="en-US" w:eastAsia="zh-CN"/>
                    </w:rPr>
                  </w:pPr>
                  <w:r>
                    <w:rPr>
                      <w:rFonts w:hint="eastAsia"/>
                      <w:b w:val="0"/>
                      <w:bCs w:val="0"/>
                      <w:color w:val="auto"/>
                      <w:u w:val="none"/>
                      <w:lang w:val="en-US" w:eastAsia="zh-CN"/>
                    </w:rPr>
                    <w:t>10500m³/h</w:t>
                  </w:r>
                </w:p>
              </w:tc>
              <w:tc>
                <w:tcPr>
                  <w:tcW w:w="449" w:type="pct"/>
                  <w:shd w:val="clear" w:color="auto" w:fill="auto"/>
                  <w:noWrap w:val="0"/>
                  <w:vAlign w:val="center"/>
                </w:tcPr>
                <w:p w14:paraId="7831F565">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1</w:t>
                  </w:r>
                </w:p>
              </w:tc>
              <w:tc>
                <w:tcPr>
                  <w:tcW w:w="1175" w:type="pct"/>
                  <w:shd w:val="clear" w:color="auto" w:fill="auto"/>
                  <w:noWrap w:val="0"/>
                  <w:vAlign w:val="center"/>
                </w:tcPr>
                <w:p w14:paraId="30713C21">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废气处理</w:t>
                  </w:r>
                </w:p>
              </w:tc>
            </w:tr>
          </w:tbl>
          <w:p w14:paraId="09E0DF7E">
            <w:pPr>
              <w:keepNext w:val="0"/>
              <w:keepLines w:val="0"/>
              <w:suppressLineNumbers w:val="0"/>
              <w:bidi w:val="0"/>
              <w:spacing w:before="0" w:beforeAutospacing="0" w:after="0" w:afterAutospacing="0"/>
              <w:ind w:left="0" w:right="0"/>
              <w:rPr>
                <w:rFonts w:hint="eastAsia" w:ascii="Times New Roman" w:hAnsi="Times New Roman" w:eastAsia="宋体" w:cs="Times New Roman"/>
                <w:color w:val="auto"/>
                <w:lang w:val="en-US" w:eastAsia="zh-CN"/>
              </w:rPr>
            </w:pPr>
            <w:r>
              <w:rPr>
                <w:rFonts w:hint="eastAsia"/>
                <w:color w:val="auto"/>
                <w:lang w:val="en-US" w:eastAsia="zh-CN"/>
              </w:rPr>
              <w:t>根据建设单位核实，本项目主要控制产能设备为破碎机及打包机，项目产能符合性分析见下表。</w:t>
            </w:r>
          </w:p>
          <w:p w14:paraId="5BF27297">
            <w:pPr>
              <w:pStyle w:val="43"/>
              <w:keepNext w:val="0"/>
              <w:keepLines w:val="0"/>
              <w:suppressLineNumbers w:val="0"/>
              <w:bidi w:val="0"/>
              <w:spacing w:before="0" w:beforeAutospacing="0" w:after="0" w:afterAutospacing="0"/>
              <w:ind w:left="0" w:right="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表2-1</w:t>
            </w:r>
            <w:r>
              <w:rPr>
                <w:rFonts w:hint="eastAsia" w:cs="Times New Roman"/>
                <w:color w:val="auto"/>
                <w:lang w:val="en-US" w:eastAsia="zh-CN"/>
              </w:rPr>
              <w:t>1</w:t>
            </w:r>
            <w:r>
              <w:rPr>
                <w:rFonts w:hint="eastAsia" w:ascii="Times New Roman" w:hAnsi="Times New Roman" w:eastAsia="宋体" w:cs="Times New Roman"/>
                <w:color w:val="auto"/>
                <w:lang w:val="en-US" w:eastAsia="zh-CN"/>
              </w:rPr>
              <w:t xml:space="preserve">  项目产能符合性分析一览表</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896"/>
              <w:gridCol w:w="1665"/>
              <w:gridCol w:w="1635"/>
              <w:gridCol w:w="1755"/>
              <w:gridCol w:w="1577"/>
              <w:gridCol w:w="1019"/>
            </w:tblGrid>
            <w:tr w14:paraId="65C3E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04" w:type="dxa"/>
                  <w:vAlign w:val="center"/>
                </w:tcPr>
                <w:p w14:paraId="17C67EA2">
                  <w:pPr>
                    <w:pStyle w:val="46"/>
                    <w:keepNext w:val="0"/>
                    <w:keepLines w:val="0"/>
                    <w:suppressLineNumbers w:val="0"/>
                    <w:bidi w:val="0"/>
                    <w:spacing w:before="0" w:beforeAutospacing="0" w:after="0" w:afterAutospacing="0"/>
                    <w:jc w:val="center"/>
                    <w:rPr>
                      <w:rFonts w:hint="default"/>
                      <w:b/>
                      <w:bCs/>
                      <w:color w:val="auto"/>
                      <w:lang w:val="en-US" w:eastAsia="zh-CN"/>
                    </w:rPr>
                  </w:pPr>
                  <w:r>
                    <w:rPr>
                      <w:rFonts w:hint="eastAsia"/>
                      <w:b/>
                      <w:bCs/>
                      <w:color w:val="auto"/>
                      <w:lang w:val="en-US" w:eastAsia="zh-CN"/>
                    </w:rPr>
                    <w:t>设备名称</w:t>
                  </w:r>
                </w:p>
              </w:tc>
              <w:tc>
                <w:tcPr>
                  <w:tcW w:w="1680" w:type="dxa"/>
                  <w:vAlign w:val="center"/>
                </w:tcPr>
                <w:p w14:paraId="534E65B4">
                  <w:pPr>
                    <w:pStyle w:val="46"/>
                    <w:keepNext w:val="0"/>
                    <w:keepLines w:val="0"/>
                    <w:suppressLineNumbers w:val="0"/>
                    <w:bidi w:val="0"/>
                    <w:spacing w:before="0" w:beforeAutospacing="0" w:after="0" w:afterAutospacing="0"/>
                    <w:jc w:val="center"/>
                    <w:rPr>
                      <w:rFonts w:hint="default"/>
                      <w:b/>
                      <w:bCs/>
                      <w:color w:val="auto"/>
                      <w:lang w:val="en-US" w:eastAsia="zh-CN"/>
                    </w:rPr>
                  </w:pPr>
                  <w:r>
                    <w:rPr>
                      <w:rFonts w:hint="eastAsia"/>
                      <w:b/>
                      <w:bCs/>
                      <w:color w:val="auto"/>
                      <w:lang w:val="en-US" w:eastAsia="zh-CN"/>
                    </w:rPr>
                    <w:t>每小时产能数t/h</w:t>
                  </w:r>
                </w:p>
              </w:tc>
              <w:tc>
                <w:tcPr>
                  <w:tcW w:w="1650" w:type="dxa"/>
                  <w:vAlign w:val="center"/>
                </w:tcPr>
                <w:p w14:paraId="6C222B0B">
                  <w:pPr>
                    <w:pStyle w:val="46"/>
                    <w:keepNext w:val="0"/>
                    <w:keepLines w:val="0"/>
                    <w:suppressLineNumbers w:val="0"/>
                    <w:bidi w:val="0"/>
                    <w:spacing w:before="0" w:beforeAutospacing="0" w:after="0" w:afterAutospacing="0"/>
                    <w:jc w:val="center"/>
                    <w:rPr>
                      <w:rFonts w:hint="default"/>
                      <w:b/>
                      <w:bCs/>
                      <w:color w:val="auto"/>
                      <w:lang w:val="en-US" w:eastAsia="zh-CN"/>
                    </w:rPr>
                  </w:pPr>
                  <w:r>
                    <w:rPr>
                      <w:rFonts w:hint="eastAsia"/>
                      <w:b/>
                      <w:bCs/>
                      <w:color w:val="auto"/>
                      <w:lang w:val="en-US" w:eastAsia="zh-CN"/>
                    </w:rPr>
                    <w:t>年工作小时数h</w:t>
                  </w:r>
                </w:p>
              </w:tc>
              <w:tc>
                <w:tcPr>
                  <w:tcW w:w="1770" w:type="dxa"/>
                  <w:vAlign w:val="center"/>
                </w:tcPr>
                <w:p w14:paraId="444172B5">
                  <w:pPr>
                    <w:pStyle w:val="46"/>
                    <w:keepNext w:val="0"/>
                    <w:keepLines w:val="0"/>
                    <w:suppressLineNumbers w:val="0"/>
                    <w:bidi w:val="0"/>
                    <w:spacing w:before="0" w:beforeAutospacing="0" w:after="0" w:afterAutospacing="0"/>
                    <w:jc w:val="center"/>
                    <w:rPr>
                      <w:rFonts w:hint="default"/>
                      <w:b/>
                      <w:bCs/>
                      <w:color w:val="auto"/>
                      <w:lang w:val="en-US" w:eastAsia="zh-CN"/>
                    </w:rPr>
                  </w:pPr>
                  <w:r>
                    <w:rPr>
                      <w:rFonts w:hint="eastAsia"/>
                      <w:b/>
                      <w:bCs/>
                      <w:color w:val="auto"/>
                      <w:lang w:val="en-US" w:eastAsia="zh-CN"/>
                    </w:rPr>
                    <w:t>年最大生产能力t/a</w:t>
                  </w:r>
                </w:p>
              </w:tc>
              <w:tc>
                <w:tcPr>
                  <w:tcW w:w="1590" w:type="dxa"/>
                  <w:vAlign w:val="center"/>
                </w:tcPr>
                <w:p w14:paraId="43DDE50B">
                  <w:pPr>
                    <w:pStyle w:val="46"/>
                    <w:keepNext w:val="0"/>
                    <w:keepLines w:val="0"/>
                    <w:suppressLineNumbers w:val="0"/>
                    <w:bidi w:val="0"/>
                    <w:spacing w:before="0" w:beforeAutospacing="0" w:after="0" w:afterAutospacing="0"/>
                    <w:jc w:val="center"/>
                    <w:rPr>
                      <w:rFonts w:hint="default"/>
                      <w:b/>
                      <w:bCs/>
                      <w:color w:val="auto"/>
                      <w:lang w:val="en-US" w:eastAsia="zh-CN"/>
                    </w:rPr>
                  </w:pPr>
                  <w:r>
                    <w:rPr>
                      <w:rFonts w:hint="eastAsia"/>
                      <w:b/>
                      <w:bCs/>
                      <w:color w:val="auto"/>
                      <w:lang w:val="en-US" w:eastAsia="zh-CN"/>
                    </w:rPr>
                    <w:t>实际生产能力t/a</w:t>
                  </w:r>
                </w:p>
              </w:tc>
              <w:tc>
                <w:tcPr>
                  <w:tcW w:w="1027" w:type="dxa"/>
                  <w:vAlign w:val="center"/>
                </w:tcPr>
                <w:p w14:paraId="23A3EB4D">
                  <w:pPr>
                    <w:pStyle w:val="46"/>
                    <w:keepNext w:val="0"/>
                    <w:keepLines w:val="0"/>
                    <w:suppressLineNumbers w:val="0"/>
                    <w:bidi w:val="0"/>
                    <w:spacing w:before="0" w:beforeAutospacing="0" w:after="0" w:afterAutospacing="0"/>
                    <w:jc w:val="center"/>
                    <w:rPr>
                      <w:rFonts w:hint="default"/>
                      <w:b/>
                      <w:bCs/>
                      <w:color w:val="auto"/>
                      <w:lang w:val="en-US" w:eastAsia="zh-CN"/>
                    </w:rPr>
                  </w:pPr>
                  <w:r>
                    <w:rPr>
                      <w:rFonts w:hint="eastAsia"/>
                      <w:b/>
                      <w:bCs/>
                      <w:color w:val="auto"/>
                      <w:lang w:val="en-US" w:eastAsia="zh-CN"/>
                    </w:rPr>
                    <w:t>是否匹配</w:t>
                  </w:r>
                </w:p>
              </w:tc>
            </w:tr>
            <w:tr w14:paraId="4889F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04" w:type="dxa"/>
                  <w:vAlign w:val="center"/>
                </w:tcPr>
                <w:p w14:paraId="5F29FD8D">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破碎机</w:t>
                  </w:r>
                </w:p>
              </w:tc>
              <w:tc>
                <w:tcPr>
                  <w:tcW w:w="1680" w:type="dxa"/>
                  <w:vAlign w:val="center"/>
                </w:tcPr>
                <w:p w14:paraId="235D24D3">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1.5</w:t>
                  </w:r>
                </w:p>
              </w:tc>
              <w:tc>
                <w:tcPr>
                  <w:tcW w:w="1650" w:type="dxa"/>
                  <w:vAlign w:val="center"/>
                </w:tcPr>
                <w:p w14:paraId="5823AF01">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2800</w:t>
                  </w:r>
                </w:p>
              </w:tc>
              <w:tc>
                <w:tcPr>
                  <w:tcW w:w="1770" w:type="dxa"/>
                  <w:vAlign w:val="center"/>
                </w:tcPr>
                <w:p w14:paraId="5647E774">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8400</w:t>
                  </w:r>
                </w:p>
              </w:tc>
              <w:tc>
                <w:tcPr>
                  <w:tcW w:w="1590" w:type="dxa"/>
                  <w:vAlign w:val="center"/>
                </w:tcPr>
                <w:p w14:paraId="319A04CC">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293</w:t>
                  </w:r>
                </w:p>
              </w:tc>
              <w:tc>
                <w:tcPr>
                  <w:tcW w:w="1027" w:type="dxa"/>
                  <w:vAlign w:val="center"/>
                </w:tcPr>
                <w:p w14:paraId="117295F7">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是</w:t>
                  </w:r>
                </w:p>
              </w:tc>
            </w:tr>
            <w:tr w14:paraId="2E085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04" w:type="dxa"/>
                  <w:vAlign w:val="center"/>
                </w:tcPr>
                <w:p w14:paraId="7BF05E23">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打包机</w:t>
                  </w:r>
                </w:p>
              </w:tc>
              <w:tc>
                <w:tcPr>
                  <w:tcW w:w="1680" w:type="dxa"/>
                  <w:vAlign w:val="center"/>
                </w:tcPr>
                <w:p w14:paraId="182FC4CE">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3</w:t>
                  </w:r>
                </w:p>
              </w:tc>
              <w:tc>
                <w:tcPr>
                  <w:tcW w:w="1650" w:type="dxa"/>
                  <w:vAlign w:val="center"/>
                </w:tcPr>
                <w:p w14:paraId="08CE3205">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2800</w:t>
                  </w:r>
                </w:p>
              </w:tc>
              <w:tc>
                <w:tcPr>
                  <w:tcW w:w="1770" w:type="dxa"/>
                  <w:vAlign w:val="center"/>
                </w:tcPr>
                <w:p w14:paraId="7B9FBA0F">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8400</w:t>
                  </w:r>
                </w:p>
              </w:tc>
              <w:tc>
                <w:tcPr>
                  <w:tcW w:w="1590" w:type="dxa"/>
                  <w:vAlign w:val="center"/>
                </w:tcPr>
                <w:p w14:paraId="3CAAEBDA">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lang w:val="en-US" w:eastAsia="zh-CN"/>
                    </w:rPr>
                    <w:t>5357</w:t>
                  </w:r>
                </w:p>
              </w:tc>
              <w:tc>
                <w:tcPr>
                  <w:tcW w:w="1027" w:type="dxa"/>
                  <w:vAlign w:val="center"/>
                </w:tcPr>
                <w:p w14:paraId="474C5D5E">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是</w:t>
                  </w:r>
                </w:p>
              </w:tc>
            </w:tr>
          </w:tbl>
          <w:p w14:paraId="30014997">
            <w:pPr>
              <w:keepNext w:val="0"/>
              <w:keepLines w:val="0"/>
              <w:suppressLineNumbers w:val="0"/>
              <w:bidi w:val="0"/>
              <w:spacing w:before="0" w:beforeAutospacing="0" w:after="0" w:afterAutospacing="0"/>
              <w:ind w:left="0" w:right="0"/>
              <w:rPr>
                <w:rFonts w:hint="eastAsia" w:eastAsia="宋体"/>
                <w:color w:val="auto"/>
                <w:lang w:val="en-US" w:eastAsia="zh-CN"/>
              </w:rPr>
            </w:pPr>
            <w:r>
              <w:rPr>
                <w:rFonts w:hint="eastAsia"/>
                <w:color w:val="auto"/>
                <w:lang w:val="en-US" w:eastAsia="zh-CN"/>
              </w:rPr>
              <w:t>因废旧电动自行车拆解产生的塑料主要为PP及ABS两种材质，故设置2台破碎机对拆解分类后的废塑料件分别进行破碎，由上表可知各生产设备</w:t>
            </w:r>
            <w:r>
              <w:rPr>
                <w:rFonts w:hint="eastAsia"/>
                <w:color w:val="auto"/>
              </w:rPr>
              <w:t>可以满足生产要求</w:t>
            </w:r>
            <w:r>
              <w:rPr>
                <w:rFonts w:hint="eastAsia"/>
                <w:color w:val="auto"/>
                <w:lang w:eastAsia="zh-CN"/>
              </w:rPr>
              <w:t>。</w:t>
            </w:r>
          </w:p>
          <w:p w14:paraId="000B0B89">
            <w:pPr>
              <w:keepNext w:val="0"/>
              <w:keepLines w:val="0"/>
              <w:suppressLineNumbers w:val="0"/>
              <w:bidi w:val="0"/>
              <w:spacing w:before="0" w:beforeAutospacing="0" w:after="0" w:afterAutospacing="0"/>
              <w:ind w:left="0" w:right="0"/>
              <w:rPr>
                <w:rFonts w:hint="default"/>
                <w:b/>
                <w:bCs/>
                <w:color w:val="auto"/>
              </w:rPr>
            </w:pPr>
            <w:r>
              <w:rPr>
                <w:rFonts w:hint="eastAsia"/>
                <w:b/>
                <w:bCs/>
                <w:color w:val="auto"/>
              </w:rPr>
              <w:t>6</w:t>
            </w:r>
            <w:r>
              <w:rPr>
                <w:rFonts w:hint="eastAsia"/>
                <w:b/>
                <w:bCs/>
                <w:color w:val="auto"/>
                <w:lang w:eastAsia="zh-CN"/>
              </w:rPr>
              <w:t>、</w:t>
            </w:r>
            <w:r>
              <w:rPr>
                <w:rFonts w:hint="default"/>
                <w:b/>
                <w:bCs/>
                <w:color w:val="auto"/>
              </w:rPr>
              <w:t>劳动定员</w:t>
            </w:r>
            <w:r>
              <w:rPr>
                <w:rFonts w:hint="eastAsia"/>
                <w:b/>
                <w:bCs/>
                <w:color w:val="auto"/>
              </w:rPr>
              <w:t>及工作制度</w:t>
            </w:r>
          </w:p>
          <w:p w14:paraId="3DB262CF">
            <w:pPr>
              <w:keepNext w:val="0"/>
              <w:keepLines w:val="0"/>
              <w:suppressLineNumbers w:val="0"/>
              <w:bidi w:val="0"/>
              <w:spacing w:before="0" w:beforeAutospacing="0" w:after="0" w:afterAutospacing="0"/>
              <w:ind w:left="0" w:right="0"/>
              <w:rPr>
                <w:rFonts w:hint="eastAsia"/>
                <w:color w:val="auto"/>
              </w:rPr>
            </w:pPr>
            <w:r>
              <w:rPr>
                <w:rFonts w:hint="default"/>
                <w:color w:val="auto"/>
              </w:rPr>
              <w:t>本项目劳动定</w:t>
            </w:r>
            <w:r>
              <w:rPr>
                <w:rFonts w:hint="default"/>
                <w:color w:val="auto"/>
                <w:highlight w:val="none"/>
              </w:rPr>
              <w:t>员为</w:t>
            </w:r>
            <w:r>
              <w:rPr>
                <w:rFonts w:hint="eastAsia"/>
                <w:color w:val="auto"/>
                <w:highlight w:val="none"/>
                <w:lang w:val="en-US" w:eastAsia="zh-CN"/>
              </w:rPr>
              <w:t>20</w:t>
            </w:r>
            <w:r>
              <w:rPr>
                <w:rFonts w:hint="eastAsia"/>
                <w:color w:val="auto"/>
                <w:highlight w:val="none"/>
              </w:rPr>
              <w:t>名</w:t>
            </w:r>
            <w:r>
              <w:rPr>
                <w:rFonts w:hint="eastAsia"/>
                <w:color w:val="auto"/>
              </w:rPr>
              <w:t>，公司生产实行单</w:t>
            </w:r>
            <w:r>
              <w:rPr>
                <w:rFonts w:hint="eastAsia"/>
                <w:color w:val="auto"/>
                <w:lang w:val="en-US" w:eastAsia="zh-CN"/>
              </w:rPr>
              <w:t>班</w:t>
            </w:r>
            <w:r>
              <w:rPr>
                <w:rFonts w:hint="eastAsia"/>
                <w:color w:val="auto"/>
              </w:rPr>
              <w:t>制生产，每班工作8h，年均生产时间为3</w:t>
            </w:r>
            <w:r>
              <w:rPr>
                <w:rFonts w:hint="eastAsia"/>
                <w:color w:val="auto"/>
                <w:lang w:val="en-US" w:eastAsia="zh-CN"/>
              </w:rPr>
              <w:t>50</w:t>
            </w:r>
            <w:r>
              <w:rPr>
                <w:rFonts w:hint="eastAsia"/>
                <w:color w:val="auto"/>
              </w:rPr>
              <w:t>d</w:t>
            </w:r>
            <w:r>
              <w:rPr>
                <w:rFonts w:hint="eastAsia"/>
                <w:color w:val="auto"/>
                <w:lang w:eastAsia="zh-CN"/>
              </w:rPr>
              <w:t>，</w:t>
            </w:r>
            <w:r>
              <w:rPr>
                <w:rFonts w:hint="eastAsia"/>
                <w:color w:val="auto"/>
                <w:lang w:val="en-US" w:eastAsia="zh-CN"/>
              </w:rPr>
              <w:t>夜间不生产</w:t>
            </w:r>
            <w:r>
              <w:rPr>
                <w:rFonts w:hint="eastAsia"/>
                <w:color w:val="auto"/>
              </w:rPr>
              <w:t>。</w:t>
            </w:r>
          </w:p>
          <w:p w14:paraId="0821C5EF">
            <w:pPr>
              <w:keepNext w:val="0"/>
              <w:keepLines w:val="0"/>
              <w:suppressLineNumbers w:val="0"/>
              <w:bidi w:val="0"/>
              <w:spacing w:before="0" w:beforeAutospacing="0" w:after="0" w:afterAutospacing="0"/>
              <w:ind w:left="0" w:right="0"/>
              <w:rPr>
                <w:rFonts w:hint="default"/>
                <w:b/>
                <w:bCs/>
                <w:color w:val="auto"/>
                <w:lang w:val="en-US" w:eastAsia="zh-CN"/>
              </w:rPr>
            </w:pPr>
            <w:r>
              <w:rPr>
                <w:rFonts w:hint="eastAsia"/>
                <w:b/>
                <w:bCs/>
                <w:color w:val="auto"/>
                <w:lang w:val="en-US" w:eastAsia="zh-CN"/>
              </w:rPr>
              <w:t>（1）人员配置合理性</w:t>
            </w:r>
          </w:p>
          <w:p w14:paraId="0195D249">
            <w:pPr>
              <w:keepNext w:val="0"/>
              <w:keepLines w:val="0"/>
              <w:widowControl/>
              <w:suppressLineNumbers w:val="0"/>
              <w:spacing w:before="0" w:beforeAutospacing="0" w:after="0" w:afterAutospacing="0"/>
              <w:ind w:left="0" w:right="0"/>
              <w:jc w:val="left"/>
              <w:rPr>
                <w:rFonts w:hint="default" w:ascii="Times New Roman" w:hAnsi="Times New Roman" w:eastAsia="宋体" w:cs="宋体"/>
                <w:color w:val="000000"/>
                <w:kern w:val="0"/>
                <w:sz w:val="24"/>
                <w:szCs w:val="24"/>
                <w:lang w:val="en-US" w:eastAsia="zh-CN" w:bidi="ar"/>
              </w:rPr>
            </w:pPr>
            <w:r>
              <w:rPr>
                <w:rFonts w:hint="eastAsia" w:ascii="Times New Roman" w:hAnsi="Times New Roman" w:eastAsia="宋体" w:cs="宋体"/>
                <w:color w:val="000000"/>
                <w:kern w:val="0"/>
                <w:sz w:val="24"/>
                <w:szCs w:val="24"/>
                <w:lang w:val="en-US" w:eastAsia="zh-CN" w:bidi="ar"/>
              </w:rPr>
              <w:t>根据企业提供资料，项目拟配备</w:t>
            </w:r>
            <w:r>
              <w:rPr>
                <w:rFonts w:hint="eastAsia" w:cs="宋体"/>
                <w:color w:val="000000"/>
                <w:kern w:val="0"/>
                <w:sz w:val="24"/>
                <w:szCs w:val="24"/>
                <w:lang w:val="en-US" w:eastAsia="zh-CN" w:bidi="ar"/>
              </w:rPr>
              <w:t>8</w:t>
            </w:r>
            <w:r>
              <w:rPr>
                <w:rFonts w:hint="eastAsia" w:ascii="Times New Roman" w:hAnsi="Times New Roman" w:cs="宋体"/>
                <w:color w:val="000000"/>
                <w:kern w:val="0"/>
                <w:sz w:val="24"/>
                <w:szCs w:val="24"/>
                <w:lang w:val="en-US" w:eastAsia="zh-CN" w:bidi="ar"/>
              </w:rPr>
              <w:t>个拆解工位，配备</w:t>
            </w:r>
            <w:r>
              <w:rPr>
                <w:rFonts w:hint="eastAsia" w:cs="Times New Roman"/>
                <w:color w:val="000000"/>
                <w:kern w:val="0"/>
                <w:sz w:val="24"/>
                <w:szCs w:val="24"/>
                <w:lang w:val="en-US" w:eastAsia="zh-CN" w:bidi="ar"/>
              </w:rPr>
              <w:t>8</w:t>
            </w:r>
            <w:r>
              <w:rPr>
                <w:rFonts w:hint="eastAsia" w:ascii="Times New Roman" w:hAnsi="Times New Roman" w:eastAsia="宋体" w:cs="宋体"/>
                <w:color w:val="000000"/>
                <w:kern w:val="0"/>
                <w:sz w:val="24"/>
                <w:szCs w:val="24"/>
                <w:lang w:val="en-US" w:eastAsia="zh-CN" w:bidi="ar"/>
              </w:rPr>
              <w:t>名电车拆解技术人员，平均每名电车拆解技术人员每天可拆解电动车</w:t>
            </w:r>
            <w:r>
              <w:rPr>
                <w:rFonts w:hint="eastAsia" w:cs="Times New Roman"/>
                <w:color w:val="000000"/>
                <w:kern w:val="0"/>
                <w:sz w:val="24"/>
                <w:szCs w:val="24"/>
                <w:lang w:val="en-US" w:eastAsia="zh-CN" w:bidi="ar"/>
              </w:rPr>
              <w:t>40</w:t>
            </w:r>
            <w:r>
              <w:rPr>
                <w:rFonts w:hint="eastAsia" w:ascii="Times New Roman" w:hAnsi="Times New Roman" w:eastAsia="宋体" w:cs="宋体"/>
                <w:color w:val="000000"/>
                <w:kern w:val="0"/>
                <w:sz w:val="24"/>
                <w:szCs w:val="24"/>
                <w:lang w:val="en-US" w:eastAsia="zh-CN" w:bidi="ar"/>
              </w:rPr>
              <w:t>辆，年工作3</w:t>
            </w:r>
            <w:r>
              <w:rPr>
                <w:rFonts w:hint="eastAsia" w:cs="宋体"/>
                <w:color w:val="000000"/>
                <w:kern w:val="0"/>
                <w:sz w:val="24"/>
                <w:szCs w:val="24"/>
                <w:lang w:val="en-US" w:eastAsia="zh-CN" w:bidi="ar"/>
              </w:rPr>
              <w:t>5</w:t>
            </w:r>
            <w:r>
              <w:rPr>
                <w:rFonts w:hint="eastAsia" w:ascii="Times New Roman" w:hAnsi="Times New Roman" w:eastAsia="宋体" w:cs="宋体"/>
                <w:color w:val="000000"/>
                <w:kern w:val="0"/>
                <w:sz w:val="24"/>
                <w:szCs w:val="24"/>
                <w:lang w:val="en-US" w:eastAsia="zh-CN" w:bidi="ar"/>
              </w:rPr>
              <w:t>0d，则全年可拆解电动车</w:t>
            </w:r>
            <w:r>
              <w:rPr>
                <w:rFonts w:hint="eastAsia" w:ascii="Times New Roman" w:hAnsi="Times New Roman" w:cs="宋体"/>
                <w:color w:val="000000"/>
                <w:kern w:val="0"/>
                <w:sz w:val="24"/>
                <w:szCs w:val="24"/>
                <w:lang w:val="en-US" w:eastAsia="zh-CN" w:bidi="ar"/>
              </w:rPr>
              <w:t>1</w:t>
            </w:r>
            <w:r>
              <w:rPr>
                <w:rFonts w:hint="eastAsia" w:cs="宋体"/>
                <w:color w:val="000000"/>
                <w:kern w:val="0"/>
                <w:sz w:val="24"/>
                <w:szCs w:val="24"/>
                <w:lang w:val="en-US" w:eastAsia="zh-CN" w:bidi="ar"/>
              </w:rPr>
              <w:t>12000</w:t>
            </w:r>
            <w:r>
              <w:rPr>
                <w:rFonts w:hint="eastAsia" w:ascii="Times New Roman" w:hAnsi="Times New Roman" w:eastAsia="宋体" w:cs="宋体"/>
                <w:color w:val="000000"/>
                <w:kern w:val="0"/>
                <w:sz w:val="24"/>
                <w:szCs w:val="24"/>
                <w:lang w:val="en-US" w:eastAsia="zh-CN" w:bidi="ar"/>
              </w:rPr>
              <w:t>辆，可满足本项目设计的拆解电动车</w:t>
            </w:r>
            <w:r>
              <w:rPr>
                <w:rFonts w:hint="eastAsia" w:ascii="Times New Roman" w:hAnsi="Times New Roman" w:cs="宋体"/>
                <w:color w:val="000000"/>
                <w:kern w:val="0"/>
                <w:sz w:val="24"/>
                <w:szCs w:val="24"/>
                <w:lang w:val="en-US" w:eastAsia="zh-CN" w:bidi="ar"/>
              </w:rPr>
              <w:t>1000</w:t>
            </w:r>
            <w:r>
              <w:rPr>
                <w:rFonts w:hint="eastAsia" w:ascii="Times New Roman" w:hAnsi="Times New Roman" w:eastAsia="宋体" w:cs="宋体"/>
                <w:color w:val="000000"/>
                <w:kern w:val="0"/>
                <w:sz w:val="24"/>
                <w:szCs w:val="24"/>
                <w:lang w:val="en-US" w:eastAsia="zh-CN" w:bidi="ar"/>
              </w:rPr>
              <w:t>00辆/a的要求。</w:t>
            </w:r>
          </w:p>
          <w:p w14:paraId="3B951095">
            <w:pPr>
              <w:keepNext w:val="0"/>
              <w:keepLines w:val="0"/>
              <w:suppressLineNumbers w:val="0"/>
              <w:bidi w:val="0"/>
              <w:spacing w:before="0" w:beforeAutospacing="0" w:after="0" w:afterAutospacing="0"/>
              <w:ind w:left="0" w:right="0"/>
              <w:rPr>
                <w:rFonts w:hint="default"/>
                <w:b/>
                <w:bCs/>
                <w:color w:val="auto"/>
              </w:rPr>
            </w:pPr>
            <w:r>
              <w:rPr>
                <w:rFonts w:hint="default"/>
                <w:b/>
                <w:bCs/>
                <w:color w:val="auto"/>
              </w:rPr>
              <w:t>7</w:t>
            </w:r>
            <w:r>
              <w:rPr>
                <w:rFonts w:hint="eastAsia"/>
                <w:b/>
                <w:bCs/>
                <w:color w:val="auto"/>
                <w:lang w:eastAsia="zh-CN"/>
              </w:rPr>
              <w:t>、</w:t>
            </w:r>
            <w:r>
              <w:rPr>
                <w:rFonts w:hint="default"/>
                <w:b/>
                <w:bCs/>
                <w:color w:val="auto"/>
              </w:rPr>
              <w:t>总平面布置合理性分析总体布局</w:t>
            </w:r>
          </w:p>
          <w:p w14:paraId="255A3EC6">
            <w:pPr>
              <w:keepNext w:val="0"/>
              <w:keepLines w:val="0"/>
              <w:suppressLineNumbers w:val="0"/>
              <w:bidi w:val="0"/>
              <w:spacing w:before="0" w:beforeAutospacing="0" w:after="0" w:afterAutospacing="0"/>
              <w:ind w:left="0" w:right="0"/>
              <w:rPr>
                <w:rFonts w:hint="eastAsia"/>
                <w:color w:val="auto"/>
                <w:lang w:eastAsia="zh-CN"/>
              </w:rPr>
            </w:pPr>
            <w:r>
              <w:rPr>
                <w:rFonts w:hint="default"/>
                <w:color w:val="auto"/>
              </w:rPr>
              <w:t>根据本项目生产性质及建设规模，并结合场地自然条件及现状进行总平面布置。在满足工业生产用地的前提下，统筹考虑了物料运输、</w:t>
            </w:r>
            <w:r>
              <w:rPr>
                <w:rFonts w:hint="eastAsia"/>
                <w:color w:val="auto"/>
                <w:lang w:val="en-US" w:eastAsia="zh-CN"/>
              </w:rPr>
              <w:t>生产工艺</w:t>
            </w:r>
            <w:r>
              <w:rPr>
                <w:rFonts w:hint="default"/>
                <w:color w:val="auto"/>
              </w:rPr>
              <w:t>、环境保护、安全卫生及消防等方面的用地需要。力求总图布局合理，运输线路短捷、顺畅。建构筑物外形协调整齐，通道宽度适中，为自然通风、采光、排水、卫生、绿化等布置创造条件。</w:t>
            </w:r>
          </w:p>
          <w:p w14:paraId="0824C3E0">
            <w:pPr>
              <w:keepNext w:val="0"/>
              <w:keepLines w:val="0"/>
              <w:suppressLineNumbers w:val="0"/>
              <w:bidi w:val="0"/>
              <w:spacing w:before="0" w:beforeAutospacing="0" w:after="0" w:afterAutospacing="0"/>
              <w:ind w:left="0" w:right="0"/>
              <w:rPr>
                <w:rFonts w:hint="eastAsia"/>
                <w:color w:val="auto"/>
                <w:lang w:eastAsia="zh-CN"/>
              </w:rPr>
            </w:pPr>
            <w:r>
              <w:rPr>
                <w:rFonts w:hint="default"/>
                <w:color w:val="auto"/>
              </w:rPr>
              <w:t>项目</w:t>
            </w:r>
            <w:r>
              <w:rPr>
                <w:rFonts w:hint="eastAsia"/>
                <w:color w:val="auto"/>
                <w:lang w:val="en-US" w:eastAsia="zh-CN"/>
              </w:rPr>
              <w:t>租赁2栋厂房</w:t>
            </w:r>
            <w:r>
              <w:rPr>
                <w:rFonts w:hint="default"/>
                <w:color w:val="auto"/>
              </w:rPr>
              <w:t>总建筑面积约</w:t>
            </w:r>
            <w:r>
              <w:rPr>
                <w:rFonts w:hint="eastAsia"/>
                <w:color w:val="auto"/>
                <w:lang w:val="en-US" w:eastAsia="zh-CN"/>
              </w:rPr>
              <w:t>1900</w:t>
            </w:r>
            <w:r>
              <w:rPr>
                <w:rFonts w:hint="default"/>
                <w:color w:val="auto"/>
              </w:rPr>
              <w:t>m</w:t>
            </w:r>
            <w:r>
              <w:rPr>
                <w:rFonts w:hint="default"/>
                <w:color w:val="auto"/>
                <w:vertAlign w:val="superscript"/>
              </w:rPr>
              <w:t>2</w:t>
            </w:r>
            <w:r>
              <w:rPr>
                <w:rFonts w:hint="default"/>
                <w:color w:val="auto"/>
              </w:rPr>
              <w:t>，按照生产连续性，主要分为</w:t>
            </w:r>
            <w:r>
              <w:rPr>
                <w:rFonts w:hint="eastAsia"/>
                <w:color w:val="auto"/>
                <w:lang w:val="en-US" w:eastAsia="zh-CN"/>
              </w:rPr>
              <w:t>拆解车间和暂存车间</w:t>
            </w:r>
            <w:r>
              <w:rPr>
                <w:rFonts w:hint="default"/>
                <w:color w:val="auto"/>
              </w:rPr>
              <w:t>，</w:t>
            </w:r>
            <w:r>
              <w:rPr>
                <w:rFonts w:hint="eastAsia"/>
                <w:color w:val="auto"/>
                <w:lang w:val="en-US" w:eastAsia="zh-CN"/>
              </w:rPr>
              <w:t>办公室位于厂房外办公楼内</w:t>
            </w:r>
            <w:r>
              <w:rPr>
                <w:rFonts w:hint="default"/>
                <w:color w:val="auto"/>
              </w:rPr>
              <w:t>。</w:t>
            </w:r>
            <w:r>
              <w:rPr>
                <w:rFonts w:hint="eastAsia"/>
                <w:color w:val="auto"/>
                <w:lang w:val="en-US" w:eastAsia="zh-CN"/>
              </w:rPr>
              <w:t>拆解车间内布局</w:t>
            </w:r>
            <w:r>
              <w:rPr>
                <w:rFonts w:hint="default"/>
                <w:color w:val="auto"/>
              </w:rPr>
              <w:t>紧凑，</w:t>
            </w:r>
            <w:r>
              <w:rPr>
                <w:rFonts w:hint="eastAsia"/>
                <w:color w:val="auto"/>
                <w:lang w:val="en-US" w:eastAsia="zh-CN"/>
              </w:rPr>
              <w:t>按照拆解顺序分为废旧电动车暂存区、拆解区、废塑料破碎区及废钢铁件打包区，</w:t>
            </w:r>
            <w:r>
              <w:rPr>
                <w:rFonts w:hint="default"/>
                <w:color w:val="auto"/>
              </w:rPr>
              <w:t>便于</w:t>
            </w:r>
            <w:r>
              <w:rPr>
                <w:rFonts w:hint="eastAsia"/>
                <w:color w:val="auto"/>
                <w:lang w:val="en-US" w:eastAsia="zh-CN"/>
              </w:rPr>
              <w:t>废旧电动自行车和拆解零部件</w:t>
            </w:r>
            <w:r>
              <w:rPr>
                <w:rFonts w:hint="default"/>
                <w:color w:val="auto"/>
              </w:rPr>
              <w:t>运输</w:t>
            </w:r>
            <w:r>
              <w:rPr>
                <w:rFonts w:hint="eastAsia"/>
                <w:color w:val="auto"/>
                <w:lang w:eastAsia="zh-CN"/>
              </w:rPr>
              <w:t>，</w:t>
            </w:r>
            <w:r>
              <w:rPr>
                <w:rFonts w:hint="eastAsia"/>
                <w:color w:val="auto"/>
                <w:lang w:val="en-US" w:eastAsia="zh-CN"/>
              </w:rPr>
              <w:t>拆解后转移至暂存车间相应暂存区暂存</w:t>
            </w:r>
            <w:r>
              <w:rPr>
                <w:rFonts w:hint="default"/>
                <w:color w:val="auto"/>
              </w:rPr>
              <w:t>。总体平面布置有效地满足了生产的顺畅性，项目平面布置</w:t>
            </w:r>
            <w:r>
              <w:rPr>
                <w:rFonts w:hint="default"/>
                <w:color w:val="auto"/>
                <w:highlight w:val="none"/>
              </w:rPr>
              <w:t>详见附图</w:t>
            </w:r>
            <w:r>
              <w:rPr>
                <w:rFonts w:hint="eastAsia"/>
                <w:color w:val="auto"/>
                <w:highlight w:val="none"/>
                <w:lang w:val="en-US" w:eastAsia="zh-CN"/>
              </w:rPr>
              <w:t>4</w:t>
            </w:r>
            <w:r>
              <w:rPr>
                <w:rFonts w:hint="default"/>
                <w:color w:val="auto"/>
                <w:highlight w:val="none"/>
              </w:rPr>
              <w:t>（</w:t>
            </w:r>
            <w:r>
              <w:rPr>
                <w:rFonts w:hint="eastAsia"/>
                <w:color w:val="auto"/>
                <w:highlight w:val="none"/>
                <w:lang w:val="en-US" w:eastAsia="zh-CN"/>
              </w:rPr>
              <w:t>厂区</w:t>
            </w:r>
            <w:r>
              <w:rPr>
                <w:rFonts w:hint="eastAsia"/>
                <w:color w:val="auto"/>
                <w:highlight w:val="none"/>
              </w:rPr>
              <w:t>平面布置图</w:t>
            </w:r>
            <w:r>
              <w:rPr>
                <w:rFonts w:hint="default"/>
                <w:color w:val="auto"/>
                <w:highlight w:val="none"/>
              </w:rPr>
              <w:t>）。</w:t>
            </w:r>
            <w:r>
              <w:rPr>
                <w:rFonts w:hint="default"/>
                <w:color w:val="auto"/>
              </w:rPr>
              <w:t>综上所述，项目平面布局比较合理。</w:t>
            </w:r>
          </w:p>
          <w:p w14:paraId="378B5D10">
            <w:pPr>
              <w:keepNext w:val="0"/>
              <w:keepLines w:val="0"/>
              <w:suppressLineNumbers w:val="0"/>
              <w:bidi w:val="0"/>
              <w:spacing w:before="0" w:beforeAutospacing="0" w:after="0" w:afterAutospacing="0"/>
              <w:ind w:left="0" w:right="0"/>
              <w:rPr>
                <w:rFonts w:hint="default"/>
                <w:b/>
                <w:bCs/>
                <w:color w:val="auto"/>
              </w:rPr>
            </w:pPr>
            <w:r>
              <w:rPr>
                <w:rFonts w:hint="default"/>
                <w:b/>
                <w:bCs/>
                <w:color w:val="auto"/>
              </w:rPr>
              <w:t>8</w:t>
            </w:r>
            <w:r>
              <w:rPr>
                <w:rFonts w:hint="eastAsia"/>
                <w:b/>
                <w:bCs/>
                <w:color w:val="auto"/>
                <w:lang w:eastAsia="zh-CN"/>
              </w:rPr>
              <w:t>、</w:t>
            </w:r>
            <w:r>
              <w:rPr>
                <w:rFonts w:hint="default"/>
                <w:b/>
                <w:bCs/>
                <w:color w:val="auto"/>
              </w:rPr>
              <w:t>水平衡分析</w:t>
            </w:r>
          </w:p>
          <w:p w14:paraId="695E1D08">
            <w:pPr>
              <w:keepNext w:val="0"/>
              <w:keepLines w:val="0"/>
              <w:suppressLineNumbers w:val="0"/>
              <w:bidi w:val="0"/>
              <w:spacing w:before="0" w:beforeAutospacing="0" w:after="0" w:afterAutospacing="0"/>
              <w:ind w:left="0" w:right="0"/>
              <w:rPr>
                <w:rFonts w:hint="default"/>
                <w:color w:val="auto"/>
                <w:lang w:val="en-US" w:eastAsia="zh-CN"/>
              </w:rPr>
            </w:pPr>
            <w:r>
              <w:rPr>
                <w:rFonts w:hint="default"/>
                <w:color w:val="auto"/>
              </w:rPr>
              <w:t>本项目用水主要为生活用水</w:t>
            </w:r>
            <w:r>
              <w:rPr>
                <w:rFonts w:hint="eastAsia"/>
                <w:color w:val="auto"/>
                <w:lang w:eastAsia="zh-CN"/>
              </w:rPr>
              <w:t>、</w:t>
            </w:r>
            <w:r>
              <w:rPr>
                <w:rFonts w:hint="eastAsia"/>
                <w:color w:val="auto"/>
                <w:lang w:val="en-US" w:eastAsia="zh-CN"/>
              </w:rPr>
              <w:t>湿法破碎用水，拆解及暂存车间</w:t>
            </w:r>
            <w:r>
              <w:rPr>
                <w:rFonts w:hint="default" w:ascii="Times New Roman" w:hAnsi="Times New Roman" w:cs="Times New Roman"/>
                <w:sz w:val="24"/>
              </w:rPr>
              <w:t>日常以清扫为主</w:t>
            </w:r>
            <w:r>
              <w:rPr>
                <w:rFonts w:hint="eastAsia"/>
                <w:color w:val="auto"/>
                <w:lang w:val="en-US" w:eastAsia="zh-CN"/>
              </w:rPr>
              <w:t>。</w:t>
            </w:r>
          </w:p>
          <w:p w14:paraId="55EBD743">
            <w:pPr>
              <w:keepNext w:val="0"/>
              <w:keepLines w:val="0"/>
              <w:numPr>
                <w:ilvl w:val="0"/>
                <w:numId w:val="5"/>
              </w:numPr>
              <w:suppressLineNumbers w:val="0"/>
              <w:bidi w:val="0"/>
              <w:spacing w:before="0" w:beforeAutospacing="0" w:after="0" w:afterAutospacing="0"/>
              <w:ind w:left="0" w:right="0"/>
              <w:rPr>
                <w:rFonts w:hint="eastAsia"/>
                <w:b/>
                <w:bCs/>
                <w:color w:val="auto"/>
                <w:lang w:eastAsia="zh-CN"/>
              </w:rPr>
            </w:pPr>
            <w:r>
              <w:rPr>
                <w:rFonts w:hint="eastAsia"/>
                <w:b/>
                <w:bCs/>
                <w:color w:val="auto"/>
              </w:rPr>
              <w:t>生活用水</w:t>
            </w:r>
          </w:p>
          <w:p w14:paraId="51EE8BFF">
            <w:pPr>
              <w:keepNext w:val="0"/>
              <w:keepLines w:val="0"/>
              <w:suppressLineNumbers w:val="0"/>
              <w:bidi w:val="0"/>
              <w:spacing w:before="0" w:beforeAutospacing="0" w:after="0" w:afterAutospacing="0"/>
              <w:ind w:left="0" w:right="0"/>
              <w:rPr>
                <w:rFonts w:hint="eastAsia"/>
                <w:color w:val="auto"/>
                <w:lang w:eastAsia="zh-CN"/>
              </w:rPr>
            </w:pPr>
            <w:r>
              <w:rPr>
                <w:rFonts w:hint="default"/>
                <w:color w:val="auto"/>
              </w:rPr>
              <w:t>本项目劳动定员为</w:t>
            </w:r>
            <w:r>
              <w:rPr>
                <w:rFonts w:hint="eastAsia"/>
                <w:color w:val="auto"/>
                <w:lang w:val="en-US" w:eastAsia="zh-CN"/>
              </w:rPr>
              <w:t>20</w:t>
            </w:r>
            <w:r>
              <w:rPr>
                <w:rFonts w:hint="eastAsia"/>
                <w:color w:val="auto"/>
              </w:rPr>
              <w:t>名，根据《安徽省行业用水定额》（DB34/T679-2019）中的相关内容，办公用水定额取</w:t>
            </w:r>
            <w:r>
              <w:rPr>
                <w:rFonts w:hint="eastAsia"/>
                <w:color w:val="auto"/>
                <w:lang w:val="en-US" w:eastAsia="zh-CN"/>
              </w:rPr>
              <w:t>38m³</w:t>
            </w:r>
            <w:r>
              <w:rPr>
                <w:rFonts w:hint="eastAsia"/>
                <w:color w:val="auto"/>
              </w:rPr>
              <w:t>/人·</w:t>
            </w:r>
            <w:r>
              <w:rPr>
                <w:rFonts w:hint="eastAsia"/>
                <w:color w:val="auto"/>
                <w:lang w:val="en-US" w:eastAsia="zh-CN"/>
              </w:rPr>
              <w:t>a</w:t>
            </w:r>
            <w:r>
              <w:rPr>
                <w:rFonts w:hint="eastAsia"/>
                <w:color w:val="auto"/>
              </w:rPr>
              <w:t>。则生活用水量大约为</w:t>
            </w:r>
            <w:r>
              <w:rPr>
                <w:rFonts w:hint="eastAsia"/>
                <w:color w:val="auto"/>
                <w:lang w:val="en-US" w:eastAsia="zh-CN"/>
              </w:rPr>
              <w:t>2.171</w:t>
            </w:r>
            <w:r>
              <w:rPr>
                <w:rFonts w:hint="eastAsia"/>
                <w:color w:val="auto"/>
              </w:rPr>
              <w:t>t/d，</w:t>
            </w:r>
            <w:r>
              <w:rPr>
                <w:rFonts w:hint="eastAsia"/>
                <w:color w:val="auto"/>
                <w:lang w:val="en-US" w:eastAsia="zh-CN"/>
              </w:rPr>
              <w:t>760</w:t>
            </w:r>
            <w:r>
              <w:rPr>
                <w:rFonts w:hint="eastAsia"/>
                <w:color w:val="auto"/>
              </w:rPr>
              <w:t>t/a；</w:t>
            </w:r>
            <w:r>
              <w:rPr>
                <w:rFonts w:hint="eastAsia"/>
                <w:color w:val="auto"/>
                <w:lang w:val="en-US" w:eastAsia="zh-CN"/>
              </w:rPr>
              <w:t>生活</w:t>
            </w:r>
            <w:r>
              <w:rPr>
                <w:rFonts w:hint="eastAsia"/>
                <w:color w:val="auto"/>
              </w:rPr>
              <w:t>污水产生系数按照8</w:t>
            </w:r>
            <w:r>
              <w:rPr>
                <w:rFonts w:hint="eastAsia"/>
                <w:color w:val="auto"/>
                <w:lang w:val="en-US" w:eastAsia="zh-CN"/>
              </w:rPr>
              <w:t>5</w:t>
            </w:r>
            <w:r>
              <w:rPr>
                <w:rFonts w:hint="eastAsia"/>
                <w:color w:val="auto"/>
              </w:rPr>
              <w:t>%计，则生活污水产生量为</w:t>
            </w:r>
            <w:r>
              <w:rPr>
                <w:rFonts w:hint="eastAsia"/>
                <w:color w:val="auto"/>
                <w:lang w:val="en-US" w:eastAsia="zh-CN"/>
              </w:rPr>
              <w:t>1.845</w:t>
            </w:r>
            <w:r>
              <w:rPr>
                <w:rFonts w:hint="eastAsia"/>
                <w:color w:val="auto"/>
              </w:rPr>
              <w:t>t/d，</w:t>
            </w:r>
            <w:r>
              <w:rPr>
                <w:rFonts w:hint="eastAsia"/>
                <w:color w:val="auto"/>
                <w:lang w:val="en-US" w:eastAsia="zh-CN"/>
              </w:rPr>
              <w:t>646</w:t>
            </w:r>
            <w:r>
              <w:rPr>
                <w:rFonts w:hint="eastAsia"/>
                <w:color w:val="auto"/>
              </w:rPr>
              <w:t>t/a。生活污水经化粪池处理达八公山污水处理厂接管浓度限值后接管市政污水管网，经八公山污水处理厂处理达《城镇污水处理厂污染物排放标准》（</w:t>
            </w:r>
            <w:r>
              <w:rPr>
                <w:rFonts w:hint="default"/>
                <w:color w:val="auto"/>
              </w:rPr>
              <w:t>GB18918-2002</w:t>
            </w:r>
            <w:r>
              <w:rPr>
                <w:rFonts w:hint="eastAsia"/>
                <w:color w:val="auto"/>
              </w:rPr>
              <w:t>）及其修改单中一级</w:t>
            </w:r>
            <w:r>
              <w:rPr>
                <w:rFonts w:hint="default"/>
                <w:color w:val="auto"/>
              </w:rPr>
              <w:t>A</w:t>
            </w:r>
            <w:r>
              <w:rPr>
                <w:rFonts w:hint="eastAsia"/>
                <w:color w:val="auto"/>
              </w:rPr>
              <w:t>标准后通过最终排入淮河</w:t>
            </w:r>
            <w:r>
              <w:rPr>
                <w:rFonts w:hint="eastAsia"/>
                <w:color w:val="auto"/>
                <w:lang w:eastAsia="zh-CN"/>
              </w:rPr>
              <w:t>。</w:t>
            </w:r>
          </w:p>
          <w:p w14:paraId="33FDB248">
            <w:pPr>
              <w:keepNext w:val="0"/>
              <w:keepLines w:val="0"/>
              <w:numPr>
                <w:ilvl w:val="0"/>
                <w:numId w:val="5"/>
              </w:numPr>
              <w:suppressLineNumbers w:val="0"/>
              <w:spacing w:before="0" w:beforeAutospacing="0" w:after="0" w:afterAutospacing="0"/>
              <w:ind w:left="0" w:leftChars="0" w:right="0" w:firstLine="482" w:firstLineChars="200"/>
              <w:rPr>
                <w:rFonts w:hint="eastAsia"/>
                <w:b/>
                <w:bCs/>
                <w:color w:val="auto"/>
                <w:highlight w:val="none"/>
                <w:lang w:val="en-US" w:eastAsia="zh-CN"/>
              </w:rPr>
            </w:pPr>
            <w:r>
              <w:rPr>
                <w:rFonts w:hint="eastAsia"/>
                <w:b/>
                <w:bCs/>
                <w:color w:val="auto"/>
                <w:highlight w:val="none"/>
                <w:lang w:val="en-US" w:eastAsia="zh-CN"/>
              </w:rPr>
              <w:t>湿法破碎用水</w:t>
            </w:r>
          </w:p>
          <w:p w14:paraId="3D8396F8">
            <w:pPr>
              <w:keepNext w:val="0"/>
              <w:keepLines w:val="0"/>
              <w:suppressLineNumbers w:val="0"/>
              <w:bidi w:val="0"/>
              <w:spacing w:before="0" w:beforeAutospacing="0" w:after="0" w:afterAutospacing="0"/>
              <w:ind w:left="0" w:right="0"/>
              <w:rPr>
                <w:rFonts w:hint="eastAsia"/>
                <w:color w:val="auto"/>
              </w:rPr>
            </w:pPr>
            <w:r>
              <w:rPr>
                <w:rFonts w:hint="eastAsia"/>
                <w:color w:val="auto"/>
                <w:lang w:val="en-US" w:eastAsia="zh-CN"/>
              </w:rPr>
              <w:t>本项目废电动自行车拆解产生的塑料主要为PP及ABS材质。</w:t>
            </w:r>
            <w:r>
              <w:rPr>
                <w:rFonts w:hint="eastAsia"/>
                <w:color w:val="auto"/>
              </w:rPr>
              <w:t>参考《排放源统计调查产排污核算方法和系数手册》4220 非金属废料和碎屑加工处理行业中</w:t>
            </w:r>
            <w:r>
              <w:rPr>
                <w:rFonts w:hint="eastAsia"/>
                <w:color w:val="auto"/>
                <w:lang w:val="en-US" w:eastAsia="zh-CN"/>
              </w:rPr>
              <w:t>清洗或湿法破碎+清洗</w:t>
            </w:r>
            <w:r>
              <w:rPr>
                <w:rFonts w:hint="eastAsia"/>
                <w:color w:val="auto"/>
              </w:rPr>
              <w:t>生产废水量</w:t>
            </w:r>
            <w:r>
              <w:rPr>
                <w:rFonts w:hint="eastAsia"/>
                <w:color w:val="auto"/>
                <w:lang w:val="en-US" w:eastAsia="zh-CN"/>
              </w:rPr>
              <w:t>为</w:t>
            </w:r>
            <w:r>
              <w:rPr>
                <w:rFonts w:hint="eastAsia"/>
                <w:color w:val="auto"/>
              </w:rPr>
              <w:t>废PE/PP</w:t>
            </w:r>
            <w:r>
              <w:rPr>
                <w:rFonts w:hint="eastAsia"/>
                <w:color w:val="auto"/>
                <w:lang w:eastAsia="zh-CN"/>
              </w:rPr>
              <w:t>：</w:t>
            </w:r>
            <w:r>
              <w:rPr>
                <w:rFonts w:hint="eastAsia"/>
                <w:color w:val="auto"/>
              </w:rPr>
              <w:t>1.0t</w:t>
            </w:r>
            <w:r>
              <w:rPr>
                <w:rFonts w:hint="eastAsia"/>
                <w:color w:val="auto"/>
                <w:lang w:val="en-US" w:eastAsia="zh-CN"/>
              </w:rPr>
              <w:t>/</w:t>
            </w:r>
            <w:r>
              <w:rPr>
                <w:rFonts w:hint="eastAsia"/>
                <w:color w:val="auto"/>
              </w:rPr>
              <w:t>t-原料</w:t>
            </w:r>
            <w:r>
              <w:rPr>
                <w:rFonts w:hint="eastAsia"/>
                <w:color w:val="auto"/>
                <w:lang w:eastAsia="zh-CN"/>
              </w:rPr>
              <w:t>，</w:t>
            </w:r>
            <w:r>
              <w:rPr>
                <w:rFonts w:hint="eastAsia"/>
                <w:color w:val="auto"/>
              </w:rPr>
              <w:t>废P</w:t>
            </w:r>
            <w:r>
              <w:rPr>
                <w:rFonts w:hint="eastAsia"/>
                <w:color w:val="auto"/>
                <w:lang w:val="en-US" w:eastAsia="zh-CN"/>
              </w:rPr>
              <w:t>S</w:t>
            </w:r>
            <w:r>
              <w:rPr>
                <w:rFonts w:hint="eastAsia"/>
                <w:color w:val="auto"/>
              </w:rPr>
              <w:t>/</w:t>
            </w:r>
            <w:r>
              <w:rPr>
                <w:rFonts w:hint="eastAsia"/>
                <w:color w:val="auto"/>
                <w:lang w:val="en-US" w:eastAsia="zh-CN"/>
              </w:rPr>
              <w:t>ABS</w:t>
            </w:r>
            <w:r>
              <w:rPr>
                <w:rFonts w:hint="eastAsia"/>
                <w:color w:val="auto"/>
                <w:lang w:eastAsia="zh-CN"/>
              </w:rPr>
              <w:t>：</w:t>
            </w:r>
            <w:r>
              <w:rPr>
                <w:rFonts w:hint="eastAsia"/>
                <w:color w:val="auto"/>
              </w:rPr>
              <w:t>1.0t</w:t>
            </w:r>
            <w:r>
              <w:rPr>
                <w:rFonts w:hint="eastAsia"/>
                <w:color w:val="auto"/>
                <w:lang w:val="en-US" w:eastAsia="zh-CN"/>
              </w:rPr>
              <w:t>/</w:t>
            </w:r>
            <w:r>
              <w:rPr>
                <w:rFonts w:hint="eastAsia"/>
                <w:color w:val="auto"/>
              </w:rPr>
              <w:t>t-原料</w:t>
            </w:r>
            <w:r>
              <w:rPr>
                <w:rFonts w:hint="eastAsia"/>
                <w:color w:val="auto"/>
                <w:lang w:eastAsia="zh-CN"/>
              </w:rPr>
              <w:t>。</w:t>
            </w:r>
            <w:r>
              <w:rPr>
                <w:rFonts w:hint="eastAsia"/>
                <w:color w:val="auto"/>
                <w:lang w:val="en-US" w:eastAsia="zh-CN"/>
              </w:rPr>
              <w:t>本项目仅对拆解后的PP及ABS废塑料件进行湿法破碎，不仅可以起到除尘清洗的作用还可以对刀式破碎机进行降温。项目年破碎塑料293t，则破碎废水产生量约293t/a（0.837t/d），破碎机下方设置集水槽，喷淋水从筛孔流入集水槽后经管道进入后端的絮凝沉淀池沉淀后回用。</w:t>
            </w:r>
            <w:r>
              <w:rPr>
                <w:rFonts w:hint="eastAsia"/>
                <w:color w:val="auto"/>
              </w:rPr>
              <w:t>参考谢芳《基于工艺过程分析的废旧塑料再生利用污染源研究》，本项目破碎废水蒸发损耗取 5%</w:t>
            </w:r>
            <w:r>
              <w:rPr>
                <w:rFonts w:hint="eastAsia"/>
                <w:color w:val="auto"/>
                <w:lang w:eastAsia="zh-CN"/>
              </w:rPr>
              <w:t>，</w:t>
            </w:r>
            <w:r>
              <w:rPr>
                <w:rFonts w:hint="eastAsia"/>
                <w:color w:val="auto"/>
                <w:lang w:val="en-US" w:eastAsia="zh-CN"/>
              </w:rPr>
              <w:t>破碎后塑料带走水分约5%于自然干燥中蒸发，</w:t>
            </w:r>
            <w:r>
              <w:rPr>
                <w:rFonts w:hint="eastAsia"/>
                <w:color w:val="auto"/>
              </w:rPr>
              <w:t>则项目破碎</w:t>
            </w:r>
            <w:r>
              <w:rPr>
                <w:rFonts w:hint="eastAsia"/>
                <w:color w:val="auto"/>
                <w:lang w:val="en-US" w:eastAsia="zh-CN"/>
              </w:rPr>
              <w:t>工序用水量</w:t>
            </w:r>
            <w:r>
              <w:rPr>
                <w:rFonts w:hint="eastAsia"/>
                <w:color w:val="auto"/>
              </w:rPr>
              <w:t xml:space="preserve">为 </w:t>
            </w:r>
            <w:r>
              <w:rPr>
                <w:rFonts w:hint="eastAsia"/>
                <w:color w:val="auto"/>
                <w:lang w:val="en-US" w:eastAsia="zh-CN"/>
              </w:rPr>
              <w:t>325.56t</w:t>
            </w:r>
            <w:r>
              <w:rPr>
                <w:rFonts w:hint="eastAsia"/>
                <w:color w:val="auto"/>
              </w:rPr>
              <w:t>/a</w:t>
            </w:r>
            <w:r>
              <w:rPr>
                <w:rFonts w:hint="eastAsia"/>
                <w:color w:val="auto"/>
                <w:lang w:eastAsia="zh-CN"/>
              </w:rPr>
              <w:t>（</w:t>
            </w:r>
            <w:r>
              <w:rPr>
                <w:rFonts w:hint="eastAsia"/>
                <w:color w:val="auto"/>
                <w:lang w:val="en-US" w:eastAsia="zh-CN"/>
              </w:rPr>
              <w:t>0.930t/d）</w:t>
            </w:r>
            <w:r>
              <w:rPr>
                <w:rFonts w:hint="eastAsia"/>
                <w:color w:val="auto"/>
              </w:rPr>
              <w:t>。</w:t>
            </w:r>
          </w:p>
          <w:p w14:paraId="71DDE99C">
            <w:pPr>
              <w:keepNext w:val="0"/>
              <w:keepLines w:val="0"/>
              <w:suppressLineNumbers w:val="0"/>
              <w:bidi w:val="0"/>
              <w:spacing w:before="0" w:beforeAutospacing="0" w:after="0" w:afterAutospacing="0"/>
              <w:ind w:left="0" w:right="0"/>
              <w:rPr>
                <w:rFonts w:hint="eastAsia"/>
                <w:color w:val="auto"/>
                <w:highlight w:val="none"/>
                <w:lang w:val="en-US" w:eastAsia="zh-CN"/>
              </w:rPr>
            </w:pPr>
            <w:r>
              <w:rPr>
                <w:rFonts w:hint="eastAsia"/>
                <w:color w:val="auto"/>
                <w:lang w:val="en-US" w:eastAsia="zh-CN"/>
              </w:rPr>
              <w:t>项目破碎废水293t</w:t>
            </w:r>
            <w:r>
              <w:rPr>
                <w:rFonts w:hint="eastAsia"/>
                <w:color w:val="auto"/>
              </w:rPr>
              <w:t>/a</w:t>
            </w:r>
            <w:r>
              <w:rPr>
                <w:rFonts w:hint="eastAsia"/>
                <w:color w:val="auto"/>
                <w:lang w:val="en-US" w:eastAsia="zh-CN"/>
              </w:rPr>
              <w:t>经絮凝沉淀池处理。处理过程中损耗取5%（14.65t/a，0.042t/d）；干</w:t>
            </w:r>
            <w:r>
              <w:rPr>
                <w:rFonts w:hint="eastAsia"/>
                <w:color w:val="auto"/>
                <w:highlight w:val="none"/>
                <w:lang w:val="en-US" w:eastAsia="zh-CN"/>
              </w:rPr>
              <w:t>污泥产生量约占原料处理量的1%，则干污泥产生量为2.93t/a，经压滤机压滤到60%，最终污泥带水量约4.395t/a（0.012t/d）。经</w:t>
            </w:r>
            <w:r>
              <w:rPr>
                <w:rFonts w:hint="eastAsia"/>
                <w:color w:val="auto"/>
                <w:lang w:val="en-US" w:eastAsia="zh-CN"/>
              </w:rPr>
              <w:t>絮凝沉淀池</w:t>
            </w:r>
            <w:r>
              <w:rPr>
                <w:rFonts w:hint="eastAsia"/>
                <w:color w:val="auto"/>
                <w:highlight w:val="none"/>
                <w:lang w:val="en-US" w:eastAsia="zh-CN"/>
              </w:rPr>
              <w:t>处理后回用水量为273.955t/a（0.783t/d）。</w:t>
            </w:r>
          </w:p>
          <w:p w14:paraId="4908E259">
            <w:pPr>
              <w:keepNext w:val="0"/>
              <w:keepLines w:val="0"/>
              <w:suppressLineNumbers w:val="0"/>
              <w:bidi w:val="0"/>
              <w:spacing w:before="0" w:beforeAutospacing="0" w:after="0" w:afterAutospacing="0"/>
              <w:ind w:left="0" w:right="0"/>
              <w:rPr>
                <w:rFonts w:hint="eastAsia"/>
                <w:color w:val="auto"/>
                <w:lang w:val="en-US" w:eastAsia="zh-CN"/>
              </w:rPr>
            </w:pPr>
            <w:r>
              <w:rPr>
                <w:rFonts w:hint="eastAsia"/>
                <w:color w:val="auto"/>
                <w:lang w:val="en-US" w:eastAsia="zh-CN"/>
              </w:rPr>
              <w:t>由上可知，破碎用水补充新鲜水量为51.45t/a（0.147t/d）。</w:t>
            </w:r>
          </w:p>
          <w:p w14:paraId="3C028E88">
            <w:pPr>
              <w:pStyle w:val="43"/>
              <w:keepNext w:val="0"/>
              <w:keepLines w:val="0"/>
              <w:suppressLineNumbers w:val="0"/>
              <w:bidi w:val="0"/>
              <w:spacing w:before="0" w:beforeAutospacing="0" w:after="0" w:afterAutospacing="0"/>
              <w:ind w:left="0" w:right="0"/>
              <w:rPr>
                <w:rFonts w:hint="eastAsia"/>
                <w:color w:val="auto"/>
                <w:lang w:val="en-US" w:eastAsia="zh-CN"/>
              </w:rPr>
            </w:pPr>
            <w:r>
              <w:rPr>
                <w:rFonts w:hint="eastAsia"/>
                <w:color w:val="auto"/>
              </w:rPr>
              <w:t>表2-</w:t>
            </w:r>
            <w:r>
              <w:rPr>
                <w:rFonts w:hint="eastAsia"/>
                <w:color w:val="auto"/>
                <w:lang w:val="en-US" w:eastAsia="zh-CN"/>
              </w:rPr>
              <w:t>12</w:t>
            </w:r>
            <w:r>
              <w:rPr>
                <w:rFonts w:hint="eastAsia"/>
                <w:color w:val="auto"/>
              </w:rPr>
              <w:t xml:space="preserve"> </w:t>
            </w:r>
            <w:r>
              <w:rPr>
                <w:rFonts w:hint="eastAsia"/>
                <w:color w:val="auto"/>
                <w:lang w:val="en-US" w:eastAsia="zh-CN"/>
              </w:rPr>
              <w:t xml:space="preserve"> </w:t>
            </w:r>
            <w:r>
              <w:rPr>
                <w:rFonts w:hint="eastAsia"/>
                <w:color w:val="auto"/>
              </w:rPr>
              <w:t>项目用水及废水情况</w:t>
            </w:r>
            <w:r>
              <w:rPr>
                <w:rFonts w:hint="eastAsia"/>
                <w:color w:val="auto"/>
                <w:lang w:eastAsia="zh-CN"/>
              </w:rPr>
              <w:t>（</w:t>
            </w:r>
            <w:r>
              <w:rPr>
                <w:rFonts w:hint="eastAsia"/>
                <w:color w:val="auto"/>
              </w:rPr>
              <w:t>单位：t/d</w:t>
            </w:r>
            <w:r>
              <w:rPr>
                <w:rFonts w:hint="eastAsia"/>
                <w:color w:val="auto"/>
                <w:lang w:eastAsia="zh-CN"/>
              </w:rPr>
              <w:t>）</w:t>
            </w:r>
          </w:p>
          <w:tbl>
            <w:tblPr>
              <w:tblStyle w:val="19"/>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1239"/>
              <w:gridCol w:w="1604"/>
              <w:gridCol w:w="1625"/>
              <w:gridCol w:w="4089"/>
            </w:tblGrid>
            <w:tr w14:paraId="2993AD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723" w:type="pct"/>
                  <w:tcBorders>
                    <w:top w:val="single" w:color="auto" w:sz="4" w:space="0"/>
                    <w:left w:val="single" w:color="auto" w:sz="4" w:space="0"/>
                  </w:tcBorders>
                  <w:noWrap w:val="0"/>
                  <w:vAlign w:val="center"/>
                </w:tcPr>
                <w:p w14:paraId="0E543B56">
                  <w:pPr>
                    <w:pStyle w:val="46"/>
                    <w:keepNext w:val="0"/>
                    <w:keepLines w:val="0"/>
                    <w:suppressLineNumbers w:val="0"/>
                    <w:bidi w:val="0"/>
                    <w:spacing w:before="0" w:beforeAutospacing="0" w:after="0" w:afterAutospacing="0"/>
                    <w:rPr>
                      <w:rFonts w:hint="eastAsia"/>
                      <w:b/>
                      <w:bCs/>
                      <w:color w:val="auto"/>
                    </w:rPr>
                  </w:pPr>
                  <w:r>
                    <w:rPr>
                      <w:rFonts w:hint="eastAsia"/>
                      <w:b/>
                      <w:bCs/>
                      <w:color w:val="auto"/>
                    </w:rPr>
                    <w:t>用水环节</w:t>
                  </w:r>
                </w:p>
              </w:tc>
              <w:tc>
                <w:tcPr>
                  <w:tcW w:w="937" w:type="pct"/>
                  <w:tcBorders>
                    <w:top w:val="single" w:color="auto" w:sz="4" w:space="0"/>
                  </w:tcBorders>
                  <w:noWrap w:val="0"/>
                  <w:vAlign w:val="center"/>
                </w:tcPr>
                <w:p w14:paraId="4A93DB8B">
                  <w:pPr>
                    <w:pStyle w:val="46"/>
                    <w:keepNext w:val="0"/>
                    <w:keepLines w:val="0"/>
                    <w:suppressLineNumbers w:val="0"/>
                    <w:bidi w:val="0"/>
                    <w:spacing w:before="0" w:beforeAutospacing="0" w:after="0" w:afterAutospacing="0"/>
                    <w:rPr>
                      <w:rFonts w:hint="eastAsia"/>
                      <w:b/>
                      <w:bCs/>
                      <w:color w:val="auto"/>
                    </w:rPr>
                  </w:pPr>
                  <w:r>
                    <w:rPr>
                      <w:rFonts w:hint="eastAsia"/>
                      <w:b/>
                      <w:bCs/>
                      <w:color w:val="auto"/>
                    </w:rPr>
                    <w:t>用水量</w:t>
                  </w:r>
                </w:p>
              </w:tc>
              <w:tc>
                <w:tcPr>
                  <w:tcW w:w="949" w:type="pct"/>
                  <w:tcBorders>
                    <w:top w:val="single" w:color="auto" w:sz="4" w:space="0"/>
                  </w:tcBorders>
                  <w:noWrap w:val="0"/>
                  <w:vAlign w:val="center"/>
                </w:tcPr>
                <w:p w14:paraId="234A6356">
                  <w:pPr>
                    <w:pStyle w:val="46"/>
                    <w:keepNext w:val="0"/>
                    <w:keepLines w:val="0"/>
                    <w:suppressLineNumbers w:val="0"/>
                    <w:bidi w:val="0"/>
                    <w:spacing w:before="0" w:beforeAutospacing="0" w:after="0" w:afterAutospacing="0"/>
                    <w:rPr>
                      <w:rFonts w:hint="eastAsia"/>
                      <w:b/>
                      <w:bCs/>
                      <w:color w:val="auto"/>
                    </w:rPr>
                  </w:pPr>
                  <w:r>
                    <w:rPr>
                      <w:rFonts w:hint="eastAsia"/>
                      <w:b/>
                      <w:bCs/>
                      <w:color w:val="auto"/>
                    </w:rPr>
                    <w:t>废水量</w:t>
                  </w:r>
                </w:p>
              </w:tc>
              <w:tc>
                <w:tcPr>
                  <w:tcW w:w="2389" w:type="pct"/>
                  <w:tcBorders>
                    <w:top w:val="single" w:color="auto" w:sz="4" w:space="0"/>
                    <w:right w:val="single" w:color="auto" w:sz="4" w:space="0"/>
                  </w:tcBorders>
                  <w:noWrap w:val="0"/>
                  <w:vAlign w:val="center"/>
                </w:tcPr>
                <w:p w14:paraId="28D78F09">
                  <w:pPr>
                    <w:pStyle w:val="46"/>
                    <w:keepNext w:val="0"/>
                    <w:keepLines w:val="0"/>
                    <w:suppressLineNumbers w:val="0"/>
                    <w:bidi w:val="0"/>
                    <w:spacing w:before="0" w:beforeAutospacing="0" w:after="0" w:afterAutospacing="0"/>
                    <w:rPr>
                      <w:rFonts w:hint="eastAsia"/>
                      <w:b/>
                      <w:bCs/>
                      <w:color w:val="auto"/>
                    </w:rPr>
                  </w:pPr>
                  <w:r>
                    <w:rPr>
                      <w:rFonts w:hint="eastAsia"/>
                      <w:b/>
                      <w:bCs/>
                      <w:color w:val="auto"/>
                    </w:rPr>
                    <w:t>废水处理方法及去向</w:t>
                  </w:r>
                </w:p>
              </w:tc>
            </w:tr>
            <w:tr w14:paraId="460677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723" w:type="pct"/>
                  <w:tcBorders>
                    <w:left w:val="single" w:color="auto" w:sz="4" w:space="0"/>
                  </w:tcBorders>
                  <w:noWrap w:val="0"/>
                  <w:vAlign w:val="center"/>
                </w:tcPr>
                <w:p w14:paraId="3313E400">
                  <w:pPr>
                    <w:pStyle w:val="46"/>
                    <w:keepNext w:val="0"/>
                    <w:keepLines w:val="0"/>
                    <w:suppressLineNumbers w:val="0"/>
                    <w:bidi w:val="0"/>
                    <w:spacing w:before="0" w:beforeAutospacing="0" w:after="0" w:afterAutospacing="0"/>
                    <w:rPr>
                      <w:color w:val="auto"/>
                    </w:rPr>
                  </w:pPr>
                  <w:r>
                    <w:rPr>
                      <w:rFonts w:hint="eastAsia"/>
                      <w:color w:val="auto"/>
                    </w:rPr>
                    <w:t>员工生活</w:t>
                  </w:r>
                </w:p>
              </w:tc>
              <w:tc>
                <w:tcPr>
                  <w:tcW w:w="937" w:type="pct"/>
                  <w:noWrap w:val="0"/>
                  <w:vAlign w:val="center"/>
                </w:tcPr>
                <w:p w14:paraId="66632800">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2.171</w:t>
                  </w:r>
                </w:p>
              </w:tc>
              <w:tc>
                <w:tcPr>
                  <w:tcW w:w="949" w:type="pct"/>
                  <w:noWrap w:val="0"/>
                  <w:vAlign w:val="center"/>
                </w:tcPr>
                <w:p w14:paraId="1F40E87E">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1.845</w:t>
                  </w:r>
                </w:p>
              </w:tc>
              <w:tc>
                <w:tcPr>
                  <w:tcW w:w="2389" w:type="pct"/>
                  <w:tcBorders>
                    <w:right w:val="single" w:color="auto" w:sz="4" w:space="0"/>
                  </w:tcBorders>
                  <w:noWrap w:val="0"/>
                  <w:vAlign w:val="center"/>
                </w:tcPr>
                <w:p w14:paraId="45403267">
                  <w:pPr>
                    <w:pStyle w:val="46"/>
                    <w:keepNext w:val="0"/>
                    <w:keepLines w:val="0"/>
                    <w:suppressLineNumbers w:val="0"/>
                    <w:bidi w:val="0"/>
                    <w:spacing w:before="0" w:beforeAutospacing="0" w:after="0" w:afterAutospacing="0"/>
                    <w:rPr>
                      <w:rFonts w:hint="eastAsia"/>
                      <w:color w:val="auto"/>
                    </w:rPr>
                  </w:pPr>
                  <w:r>
                    <w:rPr>
                      <w:rFonts w:hint="eastAsia"/>
                      <w:color w:val="auto"/>
                    </w:rPr>
                    <w:t>经</w:t>
                  </w:r>
                  <w:r>
                    <w:rPr>
                      <w:rFonts w:hint="eastAsia"/>
                      <w:color w:val="auto"/>
                      <w:lang w:val="en-US" w:eastAsia="zh-CN"/>
                    </w:rPr>
                    <w:t>化粪池处理后经园区</w:t>
                  </w:r>
                  <w:r>
                    <w:rPr>
                      <w:rFonts w:hint="eastAsia"/>
                      <w:color w:val="auto"/>
                    </w:rPr>
                    <w:t>污水管网</w:t>
                  </w:r>
                  <w:r>
                    <w:rPr>
                      <w:rFonts w:hint="eastAsia"/>
                      <w:color w:val="auto"/>
                      <w:lang w:val="en-US" w:eastAsia="zh-CN"/>
                    </w:rPr>
                    <w:t>进入八公山污水处理厂处</w:t>
                  </w:r>
                  <w:r>
                    <w:rPr>
                      <w:rFonts w:hint="eastAsia"/>
                      <w:color w:val="auto"/>
                    </w:rPr>
                    <w:t>理</w:t>
                  </w:r>
                </w:p>
              </w:tc>
            </w:tr>
            <w:tr w14:paraId="1FF5B3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723" w:type="pct"/>
                  <w:tcBorders>
                    <w:left w:val="single" w:color="auto" w:sz="4" w:space="0"/>
                  </w:tcBorders>
                  <w:noWrap w:val="0"/>
                  <w:vAlign w:val="center"/>
                </w:tcPr>
                <w:p w14:paraId="3E956184">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破碎</w:t>
                  </w:r>
                </w:p>
              </w:tc>
              <w:tc>
                <w:tcPr>
                  <w:tcW w:w="937" w:type="pct"/>
                  <w:noWrap w:val="0"/>
                  <w:vAlign w:val="center"/>
                </w:tcPr>
                <w:p w14:paraId="0318397E">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0.147</w:t>
                  </w:r>
                </w:p>
              </w:tc>
              <w:tc>
                <w:tcPr>
                  <w:tcW w:w="949" w:type="pct"/>
                  <w:noWrap w:val="0"/>
                  <w:vAlign w:val="center"/>
                </w:tcPr>
                <w:p w14:paraId="246BF09F">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w:t>
                  </w:r>
                </w:p>
              </w:tc>
              <w:tc>
                <w:tcPr>
                  <w:tcW w:w="2389" w:type="pct"/>
                  <w:tcBorders>
                    <w:right w:val="single" w:color="auto" w:sz="4" w:space="0"/>
                  </w:tcBorders>
                  <w:noWrap w:val="0"/>
                  <w:vAlign w:val="center"/>
                </w:tcPr>
                <w:p w14:paraId="6133B6DB">
                  <w:pPr>
                    <w:pStyle w:val="46"/>
                    <w:keepNext w:val="0"/>
                    <w:keepLines w:val="0"/>
                    <w:suppressLineNumbers w:val="0"/>
                    <w:bidi w:val="0"/>
                    <w:spacing w:before="0" w:beforeAutospacing="0" w:after="0" w:afterAutospacing="0"/>
                    <w:rPr>
                      <w:rFonts w:hint="default" w:eastAsia="宋体"/>
                      <w:color w:val="auto"/>
                      <w:lang w:val="en-US" w:eastAsia="zh-CN"/>
                    </w:rPr>
                  </w:pPr>
                  <w:r>
                    <w:rPr>
                      <w:rFonts w:hint="eastAsia"/>
                      <w:color w:val="auto"/>
                      <w:lang w:val="en-US" w:eastAsia="zh-CN"/>
                    </w:rPr>
                    <w:t>经絮凝沉淀池处理后不外排</w:t>
                  </w:r>
                </w:p>
              </w:tc>
            </w:tr>
            <w:tr w14:paraId="3E2C767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723" w:type="pct"/>
                  <w:tcBorders>
                    <w:left w:val="single" w:color="auto" w:sz="4" w:space="0"/>
                    <w:bottom w:val="single" w:color="auto" w:sz="4" w:space="0"/>
                  </w:tcBorders>
                  <w:noWrap w:val="0"/>
                  <w:vAlign w:val="center"/>
                </w:tcPr>
                <w:p w14:paraId="229464B4">
                  <w:pPr>
                    <w:pStyle w:val="46"/>
                    <w:keepNext w:val="0"/>
                    <w:keepLines w:val="0"/>
                    <w:suppressLineNumbers w:val="0"/>
                    <w:bidi w:val="0"/>
                    <w:spacing w:before="0" w:beforeAutospacing="0" w:after="0" w:afterAutospacing="0"/>
                    <w:rPr>
                      <w:rFonts w:hint="eastAsia"/>
                      <w:color w:val="auto"/>
                    </w:rPr>
                  </w:pPr>
                  <w:r>
                    <w:rPr>
                      <w:rFonts w:hint="eastAsia"/>
                      <w:color w:val="auto"/>
                    </w:rPr>
                    <w:t>合计</w:t>
                  </w:r>
                </w:p>
              </w:tc>
              <w:tc>
                <w:tcPr>
                  <w:tcW w:w="937" w:type="pct"/>
                  <w:tcBorders>
                    <w:bottom w:val="single" w:color="auto" w:sz="4" w:space="0"/>
                  </w:tcBorders>
                  <w:noWrap w:val="0"/>
                  <w:vAlign w:val="center"/>
                </w:tcPr>
                <w:p w14:paraId="05D7EE05">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2.318</w:t>
                  </w:r>
                </w:p>
              </w:tc>
              <w:tc>
                <w:tcPr>
                  <w:tcW w:w="949" w:type="pct"/>
                  <w:tcBorders>
                    <w:bottom w:val="single" w:color="auto" w:sz="4" w:space="0"/>
                  </w:tcBorders>
                  <w:noWrap w:val="0"/>
                  <w:vAlign w:val="center"/>
                </w:tcPr>
                <w:p w14:paraId="0A16F02A">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1.845</w:t>
                  </w:r>
                </w:p>
              </w:tc>
              <w:tc>
                <w:tcPr>
                  <w:tcW w:w="2389" w:type="pct"/>
                  <w:tcBorders>
                    <w:bottom w:val="single" w:color="auto" w:sz="4" w:space="0"/>
                    <w:right w:val="single" w:color="auto" w:sz="4" w:space="0"/>
                  </w:tcBorders>
                  <w:noWrap w:val="0"/>
                  <w:vAlign w:val="center"/>
                </w:tcPr>
                <w:p w14:paraId="1FBCF633">
                  <w:pPr>
                    <w:pStyle w:val="46"/>
                    <w:keepNext w:val="0"/>
                    <w:keepLines w:val="0"/>
                    <w:suppressLineNumbers w:val="0"/>
                    <w:bidi w:val="0"/>
                    <w:spacing w:before="0" w:beforeAutospacing="0" w:after="0" w:afterAutospacing="0"/>
                    <w:rPr>
                      <w:rFonts w:hint="eastAsia" w:eastAsia="宋体"/>
                      <w:color w:val="auto"/>
                      <w:lang w:val="en-US" w:eastAsia="zh-CN"/>
                    </w:rPr>
                  </w:pPr>
                  <w:r>
                    <w:rPr>
                      <w:rFonts w:hint="eastAsia"/>
                      <w:color w:val="auto"/>
                      <w:lang w:val="en-US" w:eastAsia="zh-CN"/>
                    </w:rPr>
                    <w:t>/</w:t>
                  </w:r>
                </w:p>
              </w:tc>
            </w:tr>
          </w:tbl>
          <w:p w14:paraId="416386AD">
            <w:pPr>
              <w:keepNext w:val="0"/>
              <w:keepLines w:val="0"/>
              <w:suppressLineNumbers w:val="0"/>
              <w:bidi w:val="0"/>
              <w:spacing w:before="0" w:beforeAutospacing="0" w:after="0" w:afterAutospacing="0"/>
              <w:ind w:left="0" w:leftChars="0" w:right="0" w:firstLine="0" w:firstLineChars="0"/>
              <w:rPr>
                <w:rFonts w:hint="eastAsia"/>
                <w:color w:val="auto"/>
              </w:rPr>
            </w:pPr>
            <w:r>
              <w:rPr>
                <w:rFonts w:hint="eastAsia"/>
                <w:color w:val="auto"/>
              </w:rPr>
              <w:t>本项目水平衡图见图</w:t>
            </w:r>
            <w:r>
              <w:rPr>
                <w:rFonts w:hint="default"/>
                <w:color w:val="auto"/>
              </w:rPr>
              <w:t>2</w:t>
            </w:r>
            <w:r>
              <w:rPr>
                <w:rFonts w:hint="eastAsia"/>
                <w:color w:val="auto"/>
              </w:rPr>
              <w:t>-</w:t>
            </w:r>
            <w:r>
              <w:rPr>
                <w:rFonts w:hint="eastAsia"/>
                <w:color w:val="auto"/>
                <w:lang w:val="en-US" w:eastAsia="zh-CN"/>
              </w:rPr>
              <w:t>1</w:t>
            </w:r>
            <w:r>
              <w:rPr>
                <w:rFonts w:hint="eastAsia"/>
                <w:color w:val="auto"/>
              </w:rPr>
              <w:t>。</w:t>
            </w:r>
          </w:p>
          <w:p w14:paraId="2F38B046">
            <w:pPr>
              <w:pStyle w:val="43"/>
              <w:keepNext w:val="0"/>
              <w:keepLines w:val="0"/>
              <w:suppressLineNumbers w:val="0"/>
              <w:bidi w:val="0"/>
              <w:spacing w:before="0" w:beforeAutospacing="0" w:after="0" w:afterAutospacing="0"/>
              <w:ind w:left="0" w:right="0"/>
              <w:rPr>
                <w:rFonts w:hint="eastAsia"/>
                <w:color w:val="1D70F5"/>
                <w:lang w:val="en-US" w:eastAsia="zh-CN"/>
              </w:rPr>
            </w:pPr>
            <w:r>
              <w:rPr>
                <w:color w:val="1D70F5"/>
              </w:rPr>
              <mc:AlternateContent>
                <mc:Choice Requires="wps">
                  <w:drawing>
                    <wp:anchor distT="0" distB="0" distL="114300" distR="114300" simplePos="0" relativeHeight="251693056" behindDoc="0" locked="0" layoutInCell="1" allowOverlap="1">
                      <wp:simplePos x="0" y="0"/>
                      <wp:positionH relativeFrom="column">
                        <wp:posOffset>1200785</wp:posOffset>
                      </wp:positionH>
                      <wp:positionV relativeFrom="paragraph">
                        <wp:posOffset>2104390</wp:posOffset>
                      </wp:positionV>
                      <wp:extent cx="6350" cy="571500"/>
                      <wp:effectExtent l="32385" t="0" r="37465" b="0"/>
                      <wp:wrapNone/>
                      <wp:docPr id="111" name="自选图形 71"/>
                      <wp:cNvGraphicFramePr/>
                      <a:graphic xmlns:a="http://schemas.openxmlformats.org/drawingml/2006/main">
                        <a:graphicData uri="http://schemas.microsoft.com/office/word/2010/wordprocessingShape">
                          <wps:wsp>
                            <wps:cNvCnPr/>
                            <wps:spPr>
                              <a:xfrm flipV="1">
                                <a:off x="0" y="0"/>
                                <a:ext cx="6350" cy="571500"/>
                              </a:xfrm>
                              <a:prstGeom prst="straightConnector1">
                                <a:avLst/>
                              </a:prstGeom>
                              <a:ln w="9525" cap="flat" cmpd="sng">
                                <a:solidFill>
                                  <a:srgbClr val="FF0000"/>
                                </a:solidFill>
                                <a:prstDash val="sysDash"/>
                                <a:headEnd type="none" w="med" len="med"/>
                                <a:tailEnd type="triangle" w="med" len="med"/>
                              </a:ln>
                            </wps:spPr>
                            <wps:bodyPr/>
                          </wps:wsp>
                        </a:graphicData>
                      </a:graphic>
                    </wp:anchor>
                  </w:drawing>
                </mc:Choice>
                <mc:Fallback>
                  <w:pict>
                    <v:shape id="自选图形 71" o:spid="_x0000_s1026" o:spt="32" type="#_x0000_t32" style="position:absolute;left:0pt;flip:y;margin-left:94.55pt;margin-top:165.7pt;height:45pt;width:0.5pt;z-index:251693056;mso-width-relative:page;mso-height-relative:page;" filled="f" stroked="t" coordsize="21600,21600" o:gfxdata="UEsDBAoAAAAAAIdO4kAAAAAAAAAAAAAAAAAEAAAAZHJzL1BLAwQUAAAACACHTuJAU9QaKtYAAAAL&#10;AQAADwAAAGRycy9kb3ducmV2LnhtbE2PwU7DMBBE70j8g7WVuFHbSQVtiFMhJI4ItfABTry108Z2&#10;FLtt+Hu2JzjO7NPsTL2d/cAuOKU+BgVyKYBh6KLpg1Xw/fX+uAaWsg5GDzGggh9MsG3u72pdmXgN&#10;O7zss2UUElKlFbicx4rz1Dn0Oi3jiIFuhzh5nUlOlptJXyncD7wQ4ol73Qf64PSIbw670/7sFXyI&#10;cmePzp7MIdmi1a/t/CmflXpYSPECLOOc/2C41afq0FCnNp6DSWwgvd5IQhWUpVwBuxEbQU6rYFWQ&#10;w5ua/9/Q/AJQSwMEFAAAAAgAh07iQDNh+DQMAgAA+AMAAA4AAABkcnMvZTJvRG9jLnhtbK1TS44T&#10;MRDdI3EHy3vS3UGZgVY6s0gIGwSR+Owrbne3Jf/k8uSzY4c4AzuW3AFuMxLcgrI7ZGAQ0izoRats&#10;V71677k8vzoYzXYyoHK24dWk5Exa4Vpl+4a/fbN+9IQzjGBb0M7Khh8l8qvFwwfzva/l1A1OtzIw&#10;ArFY733Dhxh9XRQoBmkAJ85LS4edCwYiLUNftAH2hG50MS3Li2LvQuuDExKRdlfjIT8hhvsAuq5T&#10;Qq6cuDbSxhE1SA2RJOGgPPJFZtt1UsRXXYcyMt1wUhrzn5pQvE3/YjGHug/gByVOFOA+FO5oMqAs&#10;NT1DrSACuw7qLyijRHDoujgRzhSjkOwIqajKO968HsDLrIWsRn82Hf8frHi52wSmWpqEquLMgqEr&#10;//7hy4/3H28+fbv5+pldVsmkvceacpd2E04r9JuQFB+6YFinlX9HGNkDUsUO2eLj2WJ5iEzQ5sXj&#10;GVkv6GB2Wc3KfAHFCJLAfMD4XDrDUtBwjAFUP8Sls5au0oWxAexeYCQaVPirIBVry/YNfzqbzqgD&#10;0Gh2NBIUGk/y0PaZHDqt2rXSOlVg6LdLHdgOaDzW65K+JJZw/0hLTVaAw5iHR0yLcXQGCe0z27J4&#10;9GScpRfDEwkjW860pAeWIoKEOoLSt5kxKLC9/kc2EdCWeCTXR59TtHXtMduf92kgMtPT8KaJ+32d&#10;q28f7OI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U9QaKtYAAAALAQAADwAAAAAAAAABACAAAAAi&#10;AAAAZHJzL2Rvd25yZXYueG1sUEsBAhQAFAAAAAgAh07iQDNh+DQMAgAA+AMAAA4AAAAAAAAAAQAg&#10;AAAAJQEAAGRycy9lMm9Eb2MueG1sUEsFBgAAAAAGAAYAWQEAAKMFAAAAAA==&#10;">
                      <v:fill on="f" focussize="0,0"/>
                      <v:stroke color="#FF0000" joinstyle="round" dashstyle="3 1" endarrow="block"/>
                      <v:imagedata o:title=""/>
                      <o:lock v:ext="edit" aspectratio="f"/>
                    </v:shape>
                  </w:pict>
                </mc:Fallback>
              </mc:AlternateContent>
            </w:r>
            <w:r>
              <w:rPr>
                <w:color w:val="1D70F5"/>
              </w:rPr>
              <mc:AlternateContent>
                <mc:Choice Requires="wps">
                  <w:drawing>
                    <wp:anchor distT="0" distB="0" distL="114300" distR="114300" simplePos="0" relativeHeight="251694080" behindDoc="0" locked="0" layoutInCell="1" allowOverlap="1">
                      <wp:simplePos x="0" y="0"/>
                      <wp:positionH relativeFrom="column">
                        <wp:posOffset>958215</wp:posOffset>
                      </wp:positionH>
                      <wp:positionV relativeFrom="paragraph">
                        <wp:posOffset>1924050</wp:posOffset>
                      </wp:positionV>
                      <wp:extent cx="553085" cy="208280"/>
                      <wp:effectExtent l="0" t="0" r="0" b="0"/>
                      <wp:wrapNone/>
                      <wp:docPr id="112" name="矩形 66"/>
                      <wp:cNvGraphicFramePr/>
                      <a:graphic xmlns:a="http://schemas.openxmlformats.org/drawingml/2006/main">
                        <a:graphicData uri="http://schemas.microsoft.com/office/word/2010/wordprocessingShape">
                          <wps:wsp>
                            <wps:cNvSpPr/>
                            <wps:spPr>
                              <a:xfrm>
                                <a:off x="0" y="0"/>
                                <a:ext cx="553085" cy="208280"/>
                              </a:xfrm>
                              <a:prstGeom prst="rect">
                                <a:avLst/>
                              </a:prstGeom>
                              <a:solidFill>
                                <a:srgbClr val="FFFFFF">
                                  <a:alpha val="0"/>
                                </a:srgbClr>
                              </a:solidFill>
                              <a:ln>
                                <a:noFill/>
                              </a:ln>
                            </wps:spPr>
                            <wps:txbx>
                              <w:txbxContent>
                                <w:p w14:paraId="0645AAC7">
                                  <w:pPr>
                                    <w:pStyle w:val="44"/>
                                    <w:bidi w:val="0"/>
                                    <w:ind w:left="0" w:leftChars="0" w:firstLine="0" w:firstLineChars="0"/>
                                    <w:jc w:val="both"/>
                                    <w:rPr>
                                      <w:rFonts w:hint="default" w:eastAsia="宋体"/>
                                      <w:lang w:val="en-US" w:eastAsia="zh-CN"/>
                                    </w:rPr>
                                  </w:pPr>
                                  <w:r>
                                    <w:rPr>
                                      <w:rFonts w:hint="eastAsia"/>
                                      <w:lang w:val="en-US" w:eastAsia="zh-CN"/>
                                    </w:rPr>
                                    <w:t>0.147</w:t>
                                  </w:r>
                                </w:p>
                              </w:txbxContent>
                            </wps:txbx>
                            <wps:bodyPr wrap="square" lIns="0" tIns="0" rIns="0" bIns="0" upright="1"/>
                          </wps:wsp>
                        </a:graphicData>
                      </a:graphic>
                    </wp:anchor>
                  </w:drawing>
                </mc:Choice>
                <mc:Fallback>
                  <w:pict>
                    <v:rect id="矩形 66" o:spid="_x0000_s1026" o:spt="1" style="position:absolute;left:0pt;margin-left:75.45pt;margin-top:151.5pt;height:16.4pt;width:43.55pt;z-index:251694080;mso-width-relative:page;mso-height-relative:page;" fillcolor="#FFFFFF" filled="t" stroked="f" coordsize="21600,21600" o:gfxdata="UEsDBAoAAAAAAIdO4kAAAAAAAAAAAAAAAAAEAAAAZHJzL1BLAwQUAAAACACHTuJArYY6M9kAAAAL&#10;AQAADwAAAGRycy9kb3ducmV2LnhtbE2PwU7DMBBE70j8g7VI3KjdhpI0xOmhUiUQVSUCvbuxSSLs&#10;dWS7Tfv3LCe47eyOZt9U64uz7GxCHDxKmM8EMIOt1wN2Ej4/tg8FsJgUamU9GglXE2Fd395UqtR+&#10;wndzblLHKARjqST0KY0l57HtjVNx5keDdPvywalEMnRcBzVRuLN8IcQTd2pA+tCr0Wx60343Jych&#10;b5twmHbbx7x52e+Sxfx1c32T8v5uLp6BJXNJf2b4xSd0qInp6E+oI7Okl2JFVgmZyKgUORZZQcOR&#10;NtmyAF5X/H+H+gdQSwMEFAAAAAgAh07iQJo7U5/aAQAAuwMAAA4AAABkcnMvZTJvRG9jLnhtbK1T&#10;Ta7TMBDeI3EHy3uaNKhVVTV9C6oiJARPenAA13EaS/5jxm3S0yCx4xAcB3ENxk7aB4/NW5BFMjMe&#10;fzPfN5PN3WANOytA7V3N57OSM+Wkb7Q71vzzp/2rFWcYhWuE8U7V/KKQ321fvtj0Ya0q33nTKGAE&#10;4nDdh5p3MYZ1UaDslBU480E5Omw9WBHJhWPRgOgJ3ZqiKstl0XtoAnipECm6Gw/5hAjPAfRtq6Xa&#10;eXmyysURFZQRkShhpwPybe62bZWMH9sWVWSm5sQ05jcVIfuQ3sV2I9ZHEKHTcmpBPKeFJ5ys0I6K&#10;3qB2Igp2Av0PlNUSPPo2zqS3xUgkK0Is5uUTbR46EVTmQlJjuImO/w9WfjjfA9MNbcK84swJSyP/&#10;9fX7zx/f2HKZ5OkDrinrIdzD5CGZievQgk1fYsGGLOnlJqkaIpMUXCxel6sFZ5KOqnJVrbLkxePl&#10;ABjfKm9ZMmoONLEspDi/x0gFKfWakmqhN7rZa2OyA8fDGwPsLGi6+/yMd03oxBi9lsMxNeP9hWFc&#10;QnI+YY7lUqRIrEeeyYrDYZjIH3xzIcV6Wpma45eTAMWZeedoJmm/rgZcjcPVOAXQx44ozpOquQDN&#10;NDc07V9amj/9nPX4z21/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K2GOjPZAAAACwEAAA8AAAAA&#10;AAAAAQAgAAAAIgAAAGRycy9kb3ducmV2LnhtbFBLAQIUABQAAAAIAIdO4kCaO1Of2gEAALsDAAAO&#10;AAAAAAAAAAEAIAAAACgBAABkcnMvZTJvRG9jLnhtbFBLBQYAAAAABgAGAFkBAAB0BQAAAAA=&#10;">
                      <v:fill on="t" opacity="0f" focussize="0,0"/>
                      <v:stroke on="f"/>
                      <v:imagedata o:title=""/>
                      <o:lock v:ext="edit" aspectratio="f"/>
                      <v:textbox inset="0mm,0mm,0mm,0mm">
                        <w:txbxContent>
                          <w:p w14:paraId="0645AAC7">
                            <w:pPr>
                              <w:pStyle w:val="44"/>
                              <w:bidi w:val="0"/>
                              <w:ind w:left="0" w:leftChars="0" w:firstLine="0" w:firstLineChars="0"/>
                              <w:jc w:val="both"/>
                              <w:rPr>
                                <w:rFonts w:hint="default" w:eastAsia="宋体"/>
                                <w:lang w:val="en-US" w:eastAsia="zh-CN"/>
                              </w:rPr>
                            </w:pPr>
                            <w:r>
                              <w:rPr>
                                <w:rFonts w:hint="eastAsia"/>
                                <w:lang w:val="en-US" w:eastAsia="zh-CN"/>
                              </w:rPr>
                              <w:t>0.147</w:t>
                            </w:r>
                          </w:p>
                        </w:txbxContent>
                      </v:textbox>
                    </v:rect>
                  </w:pict>
                </mc:Fallback>
              </mc:AlternateContent>
            </w:r>
            <w:r>
              <w:rPr>
                <w:color w:val="1D70F5"/>
              </w:rPr>
              <mc:AlternateContent>
                <mc:Choice Requires="wps">
                  <w:drawing>
                    <wp:anchor distT="0" distB="0" distL="114300" distR="114300" simplePos="0" relativeHeight="251686912" behindDoc="0" locked="0" layoutInCell="1" allowOverlap="1">
                      <wp:simplePos x="0" y="0"/>
                      <wp:positionH relativeFrom="column">
                        <wp:posOffset>3139440</wp:posOffset>
                      </wp:positionH>
                      <wp:positionV relativeFrom="paragraph">
                        <wp:posOffset>1416685</wp:posOffset>
                      </wp:positionV>
                      <wp:extent cx="612140" cy="208280"/>
                      <wp:effectExtent l="0" t="0" r="0" b="0"/>
                      <wp:wrapNone/>
                      <wp:docPr id="97" name="矩形 66"/>
                      <wp:cNvGraphicFramePr/>
                      <a:graphic xmlns:a="http://schemas.openxmlformats.org/drawingml/2006/main">
                        <a:graphicData uri="http://schemas.microsoft.com/office/word/2010/wordprocessingShape">
                          <wps:wsp>
                            <wps:cNvSpPr/>
                            <wps:spPr>
                              <a:xfrm>
                                <a:off x="0" y="0"/>
                                <a:ext cx="612140" cy="208280"/>
                              </a:xfrm>
                              <a:prstGeom prst="rect">
                                <a:avLst/>
                              </a:prstGeom>
                              <a:solidFill>
                                <a:srgbClr val="FFFFFF">
                                  <a:alpha val="0"/>
                                </a:srgbClr>
                              </a:solidFill>
                              <a:ln>
                                <a:noFill/>
                              </a:ln>
                            </wps:spPr>
                            <wps:txbx>
                              <w:txbxContent>
                                <w:p w14:paraId="242900D7">
                                  <w:pPr>
                                    <w:pStyle w:val="44"/>
                                    <w:bidi w:val="0"/>
                                    <w:ind w:left="0" w:leftChars="0" w:firstLine="0" w:firstLineChars="0"/>
                                    <w:jc w:val="both"/>
                                    <w:rPr>
                                      <w:rFonts w:hint="default" w:eastAsia="宋体"/>
                                      <w:lang w:val="en-US" w:eastAsia="zh-CN"/>
                                    </w:rPr>
                                  </w:pPr>
                                  <w:r>
                                    <w:rPr>
                                      <w:rFonts w:hint="eastAsia"/>
                                      <w:lang w:val="en-US" w:eastAsia="zh-CN"/>
                                    </w:rPr>
                                    <w:t>0.042</w:t>
                                  </w:r>
                                </w:p>
                              </w:txbxContent>
                            </wps:txbx>
                            <wps:bodyPr wrap="square" lIns="0" tIns="0" rIns="0" bIns="0" upright="1"/>
                          </wps:wsp>
                        </a:graphicData>
                      </a:graphic>
                    </wp:anchor>
                  </w:drawing>
                </mc:Choice>
                <mc:Fallback>
                  <w:pict>
                    <v:rect id="矩形 66" o:spid="_x0000_s1026" o:spt="1" style="position:absolute;left:0pt;margin-left:247.2pt;margin-top:111.55pt;height:16.4pt;width:48.2pt;z-index:251686912;mso-width-relative:page;mso-height-relative:page;" fillcolor="#FFFFFF" filled="t" stroked="f" coordsize="21600,21600" o:gfxdata="UEsDBAoAAAAAAIdO4kAAAAAAAAAAAAAAAAAEAAAAZHJzL1BLAwQUAAAACACHTuJAidgvDtoAAAAL&#10;AQAADwAAAGRycy9kb3ducmV2LnhtbE2PwU7DMAyG70i8Q2QkbixpaSktTXeYNAnENIkC96wJbUXi&#10;VE22bm+POcHR9qff31+vz86yk5nD6FFCshLADHZej9hL+Hjf3j0CC1GhVtajkXAxAdbN9VWtKu0X&#10;fDOnNvaMQjBUSsIQ41RxHrrBOBVWfjJIty8/OxVpnHuuZ7VQuLM8FeKBOzUifRjUZDaD6b7bo5NQ&#10;dO38uey2WdE+73fRYvGyubxKeXuTiCdg0ZzjHwy/+qQODTkd/BF1YFZCVmYZoRLS9D4BRkReCipz&#10;oE2el8Cbmv/v0PwAUEsDBBQAAAAIAIdO4kBr9ZFU2QEAALoDAAAOAAAAZHJzL2Uyb0RvYy54bWyt&#10;U82O0zAQviPxDpbvNG2ESoma7mGrIiQEKy08gOs4iSX/MeM26dMgceMheBzEazB22i4slz1sDsnM&#10;ePzNfN9M1jejNeyoALV3NV/M5pwpJ32jXVfzL593r1acYRSuEcY7VfOTQn6zefliPYRKlb73plHA&#10;CMRhNYSa9zGGqihQ9soKnPmgHB22HqyI5EJXNCAGQremKOfzZTF4aAJ4qRApup0O+RkRngLo21ZL&#10;tfXyYJWLEyooIyJRwl4H5JvcbdsqGT+1LarITM2JacxvKkL2Pr2LzVpUHYjQa3luQTylhUecrNCO&#10;il6htiIKdgD9H5TVEjz6Ns6kt8VEJCtCLBbzR9rc9yKozIWkxnAVHZ8PVn483gHTTc3fvuHMCUsT&#10;//3tx6+f39lymdQZAlaUdB/u4OwhmYnq2IJNXyLBxqzo6aqoGiOTFFwuysVr0lrSUTlflausePFw&#10;OQDGd8pbloyaAw0s6yiOHzBSQUq9pKRa6I1udtqY7EC3vzXAjoKGu8vPdNeEXkzRSzmcUjPePxjG&#10;JSTnE+ZULkWKxHrimaw47scz+b1vTiTYQBtTc/x6EKA4M+8djSSt18WAi7G/GIcAuuuJ4iKpmgvQ&#10;SHND5/VLO/O3n7MefrnNH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InYLw7aAAAACwEAAA8AAAAA&#10;AAAAAQAgAAAAIgAAAGRycy9kb3ducmV2LnhtbFBLAQIUABQAAAAIAIdO4kBr9ZFU2QEAALoDAAAO&#10;AAAAAAAAAAEAIAAAACkBAABkcnMvZTJvRG9jLnhtbFBLBQYAAAAABgAGAFkBAAB0BQAAAAA=&#10;">
                      <v:fill on="t" opacity="0f" focussize="0,0"/>
                      <v:stroke on="f"/>
                      <v:imagedata o:title=""/>
                      <o:lock v:ext="edit" aspectratio="f"/>
                      <v:textbox inset="0mm,0mm,0mm,0mm">
                        <w:txbxContent>
                          <w:p w14:paraId="242900D7">
                            <w:pPr>
                              <w:pStyle w:val="44"/>
                              <w:bidi w:val="0"/>
                              <w:ind w:left="0" w:leftChars="0" w:firstLine="0" w:firstLineChars="0"/>
                              <w:jc w:val="both"/>
                              <w:rPr>
                                <w:rFonts w:hint="default" w:eastAsia="宋体"/>
                                <w:lang w:val="en-US" w:eastAsia="zh-CN"/>
                              </w:rPr>
                            </w:pPr>
                            <w:r>
                              <w:rPr>
                                <w:rFonts w:hint="eastAsia"/>
                                <w:lang w:val="en-US" w:eastAsia="zh-CN"/>
                              </w:rPr>
                              <w:t>0.042</w:t>
                            </w:r>
                          </w:p>
                        </w:txbxContent>
                      </v:textbox>
                    </v:rect>
                  </w:pict>
                </mc:Fallback>
              </mc:AlternateContent>
            </w:r>
            <w:r>
              <w:rPr>
                <w:color w:val="1D70F5"/>
              </w:rPr>
              <mc:AlternateContent>
                <mc:Choice Requires="wps">
                  <w:drawing>
                    <wp:anchor distT="0" distB="0" distL="114300" distR="114300" simplePos="0" relativeHeight="251684864" behindDoc="0" locked="0" layoutInCell="1" allowOverlap="1">
                      <wp:simplePos x="0" y="0"/>
                      <wp:positionH relativeFrom="column">
                        <wp:posOffset>2301240</wp:posOffset>
                      </wp:positionH>
                      <wp:positionV relativeFrom="paragraph">
                        <wp:posOffset>1888490</wp:posOffset>
                      </wp:positionV>
                      <wp:extent cx="553085" cy="208280"/>
                      <wp:effectExtent l="0" t="0" r="0" b="0"/>
                      <wp:wrapNone/>
                      <wp:docPr id="95" name="矩形 66"/>
                      <wp:cNvGraphicFramePr/>
                      <a:graphic xmlns:a="http://schemas.openxmlformats.org/drawingml/2006/main">
                        <a:graphicData uri="http://schemas.microsoft.com/office/word/2010/wordprocessingShape">
                          <wps:wsp>
                            <wps:cNvSpPr/>
                            <wps:spPr>
                              <a:xfrm>
                                <a:off x="0" y="0"/>
                                <a:ext cx="553085" cy="208280"/>
                              </a:xfrm>
                              <a:prstGeom prst="rect">
                                <a:avLst/>
                              </a:prstGeom>
                              <a:solidFill>
                                <a:srgbClr val="FFFFFF">
                                  <a:alpha val="0"/>
                                </a:srgbClr>
                              </a:solidFill>
                              <a:ln>
                                <a:noFill/>
                              </a:ln>
                            </wps:spPr>
                            <wps:txbx>
                              <w:txbxContent>
                                <w:p w14:paraId="69BA9C0D">
                                  <w:pPr>
                                    <w:pStyle w:val="44"/>
                                    <w:bidi w:val="0"/>
                                    <w:ind w:left="0" w:leftChars="0" w:firstLine="0" w:firstLineChars="0"/>
                                    <w:jc w:val="both"/>
                                    <w:rPr>
                                      <w:rFonts w:hint="default" w:eastAsia="宋体"/>
                                      <w:lang w:val="en-US" w:eastAsia="zh-CN"/>
                                    </w:rPr>
                                  </w:pPr>
                                  <w:r>
                                    <w:rPr>
                                      <w:rFonts w:hint="eastAsia"/>
                                      <w:lang w:val="en-US" w:eastAsia="zh-CN"/>
                                    </w:rPr>
                                    <w:t>0.837</w:t>
                                  </w:r>
                                </w:p>
                              </w:txbxContent>
                            </wps:txbx>
                            <wps:bodyPr wrap="square" lIns="0" tIns="0" rIns="0" bIns="0" upright="1"/>
                          </wps:wsp>
                        </a:graphicData>
                      </a:graphic>
                    </wp:anchor>
                  </w:drawing>
                </mc:Choice>
                <mc:Fallback>
                  <w:pict>
                    <v:rect id="矩形 66" o:spid="_x0000_s1026" o:spt="1" style="position:absolute;left:0pt;margin-left:181.2pt;margin-top:148.7pt;height:16.4pt;width:43.55pt;z-index:251684864;mso-width-relative:page;mso-height-relative:page;" fillcolor="#FFFFFF" filled="t" stroked="f" coordsize="21600,21600" o:gfxdata="UEsDBAoAAAAAAIdO4kAAAAAAAAAAAAAAAAAEAAAAZHJzL1BLAwQUAAAACACHTuJAiXuWHdoAAAAL&#10;AQAADwAAAGRycy9kb3ducmV2LnhtbE2PwU7DMAyG70i8Q2QkbixZ162sNN1h0iQQExIF7lkT2orE&#10;qZJs3d4e7wQ3W/+n35+rzdlZdjIhDh4lzGcCmMHW6wE7CZ8fu4dHYDEp1Mp6NBIuJsKmvr2pVKn9&#10;hO/m1KSOUQnGUknoUxpLzmPbG6fizI8GKfv2walEa+i4Dmqicmd5JsSKOzUgXejVaLa9aX+ao5NQ&#10;tE34mva7vGie3/bJYvGyvbxKeX83F0/AkjmnPxiu+qQONTkd/BF1ZFbCYpXlhErI1gUNROT5egns&#10;QNFCZMDriv//of4FUEsDBBQAAAAIAIdO4kCrn8fq2gEAALoDAAAOAAAAZHJzL2Uyb0RvYy54bWyt&#10;U82O0zAQviPxDpbvNGlRqxI13QNVERKClZZ9ANdxGkv+Y8Zt0qdB4sZD8DiI12DstF3Yvexhc0hm&#10;xuNv5vtmsroZrGFHBai9q/l0UnKmnPSNdvua33/dvllyhlG4RhjvVM1PCvnN+vWrVR8qNfOdN40C&#10;RiAOqz7UvIsxVEWBslNW4MQH5eiw9WBFJBf2RQOiJ3RrillZLoreQxPAS4VI0c14yM+I8BxA37Za&#10;qo2XB6tcHFFBGRGJEnY6IF/nbttWyfilbVFFZmpOTGN+UxGyd+ldrFei2oMInZbnFsRzWnjEyQrt&#10;qOgVaiOiYAfQT6CsluDRt3EivS1GIlkRYjEtH2lz14mgMheSGsNVdHw5WPn5eAtMNzV/N+fMCUsT&#10;//P95+9fP9hikdTpA1aUdBdu4ewhmYnq0IJNXyLBhqzo6aqoGiKTFJzP35ZLApZ0NCuXs2VWvHi4&#10;HADjB+UtS0bNgQaWdRTHTxipIKVeUlIt9EY3W21MdmC/e2+AHQUNd5uf8a4JnRijl3I4pma8/zCM&#10;S0jOJ8yxXIoUifXIM1lx2A1n8jvfnEiwnjam5vjtIEBxZj46Gklar4sBF2N3MQ4B9L4jitOkai5A&#10;I80Nndcv7cy/fs56+OXWf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Je5Yd2gAAAAsBAAAPAAAA&#10;AAAAAAEAIAAAACIAAABkcnMvZG93bnJldi54bWxQSwECFAAUAAAACACHTuJAq5/H6toBAAC6AwAA&#10;DgAAAAAAAAABACAAAAApAQAAZHJzL2Uyb0RvYy54bWxQSwUGAAAAAAYABgBZAQAAdQUAAAAA&#10;">
                      <v:fill on="t" opacity="0f" focussize="0,0"/>
                      <v:stroke on="f"/>
                      <v:imagedata o:title=""/>
                      <o:lock v:ext="edit" aspectratio="f"/>
                      <v:textbox inset="0mm,0mm,0mm,0mm">
                        <w:txbxContent>
                          <w:p w14:paraId="69BA9C0D">
                            <w:pPr>
                              <w:pStyle w:val="44"/>
                              <w:bidi w:val="0"/>
                              <w:ind w:left="0" w:leftChars="0" w:firstLine="0" w:firstLineChars="0"/>
                              <w:jc w:val="both"/>
                              <w:rPr>
                                <w:rFonts w:hint="default" w:eastAsia="宋体"/>
                                <w:lang w:val="en-US" w:eastAsia="zh-CN"/>
                              </w:rPr>
                            </w:pPr>
                            <w:r>
                              <w:rPr>
                                <w:rFonts w:hint="eastAsia"/>
                                <w:lang w:val="en-US" w:eastAsia="zh-CN"/>
                              </w:rPr>
                              <w:t>0.837</w:t>
                            </w:r>
                          </w:p>
                        </w:txbxContent>
                      </v:textbox>
                    </v:rect>
                  </w:pict>
                </mc:Fallback>
              </mc:AlternateContent>
            </w:r>
            <w:r>
              <w:rPr>
                <w:color w:val="1D70F5"/>
              </w:rPr>
              <mc:AlternateContent>
                <mc:Choice Requires="wps">
                  <w:drawing>
                    <wp:anchor distT="0" distB="0" distL="114300" distR="114300" simplePos="0" relativeHeight="251682816" behindDoc="0" locked="0" layoutInCell="1" allowOverlap="1">
                      <wp:simplePos x="0" y="0"/>
                      <wp:positionH relativeFrom="column">
                        <wp:posOffset>1564005</wp:posOffset>
                      </wp:positionH>
                      <wp:positionV relativeFrom="paragraph">
                        <wp:posOffset>1622425</wp:posOffset>
                      </wp:positionV>
                      <wp:extent cx="336550" cy="265430"/>
                      <wp:effectExtent l="0" t="20320" r="6350" b="19050"/>
                      <wp:wrapNone/>
                      <wp:docPr id="89" name="自选图形 65"/>
                      <wp:cNvGraphicFramePr/>
                      <a:graphic xmlns:a="http://schemas.openxmlformats.org/drawingml/2006/main">
                        <a:graphicData uri="http://schemas.microsoft.com/office/word/2010/wordprocessingShape">
                          <wps:wsp>
                            <wps:cNvCnPr/>
                            <wps:spPr>
                              <a:xfrm flipV="1">
                                <a:off x="0" y="0"/>
                                <a:ext cx="336550" cy="265430"/>
                              </a:xfrm>
                              <a:prstGeom prst="curvedConnector3">
                                <a:avLst>
                                  <a:gd name="adj1" fmla="val 50000"/>
                                </a:avLst>
                              </a:prstGeom>
                              <a:ln w="9525" cap="flat" cmpd="sng">
                                <a:solidFill>
                                  <a:srgbClr val="000000"/>
                                </a:solidFill>
                                <a:prstDash val="dash"/>
                                <a:headEnd type="none" w="med" len="med"/>
                                <a:tailEnd type="triangle" w="med" len="med"/>
                              </a:ln>
                            </wps:spPr>
                            <wps:bodyPr/>
                          </wps:wsp>
                        </a:graphicData>
                      </a:graphic>
                    </wp:anchor>
                  </w:drawing>
                </mc:Choice>
                <mc:Fallback>
                  <w:pict>
                    <v:shape id="自选图形 65" o:spid="_x0000_s1026" o:spt="38" type="#_x0000_t38" style="position:absolute;left:0pt;flip:y;margin-left:123.15pt;margin-top:127.75pt;height:20.9pt;width:26.5pt;z-index:251682816;mso-width-relative:page;mso-height-relative:page;" filled="f" stroked="t" coordsize="21600,21600" o:gfxdata="UEsDBAoAAAAAAIdO4kAAAAAAAAAAAAAAAAAEAAAAZHJzL1BLAwQUAAAACACHTuJAmHB0m9oAAAAL&#10;AQAADwAAAGRycy9kb3ducmV2LnhtbE2PMU/DMBCFdyT+g3VILIg6TUlLQ5wOkRg6MBCQYHTjaxIR&#10;nyPbTVt+PdeJbu/uPb37rtic7CAm9KF3pGA+S0AgNc701Cr4/Hh9fAYRoiajB0eo4IwBNuXtTaFz&#10;4470jlMdW8ElFHKtoItxzKUMTYdWh5kbkdjbO2915NG30nh95HI7yDRJltLqnvhCp0esOmx+6oNV&#10;QPuv6sFjo7e/VY2r76lP37Znpe7v5skLiIin+B+GCz6jQ8lMO3cgE8SgIH1aLjjKIssyEJxI12ve&#10;7C5itQBZFvL6h/IPUEsDBBQAAAAIAIdO4kCG5wqxHgIAACEEAAAOAAAAZHJzL2Uyb0RvYy54bWyt&#10;U8uO0zAU3SPxD5b3NGlLqpmo6Sxahg2CSjz2rh+JkV+y3abdsUN8AzuW/MPwNyPBX3DthA4MQpoF&#10;WUTX9vG595x7vbw6aoUO3AdpTYOnkxIjbqhl0rQNfvvm+skFRiESw4iyhjf4xAO+Wj1+tOxdzWe2&#10;s4pxj4DEhLp3De5idHVRBNpxTcLEOm7gUFivSYSlbwvmSQ/sWhWzslwUvfXMeUt5CLC7GQ7xyOgf&#10;QmiFkJRvLN1rbuLA6rkiESSFTrqAV7laITiNr4QIPCLVYFAa8x+SQLxL/2K1JHXrieskHUsgDynh&#10;niZNpIGkZ6oNiQTtvfyLSkvqbbAiTqjVxSAkOwIqpuU9b153xPGsBawO7mx6+H+09OVh65FkDb64&#10;xMgQDR3//vHrjw+fbj9/u735ghZV8qh3oQbo2mz9uApu65Pgo/AaCSXdOximbAGIQsfs8OnsMD9G&#10;RGFzPl9UFXhP4Wi2qJ7OcweKgSbROR/ic241SkGD6d4fOFtbY6CT1s9zAnJ4EWI2m40VE/Z+ipHQ&#10;Cnp3IApVJXypbmAe0RD94k5XlUF9gy+rWQXFEBhjAeMDoXZgRTBtThSskuxaKpVuBN/u1soj4AdZ&#10;+Rsz/AFLSTYkdAOOQZRQpO44Yc8MQ/HkwGIDTwunCjRnGCkOLzFFGRmJVHfI6CUxrfoHGlQpAzJT&#10;f4aOpGhn2Sk3Ku/D5GQjxilPo/n7Ot++e9mr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hwdJva&#10;AAAACwEAAA8AAAAAAAAAAQAgAAAAIgAAAGRycy9kb3ducmV2LnhtbFBLAQIUABQAAAAIAIdO4kCG&#10;5wqxHgIAACEEAAAOAAAAAAAAAAEAIAAAACkBAABkcnMvZTJvRG9jLnhtbFBLBQYAAAAABgAGAFkB&#10;AAC5BQAAAAA=&#10;" adj="10800">
                      <v:fill on="f" focussize="0,0"/>
                      <v:stroke color="#000000" joinstyle="round" dashstyle="dash" endarrow="block"/>
                      <v:imagedata o:title=""/>
                      <o:lock v:ext="edit" aspectratio="f"/>
                    </v:shape>
                  </w:pict>
                </mc:Fallback>
              </mc:AlternateContent>
            </w:r>
            <w:r>
              <w:rPr>
                <w:color w:val="1D70F5"/>
              </w:rPr>
              <mc:AlternateContent>
                <mc:Choice Requires="wps">
                  <w:drawing>
                    <wp:anchor distT="0" distB="0" distL="114300" distR="114300" simplePos="0" relativeHeight="251683840" behindDoc="0" locked="0" layoutInCell="1" allowOverlap="1">
                      <wp:simplePos x="0" y="0"/>
                      <wp:positionH relativeFrom="column">
                        <wp:posOffset>1863090</wp:posOffset>
                      </wp:positionH>
                      <wp:positionV relativeFrom="paragraph">
                        <wp:posOffset>1495425</wp:posOffset>
                      </wp:positionV>
                      <wp:extent cx="553085" cy="208280"/>
                      <wp:effectExtent l="0" t="0" r="0" b="0"/>
                      <wp:wrapNone/>
                      <wp:docPr id="94" name="矩形 66"/>
                      <wp:cNvGraphicFramePr/>
                      <a:graphic xmlns:a="http://schemas.openxmlformats.org/drawingml/2006/main">
                        <a:graphicData uri="http://schemas.microsoft.com/office/word/2010/wordprocessingShape">
                          <wps:wsp>
                            <wps:cNvSpPr/>
                            <wps:spPr>
                              <a:xfrm>
                                <a:off x="0" y="0"/>
                                <a:ext cx="553085" cy="208280"/>
                              </a:xfrm>
                              <a:prstGeom prst="rect">
                                <a:avLst/>
                              </a:prstGeom>
                              <a:solidFill>
                                <a:srgbClr val="FFFFFF">
                                  <a:alpha val="0"/>
                                </a:srgbClr>
                              </a:solidFill>
                              <a:ln>
                                <a:noFill/>
                              </a:ln>
                            </wps:spPr>
                            <wps:txbx>
                              <w:txbxContent>
                                <w:p w14:paraId="07825A78">
                                  <w:pPr>
                                    <w:pStyle w:val="44"/>
                                    <w:bidi w:val="0"/>
                                    <w:ind w:left="0" w:leftChars="0" w:firstLine="0" w:firstLineChars="0"/>
                                    <w:jc w:val="both"/>
                                    <w:rPr>
                                      <w:rFonts w:hint="default" w:eastAsia="宋体"/>
                                      <w:lang w:val="en-US" w:eastAsia="zh-CN"/>
                                    </w:rPr>
                                  </w:pPr>
                                  <w:r>
                                    <w:rPr>
                                      <w:rFonts w:hint="eastAsia"/>
                                      <w:lang w:val="en-US" w:eastAsia="zh-CN"/>
                                    </w:rPr>
                                    <w:t>0.093</w:t>
                                  </w:r>
                                </w:p>
                              </w:txbxContent>
                            </wps:txbx>
                            <wps:bodyPr wrap="square" lIns="0" tIns="0" rIns="0" bIns="0" upright="1"/>
                          </wps:wsp>
                        </a:graphicData>
                      </a:graphic>
                    </wp:anchor>
                  </w:drawing>
                </mc:Choice>
                <mc:Fallback>
                  <w:pict>
                    <v:rect id="矩形 66" o:spid="_x0000_s1026" o:spt="1" style="position:absolute;left:0pt;margin-left:146.7pt;margin-top:117.75pt;height:16.4pt;width:43.55pt;z-index:251683840;mso-width-relative:page;mso-height-relative:page;" fillcolor="#FFFFFF" filled="t" stroked="f" coordsize="21600,21600" o:gfxdata="UEsDBAoAAAAAAIdO4kAAAAAAAAAAAAAAAAAEAAAAZHJzL1BLAwQUAAAACACHTuJAlrKuRdoAAAAL&#10;AQAADwAAAGRycy9kb3ducmV2LnhtbE2PwU7DMBBE70j8g7VI3Kjdpm1CiNNDpUogqkoEuLuxSSLs&#10;dWS7Tfv3LCe4ze6MZt9Wm4uz7GxCHDxKmM8EMIOt1wN2Ej7edw8FsJgUamU9GglXE2FT395UqtR+&#10;wjdzblLHqARjqST0KY0l57HtjVNx5keD5H354FSiMXRcBzVRubN8IcSaOzUgXejVaLa9ab+bk5OQ&#10;t034nPa7Zd48H/bJYv6yvb5KeX83F0/AkrmkvzD84hM61MR09CfUkVkJi8dsSVES2WoFjBJZIUgc&#10;abMuMuB1xf//UP8AUEsDBBQAAAAIAIdO4kADlbeh2gEAALoDAAAOAAAAZHJzL2Uyb0RvYy54bWyt&#10;U82O0zAQviPxDpbvNGmhVama7oGqCAnBSgsP4DpOY8l/zLhN+jRI3HgIHgfxGoydpsvuXvZADsnM&#10;ePzNfN9M1je9NeykALV3FZ9OSs6Uk77W7lDxr192r5acYRSuFsY7VfGzQn6zefli3YWVmvnWm1oB&#10;IxCHqy5UvI0xrIoCZauswIkPytFh48GKSC4cihpER+jWFLOyXBSdhzqAlwqRotvhkF8Q4TmAvmm0&#10;VFsvj1a5OKCCMiISJWx1QL7J3TaNkvFz06CKzFScmMb8piJk79O72KzF6gAitFpeWhDPaeERJyu0&#10;o6JXqK2Igh1BP4GyWoJH38SJ9LYYiGRFiMW0fKTNXSuCylxIagxX0fH/wcpPp1tguq742zecOWFp&#10;4n++//z96wdbLJI6XcAVJd2FW7h4SGai2jdg05dIsD4rer4qqvrIJAXn89flcs6ZpKNZuZwts+LF&#10;/eUAGN8rb1kyKg40sKyjOH3ESAUpdUxJtdAbXe+0MdmBw/6dAXYSNNxdfoa7JrRiiI7lcEjNeA8w&#10;jEtIzifMoVyKFIn1wDNZsd/3F/J7X59JsI42puL47ShAcWY+OBpJWq/RgNHYj8YxgD60RHGaVM0F&#10;aKS5ocv6pZ35189Z97/c5i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Wsq5F2gAAAAsBAAAPAAAA&#10;AAAAAAEAIAAAACIAAABkcnMvZG93bnJldi54bWxQSwECFAAUAAAACACHTuJAA5W3odoBAAC6AwAA&#10;DgAAAAAAAAABACAAAAApAQAAZHJzL2Uyb0RvYy54bWxQSwUGAAAAAAYABgBZAQAAdQUAAAAA&#10;">
                      <v:fill on="t" opacity="0f" focussize="0,0"/>
                      <v:stroke on="f"/>
                      <v:imagedata o:title=""/>
                      <o:lock v:ext="edit" aspectratio="f"/>
                      <v:textbox inset="0mm,0mm,0mm,0mm">
                        <w:txbxContent>
                          <w:p w14:paraId="07825A78">
                            <w:pPr>
                              <w:pStyle w:val="44"/>
                              <w:bidi w:val="0"/>
                              <w:ind w:left="0" w:leftChars="0" w:firstLine="0" w:firstLineChars="0"/>
                              <w:jc w:val="both"/>
                              <w:rPr>
                                <w:rFonts w:hint="default" w:eastAsia="宋体"/>
                                <w:lang w:val="en-US" w:eastAsia="zh-CN"/>
                              </w:rPr>
                            </w:pPr>
                            <w:r>
                              <w:rPr>
                                <w:rFonts w:hint="eastAsia"/>
                                <w:lang w:val="en-US" w:eastAsia="zh-CN"/>
                              </w:rPr>
                              <w:t>0.093</w:t>
                            </w:r>
                          </w:p>
                        </w:txbxContent>
                      </v:textbox>
                    </v:rect>
                  </w:pict>
                </mc:Fallback>
              </mc:AlternateContent>
            </w:r>
            <w:r>
              <w:rPr>
                <w:color w:val="1D70F5"/>
              </w:rPr>
              <mc:AlternateContent>
                <mc:Choice Requires="wps">
                  <w:drawing>
                    <wp:anchor distT="0" distB="0" distL="114300" distR="114300" simplePos="0" relativeHeight="251678720" behindDoc="0" locked="0" layoutInCell="1" allowOverlap="1">
                      <wp:simplePos x="0" y="0"/>
                      <wp:positionH relativeFrom="column">
                        <wp:posOffset>1492250</wp:posOffset>
                      </wp:positionH>
                      <wp:positionV relativeFrom="paragraph">
                        <wp:posOffset>1898015</wp:posOffset>
                      </wp:positionV>
                      <wp:extent cx="777240" cy="302895"/>
                      <wp:effectExtent l="4445" t="5080" r="18415" b="15875"/>
                      <wp:wrapNone/>
                      <wp:docPr id="39" name="矩形 64"/>
                      <wp:cNvGraphicFramePr/>
                      <a:graphic xmlns:a="http://schemas.openxmlformats.org/drawingml/2006/main">
                        <a:graphicData uri="http://schemas.microsoft.com/office/word/2010/wordprocessingShape">
                          <wps:wsp>
                            <wps:cNvSpPr/>
                            <wps:spPr>
                              <a:xfrm>
                                <a:off x="0" y="0"/>
                                <a:ext cx="777240" cy="3028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9D0CD3">
                                  <w:pPr>
                                    <w:pStyle w:val="46"/>
                                    <w:bidi w:val="0"/>
                                    <w:rPr>
                                      <w:rFonts w:hint="default"/>
                                      <w:lang w:val="en-US" w:eastAsia="zh-CN"/>
                                    </w:rPr>
                                  </w:pPr>
                                  <w:r>
                                    <w:rPr>
                                      <w:rFonts w:hint="eastAsia"/>
                                      <w:lang w:val="en-US" w:eastAsia="zh-CN"/>
                                    </w:rPr>
                                    <w:t>湿法破碎</w:t>
                                  </w:r>
                                </w:p>
                              </w:txbxContent>
                            </wps:txbx>
                            <wps:bodyPr wrap="square" lIns="0" tIns="45720" rIns="0" bIns="45720" upright="1"/>
                          </wps:wsp>
                        </a:graphicData>
                      </a:graphic>
                    </wp:anchor>
                  </w:drawing>
                </mc:Choice>
                <mc:Fallback>
                  <w:pict>
                    <v:rect id="矩形 64" o:spid="_x0000_s1026" o:spt="1" style="position:absolute;left:0pt;margin-left:117.5pt;margin-top:149.45pt;height:23.85pt;width:61.2pt;z-index:251678720;mso-width-relative:page;mso-height-relative:page;" fillcolor="#FFFFFF" filled="t" stroked="t" coordsize="21600,21600" o:gfxdata="UEsDBAoAAAAAAIdO4kAAAAAAAAAAAAAAAAAEAAAAZHJzL1BLAwQUAAAACACHTuJAXR1NstoAAAAL&#10;AQAADwAAAGRycy9kb3ducmV2LnhtbE2PzU7DMBCE70i8g7VI3KiT/oQ0xOkBqUIq5UDoA7jxEkfE&#10;6yh20vL2LCe4zWhHs9+Uu6vrxYxj6DwpSBcJCKTGm45aBaeP/UMOIkRNRveeUME3BthVtzelLoy/&#10;0DvOdWwFl1AotAIb41BIGRqLToeFH5D49ulHpyPbsZVm1Bcud71cJkkmne6IP1g94LPF5quenIJm&#10;dvnL+Eav+8MwnfzBHk2dHpW6v0uTJxARr/EvDL/4jA4VM539RCaIXsFyteEtkcU234LgxGrzuAZx&#10;ZrHOMpBVKf9vqH4AUEsDBBQAAAAIAIdO4kDdlzOKIQIAAGQEAAAOAAAAZHJzL2Uyb0RvYy54bWyt&#10;VM2O0zAQviPxDpbvNGm23W6jpnugFCEhWGnhAVzHSSz5j7HbpE+DxI2H4HHQvgZjt9vtLhx6IIdk&#10;xh5/M9834yxuB63IToCX1lR0PMopEYbbWpq2ol+/rN/cUOIDMzVT1oiK7oWnt8vXrxa9K0VhO6tq&#10;AQRBjC97V9EuBFdmmeed0MyPrBMGNxsLmgV0oc1qYD2ia5UVeX6d9RZqB5YL73F1ddikR0S4BNA2&#10;jeRiZflWCxMOqCAUC0jJd9J5ukzVNo3g4XPTeBGIqigyDemNSdDexHe2XLCyBeY6yY8lsEtKeMFJ&#10;M2kw6QlqxQIjW5B/QWnJwXrbhBG3OjsQSYogi3H+Qpv7jjmRuKDU3p1E9/8Pln/a3QGRdUWv5pQY&#10;prHjD99//v71g1xPojq98yUG3bs7OHoezUh1aEDHL5IgQ1J0f1JUDIFwXJzNZsUEtea4dZUXN/Np&#10;xMyeDjvw4b2wmkSjooANSzqy3UcfDqGPITGXt0rWa6lUcqDdvFVAdgybu07PEf1ZmDKkr+h8Wkyx&#10;DoYT2+CkoKkdsvamTfmenfDnwHl6/gUcC1sx3x0KSAgxjJVaBgHJ6gSr35mahL1DYQ1eKBqL0aKm&#10;RAm8f9FKkYFJdUkkaqcMShj7cuhEtMKwGRAmmhtb77GlPc400vu2ZYA51QeDQxMvQDIm01mBDjyu&#10;bs5Xtw5k22Ezxol0xMThS107XpQ43ed+Kufp57D8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F0d&#10;TbLaAAAACwEAAA8AAAAAAAAAAQAgAAAAIgAAAGRycy9kb3ducmV2LnhtbFBLAQIUABQAAAAIAIdO&#10;4kDdlzOKIQIAAGQEAAAOAAAAAAAAAAEAIAAAACkBAABkcnMvZTJvRG9jLnhtbFBLBQYAAAAABgAG&#10;AFkBAAC8BQAAAAA=&#10;">
                      <v:fill on="t" focussize="0,0"/>
                      <v:stroke color="#000000" joinstyle="miter"/>
                      <v:imagedata o:title=""/>
                      <o:lock v:ext="edit" aspectratio="f"/>
                      <v:textbox inset="0mm,1.27mm,0mm,1.27mm">
                        <w:txbxContent>
                          <w:p w14:paraId="419D0CD3">
                            <w:pPr>
                              <w:pStyle w:val="46"/>
                              <w:bidi w:val="0"/>
                              <w:rPr>
                                <w:rFonts w:hint="default"/>
                                <w:lang w:val="en-US" w:eastAsia="zh-CN"/>
                              </w:rPr>
                            </w:pPr>
                            <w:r>
                              <w:rPr>
                                <w:rFonts w:hint="eastAsia"/>
                                <w:lang w:val="en-US" w:eastAsia="zh-CN"/>
                              </w:rPr>
                              <w:t>湿法破碎</w:t>
                            </w:r>
                          </w:p>
                        </w:txbxContent>
                      </v:textbox>
                    </v:rect>
                  </w:pict>
                </mc:Fallback>
              </mc:AlternateContent>
            </w:r>
            <w:r>
              <w:rPr>
                <w:color w:val="1D70F5"/>
              </w:rPr>
              <mc:AlternateContent>
                <mc:Choice Requires="wps">
                  <w:drawing>
                    <wp:anchor distT="0" distB="0" distL="114300" distR="114300" simplePos="0" relativeHeight="251688960" behindDoc="0" locked="0" layoutInCell="1" allowOverlap="1">
                      <wp:simplePos x="0" y="0"/>
                      <wp:positionH relativeFrom="column">
                        <wp:posOffset>4065905</wp:posOffset>
                      </wp:positionH>
                      <wp:positionV relativeFrom="paragraph">
                        <wp:posOffset>1867535</wp:posOffset>
                      </wp:positionV>
                      <wp:extent cx="777240" cy="496570"/>
                      <wp:effectExtent l="4445" t="5080" r="18415" b="12700"/>
                      <wp:wrapNone/>
                      <wp:docPr id="99" name="矩形 64"/>
                      <wp:cNvGraphicFramePr/>
                      <a:graphic xmlns:a="http://schemas.openxmlformats.org/drawingml/2006/main">
                        <a:graphicData uri="http://schemas.microsoft.com/office/word/2010/wordprocessingShape">
                          <wps:wsp>
                            <wps:cNvSpPr/>
                            <wps:spPr>
                              <a:xfrm>
                                <a:off x="0" y="0"/>
                                <a:ext cx="777240" cy="49657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4944B12">
                                  <w:pPr>
                                    <w:pStyle w:val="46"/>
                                    <w:bidi w:val="0"/>
                                    <w:rPr>
                                      <w:rFonts w:hint="eastAsia"/>
                                      <w:lang w:val="en-US" w:eastAsia="zh-CN"/>
                                    </w:rPr>
                                  </w:pPr>
                                  <w:r>
                                    <w:rPr>
                                      <w:rFonts w:hint="eastAsia"/>
                                      <w:lang w:val="en-US" w:eastAsia="zh-CN"/>
                                    </w:rPr>
                                    <w:t>污泥带走</w:t>
                                  </w:r>
                                </w:p>
                                <w:p w14:paraId="36ADB045">
                                  <w:pPr>
                                    <w:pStyle w:val="46"/>
                                    <w:bidi w:val="0"/>
                                    <w:rPr>
                                      <w:rFonts w:hint="default"/>
                                      <w:lang w:val="en-US" w:eastAsia="zh-CN"/>
                                    </w:rPr>
                                  </w:pPr>
                                  <w:r>
                                    <w:rPr>
                                      <w:rFonts w:hint="eastAsia"/>
                                      <w:lang w:val="en-US" w:eastAsia="zh-CN"/>
                                    </w:rPr>
                                    <w:t>0.012</w:t>
                                  </w:r>
                                </w:p>
                              </w:txbxContent>
                            </wps:txbx>
                            <wps:bodyPr wrap="square" lIns="0" tIns="45720" rIns="0" bIns="45720" upright="1"/>
                          </wps:wsp>
                        </a:graphicData>
                      </a:graphic>
                    </wp:anchor>
                  </w:drawing>
                </mc:Choice>
                <mc:Fallback>
                  <w:pict>
                    <v:rect id="矩形 64" o:spid="_x0000_s1026" o:spt="1" style="position:absolute;left:0pt;margin-left:320.15pt;margin-top:147.05pt;height:39.1pt;width:61.2pt;z-index:251688960;mso-width-relative:page;mso-height-relative:page;" fillcolor="#FFFFFF" filled="t" stroked="t" coordsize="21600,21600" o:gfxdata="UEsDBAoAAAAAAIdO4kAAAAAAAAAAAAAAAAAEAAAAZHJzL1BLAwQUAAAACACHTuJA7tWat9oAAAAL&#10;AQAADwAAAGRycy9kb3ducmV2LnhtbE2PQU7DMBBF90jcwRokdtROUiUljdMFUoVUyoLQA7jxEEeN&#10;x1HspOX2mBUsR//p/zfV7mYHtuDke0cSkpUAhtQ63VMn4fS5f9oA80GRVoMjlPCNHnb1/V2lSu2u&#10;9IFLEzoWS8iXSoIJYSw5961Bq/zKjUgx+3KTVSGeU8f1pK6x3A48FSLnVvUUF4wa8cVge2lmK6Fd&#10;7OZ1eqe3/WGcT+5gjrpJjlI+PiRiCyzgLfzB8Ksf1aGOTmc3k/ZskJCvRRZRCenzOgEWiSJPC2Bn&#10;CVmRZsDriv//of4BUEsDBBQAAAAIAIdO4kBi2Q9DIwIAAGQEAAAOAAAAZHJzL2Uyb0RvYy54bWyt&#10;VM2O0zAQviPxDpbvNG3VHxo13QOlCAnBSgsPMLWdxJL/sN0mfRokbjwEj4N4DcZut9td9tDD5pDM&#10;2ONv5vtmnOVNrxXZCx+kNRUdDYaUCMMsl6ap6LevmzdvKQkRDAdljajoQQR6s3r9atm5UoxtaxUX&#10;niCICWXnKtrG6MqiCKwVGsLAOmFws7ZeQ0TXNwX30CG6VsV4OJwVnfXcectECLi6Pm7SE6K/BtDW&#10;tWRibdlOCxOPqF4oiEgptNIFusrV1rVg8UtdBxGJqigyjfmNSdDepnexWkLZeHCtZKcS4JoSnnDS&#10;IA0mPUOtIQLZefkflJbM22DrOGBWF0ciWRFkMRo+0eauBScyF5Q6uLPo4eVg2ef9rSeSV3SxoMSA&#10;xo7//fHrz++fZDZJ6nQulBh05279yQtoJqp97XX6IgnSZ0UPZ0VFHwnDxfl8Pp6g1gy3JovZdJ4V&#10;Lx4OOx/iB2E1SUZFPTYs6wj7TyFiQgy9D0m5glWSb6RS2fHN9p3yZA/Y3E1+UsV45FGYMqRDetPx&#10;FOsAnNgaJwVN7ZB1ME3O9+hEuAQe5uc54FTYGkJ7LCAjpDAotYwiqQVlK4C/N5zEg0NhDV4omorR&#10;glOiBN6/ZOXICFJdE4nslEGSqS/HTiQr9tseYZK5tfyALe1wppHe9x14zKk+GhyadAGyMZnOx+j4&#10;+9Xt5erOedm02IxRJp0wcfiyrqeLkqb70s/lPPwcVv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7tWat9oAAAALAQAADwAAAAAAAAABACAAAAAiAAAAZHJzL2Rvd25yZXYueG1sUEsBAhQAFAAAAAgA&#10;h07iQGLZD0MjAgAAZAQAAA4AAAAAAAAAAQAgAAAAKQEAAGRycy9lMm9Eb2MueG1sUEsFBgAAAAAG&#10;AAYAWQEAAL4FAAAAAA==&#10;">
                      <v:fill on="t" focussize="0,0"/>
                      <v:stroke color="#000000" joinstyle="miter"/>
                      <v:imagedata o:title=""/>
                      <o:lock v:ext="edit" aspectratio="f"/>
                      <v:textbox inset="0mm,1.27mm,0mm,1.27mm">
                        <w:txbxContent>
                          <w:p w14:paraId="04944B12">
                            <w:pPr>
                              <w:pStyle w:val="46"/>
                              <w:bidi w:val="0"/>
                              <w:rPr>
                                <w:rFonts w:hint="eastAsia"/>
                                <w:lang w:val="en-US" w:eastAsia="zh-CN"/>
                              </w:rPr>
                            </w:pPr>
                            <w:r>
                              <w:rPr>
                                <w:rFonts w:hint="eastAsia"/>
                                <w:lang w:val="en-US" w:eastAsia="zh-CN"/>
                              </w:rPr>
                              <w:t>污泥带走</w:t>
                            </w:r>
                          </w:p>
                          <w:p w14:paraId="36ADB045">
                            <w:pPr>
                              <w:pStyle w:val="46"/>
                              <w:bidi w:val="0"/>
                              <w:rPr>
                                <w:rFonts w:hint="default"/>
                                <w:lang w:val="en-US" w:eastAsia="zh-CN"/>
                              </w:rPr>
                            </w:pPr>
                            <w:r>
                              <w:rPr>
                                <w:rFonts w:hint="eastAsia"/>
                                <w:lang w:val="en-US" w:eastAsia="zh-CN"/>
                              </w:rPr>
                              <w:t>0.012</w:t>
                            </w:r>
                          </w:p>
                        </w:txbxContent>
                      </v:textbox>
                    </v:rect>
                  </w:pict>
                </mc:Fallback>
              </mc:AlternateContent>
            </w:r>
            <w:r>
              <w:rPr>
                <w:color w:val="1D70F5"/>
              </w:rPr>
              <mc:AlternateContent>
                <mc:Choice Requires="wps">
                  <w:drawing>
                    <wp:anchor distT="0" distB="0" distL="114300" distR="114300" simplePos="0" relativeHeight="251681792" behindDoc="0" locked="0" layoutInCell="1" allowOverlap="1">
                      <wp:simplePos x="0" y="0"/>
                      <wp:positionH relativeFrom="column">
                        <wp:posOffset>2753995</wp:posOffset>
                      </wp:positionH>
                      <wp:positionV relativeFrom="paragraph">
                        <wp:posOffset>1889760</wp:posOffset>
                      </wp:positionV>
                      <wp:extent cx="828675" cy="317500"/>
                      <wp:effectExtent l="4445" t="4445" r="5080" b="20955"/>
                      <wp:wrapNone/>
                      <wp:docPr id="85" name="矩形 64"/>
                      <wp:cNvGraphicFramePr/>
                      <a:graphic xmlns:a="http://schemas.openxmlformats.org/drawingml/2006/main">
                        <a:graphicData uri="http://schemas.microsoft.com/office/word/2010/wordprocessingShape">
                          <wps:wsp>
                            <wps:cNvSpPr/>
                            <wps:spPr>
                              <a:xfrm>
                                <a:off x="0" y="0"/>
                                <a:ext cx="828675" cy="3175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AF565EB">
                                  <w:pPr>
                                    <w:pStyle w:val="46"/>
                                    <w:bidi w:val="0"/>
                                    <w:rPr>
                                      <w:rFonts w:hint="default"/>
                                      <w:lang w:val="en-US" w:eastAsia="zh-CN"/>
                                    </w:rPr>
                                  </w:pPr>
                                  <w:r>
                                    <w:rPr>
                                      <w:rFonts w:hint="eastAsia"/>
                                      <w:lang w:val="en-US" w:eastAsia="zh-CN"/>
                                    </w:rPr>
                                    <w:t>絮凝沉淀池</w:t>
                                  </w:r>
                                </w:p>
                              </w:txbxContent>
                            </wps:txbx>
                            <wps:bodyPr wrap="square" lIns="0" tIns="45720" rIns="0" bIns="45720" upright="1"/>
                          </wps:wsp>
                        </a:graphicData>
                      </a:graphic>
                    </wp:anchor>
                  </w:drawing>
                </mc:Choice>
                <mc:Fallback>
                  <w:pict>
                    <v:rect id="矩形 64" o:spid="_x0000_s1026" o:spt="1" style="position:absolute;left:0pt;margin-left:216.85pt;margin-top:148.8pt;height:25pt;width:65.25pt;z-index:251681792;mso-width-relative:page;mso-height-relative:page;" fillcolor="#FFFFFF" filled="t" stroked="t" coordsize="21600,21600" o:gfxdata="UEsDBAoAAAAAAIdO4kAAAAAAAAAAAAAAAAAEAAAAZHJzL1BLAwQUAAAACACHTuJAk8CawdkAAAAL&#10;AQAADwAAAGRycy9kb3ducmV2LnhtbE2Py07DMBBF90j8gzVI7KjzIi0hky6QKqTSLgj9ADc2cUQ8&#10;jmwnLX+PWcFyZo7unFtvr2Zki3J+sISQrhJgijorB+oRTh+7hw0wHwRJMVpSCN/Kw7a5valFJe2F&#10;3tXShp7FEPKVQNAhTBXnvtPKCL+yk6J4+7TOiBBH13PpxCWGm5FnSVJyIwaKH7SY1ItW3Vc7G4Ru&#10;MZtXd6S33X6aT3avD7JND4j3d2nyDCyoa/iD4Vc/qkMTnc52JunZiFDk+TqiCNnTugQWiceyyICd&#10;EfIibnhT8/8dmh9QSwMEFAAAAAgAh07iQF5/dh4iAgAAZAQAAA4AAABkcnMvZTJvRG9jLnhtbK1U&#10;zY7TMBC+I/EOlu80adl2S9R0D5QiJAQrLTzA1HYSS/7Ddpv0aZC48RA8DtrXYOx2u92FQw/kkMzY&#10;42/m+2acxc2gFdkJH6Q1NR2PSkqEYZZL09b065f1qzklIYLhoKwRNd2LQG+WL18seleJie2s4sIT&#10;BDGh6l1NuxhdVRSBdUJDGFknDG421muI6Pq24B56RNeqmJTlrOit585bJkLA1dVhkx4R/SWAtmkk&#10;EyvLtlqYeED1QkFESqGTLtBlrrZpBIufmyaISFRNkWnMb0yC9ia9i+UCqtaD6yQ7lgCXlPCMkwZp&#10;MOkJagURyNbLv6C0ZN4G28QRs7o4EMmKIItx+Uybuw6cyFxQ6uBOoof/B8s+7W49kbym8yklBjR2&#10;/P77z9+/fpDZVVKnd6HCoDt3649eQDNRHRqv0xdJkCEruj8pKoZIGC7OJ/PZNQIz3Ho9vp6WWfHi&#10;8bDzIb4XVpNk1NRjw7KOsPsYIibE0IeQlCtYJflaKpUd327eKk92gM1d5ydVjEeehClD+pq+mU5S&#10;HYAT2+CkoKkdsg6mzfmenAjnwGV+/gWcCltB6A4FZIQUBpWWUSS1oOoE8HeGk7h3KKzBC0VTMVpw&#10;SpTA+5esHBlBqksikZ0ySDL15dCJZMVhMyBMMjeW77GlPc400vu2BY851QeDQ5MuQDauptcTdPzD&#10;6uZ8deu8bDtsxjiTTpg4fFnX40VJ033u53Iefw7LP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JPA&#10;msHZAAAACwEAAA8AAAAAAAAAAQAgAAAAIgAAAGRycy9kb3ducmV2LnhtbFBLAQIUABQAAAAIAIdO&#10;4kBef3YeIgIAAGQEAAAOAAAAAAAAAAEAIAAAACgBAABkcnMvZTJvRG9jLnhtbFBLBQYAAAAABgAG&#10;AFkBAAC8BQAAAAA=&#10;">
                      <v:fill on="t" focussize="0,0"/>
                      <v:stroke color="#000000" joinstyle="miter"/>
                      <v:imagedata o:title=""/>
                      <o:lock v:ext="edit" aspectratio="f"/>
                      <v:textbox inset="0mm,1.27mm,0mm,1.27mm">
                        <w:txbxContent>
                          <w:p w14:paraId="5AF565EB">
                            <w:pPr>
                              <w:pStyle w:val="46"/>
                              <w:bidi w:val="0"/>
                              <w:rPr>
                                <w:rFonts w:hint="default"/>
                                <w:lang w:val="en-US" w:eastAsia="zh-CN"/>
                              </w:rPr>
                            </w:pPr>
                            <w:r>
                              <w:rPr>
                                <w:rFonts w:hint="eastAsia"/>
                                <w:lang w:val="en-US" w:eastAsia="zh-CN"/>
                              </w:rPr>
                              <w:t>絮凝沉淀池</w:t>
                            </w:r>
                          </w:p>
                        </w:txbxContent>
                      </v:textbox>
                    </v:rect>
                  </w:pict>
                </mc:Fallback>
              </mc:AlternateContent>
            </w:r>
            <w:r>
              <w:rPr>
                <w:color w:val="1D70F5"/>
              </w:rPr>
              <mc:AlternateContent>
                <mc:Choice Requires="wps">
                  <w:drawing>
                    <wp:anchor distT="0" distB="0" distL="114300" distR="114300" simplePos="0" relativeHeight="251679744" behindDoc="0" locked="0" layoutInCell="1" allowOverlap="1">
                      <wp:simplePos x="0" y="0"/>
                      <wp:positionH relativeFrom="column">
                        <wp:posOffset>842645</wp:posOffset>
                      </wp:positionH>
                      <wp:positionV relativeFrom="paragraph">
                        <wp:posOffset>2096135</wp:posOffset>
                      </wp:positionV>
                      <wp:extent cx="673100" cy="635"/>
                      <wp:effectExtent l="0" t="38100" r="12700" b="37465"/>
                      <wp:wrapNone/>
                      <wp:docPr id="40" name="自选图形 71"/>
                      <wp:cNvGraphicFramePr/>
                      <a:graphic xmlns:a="http://schemas.openxmlformats.org/drawingml/2006/main">
                        <a:graphicData uri="http://schemas.microsoft.com/office/word/2010/wordprocessingShape">
                          <wps:wsp>
                            <wps:cNvCnPr/>
                            <wps:spPr>
                              <a:xfrm flipV="1">
                                <a:off x="0" y="0"/>
                                <a:ext cx="673100" cy="63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71" o:spid="_x0000_s1026" o:spt="32" type="#_x0000_t32" style="position:absolute;left:0pt;flip:y;margin-left:66.35pt;margin-top:165.05pt;height:0.05pt;width:53pt;z-index:251679744;mso-width-relative:page;mso-height-relative:page;" filled="f" stroked="t" coordsize="21600,21600" o:gfxdata="UEsDBAoAAAAAAIdO4kAAAAAAAAAAAAAAAAAEAAAAZHJzL1BLAwQUAAAACACHTuJAyOK1R9gAAAAL&#10;AQAADwAAAGRycy9kb3ducmV2LnhtbE2PwU7DMBBE70j8g7VIXFBrxxEQhTg9AIUTqgjt3Y1NEjVe&#10;R7HbJn/PwqUcZ/ZpdqZYTa5nJzuGzqOCZCmAWay96bBRsP1aLzJgIWo0uvdoFcw2wKq8vip0bvwZ&#10;P+2pig2jEAy5VtDGOOSch7q1ToelHyzS7duPTkeSY8PNqM8U7nouhXjgTndIH1o92OfW1ofq6BS8&#10;VJv79e5uO8m5fv+o3rLDBudXpW5vEvEELNopXmD4rU/VoaROe39EE1hPOpWPhCpIU5EAI0KmGTn7&#10;P0cCLwv+f0P5A1BLAwQUAAAACACHTuJA9phI8gUCAAD0AwAADgAAAGRycy9lMm9Eb2MueG1srVO9&#10;jhMxEO6ReAfLPdkkR3KwyuaKhKNBEImffuL17lrynzy+bNLRIZ6BjpJ3gLc5iXuLG3tDDg4hXYEL&#10;a+yZ+Wa+z+PFxd5otpMBlbMVn4zGnEkrXK1sW/H37y6fPOMMI9gatLOy4geJ/GL5+NGi96Wcus7p&#10;WgZGIBbL3le8i9GXRYGikwZw5Ly05GxcMBDpGNqiDtATutHFdDyeF70LtQ9OSES6XQ9OfkQMDwF0&#10;TaOEXDtxZaSNA2qQGiJRwk555MvcbdNIEd80DcrIdMWJacw7FSF7m/ZiuYCyDeA7JY4twENauMfJ&#10;gLJU9AS1hgjsKqi/oIwSwaFr4kg4UwxEsiLEYjK+p83bDrzMXEhq9CfR8f/Bite7TWCqrvhTksSC&#10;oRf/+enbzcfP119+XH//ys4nSaPeY0mhK7sJxxP6TUiE900wrNHKf6BhyhIQKbbPCh9OCst9ZIIu&#10;5+dnkzEVEuSan80SdDFgJCwfML6UzrBkVBxjANV2ceWspYd0YcCH3SuMQ+KvhJSsLesr/nw2nRE8&#10;0GA2NBBkGk/k0La5N3Ra1ZdK65SBod2udGA7SMOR17GhP8JSkTVgN8RlVwqDspNQv7A1iwdPqln6&#10;LTy1YGTNmZb0uZKVIyMofRcZgwLb6n9Ekx7akixJ8kHkZG1dfcja53sahizccXDTtP1+ztl3n3V5&#10;C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MjitUfYAAAACwEAAA8AAAAAAAAAAQAgAAAAIgAAAGRy&#10;cy9kb3ducmV2LnhtbFBLAQIUABQAAAAIAIdO4kD2mEjyBQIAAPQDAAAOAAAAAAAAAAEAIAAAACcB&#10;AABkcnMvZTJvRG9jLnhtbFBLBQYAAAAABgAGAFkBAACeBQAAAAA=&#10;">
                      <v:fill on="f" focussize="0,0"/>
                      <v:stroke color="#000000" joinstyle="round" endarrow="block"/>
                      <v:imagedata o:title=""/>
                      <o:lock v:ext="edit" aspectratio="f"/>
                    </v:shape>
                  </w:pict>
                </mc:Fallback>
              </mc:AlternateContent>
            </w:r>
            <w:r>
              <w:rPr>
                <w:sz w:val="21"/>
              </w:rPr>
              <mc:AlternateContent>
                <mc:Choice Requires="wpg">
                  <w:drawing>
                    <wp:inline distT="0" distB="0" distL="114300" distR="114300">
                      <wp:extent cx="4769485" cy="2068195"/>
                      <wp:effectExtent l="0" t="0" r="12065" b="8255"/>
                      <wp:docPr id="1" name="组合 41"/>
                      <wp:cNvGraphicFramePr/>
                      <a:graphic xmlns:a="http://schemas.openxmlformats.org/drawingml/2006/main">
                        <a:graphicData uri="http://schemas.microsoft.com/office/word/2010/wordprocessingGroup">
                          <wpg:wgp>
                            <wpg:cNvGrpSpPr/>
                            <wpg:grpSpPr>
                              <a:xfrm rot="0">
                                <a:off x="1748790" y="938530"/>
                                <a:ext cx="4769332" cy="2068195"/>
                                <a:chOff x="8157" y="624409"/>
                                <a:chExt cx="7461" cy="3310"/>
                              </a:xfrm>
                            </wpg:grpSpPr>
                            <wpg:grpSp>
                              <wpg:cNvPr id="2" name="组合 284"/>
                              <wpg:cNvGrpSpPr/>
                              <wpg:grpSpPr>
                                <a:xfrm>
                                  <a:off x="8157" y="624409"/>
                                  <a:ext cx="7403" cy="3310"/>
                                  <a:chOff x="2279" y="3686"/>
                                  <a:chExt cx="7403" cy="3310"/>
                                </a:xfrm>
                              </wpg:grpSpPr>
                              <wps:wsp>
                                <wps:cNvPr id="4" name="矩形 53"/>
                                <wps:cNvSpPr/>
                                <wps:spPr>
                                  <a:xfrm>
                                    <a:off x="3596" y="4270"/>
                                    <a:ext cx="590" cy="313"/>
                                  </a:xfrm>
                                  <a:prstGeom prst="rect">
                                    <a:avLst/>
                                  </a:prstGeom>
                                  <a:solidFill>
                                    <a:srgbClr val="FFFFFF">
                                      <a:alpha val="0"/>
                                    </a:srgbClr>
                                  </a:solidFill>
                                  <a:ln>
                                    <a:noFill/>
                                  </a:ln>
                                </wps:spPr>
                                <wps:txbx>
                                  <w:txbxContent>
                                    <w:p w14:paraId="4449B998">
                                      <w:pPr>
                                        <w:pStyle w:val="46"/>
                                        <w:bidi w:val="0"/>
                                        <w:rPr>
                                          <w:rFonts w:hint="default"/>
                                          <w:lang w:val="en-US" w:eastAsia="zh-CN"/>
                                        </w:rPr>
                                      </w:pPr>
                                      <w:r>
                                        <w:rPr>
                                          <w:rFonts w:hint="eastAsia"/>
                                          <w:lang w:val="en-US" w:eastAsia="zh-CN"/>
                                        </w:rPr>
                                        <w:t>2.171</w:t>
                                      </w:r>
                                    </w:p>
                                  </w:txbxContent>
                                </wps:txbx>
                                <wps:bodyPr wrap="square" lIns="0" tIns="0" rIns="0" bIns="0" upright="1"/>
                              </wps:wsp>
                              <wps:wsp>
                                <wps:cNvPr id="6" name="矩形 54"/>
                                <wps:cNvSpPr/>
                                <wps:spPr>
                                  <a:xfrm>
                                    <a:off x="5579" y="4266"/>
                                    <a:ext cx="720" cy="328"/>
                                  </a:xfrm>
                                  <a:prstGeom prst="rect">
                                    <a:avLst/>
                                  </a:prstGeom>
                                  <a:solidFill>
                                    <a:srgbClr val="FFFFFF">
                                      <a:alpha val="0"/>
                                    </a:srgbClr>
                                  </a:solidFill>
                                  <a:ln>
                                    <a:noFill/>
                                  </a:ln>
                                </wps:spPr>
                                <wps:txbx>
                                  <w:txbxContent>
                                    <w:p w14:paraId="2B51765C">
                                      <w:pPr>
                                        <w:pStyle w:val="44"/>
                                        <w:bidi w:val="0"/>
                                        <w:ind w:left="0" w:leftChars="0" w:firstLine="0" w:firstLineChars="0"/>
                                        <w:jc w:val="both"/>
                                        <w:rPr>
                                          <w:rFonts w:hint="default"/>
                                          <w:lang w:val="en-US" w:eastAsia="zh-CN"/>
                                        </w:rPr>
                                      </w:pPr>
                                      <w:r>
                                        <w:rPr>
                                          <w:rFonts w:hint="eastAsia"/>
                                          <w:lang w:val="en-US" w:eastAsia="zh-CN"/>
                                        </w:rPr>
                                        <w:t>1.845</w:t>
                                      </w:r>
                                    </w:p>
                                  </w:txbxContent>
                                </wps:txbx>
                                <wps:bodyPr wrap="square" lIns="0" tIns="0" rIns="0" bIns="0" upright="1"/>
                              </wps:wsp>
                              <wps:wsp>
                                <wps:cNvPr id="7" name="自选图形 55"/>
                                <wps:cNvCnPr/>
                                <wps:spPr>
                                  <a:xfrm flipV="1">
                                    <a:off x="4605" y="3862"/>
                                    <a:ext cx="530" cy="418"/>
                                  </a:xfrm>
                                  <a:prstGeom prst="curvedConnector3">
                                    <a:avLst>
                                      <a:gd name="adj1" fmla="val 50000"/>
                                    </a:avLst>
                                  </a:prstGeom>
                                  <a:ln w="9525" cap="flat" cmpd="sng">
                                    <a:solidFill>
                                      <a:srgbClr val="000000"/>
                                    </a:solidFill>
                                    <a:prstDash val="dash"/>
                                    <a:headEnd type="none" w="med" len="med"/>
                                    <a:tailEnd type="triangle" w="med" len="med"/>
                                  </a:ln>
                                </wps:spPr>
                                <wps:bodyPr/>
                              </wps:wsp>
                              <wps:wsp>
                                <wps:cNvPr id="8" name="矩形 57"/>
                                <wps:cNvSpPr/>
                                <wps:spPr>
                                  <a:xfrm>
                                    <a:off x="2279" y="4666"/>
                                    <a:ext cx="1190" cy="808"/>
                                  </a:xfrm>
                                  <a:prstGeom prst="rect">
                                    <a:avLst/>
                                  </a:prstGeom>
                                  <a:solidFill>
                                    <a:srgbClr val="FFFFFF">
                                      <a:alpha val="0"/>
                                    </a:srgbClr>
                                  </a:solidFill>
                                  <a:ln>
                                    <a:noFill/>
                                  </a:ln>
                                </wps:spPr>
                                <wps:txbx>
                                  <w:txbxContent>
                                    <w:p w14:paraId="472C1932">
                                      <w:pPr>
                                        <w:pStyle w:val="46"/>
                                        <w:bidi w:val="0"/>
                                        <w:rPr>
                                          <w:rFonts w:hint="eastAsia"/>
                                        </w:rPr>
                                      </w:pPr>
                                      <w:r>
                                        <w:rPr>
                                          <w:rFonts w:hint="eastAsia"/>
                                        </w:rPr>
                                        <w:t>新鲜水</w:t>
                                      </w:r>
                                    </w:p>
                                    <w:p w14:paraId="3E4AC598">
                                      <w:pPr>
                                        <w:pStyle w:val="46"/>
                                        <w:bidi w:val="0"/>
                                        <w:rPr>
                                          <w:rFonts w:hint="default"/>
                                          <w:lang w:val="en-US" w:eastAsia="zh-CN"/>
                                        </w:rPr>
                                      </w:pPr>
                                      <w:r>
                                        <w:rPr>
                                          <w:rFonts w:hint="eastAsia"/>
                                          <w:lang w:val="en-US" w:eastAsia="zh-CN"/>
                                        </w:rPr>
                                        <w:t>2.318</w:t>
                                      </w:r>
                                    </w:p>
                                  </w:txbxContent>
                                </wps:txbx>
                                <wps:bodyPr wrap="square" lIns="0" tIns="0" rIns="0" bIns="0" upright="1"/>
                              </wps:wsp>
                              <wps:wsp>
                                <wps:cNvPr id="11" name="矩形 58"/>
                                <wps:cNvSpPr/>
                                <wps:spPr>
                                  <a:xfrm>
                                    <a:off x="4226" y="4285"/>
                                    <a:ext cx="1331" cy="46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1308E4">
                                      <w:pPr>
                                        <w:pStyle w:val="46"/>
                                        <w:bidi w:val="0"/>
                                      </w:pPr>
                                      <w:r>
                                        <w:rPr>
                                          <w:rFonts w:hint="eastAsia"/>
                                        </w:rPr>
                                        <w:t>员工生活</w:t>
                                      </w:r>
                                    </w:p>
                                  </w:txbxContent>
                                </wps:txbx>
                                <wps:bodyPr wrap="square" lIns="0" tIns="45720" rIns="0" bIns="45720" upright="1"/>
                              </wps:wsp>
                              <wps:wsp>
                                <wps:cNvPr id="19" name="矩形 60"/>
                                <wps:cNvSpPr/>
                                <wps:spPr>
                                  <a:xfrm>
                                    <a:off x="7781" y="4266"/>
                                    <a:ext cx="1901" cy="44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092ABAA">
                                      <w:pPr>
                                        <w:pStyle w:val="46"/>
                                        <w:bidi w:val="0"/>
                                      </w:pPr>
                                      <w:r>
                                        <w:t>八公山污水处理厂</w:t>
                                      </w:r>
                                    </w:p>
                                    <w:p w14:paraId="10E6A29D">
                                      <w:pPr>
                                        <w:pStyle w:val="44"/>
                                        <w:bidi w:val="0"/>
                                      </w:pPr>
                                      <w:r>
                                        <w:t>站</w:t>
                                      </w:r>
                                    </w:p>
                                  </w:txbxContent>
                                </wps:txbx>
                                <wps:bodyPr wrap="square" lIns="0" tIns="45720" rIns="0" bIns="45720" upright="1"/>
                              </wps:wsp>
                              <wps:wsp>
                                <wps:cNvPr id="20" name="自选图形 61"/>
                                <wps:cNvCnPr/>
                                <wps:spPr>
                                  <a:xfrm>
                                    <a:off x="3506" y="4502"/>
                                    <a:ext cx="720" cy="0"/>
                                  </a:xfrm>
                                  <a:prstGeom prst="straightConnector1">
                                    <a:avLst/>
                                  </a:prstGeom>
                                  <a:ln w="9525" cap="flat" cmpd="sng">
                                    <a:solidFill>
                                      <a:srgbClr val="000000"/>
                                    </a:solidFill>
                                    <a:prstDash val="solid"/>
                                    <a:headEnd type="none" w="med" len="med"/>
                                    <a:tailEnd type="triangle" w="med" len="med"/>
                                  </a:ln>
                                </wps:spPr>
                                <wps:bodyPr/>
                              </wps:wsp>
                              <wps:wsp>
                                <wps:cNvPr id="22" name="自选图形 62"/>
                                <wps:cNvCnPr/>
                                <wps:spPr>
                                  <a:xfrm>
                                    <a:off x="5557" y="4523"/>
                                    <a:ext cx="628" cy="1"/>
                                  </a:xfrm>
                                  <a:prstGeom prst="straightConnector1">
                                    <a:avLst/>
                                  </a:prstGeom>
                                  <a:ln w="9525" cap="flat" cmpd="sng">
                                    <a:solidFill>
                                      <a:srgbClr val="000000"/>
                                    </a:solidFill>
                                    <a:prstDash val="solid"/>
                                    <a:headEnd type="none" w="med" len="med"/>
                                    <a:tailEnd type="triangle" w="med" len="med"/>
                                  </a:ln>
                                </wps:spPr>
                                <wps:bodyPr/>
                              </wps:wsp>
                              <wps:wsp>
                                <wps:cNvPr id="24" name="自选图形 63"/>
                                <wps:cNvCnPr/>
                                <wps:spPr>
                                  <a:xfrm>
                                    <a:off x="6905" y="4501"/>
                                    <a:ext cx="861" cy="0"/>
                                  </a:xfrm>
                                  <a:prstGeom prst="straightConnector1">
                                    <a:avLst/>
                                  </a:prstGeom>
                                  <a:ln w="9525" cap="flat" cmpd="sng">
                                    <a:solidFill>
                                      <a:srgbClr val="000000"/>
                                    </a:solidFill>
                                    <a:prstDash val="solid"/>
                                    <a:headEnd type="none" w="med" len="med"/>
                                    <a:tailEnd type="triangle" w="med" len="med"/>
                                  </a:ln>
                                </wps:spPr>
                                <wps:bodyPr/>
                              </wps:wsp>
                              <wps:wsp>
                                <wps:cNvPr id="29" name="自选图形 69"/>
                                <wps:cNvCnPr/>
                                <wps:spPr>
                                  <a:xfrm>
                                    <a:off x="3506" y="4502"/>
                                    <a:ext cx="0" cy="2494"/>
                                  </a:xfrm>
                                  <a:prstGeom prst="straightConnector1">
                                    <a:avLst/>
                                  </a:prstGeom>
                                  <a:ln w="9525" cap="flat" cmpd="sng">
                                    <a:solidFill>
                                      <a:srgbClr val="000000"/>
                                    </a:solidFill>
                                    <a:prstDash val="solid"/>
                                    <a:headEnd type="none" w="med" len="med"/>
                                    <a:tailEnd type="none" w="med" len="med"/>
                                  </a:ln>
                                </wps:spPr>
                                <wps:bodyPr/>
                              </wps:wsp>
                              <wps:wsp>
                                <wps:cNvPr id="30" name="自选图形 70"/>
                                <wps:cNvCnPr/>
                                <wps:spPr>
                                  <a:xfrm flipH="1">
                                    <a:off x="2546" y="4945"/>
                                    <a:ext cx="960" cy="0"/>
                                  </a:xfrm>
                                  <a:prstGeom prst="straightConnector1">
                                    <a:avLst/>
                                  </a:prstGeom>
                                  <a:ln w="9525" cap="flat" cmpd="sng">
                                    <a:solidFill>
                                      <a:srgbClr val="000000"/>
                                    </a:solidFill>
                                    <a:prstDash val="solid"/>
                                    <a:headEnd type="none" w="med" len="med"/>
                                    <a:tailEnd type="none" w="med" len="med"/>
                                  </a:ln>
                                </wps:spPr>
                                <wps:bodyPr/>
                              </wps:wsp>
                              <wps:wsp>
                                <wps:cNvPr id="31" name="矩形 88"/>
                                <wps:cNvSpPr/>
                                <wps:spPr>
                                  <a:xfrm>
                                    <a:off x="4852" y="3686"/>
                                    <a:ext cx="873" cy="328"/>
                                  </a:xfrm>
                                  <a:prstGeom prst="rect">
                                    <a:avLst/>
                                  </a:prstGeom>
                                  <a:solidFill>
                                    <a:srgbClr val="FFFFFF">
                                      <a:alpha val="0"/>
                                    </a:srgbClr>
                                  </a:solidFill>
                                  <a:ln>
                                    <a:noFill/>
                                  </a:ln>
                                </wps:spPr>
                                <wps:txbx>
                                  <w:txbxContent>
                                    <w:p w14:paraId="6C36D1BB">
                                      <w:pPr>
                                        <w:pStyle w:val="46"/>
                                        <w:bidi w:val="0"/>
                                        <w:rPr>
                                          <w:rFonts w:hint="default"/>
                                          <w:lang w:val="en-US" w:eastAsia="zh-CN"/>
                                        </w:rPr>
                                      </w:pPr>
                                      <w:r>
                                        <w:rPr>
                                          <w:rFonts w:hint="eastAsia"/>
                                          <w:lang w:val="en-US" w:eastAsia="zh-CN"/>
                                        </w:rPr>
                                        <w:t>0.326</w:t>
                                      </w:r>
                                    </w:p>
                                  </w:txbxContent>
                                </wps:txbx>
                                <wps:bodyPr wrap="square" lIns="0" tIns="0" rIns="0" bIns="0" upright="1"/>
                              </wps:wsp>
                              <wps:wsp>
                                <wps:cNvPr id="32" name="矩形 89"/>
                                <wps:cNvSpPr/>
                                <wps:spPr>
                                  <a:xfrm>
                                    <a:off x="6185" y="4285"/>
                                    <a:ext cx="888" cy="46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86D2540">
                                      <w:pPr>
                                        <w:pStyle w:val="46"/>
                                        <w:bidi w:val="0"/>
                                      </w:pPr>
                                      <w:r>
                                        <w:rPr>
                                          <w:rFonts w:hint="eastAsia"/>
                                        </w:rPr>
                                        <w:t>化粪池</w:t>
                                      </w:r>
                                    </w:p>
                                  </w:txbxContent>
                                </wps:txbx>
                                <wps:bodyPr wrap="square" lIns="0" tIns="45720" rIns="0" bIns="45720" upright="1"/>
                              </wps:wsp>
                              <wps:wsp>
                                <wps:cNvPr id="33" name="矩形 90"/>
                                <wps:cNvSpPr/>
                                <wps:spPr>
                                  <a:xfrm>
                                    <a:off x="7045" y="4154"/>
                                    <a:ext cx="754" cy="378"/>
                                  </a:xfrm>
                                  <a:prstGeom prst="rect">
                                    <a:avLst/>
                                  </a:prstGeom>
                                  <a:solidFill>
                                    <a:srgbClr val="FFFFFF">
                                      <a:alpha val="0"/>
                                    </a:srgbClr>
                                  </a:solidFill>
                                  <a:ln>
                                    <a:noFill/>
                                  </a:ln>
                                </wps:spPr>
                                <wps:txbx>
                                  <w:txbxContent>
                                    <w:p w14:paraId="044FDAE3">
                                      <w:pPr>
                                        <w:pStyle w:val="46"/>
                                        <w:bidi w:val="0"/>
                                        <w:rPr>
                                          <w:rFonts w:hint="default"/>
                                          <w:lang w:val="en-US" w:eastAsia="zh-CN"/>
                                        </w:rPr>
                                      </w:pPr>
                                      <w:r>
                                        <w:rPr>
                                          <w:rFonts w:hint="eastAsia"/>
                                          <w:lang w:val="en-US" w:eastAsia="zh-CN"/>
                                        </w:rPr>
                                        <w:t>1.845</w:t>
                                      </w:r>
                                    </w:p>
                                  </w:txbxContent>
                                </wps:txbx>
                                <wps:bodyPr wrap="square" lIns="0" tIns="0" rIns="0" bIns="0" upright="1"/>
                              </wps:wsp>
                            </wpg:grpSp>
                            <wps:wsp>
                              <wps:cNvPr id="38" name="矩形 100"/>
                              <wps:cNvSpPr/>
                              <wps:spPr>
                                <a:xfrm>
                                  <a:off x="14921" y="624725"/>
                                  <a:ext cx="697" cy="313"/>
                                </a:xfrm>
                                <a:prstGeom prst="rect">
                                  <a:avLst/>
                                </a:prstGeom>
                                <a:solidFill>
                                  <a:srgbClr val="FFFFFF">
                                    <a:alpha val="0"/>
                                  </a:srgbClr>
                                </a:solidFill>
                                <a:ln>
                                  <a:noFill/>
                                </a:ln>
                              </wps:spPr>
                              <wps:txbx>
                                <w:txbxContent>
                                  <w:p w14:paraId="5B03A53D">
                                    <w:pPr>
                                      <w:pStyle w:val="44"/>
                                      <w:bidi w:val="0"/>
                                      <w:rPr>
                                        <w:rFonts w:hint="default"/>
                                        <w:lang w:val="en-US" w:eastAsia="zh-CN"/>
                                      </w:rPr>
                                    </w:pPr>
                                  </w:p>
                                </w:txbxContent>
                              </wps:txbx>
                              <wps:bodyPr wrap="square" lIns="0" tIns="0" rIns="0" bIns="0" upright="1"/>
                            </wps:wsp>
                          </wpg:wgp>
                        </a:graphicData>
                      </a:graphic>
                    </wp:inline>
                  </w:drawing>
                </mc:Choice>
                <mc:Fallback>
                  <w:pict>
                    <v:group id="组合 41" o:spid="_x0000_s1026" o:spt="203" style="height:162.85pt;width:375.55pt;" coordorigin="8157,624409" coordsize="7461,3310" o:gfxdata="UEsDBAoAAAAAAIdO4kAAAAAAAAAAAAAAAAAEAAAAZHJzL1BLAwQUAAAACACHTuJARed8WdYAAAAF&#10;AQAADwAAAGRycy9kb3ducmV2LnhtbE2PQWvCQBCF74X+h2UK3upmldSSZiNFWk9SqBZKb2N2TILZ&#10;2ZBdE/33Xb20l4HHe7z3Tb4821YM1PvGsQY1TUAQl840XGn42r0/PoPwAdlg65g0XMjDsri/yzEz&#10;buRPGrahErGEfYYa6hC6TEpf1mTRT11HHL2D6y2GKPtKmh7HWG5bOUuSJ2mx4bhQY0ermsrj9mQ1&#10;rEccX+fqbdgcD6vLzy79+N4o0nryoJIXEIHO4S8MV/yIDkVk2rsTGy9aDfGRcLvRW6RKgdhrmM/S&#10;Bcgil//pi19QSwMEFAAAAAgAh07iQIREaxabBQAAoiMAAA4AAABkcnMvZTJvRG9jLnhtbO1ay47j&#10;RBTdI/EPlvdM7PLb6vQsuqcbJAQjDbCvtsuOkV9UOZ30jgXSwI49CyR28AsI/qYF/AW3Xk7sTibp&#10;Rp1mZpJFVLbL9bj33HMf5ZPny6o0rgllRVNPTfuZZRqkTpq0qPOp+eUXFx+FpsE6XKe4bGoyNW8I&#10;M5+ffvjByaKNCWpmTZkSasAgNYsX7dScdV0bTyYsmZEKs2dNS2p4mDW0wh1c0nySUryA0atygizL&#10;nywamra0SQhjcPdcPjTViHSfAZssKxJy3iTzitSdHJWSEnewJTYrWmaeitVmGUm6z7OMkc4opybs&#10;tBP/MAm0r/j/5PQExznF7axI1BLwPksY7anCRQ2T9kOd4w4bc1rcGaoqEtqwJuueJU01kRsREoFd&#10;2NZINpe0mbdiL3m8yNte6KCokdQfPGzy2fVLahQpIME0alyBwv/6/bvbH783XJsLZ9HmMfS5pO2r&#10;9iVVN3J5xfe7zGhl0EbIlV/DjowlDBa4YRCBkG+mZuSEnqMkTZadkcBzN/Ajx0GmkUAHZPmhHXlS&#10;F8kMFMaHCG0vEO/7yHWtSD99oUYIXB9WzF93HFuMPpGrOT2Z8EX3a+wvHld8sJeB+FDo7iu/Nblt&#10;3LQWWuBaznDLOO7FhVAQCXE5fujfFdb4za3CAqNmK6Sx/4a0VzPcEgFgxlGkkOb2ovr519s/fjE8&#10;R0pK9OlhxmIGiNMYW5OR40W+2KmLghGsPA45gQlbjNnvEsctZd0laSqDN6YmBWYQBouvP2Ud4Bq6&#10;6i58LtaURXpRlKW4oPnVWUmNawwsciF+8t2ynWF5VyOQya5ivMEYZc1Hqhs+ppyO3wGo6n3yVre8&#10;WgobY/FVk96AvBZATVOTfTPHlJhG+UkNGuE8phtUN650Y97SIp/BFoX9iglAo9ySD6BaUIyyAqVa&#10;ZQR7qtbzFIhd5CsQ9+BHWrUo5HA5qvbAqgUylqr9+/Vv/3z7w+1PfwrbFbTNsQX2fVYrF6ExrfxD&#10;VhbtVxyQa1bs+pYn+Sr0keQrrWruLYQVu/YOVSdzek3Ss6auwZwb6qwsms+Up2rFOP0afEVWleDa&#10;wYYNz4KfApGw/zvmX9bGAjyXh2CNCbfADKILaFYteEpW52KigX0rw1dswCfQMwy6cY45x2wm+6XQ&#10;knufEZy+qFOju2nBBdcQeZl8BRVJweoJBGq8BbDHcYeLctWzowWu83JLbzCSDSwjqYXbkOKEA5ED&#10;BJZDcgj4jhR2dvN+7+Fcf0wOtq2JP7R2QOZI/I/i0+1V+KiYX+hhb+W6CGmnHqpIUNOBDQGe4gPJ&#10;FI9I/dKxDCz2QFQg5pQWXhUdocLWH8oK2/ljMyPcM+5wvYB741Hsoe4+afxhQww84BhfsPDeMAyC&#10;ELAGScXdAAQoRsPQFQg9wnCXc3pvYcitY0OwBBnryuFtCZbWQiTHsxQnetYoRBL2xxMdHWTwPJy/&#10;qnMYleawjmKeDfQhkozBtiQ9h6e6hxLc2xT2oL40MIicpS9TzLQbDB7kRpKZPCRyWxxrB+lDRiTi&#10;ZZnx6TLIEQwiYt7s8Z4qBkZ98WMIhvUSyG4w+JFKnlwPnJIIFTQYQl0WOzLDhvTpfwaGPloZgkEU&#10;O/dmhje4CZVHIzcSdZjtEcu76ifuG4E8FS3wiseGgEHWN9+MBINXVz4eVVeQ56rQIZLB6spbRBAS&#10;C2/xnhLEWwOJcUYd3jOjDj0IPPj5SH8g0PuIQJ8jHGupT1Im5ydfgzQ1XKf83aUw34YiiUxTx9WS&#10;EGAii6fHYsl+JdT7EsI7UyxxgAUGKIQi6io/3Y3CwALfIlBoeyK+WDmZAG4IFDrBsR47OoiDqrs6&#10;nj5Q3d0ZF95teTaxd1XMdiMky2JwFh/Amcgg4/AjSEyPh64bD12FruHTDXHApD4z4d+GrF+Lc5jV&#10;pzWn/w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AKCAAAW0NvbnRlbnRfVHlwZXNdLnhtbFBLAQIUAAoAAAAAAIdO4kAAAAAAAAAAAAAAAAAGAAAA&#10;AAAAAAAAEAAAAOwGAABfcmVscy9QSwECFAAUAAAACACHTuJAihRmPNEAAACUAQAACwAAAAAAAAAB&#10;ACAAAAAQBwAAX3JlbHMvLnJlbHNQSwECFAAKAAAAAACHTuJAAAAAAAAAAAAAAAAABAAAAAAAAAAA&#10;ABAAAAAAAAAAZHJzL1BLAQIUABQAAAAIAIdO4kBF53xZ1gAAAAUBAAAPAAAAAAAAAAEAIAAAACIA&#10;AABkcnMvZG93bnJldi54bWxQSwECFAAUAAAACACHTuJAhERrFpsFAACiIwAADgAAAAAAAAABACAA&#10;AAAlAQAAZHJzL2Uyb0RvYy54bWxQSwUGAAAAAAYABgBZAQAAMgkAAAAA&#10;">
                      <o:lock v:ext="edit" aspectratio="f"/>
                      <v:group id="组合 284" o:spid="_x0000_s1026" o:spt="203" style="position:absolute;left:8157;top:624409;height:3310;width:7403;" coordorigin="2279,3686" coordsize="7403,3310" o:gfxdata="UEsDBAoAAAAAAIdO4kAAAAAAAAAAAAAAAAAEAAAAZHJzL1BLAwQUAAAACACHTuJA+xvRD7sAAADa&#10;AAAADwAAAGRycy9kb3ducmV2LnhtbEWPQYvCMBSE7wv+h/AEb2taxUWqUURUPIiwKoi3R/Nsi81L&#10;aWKr/94IgsdhZr5hpvOHKUVDtSssK4j7EQji1OqCMwWn4/p3DMJ5ZI2lZVLwJAfzWedniom2Lf9T&#10;c/CZCBB2CSrIva8SKV2ak0HXtxVx8K62NuiDrDOpa2wD3JRyEEV/0mDBYSHHipY5pbfD3SjYtNgu&#10;hvGq2d2uy+flONqfdzEp1evG0QSEp4f/hj/trVYwgP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sb0Q+7AAAA2gAAAA8AAAAAAAAAAQAgAAAAIgAAAGRycy9kb3ducmV2LnhtbFBL&#10;AQIUABQAAAAIAIdO4kAzLwWeOwAAADkAAAAVAAAAAAAAAAEAIAAAAAoBAABkcnMvZ3JvdXBzaGFw&#10;ZXhtbC54bWxQSwUGAAAAAAYABgBgAQAAxwMAAAAA&#10;">
                        <o:lock v:ext="edit" aspectratio="f"/>
                        <v:rect id="矩形 53" o:spid="_x0000_s1026" o:spt="1" style="position:absolute;left:3596;top:4270;height:313;width:590;" fillcolor="#FFFFFF" filled="t" stroked="f" coordsize="21600,21600" o:gfxdata="UEsDBAoAAAAAAIdO4kAAAAAAAAAAAAAAAAAEAAAAZHJzL1BLAwQUAAAACACHTuJAn4a5w7sAAADa&#10;AAAADwAAAGRycy9kb3ducmV2LnhtbEWPQWvCQBSE7wX/w/KE3pqNIo2kWT0IgqIUGu39kX0mwezb&#10;sLsm8d93C4Ueh5n5him2k+nEQM63lhUskhQEcWV1y7WC62X/tgbhA7LGzjIpeJKH7Wb2UmCu7chf&#10;NJShFhHCPkcFTQh9LqWvGjLoE9sTR+9mncEQpauldjhGuOnkMk3fpcGW40KDPe0aqu7lwyjIqtJ9&#10;j+f9KisPn+fQcXbcPU9Kvc4X6QeIQFP4D/+1D1rBCn6vxBsgN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4a5w7sAAADa&#10;AAAADwAAAAAAAAABACAAAAAiAAAAZHJzL2Rvd25yZXYueG1sUEsBAhQAFAAAAAgAh07iQDMvBZ47&#10;AAAAOQAAABAAAAAAAAAAAQAgAAAACgEAAGRycy9zaGFwZXhtbC54bWxQSwUGAAAAAAYABgBbAQAA&#10;tAMAAAAA&#10;">
                          <v:fill on="t" opacity="0f" focussize="0,0"/>
                          <v:stroke on="f"/>
                          <v:imagedata o:title=""/>
                          <o:lock v:ext="edit" aspectratio="f"/>
                          <v:textbox inset="0mm,0mm,0mm,0mm">
                            <w:txbxContent>
                              <w:p w14:paraId="4449B998">
                                <w:pPr>
                                  <w:pStyle w:val="46"/>
                                  <w:bidi w:val="0"/>
                                  <w:rPr>
                                    <w:rFonts w:hint="default"/>
                                    <w:lang w:val="en-US" w:eastAsia="zh-CN"/>
                                  </w:rPr>
                                </w:pPr>
                                <w:r>
                                  <w:rPr>
                                    <w:rFonts w:hint="eastAsia"/>
                                    <w:lang w:val="en-US" w:eastAsia="zh-CN"/>
                                  </w:rPr>
                                  <w:t>2.171</w:t>
                                </w:r>
                              </w:p>
                            </w:txbxContent>
                          </v:textbox>
                        </v:rect>
                        <v:rect id="矩形 54" o:spid="_x0000_s1026" o:spt="1" style="position:absolute;left:5579;top:4266;height:328;width:720;" fillcolor="#FFFFFF" filled="t" stroked="f" coordsize="21600,21600" o:gfxdata="UEsDBAoAAAAAAIdO4kAAAAAAAAAAAAAAAAAEAAAAZHJzL1BLAwQUAAAACACHTuJAABiCL7wAAADa&#10;AAAADwAAAGRycy9kb3ducmV2LnhtbEWPT2vCQBTE7wW/w/KE3upGKUaiqwdBsDQUGvX+yD6TYPZt&#10;2F3z59t3C4Ueh5n5DbM7jKYVPTnfWFawXCQgiEurG64UXC+ntw0IH5A1tpZJwUQeDvvZyw4zbQf+&#10;pr4IlYgQ9hkqqEPoMil9WZNBv7AdcfTu1hkMUbpKaodDhJtWrpJkLQ02HBdq7OhYU/konkZBWhbu&#10;NuSn97Q4f+Wh5fTjOH0q9TpfJlsQgcbwH/5rn7WCNfxeiTdA7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Ygi+8AAAA&#10;2gAAAA8AAAAAAAAAAQAgAAAAIgAAAGRycy9kb3ducmV2LnhtbFBLAQIUABQAAAAIAIdO4kAzLwWe&#10;OwAAADkAAAAQAAAAAAAAAAEAIAAAAAsBAABkcnMvc2hhcGV4bWwueG1sUEsFBgAAAAAGAAYAWwEA&#10;ALUDAAAAAA==&#10;">
                          <v:fill on="t" opacity="0f" focussize="0,0"/>
                          <v:stroke on="f"/>
                          <v:imagedata o:title=""/>
                          <o:lock v:ext="edit" aspectratio="f"/>
                          <v:textbox inset="0mm,0mm,0mm,0mm">
                            <w:txbxContent>
                              <w:p w14:paraId="2B51765C">
                                <w:pPr>
                                  <w:pStyle w:val="44"/>
                                  <w:bidi w:val="0"/>
                                  <w:ind w:left="0" w:leftChars="0" w:firstLine="0" w:firstLineChars="0"/>
                                  <w:jc w:val="both"/>
                                  <w:rPr>
                                    <w:rFonts w:hint="default"/>
                                    <w:lang w:val="en-US" w:eastAsia="zh-CN"/>
                                  </w:rPr>
                                </w:pPr>
                                <w:r>
                                  <w:rPr>
                                    <w:rFonts w:hint="eastAsia"/>
                                    <w:lang w:val="en-US" w:eastAsia="zh-CN"/>
                                  </w:rPr>
                                  <w:t>1.845</w:t>
                                </w:r>
                              </w:p>
                            </w:txbxContent>
                          </v:textbox>
                        </v:rect>
                        <v:shape id="自选图形 55" o:spid="_x0000_s1026" o:spt="38" type="#_x0000_t38" style="position:absolute;left:4605;top:3862;flip:y;height:418;width:530;" filled="f" stroked="t" coordsize="21600,21600" o:gfxdata="UEsDBAoAAAAAAIdO4kAAAAAAAAAAAAAAAAAEAAAAZHJzL1BLAwQUAAAACACHTuJAn4KBK70AAADa&#10;AAAADwAAAGRycy9kb3ducmV2LnhtbEWPzWrDMBCE74G+g9hCLqGRnUNTXMs5GArxIYe4heS4WBvb&#10;1FoZSXV+nj4qBHIcZuYbJt9czCAmcr63rCBdJiCIG6t7bhX8fH+9fYDwAVnjYJkUXMnDpniZ5Zhp&#10;e+Y9TXVoRYSwz1BBF8KYSembjgz6pR2Jo3eyzmCI0rVSOzxHuBnkKknepcGe40KHI5UdNb/1n1HA&#10;p0O5cNRgdStrWh+nfrWrrkrNX9PkE0SgS3iGH+2tVrCG/yvxBsji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goErvQAA&#10;ANoAAAAPAAAAAAAAAAEAIAAAACIAAABkcnMvZG93bnJldi54bWxQSwECFAAUAAAACACHTuJAMy8F&#10;njsAAAA5AAAAEAAAAAAAAAABACAAAAAMAQAAZHJzL3NoYXBleG1sLnhtbFBLBQYAAAAABgAGAFsB&#10;AAC2AwAAAAA=&#10;" adj="10800">
                          <v:fill on="f" focussize="0,0"/>
                          <v:stroke color="#000000" joinstyle="round" dashstyle="dash" endarrow="block"/>
                          <v:imagedata o:title=""/>
                          <o:lock v:ext="edit" aspectratio="f"/>
                        </v:shape>
                        <v:rect id="矩形 57" o:spid="_x0000_s1026" o:spt="1" style="position:absolute;left:2279;top:4666;height:808;width:1190;" fillcolor="#FFFFFF" filled="t" stroked="f" coordsize="21600,21600" o:gfxdata="UEsDBAoAAAAAAIdO4kAAAAAAAAAAAAAAAAAEAAAAZHJzL1BLAwQUAAAACACHTuJAHsuzxrcAAADa&#10;AAAADwAAAGRycy9kb3ducmV2LnhtbEVPTYvCMBC9C/6HMII3mypipRo9CIKiCFa9D81sW7aZlCRa&#10;/febw4LHx/teb9+mFS9yvrGsYJqkIIhLqxuuFNxv+8kShA/IGlvLpOBDHrab4WCNubY9X+lVhErE&#10;EPY5KqhD6HIpfVmTQZ/YjjhyP9YZDBG6SmqHfQw3rZyl6UIabDg21NjRrqbyt3gaBVlZuEd/3s+z&#10;4nA5h5az4+5zUmo8mqYrEIHe4Sv+dx+0grg1Xok3QG7+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ey7PGtwAAANoAAAAP&#10;AAAAAAAAAAEAIAAAACIAAABkcnMvZG93bnJldi54bWxQSwECFAAUAAAACACHTuJAMy8FnjsAAAA5&#10;AAAAEAAAAAAAAAABACAAAAAGAQAAZHJzL3NoYXBleG1sLnhtbFBLBQYAAAAABgAGAFsBAACwAwAA&#10;AAA=&#10;">
                          <v:fill on="t" opacity="0f" focussize="0,0"/>
                          <v:stroke on="f"/>
                          <v:imagedata o:title=""/>
                          <o:lock v:ext="edit" aspectratio="f"/>
                          <v:textbox inset="0mm,0mm,0mm,0mm">
                            <w:txbxContent>
                              <w:p w14:paraId="472C1932">
                                <w:pPr>
                                  <w:pStyle w:val="46"/>
                                  <w:bidi w:val="0"/>
                                  <w:rPr>
                                    <w:rFonts w:hint="eastAsia"/>
                                  </w:rPr>
                                </w:pPr>
                                <w:r>
                                  <w:rPr>
                                    <w:rFonts w:hint="eastAsia"/>
                                  </w:rPr>
                                  <w:t>新鲜水</w:t>
                                </w:r>
                              </w:p>
                              <w:p w14:paraId="3E4AC598">
                                <w:pPr>
                                  <w:pStyle w:val="46"/>
                                  <w:bidi w:val="0"/>
                                  <w:rPr>
                                    <w:rFonts w:hint="default"/>
                                    <w:lang w:val="en-US" w:eastAsia="zh-CN"/>
                                  </w:rPr>
                                </w:pPr>
                                <w:r>
                                  <w:rPr>
                                    <w:rFonts w:hint="eastAsia"/>
                                    <w:lang w:val="en-US" w:eastAsia="zh-CN"/>
                                  </w:rPr>
                                  <w:t>2.318</w:t>
                                </w:r>
                              </w:p>
                            </w:txbxContent>
                          </v:textbox>
                        </v:rect>
                        <v:rect id="矩形 58" o:spid="_x0000_s1026" o:spt="1" style="position:absolute;left:4226;top:4285;height:462;width:1331;" fillcolor="#FFFFFF" filled="t" stroked="t" coordsize="21600,21600" o:gfxdata="UEsDBAoAAAAAAIdO4kAAAAAAAAAAAAAAAAAEAAAAZHJzL1BLAwQUAAAACACHTuJAHBTDArcAAADb&#10;AAAADwAAAGRycy9kb3ducmV2LnhtbEVPzYrCMBC+C75DGMGbpt2DSDV6EERx9WD1AYZmbIrNpCSx&#10;6tsbYWFv8/H9znL9sq3oyYfGsYJ8moEgrpxuuFZwvWwncxAhImtsHZOCNwVYr4aDJRbaPflMfRlr&#10;kUI4FKjAxNgVUobKkMUwdR1x4m7OW4wJ+lpqj88Ublv5k2UzabHh1GCwo42h6l4+rIKqt/OdP/Hv&#10;9tA9ru5gjrrMj0qNR3m2ABHpFf/Ff+69TvNz+P6SDpCrD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cFMMCtwAAANsAAAAP&#10;AAAAAAAAAAEAIAAAACIAAABkcnMvZG93bnJldi54bWxQSwECFAAUAAAACACHTuJAMy8FnjsAAAA5&#10;AAAAEAAAAAAAAAABACAAAAAGAQAAZHJzL3NoYXBleG1sLnhtbFBLBQYAAAAABgAGAFsBAACwAwAA&#10;AAA=&#10;">
                          <v:fill on="t" focussize="0,0"/>
                          <v:stroke color="#000000" joinstyle="miter"/>
                          <v:imagedata o:title=""/>
                          <o:lock v:ext="edit" aspectratio="f"/>
                          <v:textbox inset="0mm,1.27mm,0mm,1.27mm">
                            <w:txbxContent>
                              <w:p w14:paraId="191308E4">
                                <w:pPr>
                                  <w:pStyle w:val="46"/>
                                  <w:bidi w:val="0"/>
                                </w:pPr>
                                <w:r>
                                  <w:rPr>
                                    <w:rFonts w:hint="eastAsia"/>
                                  </w:rPr>
                                  <w:t>员工生活</w:t>
                                </w:r>
                              </w:p>
                            </w:txbxContent>
                          </v:textbox>
                        </v:rect>
                        <v:rect id="矩形 60" o:spid="_x0000_s1026" o:spt="1" style="position:absolute;left:7781;top:4266;height:445;width:1901;" fillcolor="#FFFFFF" filled="t" stroked="t" coordsize="21600,21600" o:gfxdata="UEsDBAoAAAAAAIdO4kAAAAAAAAAAAAAAAAAEAAAAZHJzL1BLAwQUAAAACACHTuJA4mLPBLoAAADb&#10;AAAADwAAAGRycy9kb3ducmV2LnhtbEVPS2rDMBDdF3IHMYHuGtldhNSNkkXBJCTuok4OMFhTy9Qa&#10;GUl23NtXgUB383jf2e5n24uJfOgcK8hXGQjixumOWwXXS/myAREissbeMSn4pQD73eJpi4V2N/6i&#10;qY6tSCEcClRgYhwKKUNjyGJYuYE4cd/OW4wJ+lZqj7cUbnv5mmVrabHj1GBwoA9DzU89WgXNZDcH&#10;/8nn8jSMV3cyla7zSqnnZZ69g4g0x3/xw33Uaf4b3H9JB8jd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iYs8EugAAANs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inset="0mm,1.27mm,0mm,1.27mm">
                            <w:txbxContent>
                              <w:p w14:paraId="0092ABAA">
                                <w:pPr>
                                  <w:pStyle w:val="46"/>
                                  <w:bidi w:val="0"/>
                                </w:pPr>
                                <w:r>
                                  <w:t>八公山污水处理厂</w:t>
                                </w:r>
                              </w:p>
                              <w:p w14:paraId="10E6A29D">
                                <w:pPr>
                                  <w:pStyle w:val="44"/>
                                  <w:bidi w:val="0"/>
                                </w:pPr>
                                <w:r>
                                  <w:t>站</w:t>
                                </w:r>
                              </w:p>
                            </w:txbxContent>
                          </v:textbox>
                        </v:rect>
                        <v:shape id="自选图形 61" o:spid="_x0000_s1026" o:spt="32" type="#_x0000_t32" style="position:absolute;left:3506;top:4502;height:0;width:720;" filled="f" stroked="t" coordsize="21600,21600" o:gfxdata="UEsDBAoAAAAAAIdO4kAAAAAAAAAAAAAAAAAEAAAAZHJzL1BLAwQUAAAACACHTuJA0eAjR7sAAADb&#10;AAAADwAAAGRycy9kb3ducmV2LnhtbEVPz2vCMBS+C/sfwhvsZlM9lK0aBSdjvWyglbHjo3k2weal&#10;NFmr++uXg7Djx/d7vb26Tow0BOtZwSLLQRA3XltuFZzqt/kziBCRNXaeScGNAmw3D7M1ltpPfKDx&#10;GFuRQjiUqMDE2JdShsaQw5D5njhxZz84jAkOrdQDTincdXKZ54V0aDk1GOzp1VBzOf44BXH/fTPF&#10;V7N7sZ/1+0dhf6uq2iv19LjIVyAiXeO/+O6utIJlWp++pB8gN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eAjR7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shape>
                        <v:shape id="自选图形 62" o:spid="_x0000_s1026" o:spt="32" type="#_x0000_t32" style="position:absolute;left:5557;top:4523;height:1;width:628;" filled="f" stroked="t" coordsize="21600,21600" o:gfxdata="UEsDBAoAAAAAAIdO4kAAAAAAAAAAAAAAAAAEAAAAZHJzL1BLAwQUAAAACACHTuJATn4Yq70AAADb&#10;AAAADwAAAGRycy9kb3ducmV2LnhtbEWPT2sCMRTE7wW/Q3hCbzXrHha7GgUV6V4sVEvx+Ng8N8HN&#10;y7KJfz99IxR6HGbmN8xscXOtuFAfrGcF41EGgrj22nKj4Hu/eZuACBFZY+uZFNwpwGI+eJlhqf2V&#10;v+iyi41IEA4lKjAxdqWUoTbkMIx8R5y8o+8dxiT7RuoerwnuWplnWSEdWk4LBjtaGapPu7NTENeH&#10;uyl+6uW7/dx/bAv7qKpqrdTrcJxNQUS6xf/wX7vSCvIcnl/SD5Dz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fhirvQAA&#10;ANs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自选图形 63" o:spid="_x0000_s1026" o:spt="32" type="#_x0000_t32" style="position:absolute;left:6905;top:4501;height:0;width:861;" filled="f" stroked="t" coordsize="21600,21600" o:gfxdata="UEsDBAoAAAAAAIdO4kAAAAAAAAAAAAAAAAAEAAAAZHJzL1BLAwQUAAAACACHTuJArtslRL4AAADb&#10;AAAADwAAAGRycy9kb3ducmV2LnhtbEWPW2sCMRSE3wv+h3CEvtWsUhZdjUIV6b5Y8ELp42Fz3IRu&#10;TpZN6u3XN4Lg4zAz3zCzxcU14kRdsJ4VDAcZCOLKa8u1gsN+/TYGESKyxsYzKbhSgMW89zLDQvsz&#10;b+m0i7VIEA4FKjAxtoWUoTLkMAx8S5y8o+8cxiS7WuoOzwnuGjnKslw6tJwWDLa0NFT97v6cgrj6&#10;uZr8u/qY2K/95ya3t7IsV0q99ofZFESkS3yGH+1SKxi9w/1L+gFy/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tslRL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自选图形 69" o:spid="_x0000_s1026" o:spt="32" type="#_x0000_t32" style="position:absolute;left:3506;top:4502;height:2494;width:0;" filled="f" stroked="t" coordsize="21600,21600" o:gfxdata="UEsDBAoAAAAAAIdO4kAAAAAAAAAAAAAAAAAEAAAAZHJzL1BLAwQUAAAACACHTuJAEx61QL0AAADb&#10;AAAADwAAAGRycy9kb3ducmV2LnhtbEWPQWvCQBSE7wX/w/KEXoruJtCi0VVKQbDHRsHrI/tMotm3&#10;IbsmaX59t1DocZiZb5jtfrSN6KnztWMNyVKBIC6cqbnUcD4dFisQPiAbbByThm/ysN/NnraYGTfw&#10;F/V5KEWEsM9QQxVCm0npi4os+qVriaN3dZ3FEGVXStPhEOG2kalSb9JizXGhwpY+Kiru+cNqIP94&#10;TdT72pbnz2l4uaTTbWhPWj/PE7UBEWgM/+G/9tFoSNfw+yX+ALn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THrVA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自选图形 70" o:spid="_x0000_s1026" o:spt="32" type="#_x0000_t32" style="position:absolute;left:2546;top:4945;flip:x;height:0;width:960;" filled="f" stroked="t" coordsize="21600,21600" o:gfxdata="UEsDBAoAAAAAAIdO4kAAAAAAAAAAAAAAAAAEAAAAZHJzL1BLAwQUAAAACACHTuJAy98sibgAAADb&#10;AAAADwAAAGRycy9kb3ducmV2LnhtbEVPy4rCMBTdC/5DuII7TX2gpWN0ISgupOBrf2nutJ1pbmoT&#10;W/17sxBcHs57tXmaSrTUuNKygsk4AkGcWV1yruB62Y1iEM4ja6wsk4IXOdis+70VJtp2fKL27HMR&#10;QtglqKDwvk6kdFlBBt3Y1sSB+7WNQR9gk0vdYBfCTSWnUbSQBksODQXWtC0o+z8/jII7L1+3uWzj&#10;vzT1i/3hmDOlnVLDwST6AeHp6b/ij/ugFczC+vAl/AC5f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98sibgAAADbAAAA&#10;DwAAAAAAAAABACAAAAAiAAAAZHJzL2Rvd25yZXYueG1sUEsBAhQAFAAAAAgAh07iQDMvBZ47AAAA&#10;OQAAABAAAAAAAAAAAQAgAAAABwEAAGRycy9zaGFwZXhtbC54bWxQSwUGAAAAAAYABgBbAQAAsQMA&#10;AAAA&#10;">
                          <v:fill on="f" focussize="0,0"/>
                          <v:stroke color="#000000" joinstyle="round"/>
                          <v:imagedata o:title=""/>
                          <o:lock v:ext="edit" aspectratio="f"/>
                        </v:shape>
                        <v:rect id="矩形 88" o:spid="_x0000_s1026" o:spt="1" style="position:absolute;left:4852;top:3686;height:328;width:873;" fillcolor="#FFFFFF" filled="t" stroked="f" coordsize="21600,21600" o:gfxdata="UEsDBAoAAAAAAIdO4kAAAAAAAAAAAAAAAAAEAAAAZHJzL1BLAwQUAAAACACHTuJA1+WeBL0AAADb&#10;AAAADwAAAGRycy9kb3ducmV2LnhtbEWPwWrDMBBE74X8g9hAb7XsJtTFtZJDIJDQEKjS3hdra5ta&#10;KyOpcfL3UaGQ4zAzb5h6fbGDOJMPvWMFRZaDIG6c6blV8HnaPr2CCBHZ4OCYFFwpwHo1e6ixMm7i&#10;Dzrr2IoE4VChgi7GsZIyNB1ZDJkbiZP37bzFmKRvpfE4Jbgd5HOev0iLPaeFDkfadNT86F+roGy0&#10;/5oO22Wpd8dDHLjcb67vSj3Oi/wNRKRLvIf/2zujYFHA35f0A+Tq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5Z4EvQAA&#10;ANsAAAAPAAAAAAAAAAEAIAAAACIAAABkcnMvZG93bnJldi54bWxQSwECFAAUAAAACACHTuJAMy8F&#10;njsAAAA5AAAAEAAAAAAAAAABACAAAAAMAQAAZHJzL3NoYXBleG1sLnhtbFBLBQYAAAAABgAGAFsB&#10;AAC2AwAAAAA=&#10;">
                          <v:fill on="t" opacity="0f" focussize="0,0"/>
                          <v:stroke on="f"/>
                          <v:imagedata o:title=""/>
                          <o:lock v:ext="edit" aspectratio="f"/>
                          <v:textbox inset="0mm,0mm,0mm,0mm">
                            <w:txbxContent>
                              <w:p w14:paraId="6C36D1BB">
                                <w:pPr>
                                  <w:pStyle w:val="46"/>
                                  <w:bidi w:val="0"/>
                                  <w:rPr>
                                    <w:rFonts w:hint="default"/>
                                    <w:lang w:val="en-US" w:eastAsia="zh-CN"/>
                                  </w:rPr>
                                </w:pPr>
                                <w:r>
                                  <w:rPr>
                                    <w:rFonts w:hint="eastAsia"/>
                                    <w:lang w:val="en-US" w:eastAsia="zh-CN"/>
                                  </w:rPr>
                                  <w:t>0.326</w:t>
                                </w:r>
                              </w:p>
                            </w:txbxContent>
                          </v:textbox>
                        </v:rect>
                        <v:rect id="矩形 89" o:spid="_x0000_s1026" o:spt="1" style="position:absolute;left:6185;top:4285;height:462;width:888;" fillcolor="#FFFFFF" filled="t" stroked="t" coordsize="21600,21600" o:gfxdata="UEsDBAoAAAAAAIdO4kAAAAAAAAAAAAAAAAAEAAAAZHJzL1BLAwQUAAAACACHTuJAp3MBFbwAAADb&#10;AAAADwAAAGRycy9kb3ducmV2LnhtbEWPwWrDMBBE74H8g9hCb4nsFIpxo+RQCCmue6ibD1isjWVi&#10;rYykOO7fV4FAj8PMvGG2+9kOYiIfescK8nUGgrh1uudOwennsCpAhIiscXBMCn4pwH63XGyx1O7G&#10;3zQ1sRMJwqFEBSbGsZQytIYshrUbiZN3dt5iTNJ3Unu8Jbgd5CbLXqXFntOCwZHeDbWX5moVtJMt&#10;jv6LPw/VeD25ytS6yWulnp/y7A1EpDn+hx/tD63gZQP3L+kHyN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zARW8AAAA&#10;2w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0mm,1.27mm,0mm,1.27mm">
                            <w:txbxContent>
                              <w:p w14:paraId="186D2540">
                                <w:pPr>
                                  <w:pStyle w:val="46"/>
                                  <w:bidi w:val="0"/>
                                </w:pPr>
                                <w:r>
                                  <w:rPr>
                                    <w:rFonts w:hint="eastAsia"/>
                                  </w:rPr>
                                  <w:t>化粪池</w:t>
                                </w:r>
                              </w:p>
                            </w:txbxContent>
                          </v:textbox>
                        </v:rect>
                        <v:rect id="矩形 90" o:spid="_x0000_s1026" o:spt="1" style="position:absolute;left:7045;top:4154;height:378;width:754;" fillcolor="#FFFFFF" filled="t" stroked="f" coordsize="21600,21600" o:gfxdata="UEsDBAoAAAAAAIdO4kAAAAAAAAAAAAAAAAAEAAAAZHJzL1BLAwQUAAAACACHTuJASHul6L0AAADb&#10;AAAADwAAAGRycy9kb3ducmV2LnhtbEWPQWvCQBSE7wX/w/IK3upGLY1EVw+CkGIQmtb7I/tMQrNv&#10;w+42Mf++Wyh4HGbmG2Z3uJtODOR8a1nBcpGAIK6sbrlW8PV5etmA8AFZY2eZFEzk4bCfPe0w03bk&#10;DxrKUIsIYZ+hgiaEPpPSVw0Z9AvbE0fvZp3BEKWrpXY4Rrjp5CpJ3qTBluNCgz0dG6q+yx+jIK1K&#10;dx2L02ta5pcidJy+H6ezUvPnZbIFEegeHuH/dq4VrNfw9yX+ALn/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e6XovQAA&#10;ANsAAAAPAAAAAAAAAAEAIAAAACIAAABkcnMvZG93bnJldi54bWxQSwECFAAUAAAACACHTuJAMy8F&#10;njsAAAA5AAAAEAAAAAAAAAABACAAAAAMAQAAZHJzL3NoYXBleG1sLnhtbFBLBQYAAAAABgAGAFsB&#10;AAC2AwAAAAA=&#10;">
                          <v:fill on="t" opacity="0f" focussize="0,0"/>
                          <v:stroke on="f"/>
                          <v:imagedata o:title=""/>
                          <o:lock v:ext="edit" aspectratio="f"/>
                          <v:textbox inset="0mm,0mm,0mm,0mm">
                            <w:txbxContent>
                              <w:p w14:paraId="044FDAE3">
                                <w:pPr>
                                  <w:pStyle w:val="46"/>
                                  <w:bidi w:val="0"/>
                                  <w:rPr>
                                    <w:rFonts w:hint="default"/>
                                    <w:lang w:val="en-US" w:eastAsia="zh-CN"/>
                                  </w:rPr>
                                </w:pPr>
                                <w:r>
                                  <w:rPr>
                                    <w:rFonts w:hint="eastAsia"/>
                                    <w:lang w:val="en-US" w:eastAsia="zh-CN"/>
                                  </w:rPr>
                                  <w:t>1.845</w:t>
                                </w:r>
                              </w:p>
                            </w:txbxContent>
                          </v:textbox>
                        </v:rect>
                      </v:group>
                      <v:rect id="矩形 100" o:spid="_x0000_s1026" o:spt="1" style="position:absolute;left:14921;top:624725;height:313;width:697;" fillcolor="#FFFFFF" filled="t" stroked="f" coordsize="21600,21600" o:gfxdata="UEsDBAoAAAAAAIdO4kAAAAAAAAAAAAAAAAAEAAAAZHJzL1BLAwQUAAAACACHTuJARt83mboAAADb&#10;AAAADwAAAGRycy9kb3ducmV2LnhtbEVPy2rCQBTdC/2H4QrudGItpkRHF4JgaRBM2/0lc02CmTth&#10;ZprH33cWBZeH894fR9OKnpxvLCtYrxIQxKXVDVcKvr/Oy3cQPiBrbC2Tgok8HA8vsz1m2g58o74I&#10;lYgh7DNUUIfQZVL6siaDfmU74sjdrTMYInSV1A6HGG5a+ZokW2mw4dhQY0enmspH8WsUpGXhfob8&#10;/JYWl2seWk4/TtOnUov5OtmBCDSGp/jffdEKNnFs/BJ/gDz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3zeZugAAANsA&#10;AAAPAAAAAAAAAAEAIAAAACIAAABkcnMvZG93bnJldi54bWxQSwECFAAUAAAACACHTuJAMy8FnjsA&#10;AAA5AAAAEAAAAAAAAAABACAAAAAJAQAAZHJzL3NoYXBleG1sLnhtbFBLBQYAAAAABgAGAFsBAACz&#10;AwAAAAA=&#10;">
                        <v:fill on="t" opacity="0f" focussize="0,0"/>
                        <v:stroke on="f"/>
                        <v:imagedata o:title=""/>
                        <o:lock v:ext="edit" aspectratio="f"/>
                        <v:textbox inset="0mm,0mm,0mm,0mm">
                          <w:txbxContent>
                            <w:p w14:paraId="5B03A53D">
                              <w:pPr>
                                <w:pStyle w:val="44"/>
                                <w:bidi w:val="0"/>
                                <w:rPr>
                                  <w:rFonts w:hint="default"/>
                                  <w:lang w:val="en-US" w:eastAsia="zh-CN"/>
                                </w:rPr>
                              </w:pPr>
                            </w:p>
                          </w:txbxContent>
                        </v:textbox>
                      </v:rect>
                      <w10:wrap type="none"/>
                      <w10:anchorlock/>
                    </v:group>
                  </w:pict>
                </mc:Fallback>
              </mc:AlternateContent>
            </w:r>
            <w:r>
              <w:rPr>
                <w:color w:val="1D70F5"/>
              </w:rPr>
              <mc:AlternateContent>
                <mc:Choice Requires="wps">
                  <w:drawing>
                    <wp:anchor distT="0" distB="0" distL="114300" distR="114300" simplePos="0" relativeHeight="251687936" behindDoc="0" locked="0" layoutInCell="1" allowOverlap="1">
                      <wp:simplePos x="0" y="0"/>
                      <wp:positionH relativeFrom="column">
                        <wp:posOffset>3579495</wp:posOffset>
                      </wp:positionH>
                      <wp:positionV relativeFrom="paragraph">
                        <wp:posOffset>2078990</wp:posOffset>
                      </wp:positionV>
                      <wp:extent cx="480695" cy="0"/>
                      <wp:effectExtent l="0" t="38100" r="14605" b="38100"/>
                      <wp:wrapNone/>
                      <wp:docPr id="98" name="自选图形 71"/>
                      <wp:cNvGraphicFramePr/>
                      <a:graphic xmlns:a="http://schemas.openxmlformats.org/drawingml/2006/main">
                        <a:graphicData uri="http://schemas.microsoft.com/office/word/2010/wordprocessingShape">
                          <wps:wsp>
                            <wps:cNvCnPr/>
                            <wps:spPr>
                              <a:xfrm>
                                <a:off x="0" y="0"/>
                                <a:ext cx="480695" cy="0"/>
                              </a:xfrm>
                              <a:prstGeom prst="straightConnector1">
                                <a:avLst/>
                              </a:prstGeom>
                              <a:ln w="9525" cap="flat" cmpd="sng">
                                <a:solidFill>
                                  <a:schemeClr val="accent1"/>
                                </a:solidFill>
                                <a:prstDash val="dash"/>
                                <a:headEnd type="none" w="med" len="med"/>
                                <a:tailEnd type="triangle" w="med" len="med"/>
                              </a:ln>
                            </wps:spPr>
                            <wps:bodyPr/>
                          </wps:wsp>
                        </a:graphicData>
                      </a:graphic>
                    </wp:anchor>
                  </w:drawing>
                </mc:Choice>
                <mc:Fallback>
                  <w:pict>
                    <v:shape id="自选图形 71" o:spid="_x0000_s1026" o:spt="32" type="#_x0000_t32" style="position:absolute;left:0pt;margin-left:281.85pt;margin-top:163.7pt;height:0pt;width:37.85pt;z-index:251687936;mso-width-relative:page;mso-height-relative:page;" filled="f" stroked="t" coordsize="21600,21600" o:gfxdata="UEsDBAoAAAAAAIdO4kAAAAAAAAAAAAAAAAAEAAAAZHJzL1BLAwQUAAAACACHTuJAcbeDntgAAAAL&#10;AQAADwAAAGRycy9kb3ducmV2LnhtbE2PTU/DMAyG70j8h8hI3Fi6FTJWmu4AGoLbGCDtmDZeW2ic&#10;qsm28u9npElw88ej14/z5eg6ccAhtJ40TCcJCKTK25ZqDR/vq5t7ECEasqbzhBp+MMCyuLzITWb9&#10;kd7wsIm14BAKmdHQxNhnUoaqQWfCxPdIvNv5wZnI7VBLO5gjh7tOzpJESWda4guN6fGxwep7s3ca&#10;lHrejf5FlVamn+vtqv6qXtdPWl9fTZMHEBHH+AfDrz6rQ8FOpd+TDaLTcKfSOaMa0tn8FgQTKl1w&#10;UZ4nssjl/x+KE1BLAwQUAAAACACHTuJAziG2IAACAADnAwAADgAAAGRycy9lMm9Eb2MueG1srVPN&#10;bhMxEL4j8Q6W72STqC3pKptKJIQLgkrAA0xs764l/8njZpMbN8QzcOPIO9C3qQRvwXg3TaAIqQcu&#10;9tie+Wa+b8bzq501bKsiau8qPhmNOVNOeKldU/EP79fPZpxhAifBeKcqvlfIrxZPn8y7UKqpb72R&#10;KjICcVh2oeJtSqEsChStsoAjH5Sjx9pHC4mOsSlkhI7QrSmm4/FF0fkoQ/RCIdLtanjkB8T4GEBf&#10;11qolRc3Vrk0oEZlIBElbHVAvuirrWsl0tu6RpWYqTgxTf1KScje5LVYzKFsIoRWi0MJ8JgSHnCy&#10;oB0lPUKtIAG7ifovKKtF9OjrNBLeFgORXhFiMRk/0OZdC0H1XEhqDEfR8f/Bijfb68i0rPgl9d2B&#10;pY7/+PTt58fPd19u775/Zc8nWaMuYEmuS3cdDycM1zET3tXR5p2osF2v6/6oq9olJujybDa+uDzn&#10;TNw/Fae4EDG9Ut6ybFQcUwTdtGnpnaPm+TjpZYXta0yUmQLvA3JS41hHlZ9PMzjQMNY0BGTaQITQ&#10;NX0seqPlWhuTIzA2m6WJbAs0EGfr2eTFKvMj3D/ccpIVYDv4SbKGSWkVyJdOsrQPJJSjD8JzBVZJ&#10;zoyi/5QtwoMygTYnzxQ1uMb8w5uyG0dFZJUHXbO18XLfy93fU//7Mg+zmgfs93Mfffqfi1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xt4Oe2AAAAAsBAAAPAAAAAAAAAAEAIAAAACIAAABkcnMvZG93&#10;bnJldi54bWxQSwECFAAUAAAACACHTuJAziG2IAACAADnAwAADgAAAAAAAAABACAAAAAnAQAAZHJz&#10;L2Uyb0RvYy54bWxQSwUGAAAAAAYABgBZAQAAmQUAAAAA&#10;">
                      <v:fill on="f" focussize="0,0"/>
                      <v:stroke color="#4F81BD [3204]" joinstyle="round" dashstyle="dash" endarrow="block"/>
                      <v:imagedata o:title=""/>
                      <o:lock v:ext="edit" aspectratio="f"/>
                    </v:shape>
                  </w:pict>
                </mc:Fallback>
              </mc:AlternateContent>
            </w:r>
            <w:r>
              <w:rPr>
                <w:color w:val="1D70F5"/>
              </w:rPr>
              <mc:AlternateContent>
                <mc:Choice Requires="wps">
                  <w:drawing>
                    <wp:anchor distT="0" distB="0" distL="114300" distR="114300" simplePos="0" relativeHeight="251685888" behindDoc="0" locked="0" layoutInCell="1" allowOverlap="1">
                      <wp:simplePos x="0" y="0"/>
                      <wp:positionH relativeFrom="column">
                        <wp:posOffset>2820035</wp:posOffset>
                      </wp:positionH>
                      <wp:positionV relativeFrom="paragraph">
                        <wp:posOffset>1576705</wp:posOffset>
                      </wp:positionV>
                      <wp:extent cx="336550" cy="265430"/>
                      <wp:effectExtent l="0" t="20320" r="6350" b="19050"/>
                      <wp:wrapNone/>
                      <wp:docPr id="96" name="自选图形 65"/>
                      <wp:cNvGraphicFramePr/>
                      <a:graphic xmlns:a="http://schemas.openxmlformats.org/drawingml/2006/main">
                        <a:graphicData uri="http://schemas.microsoft.com/office/word/2010/wordprocessingShape">
                          <wps:wsp>
                            <wps:cNvCnPr/>
                            <wps:spPr>
                              <a:xfrm flipV="1">
                                <a:off x="0" y="0"/>
                                <a:ext cx="336550" cy="265430"/>
                              </a:xfrm>
                              <a:prstGeom prst="curvedConnector3">
                                <a:avLst>
                                  <a:gd name="adj1" fmla="val 50000"/>
                                </a:avLst>
                              </a:prstGeom>
                              <a:ln w="9525" cap="flat" cmpd="sng">
                                <a:solidFill>
                                  <a:srgbClr val="000000"/>
                                </a:solidFill>
                                <a:prstDash val="dash"/>
                                <a:headEnd type="none" w="med" len="med"/>
                                <a:tailEnd type="triangle" w="med" len="med"/>
                              </a:ln>
                            </wps:spPr>
                            <wps:bodyPr/>
                          </wps:wsp>
                        </a:graphicData>
                      </a:graphic>
                    </wp:anchor>
                  </w:drawing>
                </mc:Choice>
                <mc:Fallback>
                  <w:pict>
                    <v:shape id="自选图形 65" o:spid="_x0000_s1026" o:spt="38" type="#_x0000_t38" style="position:absolute;left:0pt;flip:y;margin-left:222.05pt;margin-top:124.15pt;height:20.9pt;width:26.5pt;z-index:251685888;mso-width-relative:page;mso-height-relative:page;" filled="f" stroked="t" coordsize="21600,21600" o:gfxdata="UEsDBAoAAAAAAIdO4kAAAAAAAAAAAAAAAAAEAAAAZHJzL1BLAwQUAAAACACHTuJATw1DN9oAAAAL&#10;AQAADwAAAGRycy9kb3ducmV2LnhtbE2PsU7DMBCGdyTewTokFkSdBIu2aZwOkRg6MBCQYHSTaxI1&#10;Pke2m7Y8PccE4/336b/viu3FjmJGHwZHGtJFAgKpce1AnYaP95fHFYgQDbVmdIQarhhgW97eFCZv&#10;3ZnecK5jJ7iEQm409DFOuZSh6dGasHATEu8OzlsTefSdbL05c7kdZZYkz9KagfhCbyasemyO9clq&#10;oMNn9eCxMbvvqsbl1zxkr7ur1vd3abIBEfES/2D41Wd1KNlp707UBjFqUEqljGrI1OoJBBNqveRk&#10;z8k6SUGWhfz/Q/kDUEsDBBQAAAAIAIdO4kDdete5HQIAACEEAAAOAAAAZHJzL2Uyb0RvYy54bWyt&#10;U0uOEzEQ3SNxB8t70vnQEbTSmUXCsEEwEp99xXZ3G/kn20knO3aIM7BjyR2G24wEt6DsbjIwCGkW&#10;9KJVtp9f1XtVXl0ctSIH4YO0pqazyZQSYZjl0rQ1ffvm8tETSkIEw0FZI2p6EoFerB8+WPWuEnPb&#10;WcWFJ0hiQtW7mnYxuqooAuuEhjCxThg8bKzXEHHp24J76JFdq2I+nS6L3nruvGUiBNzdDod0ZPT3&#10;IbRNI5nYWrbXwsSB1QsFESWFTrpA17naphEsvmqaICJRNUWlMf8xCca79C/WK6haD66TbCwB7lPC&#10;HU0apMGkZ6otRCB7L/+i0pJ5G2wTJ8zqYhCSHUEVs+kdb1534ETWglYHdzY9/D9a9vJw5YnkNX26&#10;pMSAxo5///j1x4dPN5+/3Vx/IcsyedS7UCF0Y678uAruyifBx8Zr0ijp3uEwZQtQFDlmh09nh8Ux&#10;Eoabi8WyLNF7hkfzZfl4kTtQDDSJzvkQnwurSQpqyvb+IPjGGoOdtH6RE8DhRYjZbD5WDPz9jJJG&#10;K+zdARQpp/ilupF5RGP0iztdVYb0qLmcl1gM4Bg3OD4YaodWBNPmRMEqyS+lUulG8O1uozxBfpSV&#10;vzHDH7CUZAuhG3Aco4SCqhPAnxlO4smhxQafFk0VaMEpUQJfYooyMoJUt8joJZhW/QONqpRBmak/&#10;Q0dStLP8lBuV93FyshHjlKfR/H2db9++7PV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Tw1DN9oA&#10;AAALAQAADwAAAAAAAAABACAAAAAiAAAAZHJzL2Rvd25yZXYueG1sUEsBAhQAFAAAAAgAh07iQN16&#10;17kdAgAAIQQAAA4AAAAAAAAAAQAgAAAAKQEAAGRycy9lMm9Eb2MueG1sUEsFBgAAAAAGAAYAWQEA&#10;ALgFAAAAAA==&#10;" adj="10800">
                      <v:fill on="f" focussize="0,0"/>
                      <v:stroke color="#000000" joinstyle="round" dashstyle="dash" endarrow="block"/>
                      <v:imagedata o:title=""/>
                      <o:lock v:ext="edit" aspectratio="f"/>
                    </v:shape>
                  </w:pict>
                </mc:Fallback>
              </mc:AlternateContent>
            </w:r>
            <w:r>
              <w:rPr>
                <w:color w:val="1D70F5"/>
              </w:rPr>
              <mc:AlternateContent>
                <mc:Choice Requires="wps">
                  <w:drawing>
                    <wp:anchor distT="0" distB="0" distL="114300" distR="114300" simplePos="0" relativeHeight="251680768" behindDoc="0" locked="0" layoutInCell="1" allowOverlap="1">
                      <wp:simplePos x="0" y="0"/>
                      <wp:positionH relativeFrom="column">
                        <wp:posOffset>2266950</wp:posOffset>
                      </wp:positionH>
                      <wp:positionV relativeFrom="paragraph">
                        <wp:posOffset>2079625</wp:posOffset>
                      </wp:positionV>
                      <wp:extent cx="480695" cy="0"/>
                      <wp:effectExtent l="0" t="38100" r="14605" b="38100"/>
                      <wp:wrapNone/>
                      <wp:docPr id="41" name="自选图形 71"/>
                      <wp:cNvGraphicFramePr/>
                      <a:graphic xmlns:a="http://schemas.openxmlformats.org/drawingml/2006/main">
                        <a:graphicData uri="http://schemas.microsoft.com/office/word/2010/wordprocessingShape">
                          <wps:wsp>
                            <wps:cNvCnPr/>
                            <wps:spPr>
                              <a:xfrm>
                                <a:off x="0" y="0"/>
                                <a:ext cx="480695" cy="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自选图形 71" o:spid="_x0000_s1026" o:spt="32" type="#_x0000_t32" style="position:absolute;left:0pt;margin-left:178.5pt;margin-top:163.75pt;height:0pt;width:37.85pt;z-index:251680768;mso-width-relative:page;mso-height-relative:page;" filled="f" stroked="t" coordsize="21600,21600" o:gfxdata="UEsDBAoAAAAAAIdO4kAAAAAAAAAAAAAAAAAEAAAAZHJzL1BLAwQUAAAACACHTuJAKDD129kAAAAL&#10;AQAADwAAAGRycy9kb3ducmV2LnhtbE2PT0sDMRDF74LfIYzgzWZb7VbXzRa0iHtRaCviMd2Mm+Bm&#10;smzSf356RxDs7c3M483vlfOD78QOh+gCKRiPMhBITTCOWgVv66erWxAxaTK6C4QKjhhhXp2flbow&#10;YU9L3K1SKziEYqEV2JT6QsrYWPQ6jkKPxLfPMHideBxaaQa953DfyUmW5dJrR/zB6h4fLTZfq61X&#10;kBYfR5u/Nw937nX9/JK777quF0pdXoyzexAJD+nfDL/4jA4VM23ClkwUnYLr6Yy7JBaT2RQEO25Y&#10;gdj8bWRVytMO1Q9QSwMEFAAAAAgAh07iQLmV27j9AQAA6AMAAA4AAABkcnMvZTJvRG9jLnhtbK1T&#10;zY7TMBC+I/EOlu80TbW77EZN99CyXBBUAh5g6jiJJf/J423aGzfEM3DjyDvA26wEb8HY6bawCGkP&#10;5OCMPTPfzPd5PL/eGc22MqBytublZMqZtMI1ynY1f//u5tklZxjBNqCdlTXfS+TXi6dP5oOv5Mz1&#10;TjcyMAKxWA2+5n2MvioKFL00gBPnpSVn64KBSNvQFU2AgdCNLmbT6UUxuND44IREpNPV6OQHxPAY&#10;QNe2SsiVE7dG2jiiBqkhEiXslUe+yN22rRTxTduijEzXnJjGvFIRsjdpLRZzqLoAvlfi0AI8poUH&#10;nAwoS0WPUCuIwG6D+gvKKBEcujZOhDPFSCQrQizK6QNt3vbgZeZCUqM/io7/D1a83q4DU03Nz0rO&#10;LBi68R8fv/788Onu8/e7b1/Y8zJpNHisKHRp1+GwQ78OifCuDSb9iQrbZV33R13lLjJBh2eX04ur&#10;c87Evas45fmA8aV0hiWj5hgDqK6PS2ctXZ4LZZYVtq8wUmVKvE9IRbVlQ82vzmcJHGgYWxoCMo0n&#10;Qmi7nItOq+ZGaZ0yMHSbpQ5sC2kg8pf4Ee4fYanICrAf47JrHJVeQvPCNizuPSll6YXw1IKRDWda&#10;0oNKFgFCFUHpU2QMCmyn/xFN5bWlLpLMo7DJ2rhmn/XO5zQAuc/DsKYJ+32fs08PdPE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KDD129kAAAALAQAADwAAAAAAAAABACAAAAAiAAAAZHJzL2Rvd25y&#10;ZXYueG1sUEsBAhQAFAAAAAgAh07iQLmV27j9AQAA6AMAAA4AAAAAAAAAAQAgAAAAKAEAAGRycy9l&#10;Mm9Eb2MueG1sUEsFBgAAAAAGAAYAWQEAAJcFAAAAAA==&#10;">
                      <v:fill on="f" focussize="0,0"/>
                      <v:stroke color="#000000" joinstyle="round" endarrow="block"/>
                      <v:imagedata o:title=""/>
                      <o:lock v:ext="edit" aspectratio="f"/>
                    </v:shape>
                  </w:pict>
                </mc:Fallback>
              </mc:AlternateContent>
            </w:r>
          </w:p>
          <w:p w14:paraId="60135CDF">
            <w:pPr>
              <w:keepNext w:val="0"/>
              <w:keepLines w:val="0"/>
              <w:suppressLineNumbers w:val="0"/>
              <w:spacing w:before="0" w:beforeAutospacing="0" w:after="0" w:afterAutospacing="0"/>
              <w:ind w:left="0" w:right="0"/>
              <w:rPr>
                <w:rFonts w:hint="eastAsia" w:eastAsia="宋体"/>
                <w:color w:val="1D70F5"/>
                <w:lang w:val="en-US" w:eastAsia="zh-CN"/>
              </w:rPr>
            </w:pPr>
            <w:r>
              <w:rPr>
                <w:rFonts w:hint="default"/>
                <w:color w:val="1D70F5"/>
              </w:rPr>
              <mc:AlternateContent>
                <mc:Choice Requires="wps">
                  <w:drawing>
                    <wp:anchor distT="0" distB="0" distL="114300" distR="114300" simplePos="0" relativeHeight="251691008" behindDoc="0" locked="0" layoutInCell="1" allowOverlap="1">
                      <wp:simplePos x="0" y="0"/>
                      <wp:positionH relativeFrom="column">
                        <wp:posOffset>1605280</wp:posOffset>
                      </wp:positionH>
                      <wp:positionV relativeFrom="paragraph">
                        <wp:posOffset>212090</wp:posOffset>
                      </wp:positionV>
                      <wp:extent cx="1127760" cy="495935"/>
                      <wp:effectExtent l="0" t="0" r="0" b="0"/>
                      <wp:wrapNone/>
                      <wp:docPr id="108" name="矩形 66"/>
                      <wp:cNvGraphicFramePr/>
                      <a:graphic xmlns:a="http://schemas.openxmlformats.org/drawingml/2006/main">
                        <a:graphicData uri="http://schemas.microsoft.com/office/word/2010/wordprocessingShape">
                          <wps:wsp>
                            <wps:cNvSpPr/>
                            <wps:spPr>
                              <a:xfrm>
                                <a:off x="0" y="0"/>
                                <a:ext cx="1127760" cy="495935"/>
                              </a:xfrm>
                              <a:prstGeom prst="rect">
                                <a:avLst/>
                              </a:prstGeom>
                              <a:solidFill>
                                <a:srgbClr val="FFFFFF">
                                  <a:alpha val="0"/>
                                </a:srgbClr>
                              </a:solidFill>
                              <a:ln>
                                <a:noFill/>
                              </a:ln>
                            </wps:spPr>
                            <wps:txbx>
                              <w:txbxContent>
                                <w:p w14:paraId="1614FD65">
                                  <w:pPr>
                                    <w:pStyle w:val="46"/>
                                    <w:bidi w:val="0"/>
                                    <w:rPr>
                                      <w:rFonts w:hint="eastAsia"/>
                                      <w:lang w:val="en-US" w:eastAsia="zh-CN"/>
                                    </w:rPr>
                                  </w:pPr>
                                  <w:r>
                                    <w:rPr>
                                      <w:rFonts w:hint="eastAsia"/>
                                      <w:lang w:val="en-US" w:eastAsia="zh-CN"/>
                                    </w:rPr>
                                    <w:t>回用水</w:t>
                                  </w:r>
                                </w:p>
                                <w:p w14:paraId="02D35926">
                                  <w:pPr>
                                    <w:pStyle w:val="46"/>
                                    <w:bidi w:val="0"/>
                                    <w:rPr>
                                      <w:rFonts w:hint="default"/>
                                      <w:lang w:val="en-US" w:eastAsia="zh-CN"/>
                                    </w:rPr>
                                  </w:pPr>
                                  <w:r>
                                    <w:rPr>
                                      <w:rFonts w:hint="eastAsia"/>
                                      <w:lang w:val="en-US" w:eastAsia="zh-CN"/>
                                    </w:rPr>
                                    <w:t>0.783</w:t>
                                  </w:r>
                                </w:p>
                              </w:txbxContent>
                            </wps:txbx>
                            <wps:bodyPr wrap="square" lIns="0" tIns="0" rIns="0" bIns="0" upright="1"/>
                          </wps:wsp>
                        </a:graphicData>
                      </a:graphic>
                    </wp:anchor>
                  </w:drawing>
                </mc:Choice>
                <mc:Fallback>
                  <w:pict>
                    <v:rect id="矩形 66" o:spid="_x0000_s1026" o:spt="1" style="position:absolute;left:0pt;margin-left:126.4pt;margin-top:16.7pt;height:39.05pt;width:88.8pt;z-index:251691008;mso-width-relative:page;mso-height-relative:page;" fillcolor="#FFFFFF" filled="t" stroked="f" coordsize="21600,21600" o:gfxdata="UEsDBAoAAAAAAIdO4kAAAAAAAAAAAAAAAAAEAAAAZHJzL1BLAwQUAAAACACHTuJAoBOs5NkAAAAK&#10;AQAADwAAAGRycy9kb3ducmV2LnhtbE2Py07DMBBF90j8gzVI7KidRwkKcbqoVAlEhUSAvRubJMIe&#10;R7bbtH/PsILdjObozrnN5uwsO5kQJ48SspUAZrD3esJBwsf77u4BWEwKtbIejYSLibBpr68aVWu/&#10;4Js5dWlgFIKxVhLGlOaa89iPxqm48rNBun354FSiNQxcB7VQuLM8F+KeOzUhfRjVbLaj6b+7o5NQ&#10;9V34XPa7suqeXvfJYvW8vbxIeXuTiUdgyZzTHwy/+qQOLTkd/BF1ZFZCvs5JPUkoihIYAWUhaDgQ&#10;mWVr4G3D/1dofwBQSwMEFAAAAAgAh07iQHkLiRbdAQAAvAMAAA4AAABkcnMvZTJvRG9jLnhtbK1T&#10;zY7TMBC+I/EOlu80aWG7bNV0D1RFSAhWWngAx3ESS/5jxm3Sp0HixkPwOIjXYOy0XVgueyCHZGY8&#10;/ma+bybr29EadlCA2ruKz2clZ8pJ32jXVfzzp92L15xhFK4RxjtV8aNCfrt5/mw9hJVa+N6bRgEj&#10;EIerIVS8jzGsigJlr6zAmQ/K0WHrwYpILnRFA2IgdGuKRVkui8FDE8BLhUjR7XTIT4jwFEDftlqq&#10;rZd7q1ycUEEZEYkS9jog3+Ru21bJ+LFtUUVmKk5MY35TEbLr9C42a7HqQIRey1ML4iktPOJkhXZU&#10;9AK1FVGwPeh/oKyW4NG3cSa9LSYiWRFiMS8faXPfi6AyF5Iaw0V0/H+w8sPhDphuaBNKGrwTlkb+&#10;6+v3nz++seUyyTMEXFHWfbiDk4dkJq5jCzZ9iQUbs6THi6RqjExScD5fXF8vSW1JZ69urm5eXiXQ&#10;4uF2AIxvlbcsGRUHGllWUhzeY5xSzympGHqjm502JjvQ1W8MsIOg8e7yM901oRdTNI+YyuGUmkv/&#10;hWFcQnI+YU7lUqRItCeiyYpjPZ7Y1745kmQD7UzF8ctegOLMvHM0lLRgZwPORn029gF01xPFeVYg&#10;wdJQc0OnBUxb86ef23j46Ta/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KATrOTZAAAACgEAAA8A&#10;AAAAAAAAAQAgAAAAIgAAAGRycy9kb3ducmV2LnhtbFBLAQIUABQAAAAIAIdO4kB5C4kW3QEAALwD&#10;AAAOAAAAAAAAAAEAIAAAACgBAABkcnMvZTJvRG9jLnhtbFBLBQYAAAAABgAGAFkBAAB3BQAAAAA=&#10;">
                      <v:fill on="t" opacity="0f" focussize="0,0"/>
                      <v:stroke on="f"/>
                      <v:imagedata o:title=""/>
                      <o:lock v:ext="edit" aspectratio="f"/>
                      <v:textbox inset="0mm,0mm,0mm,0mm">
                        <w:txbxContent>
                          <w:p w14:paraId="1614FD65">
                            <w:pPr>
                              <w:pStyle w:val="46"/>
                              <w:bidi w:val="0"/>
                              <w:rPr>
                                <w:rFonts w:hint="eastAsia"/>
                                <w:lang w:val="en-US" w:eastAsia="zh-CN"/>
                              </w:rPr>
                            </w:pPr>
                            <w:r>
                              <w:rPr>
                                <w:rFonts w:hint="eastAsia"/>
                                <w:lang w:val="en-US" w:eastAsia="zh-CN"/>
                              </w:rPr>
                              <w:t>回用水</w:t>
                            </w:r>
                          </w:p>
                          <w:p w14:paraId="02D35926">
                            <w:pPr>
                              <w:pStyle w:val="46"/>
                              <w:bidi w:val="0"/>
                              <w:rPr>
                                <w:rFonts w:hint="default"/>
                                <w:lang w:val="en-US" w:eastAsia="zh-CN"/>
                              </w:rPr>
                            </w:pPr>
                            <w:r>
                              <w:rPr>
                                <w:rFonts w:hint="eastAsia"/>
                                <w:lang w:val="en-US" w:eastAsia="zh-CN"/>
                              </w:rPr>
                              <w:t>0.783</w:t>
                            </w:r>
                          </w:p>
                        </w:txbxContent>
                      </v:textbox>
                    </v:rect>
                  </w:pict>
                </mc:Fallback>
              </mc:AlternateContent>
            </w:r>
            <w:r>
              <w:rPr>
                <w:rFonts w:hint="default"/>
                <w:color w:val="1D70F5"/>
              </w:rPr>
              <mc:AlternateContent>
                <mc:Choice Requires="wps">
                  <w:drawing>
                    <wp:anchor distT="0" distB="0" distL="114300" distR="114300" simplePos="0" relativeHeight="251689984" behindDoc="0" locked="0" layoutInCell="1" allowOverlap="1">
                      <wp:simplePos x="0" y="0"/>
                      <wp:positionH relativeFrom="column">
                        <wp:posOffset>3169920</wp:posOffset>
                      </wp:positionH>
                      <wp:positionV relativeFrom="paragraph">
                        <wp:posOffset>67945</wp:posOffset>
                      </wp:positionV>
                      <wp:extent cx="2540" cy="495935"/>
                      <wp:effectExtent l="36195" t="0" r="37465" b="18415"/>
                      <wp:wrapNone/>
                      <wp:docPr id="106" name="自选图形 71"/>
                      <wp:cNvGraphicFramePr/>
                      <a:graphic xmlns:a="http://schemas.openxmlformats.org/drawingml/2006/main">
                        <a:graphicData uri="http://schemas.microsoft.com/office/word/2010/wordprocessingShape">
                          <wps:wsp>
                            <wps:cNvCnPr/>
                            <wps:spPr>
                              <a:xfrm>
                                <a:off x="0" y="0"/>
                                <a:ext cx="2540" cy="495935"/>
                              </a:xfrm>
                              <a:prstGeom prst="straightConnector1">
                                <a:avLst/>
                              </a:prstGeom>
                              <a:ln w="9525" cap="flat" cmpd="sng">
                                <a:solidFill>
                                  <a:srgbClr val="FF0000"/>
                                </a:solidFill>
                                <a:prstDash val="sysDash"/>
                                <a:headEnd type="none" w="med" len="med"/>
                                <a:tailEnd type="triangle" w="med" len="med"/>
                              </a:ln>
                            </wps:spPr>
                            <wps:bodyPr/>
                          </wps:wsp>
                        </a:graphicData>
                      </a:graphic>
                    </wp:anchor>
                  </w:drawing>
                </mc:Choice>
                <mc:Fallback>
                  <w:pict>
                    <v:shape id="自选图形 71" o:spid="_x0000_s1026" o:spt="32" type="#_x0000_t32" style="position:absolute;left:0pt;margin-left:249.6pt;margin-top:5.35pt;height:39.05pt;width:0.2pt;z-index:251689984;mso-width-relative:page;mso-height-relative:page;" filled="f" stroked="t" coordsize="21600,21600" o:gfxdata="UEsDBAoAAAAAAIdO4kAAAAAAAAAAAAAAAAAEAAAAZHJzL1BLAwQUAAAACACHTuJAgZNGJtkAAAAJ&#10;AQAADwAAAGRycy9kb3ducmV2LnhtbE2PwU7DMAyG70i8Q2QkbizpmEbXNZ0QEhJMXFYmtGPWmLas&#10;cUqTbuPt8U5wtP9Pvz/nq7PrxBGH0HrSkEwUCKTK25ZqDdv357sURIiGrOk8oYYfDLAqrq9yk1l/&#10;og0ey1gLLqGQGQ1NjH0mZagadCZMfI/E2acfnIk8DrW0gzlxuevkVKm5dKYlvtCYHp8arA7l6DR8&#10;tePjx+ZFvr2W27W/P6xn37vEa317k6gliIjn+AfDRZ/VoWCnvR/JBtFpmC0WU0Y5UA8gGODFHMRe&#10;Q5qmIItc/v+g+AVQSwMEFAAAAAgAh07iQChqMkgEAgAA7gMAAA4AAABkcnMvZTJvRG9jLnhtbK1T&#10;zY7TMBC+I/EOlu80bdkuNGq6h5ZyQbAS8ABTx0ks+U8eb9PeuCGegRtH3oF9m5XgLRg7pYVFSHsg&#10;B2fGnvlmvs/jxdXeaLaTAZWzFZ+MxpxJK1ytbFvx9+82T55zhhFsDdpZWfGDRH61fPxo0ftSTl3n&#10;dC0DIxCLZe8r3sXoy6JA0UkDOHJeWjpsXDAQyQ1tUQfoCd3oYjoeXxa9C7UPTkhE2l0Ph/yIGB4C&#10;6JpGCbl24sZIGwfUIDVEooSd8siXudumkSK+aRqUkemKE9OYVypC9jatxXIBZRvAd0ocW4CHtHCP&#10;kwFlqegJag0R2E1Qf0EZJYJD18SRcKYYiGRFiMVkfE+btx14mbmQ1OhPouP/gxWvd9eBqZomYXzJ&#10;mQVDV/7949cfHz7dfb69+/aFPZskkXqPJcWu7HU4euivQ2K8b4JJf+LC9lnYw0lYuY9M0OZ0dkGC&#10;Czq4mM/mT2cJsTin+oDxpXSGJaPiGAOotosrZy1doAuTLC3sXmEcEn8lpLrasr7i89l0RhWABrKh&#10;QSDTeCKFts256LSqN0rrlIGh3a50YDugodhsxvQdG/ojLBVZA3ZDHB4wOSkQyk5C/cLWLB48yWXp&#10;nfDUhJE1Z1rSs0pWjoyg9DkyBgW21f+IJkW0JWGS1oO6ydq6+pBFz/s0Blm648imOfvdz9nnZ7r8&#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IGTRibZAAAACQEAAA8AAAAAAAAAAQAgAAAAIgAAAGRy&#10;cy9kb3ducmV2LnhtbFBLAQIUABQAAAAIAIdO4kAoajJIBAIAAO4DAAAOAAAAAAAAAAEAIAAAACgB&#10;AABkcnMvZTJvRG9jLnhtbFBLBQYAAAAABgAGAFkBAACeBQAAAAA=&#10;">
                      <v:fill on="f" focussize="0,0"/>
                      <v:stroke color="#FF0000" joinstyle="round" dashstyle="3 1" endarrow="block"/>
                      <v:imagedata o:title=""/>
                      <o:lock v:ext="edit" aspectratio="f"/>
                    </v:shape>
                  </w:pict>
                </mc:Fallback>
              </mc:AlternateContent>
            </w:r>
          </w:p>
          <w:p w14:paraId="505DA973">
            <w:pPr>
              <w:pStyle w:val="9"/>
              <w:keepNext w:val="0"/>
              <w:keepLines w:val="0"/>
              <w:suppressLineNumbers w:val="0"/>
              <w:spacing w:beforeAutospacing="0" w:afterAutospacing="0"/>
              <w:ind w:left="0"/>
              <w:rPr>
                <w:rFonts w:hint="eastAsia"/>
                <w:color w:val="1D70F5"/>
                <w:lang w:val="en-US" w:eastAsia="zh-CN"/>
              </w:rPr>
            </w:pPr>
            <w:r>
              <w:rPr>
                <w:rFonts w:hint="default"/>
                <w:color w:val="1D70F5"/>
                <w:sz w:val="24"/>
              </w:rPr>
              <mc:AlternateContent>
                <mc:Choice Requires="wps">
                  <w:drawing>
                    <wp:anchor distT="0" distB="0" distL="114300" distR="114300" simplePos="0" relativeHeight="251692032" behindDoc="0" locked="0" layoutInCell="1" allowOverlap="1">
                      <wp:simplePos x="0" y="0"/>
                      <wp:positionH relativeFrom="column">
                        <wp:posOffset>1181100</wp:posOffset>
                      </wp:positionH>
                      <wp:positionV relativeFrom="paragraph">
                        <wp:posOffset>237490</wp:posOffset>
                      </wp:positionV>
                      <wp:extent cx="1985645" cy="5080"/>
                      <wp:effectExtent l="0" t="0" r="0" b="0"/>
                      <wp:wrapNone/>
                      <wp:docPr id="110" name="直接连接符 110"/>
                      <wp:cNvGraphicFramePr/>
                      <a:graphic xmlns:a="http://schemas.openxmlformats.org/drawingml/2006/main">
                        <a:graphicData uri="http://schemas.microsoft.com/office/word/2010/wordprocessingShape">
                          <wps:wsp>
                            <wps:cNvCnPr/>
                            <wps:spPr>
                              <a:xfrm flipH="1">
                                <a:off x="2358390" y="3729990"/>
                                <a:ext cx="1985645" cy="5080"/>
                              </a:xfrm>
                              <a:prstGeom prst="line">
                                <a:avLst/>
                              </a:prstGeom>
                              <a:ln>
                                <a:solidFill>
                                  <a:srgbClr val="FF00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x;margin-left:93pt;margin-top:18.7pt;height:0.4pt;width:156.35pt;z-index:251692032;mso-width-relative:page;mso-height-relative:page;" filled="f" stroked="t" coordsize="21600,21600" o:gfxdata="UEsDBAoAAAAAAIdO4kAAAAAAAAAAAAAAAAAEAAAAZHJzL1BLAwQUAAAACACHTuJAxq0cgdgAAAAJ&#10;AQAADwAAAGRycy9kb3ducmV2LnhtbE2PS0/DMBCE70j8B2uRuCDqNERNCHEqFPG4VWoLdzfePES8&#10;DrH74N93e6LHmR3NflMsT3YQB5x870jBfBaBQKqd6alV8LV9f8xA+KDJ6MERKvhDD8vy9qbQuXFH&#10;WuNhE1rBJeRzraALYcyl9HWHVvuZG5H41rjJ6sByaqWZ9JHL7SDjKFpIq3viD50eseqw/tnsrYKH&#10;pqqa8L1e1R+fr3Hym9o3ibFS93fz6AVEwFP4D8MFn9GhZKad25PxYmCdLXhLUPCUJiA4kDxnKYgd&#10;G1kMsizk9YLyDFBLAwQUAAAACACHTuJAjHYpOvYBAAC5AwAADgAAAGRycy9lMm9Eb2MueG1srVPN&#10;jtMwEL4j8Q6W7zRpS5cmarqHrQoHBJVgH8B17MSS/+TxNu1L8AJI3ODEkTtvw/IYjJ3uAstlD+Rg&#10;jT2fv5nvy3h1eTSaHEQA5WxDp5OSEmG5a5XtGnr9fvtsSQlEZlumnRUNPQmgl+unT1aDr8XM9U63&#10;IhAksVAPvqF9jL4uCuC9MAwmzguLSemCYRG3oSvawAZkN7qYleVFMbjQ+uC4AMDTzZikZ8bwGEIn&#10;peJi4/iNETaOrEFoFlES9MoDXedupRQ8vpUSRCS6oag05hWLYLxPa7FesboLzPeKn1tgj2nhgSbD&#10;lMWi91QbFhm5CeofKqN4cOBknHBnilFIdgRVTMsH3rzrmRdZC1oN/t50+H+0/M1hF4hqcRKm6Ill&#10;Bn/57cdvPz58/vn9E663X7+QlEKjBg814q/sLpx34HchqT7KYIjUyr9CnuwDKiPHhs7mi+W8QuJT&#10;Q+cvZlWFcbZcHCPhCJhWy8XF8wUlHBGLcpnTxciYmH2A+FI4Q1LQUK1sMoTV7PAaIjIh9A6Sjq3b&#10;Kq1zBW3J0NBqMUvkDAdV4oBgaDyKBdtRwnSHL4DHkBnBadWm24kHQre/0oEcGM7Ndlvil/rGan/B&#10;UukNg37EwQnS5gzUFvHJstGkFO1de8re5XP8o5nxPH1pZP7c59u/X9z6F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MatHIHYAAAACQEAAA8AAAAAAAAAAQAgAAAAIgAAAGRycy9kb3ducmV2LnhtbFBL&#10;AQIUABQAAAAIAIdO4kCMdik69gEAALkDAAAOAAAAAAAAAAEAIAAAACcBAABkcnMvZTJvRG9jLnht&#10;bFBLBQYAAAAABgAGAFkBAACPBQAAAAA=&#10;">
                      <v:fill on="f" focussize="0,0"/>
                      <v:stroke color="#FF0000 [3204]" joinstyle="round" dashstyle="3 1"/>
                      <v:imagedata o:title=""/>
                      <o:lock v:ext="edit" aspectratio="f"/>
                    </v:line>
                  </w:pict>
                </mc:Fallback>
              </mc:AlternateContent>
            </w:r>
          </w:p>
          <w:p w14:paraId="090A557E">
            <w:pPr>
              <w:pStyle w:val="65"/>
              <w:keepNext w:val="0"/>
              <w:keepLines w:val="0"/>
              <w:suppressLineNumbers w:val="0"/>
              <w:bidi w:val="0"/>
              <w:spacing w:before="0" w:beforeAutospacing="0" w:after="0" w:afterAutospacing="0"/>
              <w:ind w:left="0" w:right="0"/>
              <w:rPr>
                <w:rFonts w:hint="eastAsia"/>
                <w:color w:val="1D70F5"/>
                <w:highlight w:val="none"/>
              </w:rPr>
            </w:pPr>
            <w:r>
              <w:rPr>
                <w:rFonts w:hint="default"/>
              </w:rPr>
              <w:t>2-</w:t>
            </w:r>
            <w:r>
              <w:rPr>
                <w:rFonts w:hint="eastAsia"/>
                <w:lang w:val="en-US" w:eastAsia="zh-CN"/>
              </w:rPr>
              <w:t>1</w:t>
            </w:r>
            <w:r>
              <w:rPr>
                <w:rFonts w:hint="eastAsia"/>
                <w:lang w:eastAsia="zh-CN"/>
              </w:rPr>
              <w:t xml:space="preserve">  </w:t>
            </w:r>
            <w:r>
              <w:rPr>
                <w:rFonts w:hint="default"/>
              </w:rPr>
              <w:t>本项目水平衡图（</w:t>
            </w:r>
            <w:r>
              <w:rPr>
                <w:rFonts w:hint="eastAsia"/>
              </w:rPr>
              <w:t>t</w:t>
            </w:r>
            <w:r>
              <w:rPr>
                <w:rFonts w:hint="default"/>
              </w:rPr>
              <w:t>/</w:t>
            </w:r>
            <w:commentRangeStart w:id="19"/>
            <w:commentRangeStart w:id="20"/>
            <w:r>
              <w:rPr>
                <w:rFonts w:hint="eastAsia"/>
              </w:rPr>
              <w:t>d</w:t>
            </w:r>
            <w:r>
              <w:rPr>
                <w:rFonts w:hint="default"/>
              </w:rPr>
              <w:t>）</w:t>
            </w:r>
            <w:commentRangeEnd w:id="19"/>
            <w:r>
              <w:commentReference w:id="19"/>
            </w:r>
            <w:commentRangeEnd w:id="20"/>
            <w:r>
              <w:commentReference w:id="20"/>
            </w:r>
          </w:p>
        </w:tc>
      </w:tr>
      <w:tr w14:paraId="7EAEA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6" w:hRule="atLeast"/>
          <w:jc w:val="center"/>
        </w:trPr>
        <w:tc>
          <w:tcPr>
            <w:tcW w:w="567" w:type="dxa"/>
            <w:tcBorders>
              <w:tl2br w:val="nil"/>
              <w:tr2bl w:val="nil"/>
            </w:tcBorders>
            <w:vAlign w:val="center"/>
          </w:tcPr>
          <w:p w14:paraId="161CBEE6">
            <w:pPr>
              <w:keepNext w:val="0"/>
              <w:keepLines w:val="0"/>
              <w:suppressLineNumbers w:val="0"/>
              <w:spacing w:before="0" w:beforeAutospacing="0" w:after="0" w:afterAutospacing="0"/>
              <w:ind w:left="0" w:right="0" w:firstLine="0" w:firstLineChars="0"/>
              <w:jc w:val="center"/>
              <w:rPr>
                <w:rFonts w:hint="eastAsia" w:ascii="宋体"/>
                <w:color w:val="1D70F5"/>
                <w:highlight w:val="none"/>
              </w:rPr>
            </w:pPr>
            <w:r>
              <w:rPr>
                <w:rFonts w:hint="default" w:ascii="Times New Roman" w:hAnsi="Times New Roman"/>
                <w:color w:val="auto"/>
                <w:sz w:val="21"/>
                <w:szCs w:val="21"/>
                <w:lang w:val="en-US" w:eastAsia="zh-CN"/>
              </w:rPr>
              <w:t>工</w:t>
            </w:r>
            <w:r>
              <w:rPr>
                <w:rFonts w:hint="default"/>
                <w:color w:val="auto"/>
                <w:lang w:val="en-US" w:eastAsia="zh-CN"/>
              </w:rPr>
              <w:t>艺流程和产排污环节</w:t>
            </w:r>
          </w:p>
        </w:tc>
        <w:tc>
          <w:tcPr>
            <w:tcW w:w="8560" w:type="dxa"/>
            <w:tcBorders>
              <w:tl2br w:val="nil"/>
              <w:tr2bl w:val="nil"/>
            </w:tcBorders>
            <w:shd w:val="clear" w:color="auto" w:fill="auto"/>
          </w:tcPr>
          <w:p w14:paraId="493DE775">
            <w:pPr>
              <w:keepNext w:val="0"/>
              <w:keepLines w:val="0"/>
              <w:pageBreakBefore w:val="0"/>
              <w:widowControl w:val="0"/>
              <w:suppressLineNumbers w:val="0"/>
              <w:kinsoku/>
              <w:wordWrap w:val="0"/>
              <w:overflowPunct/>
              <w:topLinePunct w:val="0"/>
              <w:autoSpaceDE/>
              <w:autoSpaceDN/>
              <w:bidi w:val="0"/>
              <w:adjustRightInd/>
              <w:snapToGrid w:val="0"/>
              <w:spacing w:before="0" w:beforeAutospacing="0" w:after="0" w:afterAutospacing="0" w:line="360" w:lineRule="auto"/>
              <w:ind w:left="0" w:right="0"/>
              <w:textAlignment w:val="auto"/>
              <w:rPr>
                <w:rFonts w:hint="default"/>
                <w:b/>
                <w:bCs/>
                <w:color w:val="auto"/>
              </w:rPr>
            </w:pPr>
            <w:r>
              <w:rPr>
                <w:rFonts w:hint="eastAsia"/>
                <w:b/>
                <w:bCs/>
                <w:color w:val="auto"/>
                <w:lang w:val="en-US" w:eastAsia="zh-CN"/>
              </w:rPr>
              <w:t>1、</w:t>
            </w:r>
            <w:r>
              <w:rPr>
                <w:rFonts w:hint="default"/>
                <w:b/>
                <w:bCs/>
                <w:color w:val="auto"/>
              </w:rPr>
              <w:t>施工期</w:t>
            </w:r>
          </w:p>
          <w:p w14:paraId="0F7FEE22">
            <w:pPr>
              <w:keepNext w:val="0"/>
              <w:keepLines w:val="0"/>
              <w:pageBreakBefore w:val="0"/>
              <w:widowControl w:val="0"/>
              <w:suppressLineNumbers w:val="0"/>
              <w:kinsoku/>
              <w:wordWrap w:val="0"/>
              <w:overflowPunct/>
              <w:topLinePunct w:val="0"/>
              <w:autoSpaceDE/>
              <w:autoSpaceDN/>
              <w:bidi w:val="0"/>
              <w:adjustRightInd/>
              <w:snapToGrid w:val="0"/>
              <w:spacing w:before="0" w:beforeAutospacing="0" w:after="0" w:afterAutospacing="0" w:line="360" w:lineRule="auto"/>
              <w:ind w:left="0" w:right="0" w:firstLine="480" w:firstLineChars="200"/>
              <w:textAlignment w:val="auto"/>
              <w:rPr>
                <w:rFonts w:hint="eastAsia"/>
                <w:color w:val="auto"/>
                <w:lang w:eastAsia="zh-CN"/>
              </w:rPr>
            </w:pPr>
            <w:r>
              <w:rPr>
                <w:rFonts w:hint="eastAsia"/>
                <w:color w:val="auto"/>
              </w:rPr>
              <w:t>本项目为租赁厂房，</w:t>
            </w:r>
            <w:r>
              <w:rPr>
                <w:rFonts w:hint="eastAsia"/>
                <w:color w:val="auto"/>
                <w:lang w:val="en-US" w:eastAsia="zh-CN"/>
              </w:rPr>
              <w:t>厂房均已建设完成</w:t>
            </w:r>
            <w:r>
              <w:rPr>
                <w:rFonts w:hint="eastAsia"/>
                <w:color w:val="auto"/>
              </w:rPr>
              <w:t>，施工期仅进行简单装修及设备的安装</w:t>
            </w:r>
            <w:r>
              <w:rPr>
                <w:rFonts w:hint="eastAsia"/>
                <w:color w:val="auto"/>
                <w:lang w:eastAsia="zh-CN"/>
              </w:rPr>
              <w:t>，</w:t>
            </w:r>
            <w:r>
              <w:rPr>
                <w:rFonts w:hint="default"/>
                <w:color w:val="auto"/>
                <w:sz w:val="24"/>
              </w:rPr>
              <w:t>施工时间短，过程简单，因此不对项目施工期进行评价。</w:t>
            </w:r>
          </w:p>
          <w:p w14:paraId="38332F24">
            <w:pPr>
              <w:keepNext w:val="0"/>
              <w:keepLines w:val="0"/>
              <w:pageBreakBefore w:val="0"/>
              <w:widowControl w:val="0"/>
              <w:suppressLineNumbers w:val="0"/>
              <w:kinsoku/>
              <w:wordWrap w:val="0"/>
              <w:overflowPunct/>
              <w:topLinePunct w:val="0"/>
              <w:autoSpaceDE/>
              <w:autoSpaceDN/>
              <w:bidi w:val="0"/>
              <w:adjustRightInd/>
              <w:snapToGrid w:val="0"/>
              <w:spacing w:before="0" w:beforeAutospacing="0" w:after="0" w:afterAutospacing="0" w:line="360" w:lineRule="auto"/>
              <w:ind w:left="0" w:right="0"/>
              <w:textAlignment w:val="auto"/>
              <w:rPr>
                <w:rFonts w:hint="default"/>
                <w:b/>
                <w:bCs/>
                <w:color w:val="auto"/>
              </w:rPr>
            </w:pPr>
            <w:r>
              <w:rPr>
                <w:rFonts w:hint="eastAsia"/>
                <w:b/>
                <w:bCs/>
                <w:color w:val="auto"/>
                <w:lang w:val="en-US" w:eastAsia="zh-CN"/>
              </w:rPr>
              <w:t>2、</w:t>
            </w:r>
            <w:r>
              <w:rPr>
                <w:rFonts w:hint="default"/>
                <w:b/>
                <w:bCs/>
                <w:color w:val="auto"/>
              </w:rPr>
              <w:t>营运期</w:t>
            </w:r>
          </w:p>
          <w:p w14:paraId="6F8E701E">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本项目主要将回收电动自行车进行拆解，对拆解后的零部件按其性质（废金属、废塑料、废玻璃等）进行分类、暂存，其中，一般固废暂存于暂存车间固废暂存仓库，定期外售；危险废物（含废电路板、废电子元器件、废铅蓄电池、废液压油等）暂存于危废暂存间，定期委托有资质单位处置。项目使用人工拆解</w:t>
            </w:r>
            <w:r>
              <w:rPr>
                <w:rFonts w:hint="default" w:ascii="Times New Roman" w:hAnsi="Times New Roman" w:cs="Times New Roman"/>
                <w:sz w:val="24"/>
              </w:rPr>
              <w:t>为主、设备辅助的拆卸方式</w:t>
            </w:r>
            <w:r>
              <w:rPr>
                <w:rFonts w:hint="eastAsia"/>
                <w:lang w:val="en-US" w:eastAsia="zh-CN"/>
              </w:rPr>
              <w:t>，</w:t>
            </w:r>
            <w:r>
              <w:rPr>
                <w:rFonts w:hint="default" w:ascii="Times New Roman" w:hAnsi="Times New Roman" w:cs="Times New Roman"/>
                <w:sz w:val="24"/>
              </w:rPr>
              <w:t>拆解工艺主要包括报废</w:t>
            </w:r>
            <w:r>
              <w:rPr>
                <w:rFonts w:hint="eastAsia" w:cs="Times New Roman"/>
                <w:sz w:val="24"/>
                <w:lang w:val="en-US" w:eastAsia="zh-CN"/>
              </w:rPr>
              <w:t>电动自行车检查登记</w:t>
            </w:r>
            <w:r>
              <w:rPr>
                <w:rFonts w:hint="default" w:ascii="Times New Roman" w:hAnsi="Times New Roman" w:cs="Times New Roman"/>
                <w:sz w:val="24"/>
              </w:rPr>
              <w:t>、报废</w:t>
            </w:r>
            <w:r>
              <w:rPr>
                <w:rFonts w:hint="eastAsia" w:cs="Times New Roman"/>
                <w:sz w:val="24"/>
                <w:lang w:val="en-US" w:eastAsia="zh-CN"/>
              </w:rPr>
              <w:t>电动自行车</w:t>
            </w:r>
            <w:r>
              <w:rPr>
                <w:rFonts w:hint="default" w:ascii="Times New Roman" w:hAnsi="Times New Roman" w:cs="Times New Roman"/>
                <w:sz w:val="24"/>
              </w:rPr>
              <w:t>拆解、金属件压实打包</w:t>
            </w:r>
            <w:r>
              <w:rPr>
                <w:rFonts w:hint="eastAsia" w:cs="Times New Roman"/>
                <w:sz w:val="24"/>
                <w:lang w:val="en-US" w:eastAsia="zh-CN"/>
              </w:rPr>
              <w:t>、塑料件破碎打包</w:t>
            </w:r>
            <w:r>
              <w:rPr>
                <w:rFonts w:hint="default" w:ascii="Times New Roman" w:hAnsi="Times New Roman" w:cs="Times New Roman"/>
                <w:sz w:val="24"/>
              </w:rPr>
              <w:t>以及拆解出的各种物品的分类收集和贮存，不涉及深度处理和危险废物处置。</w:t>
            </w:r>
            <w:r>
              <w:rPr>
                <w:rFonts w:hint="eastAsia"/>
                <w:lang w:val="en-US" w:eastAsia="zh-CN"/>
              </w:rPr>
              <w:t>具体生产工艺流程如下所示。</w:t>
            </w:r>
          </w:p>
          <w:p w14:paraId="4E606564">
            <w:pPr>
              <w:keepNext w:val="0"/>
              <w:keepLines w:val="0"/>
              <w:suppressLineNumbers w:val="0"/>
              <w:bidi w:val="0"/>
              <w:spacing w:before="0" w:beforeAutospacing="0" w:after="0" w:afterAutospacing="0"/>
              <w:ind w:left="0" w:leftChars="0" w:right="0" w:firstLine="0" w:firstLineChars="0"/>
              <w:jc w:val="center"/>
              <w:rPr>
                <w:rFonts w:hint="default"/>
                <w:lang w:val="en-US" w:eastAsia="zh-CN"/>
              </w:rPr>
            </w:pPr>
            <w:r>
              <w:rPr>
                <w:rFonts w:hint="eastAsia" w:eastAsiaTheme="minorEastAsia"/>
                <w:lang w:eastAsia="zh-CN"/>
              </w:rPr>
              <w:drawing>
                <wp:inline distT="0" distB="0" distL="114300" distR="114300">
                  <wp:extent cx="3484245" cy="4543425"/>
                  <wp:effectExtent l="0" t="0" r="0" b="9525"/>
                  <wp:docPr id="46" name="E657119C-6982-421D-8BA7-E74DEB70A7D9-1" descr="C:/Users/Admin/AppData/Local/Temp/wps.PViibk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E657119C-6982-421D-8BA7-E74DEB70A7D9-1" descr="C:/Users/Admin/AppData/Local/Temp/wps.PViibkwps"/>
                          <pic:cNvPicPr>
                            <a:picLocks noChangeAspect="1"/>
                          </pic:cNvPicPr>
                        </pic:nvPicPr>
                        <pic:blipFill>
                          <a:blip r:embed="rId17"/>
                          <a:stretch>
                            <a:fillRect/>
                          </a:stretch>
                        </pic:blipFill>
                        <pic:spPr>
                          <a:xfrm>
                            <a:off x="0" y="0"/>
                            <a:ext cx="3484245" cy="4543425"/>
                          </a:xfrm>
                          <a:prstGeom prst="rect">
                            <a:avLst/>
                          </a:prstGeom>
                        </pic:spPr>
                      </pic:pic>
                    </a:graphicData>
                  </a:graphic>
                </wp:inline>
              </w:drawing>
            </w:r>
          </w:p>
          <w:p w14:paraId="3B70D00B">
            <w:pPr>
              <w:pStyle w:val="43"/>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right="0"/>
              <w:jc w:val="center"/>
              <w:textAlignment w:val="auto"/>
              <w:rPr>
                <w:rFonts w:hint="default" w:ascii="Times New Roman" w:hAnsi="Times New Roman" w:eastAsia="宋体" w:cs="Times New Roman"/>
                <w:b/>
                <w:bCs w:val="0"/>
                <w:color w:val="auto"/>
                <w:sz w:val="18"/>
                <w:szCs w:val="18"/>
                <w:lang w:val="en-US" w:eastAsia="zh-CN"/>
              </w:rPr>
            </w:pPr>
            <w:r>
              <w:rPr>
                <w:rFonts w:hint="eastAsia" w:ascii="Times New Roman" w:hAnsi="Times New Roman" w:eastAsia="宋体" w:cs="Times New Roman"/>
                <w:b/>
                <w:bCs w:val="0"/>
                <w:color w:val="auto"/>
                <w:sz w:val="18"/>
                <w:szCs w:val="18"/>
                <w:lang w:val="en-US" w:eastAsia="zh-CN"/>
              </w:rPr>
              <w:t>G1：</w:t>
            </w:r>
            <w:r>
              <w:rPr>
                <w:rFonts w:hint="eastAsia" w:cs="Times New Roman"/>
                <w:b/>
                <w:bCs w:val="0"/>
                <w:color w:val="auto"/>
                <w:sz w:val="18"/>
                <w:szCs w:val="18"/>
                <w:lang w:val="en-US" w:eastAsia="zh-CN"/>
              </w:rPr>
              <w:t>角磨</w:t>
            </w:r>
            <w:r>
              <w:rPr>
                <w:rFonts w:hint="eastAsia" w:ascii="Times New Roman" w:hAnsi="Times New Roman" w:eastAsia="宋体" w:cs="Times New Roman"/>
                <w:b/>
                <w:bCs w:val="0"/>
                <w:color w:val="auto"/>
                <w:sz w:val="18"/>
                <w:szCs w:val="18"/>
                <w:lang w:val="en-US" w:eastAsia="zh-CN"/>
              </w:rPr>
              <w:t>切割粉尘；G2</w:t>
            </w:r>
            <w:r>
              <w:rPr>
                <w:rFonts w:hint="eastAsia" w:cs="Times New Roman"/>
                <w:b/>
                <w:bCs w:val="0"/>
                <w:color w:val="auto"/>
                <w:sz w:val="18"/>
                <w:szCs w:val="18"/>
                <w:lang w:val="en-US" w:eastAsia="zh-CN"/>
              </w:rPr>
              <w:t>：</w:t>
            </w:r>
            <w:r>
              <w:rPr>
                <w:rFonts w:hint="eastAsia" w:ascii="Times New Roman" w:hAnsi="Times New Roman" w:eastAsia="宋体" w:cs="Times New Roman"/>
                <w:b/>
                <w:bCs w:val="0"/>
                <w:color w:val="auto"/>
                <w:sz w:val="18"/>
                <w:szCs w:val="18"/>
                <w:lang w:val="en-US" w:eastAsia="zh-CN"/>
              </w:rPr>
              <w:t>剪切粉尘；G3</w:t>
            </w:r>
            <w:r>
              <w:rPr>
                <w:rFonts w:hint="eastAsia" w:cs="Times New Roman"/>
                <w:b/>
                <w:bCs w:val="0"/>
                <w:color w:val="auto"/>
                <w:sz w:val="18"/>
                <w:szCs w:val="18"/>
                <w:lang w:val="en-US" w:eastAsia="zh-CN"/>
              </w:rPr>
              <w:t>：</w:t>
            </w:r>
            <w:r>
              <w:rPr>
                <w:rFonts w:hint="eastAsia" w:ascii="Times New Roman" w:hAnsi="Times New Roman" w:eastAsia="宋体" w:cs="Times New Roman"/>
                <w:b/>
                <w:bCs w:val="0"/>
                <w:color w:val="auto"/>
                <w:sz w:val="18"/>
                <w:szCs w:val="18"/>
                <w:lang w:val="en-US" w:eastAsia="zh-CN"/>
              </w:rPr>
              <w:t>液压打包粉尘；W1</w:t>
            </w:r>
            <w:r>
              <w:rPr>
                <w:rFonts w:hint="eastAsia" w:cs="Times New Roman"/>
                <w:b/>
                <w:bCs w:val="0"/>
                <w:color w:val="auto"/>
                <w:sz w:val="18"/>
                <w:szCs w:val="18"/>
                <w:lang w:val="en-US" w:eastAsia="zh-CN"/>
              </w:rPr>
              <w:t>：</w:t>
            </w:r>
            <w:r>
              <w:rPr>
                <w:rFonts w:hint="eastAsia" w:ascii="Times New Roman" w:hAnsi="Times New Roman" w:eastAsia="宋体" w:cs="Times New Roman"/>
                <w:b/>
                <w:bCs w:val="0"/>
                <w:color w:val="auto"/>
                <w:sz w:val="18"/>
                <w:szCs w:val="18"/>
                <w:lang w:val="en-US" w:eastAsia="zh-CN"/>
              </w:rPr>
              <w:t>破碎废水；S1</w:t>
            </w:r>
            <w:r>
              <w:rPr>
                <w:rFonts w:hint="eastAsia" w:cs="Times New Roman"/>
                <w:b/>
                <w:bCs w:val="0"/>
                <w:color w:val="auto"/>
                <w:sz w:val="18"/>
                <w:szCs w:val="18"/>
                <w:lang w:val="en-US" w:eastAsia="zh-CN"/>
              </w:rPr>
              <w:t>：</w:t>
            </w:r>
            <w:r>
              <w:rPr>
                <w:rFonts w:hint="eastAsia" w:ascii="Times New Roman" w:hAnsi="Times New Roman" w:eastAsia="宋体" w:cs="Times New Roman"/>
                <w:b/>
                <w:bCs w:val="0"/>
                <w:color w:val="0000FF"/>
                <w:sz w:val="18"/>
                <w:szCs w:val="18"/>
                <w:lang w:val="en-US" w:eastAsia="zh-CN"/>
              </w:rPr>
              <w:t>废铅蓄电池</w:t>
            </w:r>
            <w:r>
              <w:rPr>
                <w:rFonts w:hint="eastAsia" w:cs="Times New Roman"/>
                <w:b/>
                <w:bCs w:val="0"/>
                <w:color w:val="0000FF"/>
                <w:sz w:val="18"/>
                <w:szCs w:val="18"/>
                <w:lang w:val="en-US" w:eastAsia="zh-CN"/>
              </w:rPr>
              <w:t>（含废破损铅蓄电池）、废电解液中和废物</w:t>
            </w:r>
            <w:r>
              <w:rPr>
                <w:rFonts w:hint="eastAsia" w:cs="Times New Roman"/>
                <w:b/>
                <w:bCs w:val="0"/>
                <w:color w:val="auto"/>
                <w:sz w:val="18"/>
                <w:szCs w:val="18"/>
                <w:lang w:val="en-US" w:eastAsia="zh-CN"/>
              </w:rPr>
              <w:t>；</w:t>
            </w:r>
            <w:r>
              <w:rPr>
                <w:rFonts w:hint="eastAsia" w:ascii="Times New Roman" w:hAnsi="Times New Roman" w:eastAsia="宋体" w:cs="Times New Roman"/>
                <w:b/>
                <w:bCs w:val="0"/>
                <w:color w:val="auto"/>
                <w:sz w:val="18"/>
                <w:szCs w:val="18"/>
                <w:lang w:val="en-US" w:eastAsia="zh-CN"/>
              </w:rPr>
              <w:t>S2</w:t>
            </w:r>
            <w:r>
              <w:rPr>
                <w:rFonts w:hint="eastAsia" w:cs="Times New Roman"/>
                <w:b/>
                <w:bCs w:val="0"/>
                <w:color w:val="auto"/>
                <w:sz w:val="18"/>
                <w:szCs w:val="18"/>
                <w:lang w:val="en-US" w:eastAsia="zh-CN"/>
              </w:rPr>
              <w:t>：</w:t>
            </w:r>
            <w:r>
              <w:rPr>
                <w:rFonts w:hint="eastAsia" w:ascii="Times New Roman" w:hAnsi="Times New Roman" w:eastAsia="宋体" w:cs="Times New Roman"/>
                <w:b/>
                <w:bCs w:val="0"/>
                <w:color w:val="auto"/>
                <w:sz w:val="18"/>
                <w:szCs w:val="18"/>
                <w:lang w:val="en-US" w:eastAsia="zh-CN"/>
              </w:rPr>
              <w:t>废锂电池</w:t>
            </w:r>
            <w:r>
              <w:rPr>
                <w:rFonts w:hint="eastAsia" w:cs="Times New Roman"/>
                <w:b/>
                <w:bCs w:val="0"/>
                <w:color w:val="auto"/>
                <w:sz w:val="18"/>
                <w:szCs w:val="18"/>
                <w:lang w:val="en-US" w:eastAsia="zh-CN"/>
              </w:rPr>
              <w:t>；</w:t>
            </w:r>
            <w:r>
              <w:rPr>
                <w:rFonts w:hint="eastAsia" w:ascii="Times New Roman" w:hAnsi="Times New Roman" w:eastAsia="宋体" w:cs="Times New Roman"/>
                <w:b/>
                <w:bCs w:val="0"/>
                <w:color w:val="auto"/>
                <w:sz w:val="18"/>
                <w:szCs w:val="18"/>
                <w:lang w:val="en-US" w:eastAsia="zh-CN"/>
              </w:rPr>
              <w:t>S3</w:t>
            </w:r>
            <w:r>
              <w:rPr>
                <w:rFonts w:hint="eastAsia" w:cs="Times New Roman"/>
                <w:b/>
                <w:bCs w:val="0"/>
                <w:color w:val="auto"/>
                <w:sz w:val="18"/>
                <w:szCs w:val="18"/>
                <w:lang w:val="en-US" w:eastAsia="zh-CN"/>
              </w:rPr>
              <w:t>：</w:t>
            </w:r>
            <w:r>
              <w:rPr>
                <w:rFonts w:hint="eastAsia" w:ascii="Times New Roman" w:hAnsi="Times New Roman" w:eastAsia="宋体" w:cs="Times New Roman"/>
                <w:b/>
                <w:bCs w:val="0"/>
                <w:color w:val="auto"/>
                <w:sz w:val="18"/>
                <w:szCs w:val="18"/>
                <w:lang w:val="en-US" w:eastAsia="zh-CN"/>
              </w:rPr>
              <w:t>废</w:t>
            </w:r>
            <w:r>
              <w:rPr>
                <w:rFonts w:hint="eastAsia" w:cs="Times New Roman"/>
                <w:b/>
                <w:bCs w:val="0"/>
                <w:color w:val="auto"/>
                <w:sz w:val="18"/>
                <w:szCs w:val="18"/>
                <w:lang w:val="en-US" w:eastAsia="zh-CN"/>
              </w:rPr>
              <w:t>钢铁件</w:t>
            </w:r>
            <w:r>
              <w:rPr>
                <w:rFonts w:hint="eastAsia" w:ascii="Times New Roman" w:hAnsi="Times New Roman" w:eastAsia="宋体" w:cs="Times New Roman"/>
                <w:b/>
                <w:bCs w:val="0"/>
                <w:color w:val="auto"/>
                <w:sz w:val="18"/>
                <w:szCs w:val="18"/>
                <w:lang w:val="en-US" w:eastAsia="zh-CN"/>
              </w:rPr>
              <w:t>；S4</w:t>
            </w:r>
            <w:r>
              <w:rPr>
                <w:rFonts w:hint="eastAsia" w:cs="Times New Roman"/>
                <w:b/>
                <w:bCs w:val="0"/>
                <w:color w:val="auto"/>
                <w:sz w:val="18"/>
                <w:szCs w:val="18"/>
                <w:lang w:val="en-US" w:eastAsia="zh-CN"/>
              </w:rPr>
              <w:t>：</w:t>
            </w:r>
            <w:r>
              <w:rPr>
                <w:rFonts w:hint="eastAsia" w:ascii="Times New Roman" w:hAnsi="Times New Roman" w:eastAsia="宋体" w:cs="Times New Roman"/>
                <w:b/>
                <w:bCs w:val="0"/>
                <w:color w:val="auto"/>
                <w:sz w:val="18"/>
                <w:szCs w:val="18"/>
                <w:lang w:val="en-US" w:eastAsia="zh-CN"/>
              </w:rPr>
              <w:t>废塑料；S5：废玻璃；S6：废电线；S7：废电机；S8：废橡胶；S9：废皮/布制品；S10：废减震器、S11：废电路板及电子元器件；S12：废液压油；S13：废刀片、滤网、絮凝沉淀池污泥</w:t>
            </w:r>
          </w:p>
          <w:p w14:paraId="2C7BE383">
            <w:pPr>
              <w:pStyle w:val="43"/>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right="0"/>
              <w:jc w:val="center"/>
              <w:textAlignment w:val="auto"/>
              <w:rPr>
                <w:rFonts w:hint="default"/>
                <w:b/>
                <w:bCs/>
                <w:color w:val="auto"/>
              </w:rPr>
            </w:pPr>
            <w:r>
              <w:rPr>
                <w:color w:val="auto"/>
              </w:rPr>
              <w:t>图</w:t>
            </w:r>
            <w:r>
              <w:rPr>
                <w:rFonts w:hint="eastAsia"/>
                <w:color w:val="auto"/>
              </w:rPr>
              <w:t>2-</w:t>
            </w:r>
            <w:r>
              <w:rPr>
                <w:rFonts w:hint="eastAsia"/>
                <w:color w:val="auto"/>
                <w:lang w:val="en-US" w:eastAsia="zh-CN"/>
              </w:rPr>
              <w:t>2</w:t>
            </w:r>
            <w:r>
              <w:rPr>
                <w:rFonts w:hint="eastAsia"/>
                <w:color w:val="auto"/>
                <w:lang w:eastAsia="zh-CN"/>
              </w:rPr>
              <w:t xml:space="preserve">  </w:t>
            </w:r>
            <w:r>
              <w:rPr>
                <w:rFonts w:hint="eastAsia"/>
                <w:color w:val="auto"/>
                <w:lang w:val="en-US" w:eastAsia="zh-CN"/>
              </w:rPr>
              <w:t>生产工</w:t>
            </w:r>
            <w:r>
              <w:rPr>
                <w:rFonts w:hint="eastAsia"/>
                <w:color w:val="auto"/>
              </w:rPr>
              <w:t>艺流程图及产污节点图</w:t>
            </w:r>
          </w:p>
          <w:p w14:paraId="5E30F701">
            <w:pPr>
              <w:keepNext w:val="0"/>
              <w:keepLines w:val="0"/>
              <w:suppressLineNumbers w:val="0"/>
              <w:bidi w:val="0"/>
              <w:spacing w:before="0" w:beforeAutospacing="0" w:after="0" w:afterAutospacing="0"/>
              <w:ind w:left="0" w:leftChars="0" w:right="0" w:firstLine="0" w:firstLineChars="0"/>
              <w:rPr>
                <w:rFonts w:hint="default"/>
                <w:b/>
                <w:bCs/>
                <w:color w:val="auto"/>
              </w:rPr>
            </w:pPr>
            <w:r>
              <w:rPr>
                <w:rFonts w:hint="default"/>
                <w:b/>
                <w:bCs/>
                <w:color w:val="auto"/>
              </w:rPr>
              <w:t>工艺流程说明：</w:t>
            </w:r>
          </w:p>
          <w:p w14:paraId="645C72B4">
            <w:pPr>
              <w:keepNext w:val="0"/>
              <w:keepLines w:val="0"/>
              <w:numPr>
                <w:ilvl w:val="0"/>
                <w:numId w:val="6"/>
              </w:numPr>
              <w:suppressLineNumbers w:val="0"/>
              <w:spacing w:before="0" w:beforeAutospacing="0" w:after="0" w:afterAutospacing="0" w:line="360" w:lineRule="auto"/>
              <w:ind w:left="0" w:right="0" w:firstLine="482" w:firstLineChars="200"/>
              <w:rPr>
                <w:rFonts w:hint="eastAsia" w:ascii="Times New Roman" w:hAnsi="Times New Roman" w:eastAsia="宋体" w:cs="Times New Roman"/>
                <w:b/>
                <w:bCs/>
                <w:color w:val="auto"/>
                <w:sz w:val="24"/>
                <w:u w:val="none"/>
                <w:lang w:val="en-US" w:eastAsia="zh-CN"/>
              </w:rPr>
            </w:pPr>
            <w:r>
              <w:rPr>
                <w:rFonts w:hint="eastAsia" w:ascii="Times New Roman" w:hAnsi="Times New Roman" w:eastAsia="宋体" w:cs="Times New Roman"/>
                <w:b/>
                <w:bCs/>
                <w:color w:val="auto"/>
                <w:sz w:val="24"/>
                <w:u w:val="none"/>
                <w:lang w:val="en-US" w:eastAsia="zh-CN"/>
              </w:rPr>
              <w:t>检查登记</w:t>
            </w:r>
          </w:p>
          <w:p w14:paraId="36FAD672">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本项目回收的电动自行车电池种类主要为铅蓄电池及锂电池，电动自行车运输入场后首先对回收的废旧电动自行车进行检查、登记，主要内容及流程如下：</w:t>
            </w:r>
          </w:p>
          <w:p w14:paraId="11142316">
            <w:pPr>
              <w:keepNext w:val="0"/>
              <w:keepLines w:val="0"/>
              <w:suppressLineNumbers w:val="0"/>
              <w:bidi w:val="0"/>
              <w:spacing w:before="0" w:beforeAutospacing="0" w:after="0" w:afterAutospacing="0"/>
              <w:ind w:left="0" w:right="0"/>
              <w:rPr>
                <w:rFonts w:hint="eastAsia" w:ascii="Times New Roman" w:hAnsi="Times New Roman" w:eastAsia="宋体" w:cs="Times New Roman"/>
                <w:b w:val="0"/>
                <w:bCs w:val="0"/>
                <w:color w:val="auto"/>
                <w:sz w:val="24"/>
                <w:u w:val="none"/>
                <w:lang w:val="en-US" w:eastAsia="zh-CN"/>
              </w:rPr>
            </w:pPr>
            <w:r>
              <w:rPr>
                <w:rFonts w:hint="eastAsia"/>
                <w:lang w:val="en-US" w:eastAsia="zh-CN"/>
              </w:rPr>
              <w:t>①检查报废电动自行车的整体状况，主要是对电池进行核验，对电池破损的电动自行车禁止入场</w:t>
            </w:r>
            <w:r>
              <w:rPr>
                <w:rFonts w:hint="eastAsia" w:ascii="Times New Roman" w:hAnsi="Times New Roman" w:eastAsia="宋体" w:cs="Times New Roman"/>
                <w:b w:val="0"/>
                <w:bCs w:val="0"/>
                <w:color w:val="auto"/>
                <w:sz w:val="24"/>
                <w:u w:val="none"/>
                <w:lang w:val="en-US" w:eastAsia="zh-CN"/>
              </w:rPr>
              <w:t>。</w:t>
            </w:r>
          </w:p>
          <w:p w14:paraId="017354EC">
            <w:pPr>
              <w:keepNext w:val="0"/>
              <w:keepLines w:val="0"/>
              <w:suppressLineNumbers w:val="0"/>
              <w:bidi w:val="0"/>
              <w:spacing w:before="0" w:beforeAutospacing="0" w:after="0" w:afterAutospacing="0"/>
              <w:ind w:left="0" w:right="0"/>
              <w:rPr>
                <w:rFonts w:hint="eastAsia" w:ascii="Times New Roman" w:hAnsi="Times New Roman" w:eastAsia="宋体" w:cs="Times New Roman"/>
                <w:b w:val="0"/>
                <w:bCs w:val="0"/>
                <w:color w:val="auto"/>
                <w:sz w:val="24"/>
                <w:u w:val="none"/>
                <w:lang w:val="en-US" w:eastAsia="zh-CN"/>
              </w:rPr>
            </w:pPr>
            <w:r>
              <w:rPr>
                <w:rFonts w:hint="eastAsia" w:ascii="Times New Roman" w:hAnsi="Times New Roman" w:eastAsia="宋体" w:cs="Times New Roman"/>
                <w:b w:val="0"/>
                <w:bCs w:val="0"/>
                <w:color w:val="auto"/>
                <w:sz w:val="24"/>
                <w:u w:val="none"/>
                <w:lang w:val="en-US" w:eastAsia="zh-CN"/>
              </w:rPr>
              <w:t>②对报废的电动自行车车辆基本信息进行登记，登记信息主要包括车辆识别信息、来源信息及电池信息。</w:t>
            </w:r>
          </w:p>
          <w:p w14:paraId="5F4267BA">
            <w:pPr>
              <w:keepNext w:val="0"/>
              <w:keepLines w:val="0"/>
              <w:suppressLineNumbers w:val="0"/>
              <w:bidi w:val="0"/>
              <w:spacing w:before="0" w:beforeAutospacing="0" w:after="0" w:afterAutospacing="0"/>
              <w:ind w:left="0" w:right="0"/>
              <w:rPr>
                <w:rFonts w:hint="eastAsia" w:ascii="Times New Roman" w:hAnsi="Times New Roman" w:eastAsia="宋体" w:cs="Times New Roman"/>
                <w:b w:val="0"/>
                <w:bCs w:val="0"/>
                <w:color w:val="auto"/>
                <w:sz w:val="24"/>
                <w:u w:val="none"/>
                <w:lang w:val="en-US" w:eastAsia="zh-CN"/>
              </w:rPr>
            </w:pPr>
            <w:r>
              <w:rPr>
                <w:rFonts w:hint="eastAsia" w:ascii="Times New Roman" w:hAnsi="Times New Roman" w:eastAsia="宋体" w:cs="Times New Roman"/>
                <w:lang w:val="en-US" w:eastAsia="zh-CN"/>
              </w:rPr>
              <w:t>③根据电动自行车回收拆解登记表的要求，登记信息并形成单据。项</w:t>
            </w:r>
            <w:r>
              <w:rPr>
                <w:rFonts w:hint="eastAsia" w:ascii="Times New Roman" w:hAnsi="Times New Roman" w:eastAsia="宋体" w:cs="Times New Roman"/>
                <w:b w:val="0"/>
                <w:bCs w:val="0"/>
                <w:color w:val="auto"/>
                <w:sz w:val="24"/>
                <w:u w:val="none"/>
                <w:lang w:val="en-US" w:eastAsia="zh-CN"/>
              </w:rPr>
              <w:t>目配套建设信息化管理系统，参照淮南市已开发的电动车网办 APP 和 173 处牌证服务点的经验，实现报废车辆登记、移交、拆解的全流程追溯。</w:t>
            </w:r>
          </w:p>
          <w:p w14:paraId="3B3D3737">
            <w:pPr>
              <w:keepNext w:val="0"/>
              <w:keepLines w:val="0"/>
              <w:suppressLineNumbers w:val="0"/>
              <w:bidi w:val="0"/>
              <w:spacing w:before="0" w:beforeAutospacing="0" w:after="0" w:afterAutospacing="0"/>
              <w:ind w:left="0" w:right="0"/>
              <w:rPr>
                <w:rFonts w:hint="default" w:ascii="Times New Roman" w:hAnsi="Times New Roman" w:eastAsia="宋体" w:cs="Times New Roman"/>
                <w:b w:val="0"/>
                <w:bCs w:val="0"/>
                <w:color w:val="auto"/>
                <w:sz w:val="24"/>
                <w:u w:val="none"/>
                <w:lang w:val="en-US" w:eastAsia="zh-CN"/>
              </w:rPr>
            </w:pPr>
            <w:r>
              <w:rPr>
                <w:rFonts w:hint="eastAsia" w:ascii="Times New Roman" w:hAnsi="Times New Roman" w:eastAsia="宋体" w:cs="Times New Roman"/>
                <w:b w:val="0"/>
                <w:bCs w:val="0"/>
                <w:color w:val="auto"/>
                <w:sz w:val="24"/>
                <w:u w:val="none"/>
                <w:lang w:val="en-US" w:eastAsia="zh-CN"/>
              </w:rPr>
              <w:t>此过程产生噪声。</w:t>
            </w:r>
          </w:p>
          <w:p w14:paraId="60C28B9F">
            <w:pPr>
              <w:keepNext w:val="0"/>
              <w:keepLines w:val="0"/>
              <w:numPr>
                <w:ilvl w:val="0"/>
                <w:numId w:val="6"/>
              </w:numPr>
              <w:suppressLineNumbers w:val="0"/>
              <w:spacing w:before="0" w:beforeAutospacing="0" w:after="0" w:afterAutospacing="0" w:line="360" w:lineRule="auto"/>
              <w:ind w:left="0" w:right="0" w:firstLine="482" w:firstLineChars="200"/>
              <w:rPr>
                <w:rFonts w:hint="eastAsia" w:ascii="Times New Roman" w:hAnsi="Times New Roman" w:eastAsia="宋体" w:cs="Times New Roman"/>
                <w:b/>
                <w:bCs/>
                <w:color w:val="auto"/>
                <w:sz w:val="24"/>
                <w:u w:val="none"/>
                <w:lang w:val="en-US" w:eastAsia="zh-CN"/>
              </w:rPr>
            </w:pPr>
            <w:r>
              <w:rPr>
                <w:rFonts w:hint="eastAsia" w:ascii="Times New Roman" w:hAnsi="Times New Roman" w:cs="Times New Roman"/>
                <w:b/>
                <w:bCs/>
                <w:color w:val="auto"/>
                <w:sz w:val="24"/>
                <w:u w:val="none"/>
                <w:lang w:val="en-US" w:eastAsia="zh-CN"/>
              </w:rPr>
              <w:t>入库暂存</w:t>
            </w:r>
          </w:p>
          <w:p w14:paraId="04596C44">
            <w:pPr>
              <w:keepNext w:val="0"/>
              <w:keepLines w:val="0"/>
              <w:suppressLineNumbers w:val="0"/>
              <w:bidi w:val="0"/>
              <w:spacing w:before="0" w:beforeAutospacing="0" w:after="0" w:afterAutospacing="0"/>
              <w:ind w:left="0" w:right="0"/>
              <w:rPr>
                <w:rFonts w:hint="eastAsia" w:ascii="Times New Roman" w:hAnsi="Times New Roman" w:eastAsia="宋体" w:cs="Times New Roman"/>
                <w:b w:val="0"/>
                <w:bCs w:val="0"/>
                <w:color w:val="auto"/>
                <w:sz w:val="24"/>
                <w:u w:val="none"/>
                <w:lang w:val="en-US" w:eastAsia="zh-CN"/>
              </w:rPr>
            </w:pPr>
            <w:r>
              <w:rPr>
                <w:rFonts w:hint="eastAsia" w:ascii="Times New Roman" w:hAnsi="Times New Roman" w:eastAsia="宋体" w:cs="Times New Roman"/>
                <w:b w:val="0"/>
                <w:bCs w:val="0"/>
                <w:color w:val="auto"/>
                <w:sz w:val="24"/>
                <w:u w:val="none"/>
                <w:lang w:val="en-US" w:eastAsia="zh-CN"/>
              </w:rPr>
              <w:t>将登记分类后电动自行车送至拆解车间电动自行车暂存区，等待拆解。</w:t>
            </w:r>
          </w:p>
          <w:p w14:paraId="2E3A28D1">
            <w:pPr>
              <w:keepNext w:val="0"/>
              <w:keepLines w:val="0"/>
              <w:numPr>
                <w:ilvl w:val="0"/>
                <w:numId w:val="6"/>
              </w:numPr>
              <w:suppressLineNumbers w:val="0"/>
              <w:spacing w:before="0" w:beforeAutospacing="0" w:after="0" w:afterAutospacing="0" w:line="360" w:lineRule="auto"/>
              <w:ind w:left="0" w:leftChars="0" w:right="0" w:firstLine="482" w:firstLineChars="200"/>
              <w:rPr>
                <w:rFonts w:hint="eastAsia" w:ascii="Times New Roman" w:hAnsi="Times New Roman" w:eastAsia="宋体" w:cs="Times New Roman"/>
                <w:b/>
                <w:bCs/>
                <w:color w:val="auto"/>
                <w:sz w:val="24"/>
                <w:u w:val="none"/>
                <w:lang w:val="en-US" w:eastAsia="zh-CN"/>
              </w:rPr>
            </w:pPr>
            <w:r>
              <w:rPr>
                <w:rFonts w:hint="eastAsia" w:ascii="Times New Roman" w:hAnsi="Times New Roman" w:eastAsia="宋体" w:cs="Times New Roman"/>
                <w:b/>
                <w:bCs/>
                <w:color w:val="auto"/>
                <w:sz w:val="24"/>
                <w:u w:val="none"/>
                <w:lang w:val="en-US" w:eastAsia="zh-CN"/>
              </w:rPr>
              <w:t>拆</w:t>
            </w:r>
            <w:r>
              <w:rPr>
                <w:rFonts w:hint="eastAsia" w:cs="Times New Roman"/>
                <w:b/>
                <w:bCs/>
                <w:color w:val="auto"/>
                <w:sz w:val="24"/>
                <w:u w:val="none"/>
                <w:lang w:val="en-US" w:eastAsia="zh-CN"/>
              </w:rPr>
              <w:t>除</w:t>
            </w:r>
            <w:r>
              <w:rPr>
                <w:rFonts w:hint="eastAsia" w:ascii="Times New Roman" w:hAnsi="Times New Roman" w:eastAsia="宋体" w:cs="Times New Roman"/>
                <w:b/>
                <w:bCs/>
                <w:color w:val="auto"/>
                <w:sz w:val="24"/>
                <w:u w:val="none"/>
                <w:lang w:val="en-US" w:eastAsia="zh-CN"/>
              </w:rPr>
              <w:t>电池</w:t>
            </w:r>
          </w:p>
          <w:p w14:paraId="3858469E">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为了确保后续拆解过程操作安全，入厂含电池的电动自行车在拆解时，必须先拆除电池，使车辆完全断电。</w:t>
            </w:r>
            <w:r>
              <w:rPr>
                <w:rFonts w:hint="eastAsia"/>
                <w:color w:val="0000FF"/>
                <w:lang w:val="en-US" w:eastAsia="zh-CN"/>
              </w:rPr>
              <w:t>拆除电池期间应规范操作步骤，避免损伤电池，如拆解过程中发生破损产生电解液泄露，需立即使用石灰对泄漏后电解液进行中和，同时使用带盖PVC箱对破损废铅蓄电池进行暂存。</w:t>
            </w:r>
          </w:p>
          <w:p w14:paraId="3EAD4B40">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此过程产生废铅蓄电池（含</w:t>
            </w:r>
            <w:r>
              <w:rPr>
                <w:rFonts w:hint="eastAsia"/>
                <w:color w:val="0000FF"/>
                <w:lang w:val="en-US" w:eastAsia="zh-CN"/>
              </w:rPr>
              <w:t>废破损铅蓄电池</w:t>
            </w:r>
            <w:r>
              <w:rPr>
                <w:rFonts w:hint="eastAsia"/>
                <w:lang w:val="en-US" w:eastAsia="zh-CN"/>
              </w:rPr>
              <w:t>）</w:t>
            </w:r>
            <w:r>
              <w:rPr>
                <w:rFonts w:hint="eastAsia"/>
                <w:color w:val="0000FF"/>
                <w:lang w:val="en-US" w:eastAsia="zh-CN"/>
              </w:rPr>
              <w:t>、废电解液中和废物、</w:t>
            </w:r>
            <w:r>
              <w:rPr>
                <w:rFonts w:hint="eastAsia"/>
                <w:lang w:val="en-US" w:eastAsia="zh-CN"/>
              </w:rPr>
              <w:t>废锂电池、噪声。其中，</w:t>
            </w:r>
            <w:r>
              <w:rPr>
                <w:rFonts w:hint="eastAsia"/>
                <w:color w:val="0000FF"/>
                <w:lang w:val="en-US" w:eastAsia="zh-CN"/>
              </w:rPr>
              <w:t>废铅蓄电池为危险废物，送至项目危废暂存间废铅蓄电池暂存区暂存，其中废铅蓄电池使用防渗托盘进行暂存，废破损铅蓄电池使用带盖PVC箱对破损废铅蓄电池进行暂存</w:t>
            </w:r>
            <w:r>
              <w:rPr>
                <w:rFonts w:hint="eastAsia"/>
                <w:lang w:val="en-US" w:eastAsia="zh-CN"/>
              </w:rPr>
              <w:t>；</w:t>
            </w:r>
            <w:r>
              <w:rPr>
                <w:rFonts w:hint="eastAsia"/>
                <w:color w:val="0000FF"/>
                <w:lang w:val="en-US" w:eastAsia="zh-CN"/>
              </w:rPr>
              <w:t>废电解液中和废物为危险废物，暂存危废暂存间后委托有资质单位进行处置；</w:t>
            </w:r>
            <w:r>
              <w:rPr>
                <w:rFonts w:hint="eastAsia"/>
                <w:lang w:val="en-US" w:eastAsia="zh-CN"/>
              </w:rPr>
              <w:t>废锂电池属于一般固废，送至暂存车间废锂电池暂存区</w:t>
            </w:r>
            <w:commentRangeStart w:id="21"/>
            <w:commentRangeStart w:id="22"/>
            <w:r>
              <w:rPr>
                <w:rFonts w:hint="eastAsia"/>
                <w:lang w:val="en-US" w:eastAsia="zh-CN"/>
              </w:rPr>
              <w:t>。</w:t>
            </w:r>
            <w:commentRangeEnd w:id="21"/>
            <w:r>
              <w:rPr>
                <w:rFonts w:hint="default"/>
              </w:rPr>
              <w:commentReference w:id="21"/>
            </w:r>
            <w:commentRangeEnd w:id="22"/>
            <w:r>
              <w:rPr>
                <w:rFonts w:hint="default"/>
              </w:rPr>
              <w:commentReference w:id="22"/>
            </w:r>
          </w:p>
          <w:p w14:paraId="69771555">
            <w:pPr>
              <w:keepNext w:val="0"/>
              <w:keepLines w:val="0"/>
              <w:numPr>
                <w:ilvl w:val="0"/>
                <w:numId w:val="6"/>
              </w:numPr>
              <w:suppressLineNumbers w:val="0"/>
              <w:bidi w:val="0"/>
              <w:spacing w:before="0" w:beforeAutospacing="0" w:after="0" w:afterAutospacing="0"/>
              <w:ind w:left="0" w:leftChars="0" w:right="0" w:firstLine="482" w:firstLineChars="200"/>
              <w:rPr>
                <w:rFonts w:hint="eastAsia" w:ascii="Times New Roman" w:hAnsi="Times New Roman" w:eastAsia="宋体" w:cs="Times New Roman"/>
                <w:b/>
                <w:bCs/>
                <w:color w:val="auto"/>
                <w:sz w:val="24"/>
                <w:u w:val="none"/>
                <w:lang w:val="en-US" w:eastAsia="zh-CN"/>
              </w:rPr>
            </w:pPr>
            <w:r>
              <w:rPr>
                <w:rFonts w:hint="eastAsia" w:ascii="Times New Roman" w:hAnsi="Times New Roman" w:eastAsia="宋体" w:cs="Times New Roman"/>
                <w:b/>
                <w:bCs/>
                <w:color w:val="auto"/>
                <w:sz w:val="24"/>
                <w:u w:val="none"/>
                <w:lang w:val="en-US" w:eastAsia="zh-CN"/>
              </w:rPr>
              <w:t>拆解</w:t>
            </w:r>
          </w:p>
          <w:p w14:paraId="330F008C">
            <w:pPr>
              <w:keepNext w:val="0"/>
              <w:keepLines w:val="0"/>
              <w:suppressLineNumbers w:val="0"/>
              <w:bidi w:val="0"/>
              <w:spacing w:before="0" w:beforeAutospacing="0" w:after="0" w:afterAutospacing="0"/>
              <w:ind w:left="0" w:right="0"/>
              <w:rPr>
                <w:rFonts w:hint="default" w:eastAsia="宋体"/>
                <w:lang w:val="en-US" w:eastAsia="zh-CN"/>
              </w:rPr>
            </w:pPr>
            <w:r>
              <w:rPr>
                <w:rFonts w:hint="eastAsia" w:ascii="Times New Roman" w:hAnsi="Times New Roman" w:eastAsia="宋体" w:cs="Times New Roman"/>
                <w:b w:val="0"/>
                <w:bCs w:val="0"/>
                <w:color w:val="auto"/>
                <w:sz w:val="24"/>
                <w:u w:val="none"/>
                <w:lang w:val="en-US" w:eastAsia="zh-CN"/>
              </w:rPr>
              <w:t>电池拆</w:t>
            </w:r>
            <w:r>
              <w:rPr>
                <w:rFonts w:hint="eastAsia" w:cs="Times New Roman"/>
                <w:b w:val="0"/>
                <w:bCs w:val="0"/>
                <w:color w:val="auto"/>
                <w:sz w:val="24"/>
                <w:u w:val="none"/>
                <w:lang w:val="en-US" w:eastAsia="zh-CN"/>
              </w:rPr>
              <w:t>除</w:t>
            </w:r>
            <w:r>
              <w:rPr>
                <w:rFonts w:hint="eastAsia" w:ascii="Times New Roman" w:hAnsi="Times New Roman" w:eastAsia="宋体" w:cs="Times New Roman"/>
                <w:b w:val="0"/>
                <w:bCs w:val="0"/>
                <w:color w:val="auto"/>
                <w:sz w:val="24"/>
                <w:u w:val="none"/>
                <w:lang w:val="en-US" w:eastAsia="zh-CN"/>
              </w:rPr>
              <w:t>后，</w:t>
            </w:r>
            <w:r>
              <w:rPr>
                <w:rFonts w:hint="eastAsia" w:cs="Times New Roman"/>
                <w:b w:val="0"/>
                <w:bCs w:val="0"/>
                <w:color w:val="auto"/>
                <w:sz w:val="24"/>
                <w:u w:val="none"/>
                <w:lang w:val="en-US" w:eastAsia="zh-CN"/>
              </w:rPr>
              <w:t>对</w:t>
            </w:r>
            <w:r>
              <w:rPr>
                <w:rFonts w:hint="eastAsia" w:ascii="Times New Roman" w:hAnsi="Times New Roman" w:eastAsia="宋体" w:cs="Times New Roman"/>
                <w:b w:val="0"/>
                <w:bCs w:val="0"/>
                <w:color w:val="auto"/>
                <w:sz w:val="24"/>
                <w:u w:val="none"/>
                <w:lang w:val="en-US" w:eastAsia="zh-CN"/>
              </w:rPr>
              <w:t>断电后的电动自行车进行拆解。由于车辆型号不同，部件拆解先后顺序略有差异，以拆解方便、节约时间为操作原则，</w:t>
            </w:r>
            <w:r>
              <w:rPr>
                <w:rFonts w:hint="eastAsia" w:ascii="Times New Roman" w:hAnsi="Times New Roman" w:cs="Times New Roman"/>
                <w:b w:val="0"/>
                <w:bCs w:val="0"/>
                <w:color w:val="auto"/>
                <w:sz w:val="24"/>
                <w:u w:val="none"/>
                <w:lang w:val="en-US" w:eastAsia="zh-CN"/>
              </w:rPr>
              <w:t>电池、电机、螺丝与紧固件拆卸均需要人工操作，轮胎、车架等需借助设备辅助，</w:t>
            </w:r>
            <w:r>
              <w:rPr>
                <w:rFonts w:hint="eastAsia"/>
                <w:lang w:val="en-US" w:eastAsia="zh-CN"/>
              </w:rPr>
              <w:t>项目拆解过程中尽可能</w:t>
            </w:r>
            <w:r>
              <w:rPr>
                <w:rFonts w:hint="default"/>
              </w:rPr>
              <w:t>保证零部件可再利用性以及材料可回收利用性</w:t>
            </w:r>
            <w:r>
              <w:rPr>
                <w:rFonts w:hint="eastAsia"/>
                <w:lang w:eastAsia="zh-CN"/>
              </w:rPr>
              <w:t>，</w:t>
            </w:r>
            <w:r>
              <w:rPr>
                <w:rFonts w:hint="eastAsia"/>
                <w:lang w:val="en-US" w:eastAsia="zh-CN"/>
              </w:rPr>
              <w:t>同时</w:t>
            </w:r>
            <w:r>
              <w:rPr>
                <w:rFonts w:hint="default"/>
              </w:rPr>
              <w:t>各种零部件和材料都应以恰当的方式拆除和隔离。拆解时应避免损伤或污染再利用零件和可回收材料。</w:t>
            </w:r>
            <w:r>
              <w:rPr>
                <w:rFonts w:hint="eastAsia"/>
                <w:lang w:val="en-US" w:eastAsia="zh-CN"/>
              </w:rPr>
              <w:t>对部分液压式减震器内部含有少量的液压油抽空，排空率不低于95%。</w:t>
            </w:r>
          </w:p>
          <w:p w14:paraId="245D852F">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b w:val="0"/>
                <w:bCs w:val="0"/>
                <w:color w:val="auto"/>
                <w:sz w:val="24"/>
                <w:u w:val="none"/>
                <w:lang w:val="en-US" w:eastAsia="zh-CN"/>
              </w:rPr>
            </w:pPr>
            <w:r>
              <w:rPr>
                <w:rFonts w:hint="eastAsia" w:ascii="Times New Roman" w:hAnsi="Times New Roman" w:eastAsia="宋体" w:cs="Times New Roman"/>
                <w:b w:val="0"/>
                <w:bCs w:val="0"/>
                <w:color w:val="auto"/>
                <w:sz w:val="24"/>
                <w:u w:val="none"/>
                <w:lang w:val="en-US" w:eastAsia="zh-CN"/>
              </w:rPr>
              <w:t>主要拆解部件包括车架、车座、车灯、减震器、仪表盘、线路板、轮胎、电线、电机。车架拆解产生废金属、废塑料；车座拆解产生废海绵、废皮革；车灯拆解产生废玻璃、废电子元器件，废塑料；减震器拆解产生废金属结构件，部分液压式减震器内部含有少量的液压油；仪表盘拆解产生废塑料件、废电子元器件；线路板拆解产生废电路板、废电子元器件；轮胎拆解产生废橡胶；电线拆解产生废电线；电机拆解产生废电机。</w:t>
            </w:r>
          </w:p>
          <w:p w14:paraId="1AFA0E9C">
            <w:pPr>
              <w:keepNext w:val="0"/>
              <w:keepLines w:val="0"/>
              <w:suppressLineNumbers w:val="0"/>
              <w:spacing w:before="0" w:beforeAutospacing="0" w:after="0" w:afterAutospacing="0" w:line="360" w:lineRule="auto"/>
              <w:ind w:left="0" w:right="0" w:firstLine="464" w:firstLineChars="200"/>
              <w:rPr>
                <w:rFonts w:hint="eastAsia"/>
                <w:lang w:val="en-US" w:eastAsia="zh-CN"/>
              </w:rPr>
            </w:pPr>
            <w:r>
              <w:rPr>
                <w:rFonts w:hint="eastAsia" w:ascii="Times New Roman" w:hAnsi="Times New Roman" w:eastAsia="宋体"/>
                <w:color w:val="auto"/>
                <w:spacing w:val="-4"/>
                <w:sz w:val="24"/>
                <w:szCs w:val="24"/>
                <w:lang w:val="en-US" w:eastAsia="zh-CN"/>
              </w:rPr>
              <w:t>在拆解的过程中工人使用角磨机、切割机对金属</w:t>
            </w:r>
            <w:r>
              <w:rPr>
                <w:rFonts w:hint="eastAsia" w:ascii="Times New Roman" w:hAnsi="Times New Roman"/>
                <w:color w:val="auto"/>
                <w:spacing w:val="-4"/>
                <w:sz w:val="24"/>
                <w:szCs w:val="24"/>
                <w:lang w:val="en-US" w:eastAsia="zh-CN"/>
              </w:rPr>
              <w:t>进行</w:t>
            </w:r>
            <w:r>
              <w:rPr>
                <w:rFonts w:hint="eastAsia" w:ascii="Times New Roman" w:hAnsi="Times New Roman" w:eastAsia="宋体"/>
                <w:color w:val="auto"/>
                <w:spacing w:val="-4"/>
                <w:sz w:val="24"/>
                <w:szCs w:val="24"/>
                <w:lang w:val="en-US" w:eastAsia="zh-CN"/>
              </w:rPr>
              <w:t>切割</w:t>
            </w:r>
            <w:r>
              <w:rPr>
                <w:rFonts w:hint="eastAsia" w:ascii="Times New Roman" w:hAnsi="Times New Roman"/>
                <w:color w:val="auto"/>
                <w:spacing w:val="-4"/>
                <w:sz w:val="24"/>
                <w:szCs w:val="24"/>
                <w:lang w:val="en-US" w:eastAsia="zh-CN"/>
              </w:rPr>
              <w:t>，此过程</w:t>
            </w:r>
            <w:r>
              <w:rPr>
                <w:rFonts w:hint="eastAsia" w:ascii="Times New Roman" w:hAnsi="Times New Roman" w:eastAsia="宋体"/>
                <w:color w:val="auto"/>
                <w:spacing w:val="-4"/>
                <w:sz w:val="24"/>
                <w:szCs w:val="24"/>
                <w:lang w:val="en-US" w:eastAsia="zh-CN"/>
              </w:rPr>
              <w:t>产生</w:t>
            </w:r>
            <w:commentRangeStart w:id="23"/>
            <w:commentRangeStart w:id="24"/>
            <w:r>
              <w:rPr>
                <w:rFonts w:hint="eastAsia" w:ascii="Times New Roman" w:hAnsi="Times New Roman" w:eastAsia="宋体" w:cs="Times New Roman"/>
                <w:color w:val="auto"/>
                <w:spacing w:val="-4"/>
                <w:sz w:val="24"/>
                <w:szCs w:val="24"/>
                <w:lang w:val="en-US" w:eastAsia="zh-CN"/>
              </w:rPr>
              <w:t>角磨切割</w:t>
            </w:r>
            <w:r>
              <w:rPr>
                <w:rFonts w:hint="eastAsia" w:ascii="Times New Roman" w:hAnsi="Times New Roman" w:eastAsia="宋体"/>
                <w:color w:val="auto"/>
                <w:spacing w:val="-4"/>
                <w:sz w:val="24"/>
                <w:szCs w:val="24"/>
                <w:lang w:val="en-US" w:eastAsia="zh-CN"/>
              </w:rPr>
              <w:t>粉尘</w:t>
            </w:r>
            <w:r>
              <w:rPr>
                <w:rFonts w:hint="eastAsia" w:ascii="Times New Roman" w:hAnsi="Times New Roman" w:eastAsia="宋体" w:cs="Times New Roman"/>
                <w:b w:val="0"/>
                <w:bCs w:val="0"/>
                <w:color w:val="auto"/>
                <w:sz w:val="24"/>
                <w:u w:val="none"/>
                <w:lang w:val="en-US" w:eastAsia="zh-CN"/>
              </w:rPr>
              <w:t>和噪声等</w:t>
            </w:r>
            <w:r>
              <w:rPr>
                <w:rFonts w:hint="eastAsia" w:cs="Times New Roman"/>
                <w:b w:val="0"/>
                <w:bCs w:val="0"/>
                <w:color w:val="auto"/>
                <w:sz w:val="24"/>
                <w:u w:val="none"/>
                <w:lang w:val="en-US" w:eastAsia="zh-CN"/>
              </w:rPr>
              <w:t>，</w:t>
            </w:r>
            <w:r>
              <w:rPr>
                <w:rFonts w:hint="eastAsia" w:cs="Times New Roman"/>
                <w:b w:val="0"/>
                <w:bCs w:val="0"/>
                <w:color w:val="0000FF"/>
                <w:sz w:val="24"/>
                <w:u w:val="none"/>
                <w:lang w:val="en-US" w:eastAsia="zh-CN"/>
              </w:rPr>
              <w:t>角磨切割粉尘经收集后进入袋式除尘器处理后有组织排放</w:t>
            </w:r>
            <w:r>
              <w:rPr>
                <w:rFonts w:hint="eastAsia" w:ascii="Times New Roman" w:hAnsi="Times New Roman" w:eastAsia="宋体" w:cs="Times New Roman"/>
                <w:b w:val="0"/>
                <w:bCs w:val="0"/>
                <w:color w:val="0000FF"/>
                <w:sz w:val="24"/>
                <w:u w:val="none"/>
                <w:lang w:val="en-US" w:eastAsia="zh-CN"/>
              </w:rPr>
              <w:t>。</w:t>
            </w:r>
            <w:commentRangeEnd w:id="23"/>
            <w:r>
              <w:rPr>
                <w:rFonts w:hint="default"/>
              </w:rPr>
              <w:commentReference w:id="23"/>
            </w:r>
            <w:commentRangeEnd w:id="24"/>
            <w:r>
              <w:rPr>
                <w:rFonts w:hint="default"/>
              </w:rPr>
              <w:commentReference w:id="24"/>
            </w:r>
          </w:p>
          <w:p w14:paraId="7C25B161">
            <w:pPr>
              <w:keepNext w:val="0"/>
              <w:keepLines w:val="0"/>
              <w:suppressLineNumbers w:val="0"/>
              <w:bidi w:val="0"/>
              <w:spacing w:before="0" w:beforeAutospacing="0" w:after="0" w:afterAutospacing="0"/>
              <w:ind w:left="0" w:right="0"/>
              <w:rPr>
                <w:rFonts w:hint="default" w:eastAsia="宋体"/>
                <w:b/>
                <w:bCs/>
                <w:lang w:val="en-US" w:eastAsia="zh-CN"/>
              </w:rPr>
            </w:pPr>
            <w:r>
              <w:rPr>
                <w:rFonts w:hint="eastAsia"/>
                <w:b/>
                <w:bCs/>
                <w:lang w:val="en-US" w:eastAsia="zh-CN"/>
              </w:rPr>
              <w:t>（5）分类</w:t>
            </w:r>
            <w:r>
              <w:rPr>
                <w:rFonts w:hint="eastAsia" w:ascii="Times New Roman" w:hAnsi="Times New Roman" w:eastAsia="宋体"/>
                <w:b/>
                <w:bCs/>
                <w:color w:val="auto"/>
                <w:spacing w:val="-4"/>
                <w:sz w:val="24"/>
                <w:szCs w:val="24"/>
                <w:lang w:val="en-US" w:eastAsia="zh-CN"/>
              </w:rPr>
              <w:t>、入库暂存</w:t>
            </w:r>
          </w:p>
          <w:p w14:paraId="4F2C2AE0">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b w:val="0"/>
                <w:bCs w:val="0"/>
                <w:color w:val="auto"/>
                <w:sz w:val="24"/>
                <w:u w:val="none"/>
                <w:lang w:val="en-US" w:eastAsia="zh-CN"/>
              </w:rPr>
            </w:pPr>
            <w:r>
              <w:rPr>
                <w:rFonts w:hint="eastAsia"/>
                <w:lang w:val="en-US" w:eastAsia="zh-CN"/>
              </w:rPr>
              <w:t>对拆解后的零部件按照性质进行分类，其中废钢铁件转移至打包区待压缩打包，废塑料转移至破碎区待破碎，其他零部件如废玻璃</w:t>
            </w:r>
            <w:r>
              <w:rPr>
                <w:rFonts w:hint="eastAsia" w:ascii="Times New Roman" w:hAnsi="Times New Roman" w:eastAsia="宋体"/>
                <w:color w:val="auto"/>
                <w:spacing w:val="-4"/>
                <w:sz w:val="24"/>
                <w:szCs w:val="24"/>
                <w:lang w:val="en-US" w:eastAsia="zh-CN"/>
              </w:rPr>
              <w:t>、废电线、废橡胶、废皮/布制品、废减震器、废电机为一般固废，分类暂存于暂存车间相应区域内，废电子元器件、废电路板、废液压油</w:t>
            </w:r>
            <w:r>
              <w:rPr>
                <w:rFonts w:hint="eastAsia" w:ascii="Times New Roman" w:hAnsi="Times New Roman" w:eastAsia="宋体" w:cs="Times New Roman"/>
                <w:b w:val="0"/>
                <w:bCs w:val="0"/>
                <w:color w:val="auto"/>
                <w:sz w:val="24"/>
                <w:u w:val="none"/>
                <w:lang w:val="en-US" w:eastAsia="zh-CN"/>
              </w:rPr>
              <w:t>均属于危险废物，需分类暂存于危险废物暂存间。一般固废定期外售资源回收部门，危险废物定期委托有资质专业单位进行转运、处置。</w:t>
            </w:r>
          </w:p>
          <w:p w14:paraId="7C449A56">
            <w:pPr>
              <w:keepNext w:val="0"/>
              <w:keepLines w:val="0"/>
              <w:suppressLineNumbers w:val="0"/>
              <w:bidi w:val="0"/>
              <w:spacing w:before="0" w:beforeAutospacing="0" w:after="0" w:afterAutospacing="0"/>
              <w:ind w:left="0" w:right="0"/>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（6）</w:t>
            </w:r>
            <w:r>
              <w:rPr>
                <w:rFonts w:hint="eastAsia" w:cs="Times New Roman"/>
                <w:b/>
                <w:bCs/>
                <w:color w:val="0000FF"/>
                <w:lang w:val="en-US" w:eastAsia="zh-CN"/>
              </w:rPr>
              <w:t>剪切</w:t>
            </w:r>
            <w:r>
              <w:rPr>
                <w:rFonts w:hint="eastAsia" w:ascii="Times New Roman" w:hAnsi="Times New Roman" w:eastAsia="宋体" w:cs="Times New Roman"/>
                <w:b/>
                <w:bCs/>
                <w:lang w:val="en-US" w:eastAsia="zh-CN"/>
              </w:rPr>
              <w:t>压实打包</w:t>
            </w:r>
          </w:p>
          <w:p w14:paraId="1B2D109B">
            <w:pPr>
              <w:keepNext w:val="0"/>
              <w:keepLines w:val="0"/>
              <w:suppressLineNumbers w:val="0"/>
              <w:spacing w:before="0" w:beforeAutospacing="0" w:after="0" w:afterAutospacing="0" w:line="460" w:lineRule="exact"/>
              <w:ind w:left="0" w:right="0" w:firstLine="480" w:firstLineChars="200"/>
              <w:rPr>
                <w:rFonts w:hint="default" w:ascii="Times New Roman" w:hAnsi="Times New Roman" w:eastAsia="宋体" w:cs="Times New Roman"/>
                <w:color w:val="0000FF"/>
                <w:sz w:val="24"/>
              </w:rPr>
            </w:pPr>
            <w:r>
              <w:rPr>
                <w:rFonts w:hint="default" w:ascii="Times New Roman" w:hAnsi="Times New Roman" w:cs="Times New Roman"/>
                <w:color w:val="0000FF"/>
                <w:sz w:val="24"/>
              </w:rPr>
              <w:t>项目拆解完成后的车架、车身等，采用鳄式剪切机剪切后</w:t>
            </w:r>
            <w:r>
              <w:rPr>
                <w:rFonts w:hint="eastAsia" w:cs="Times New Roman"/>
                <w:sz w:val="24"/>
                <w:lang w:val="en-US" w:eastAsia="zh-CN"/>
              </w:rPr>
              <w:t>与</w:t>
            </w:r>
            <w:r>
              <w:rPr>
                <w:rFonts w:hint="eastAsia" w:cs="Times New Roman"/>
                <w:b w:val="0"/>
                <w:bCs w:val="0"/>
                <w:color w:val="auto"/>
                <w:u w:val="none"/>
                <w:lang w:val="en-US" w:eastAsia="zh-CN"/>
              </w:rPr>
              <w:t>轮毂、钢圈、车把、刹车片/刹车盘等废钢铁件等一同进入</w:t>
            </w:r>
            <w:r>
              <w:rPr>
                <w:rFonts w:hint="default" w:ascii="Times New Roman" w:hAnsi="Times New Roman" w:cs="Times New Roman"/>
                <w:sz w:val="24"/>
              </w:rPr>
              <w:t>压实打包机压实打包</w:t>
            </w:r>
            <w:r>
              <w:rPr>
                <w:rFonts w:hint="eastAsia" w:ascii="Times New Roman" w:hAnsi="Times New Roman" w:eastAsia="宋体" w:cs="Times New Roman"/>
                <w:color w:val="0000FF"/>
                <w:sz w:val="24"/>
                <w:lang w:eastAsia="zh-CN"/>
              </w:rPr>
              <w:t>。</w:t>
            </w:r>
            <w:r>
              <w:rPr>
                <w:rFonts w:hint="default" w:ascii="Times New Roman" w:hAnsi="Times New Roman" w:eastAsia="宋体" w:cs="Times New Roman"/>
                <w:color w:val="0000FF"/>
                <w:sz w:val="24"/>
              </w:rPr>
              <w:t>项目采用大吨位金属液压打包机，剪切后的废钢铁件可直接放入料箱，在大功率电机驱动的液压系统作用下，物料被挤压成规定规格的金属包块作为</w:t>
            </w:r>
            <w:r>
              <w:rPr>
                <w:rFonts w:hint="eastAsia" w:ascii="Times New Roman" w:hAnsi="Times New Roman" w:eastAsia="宋体" w:cs="Times New Roman"/>
                <w:color w:val="0000FF"/>
                <w:sz w:val="24"/>
                <w:lang w:eastAsia="zh-CN"/>
              </w:rPr>
              <w:t>钢铁件</w:t>
            </w:r>
            <w:r>
              <w:rPr>
                <w:rFonts w:hint="default" w:ascii="Times New Roman" w:hAnsi="Times New Roman" w:eastAsia="宋体" w:cs="Times New Roman"/>
                <w:color w:val="0000FF"/>
                <w:sz w:val="24"/>
              </w:rPr>
              <w:t>原料外售。</w:t>
            </w:r>
          </w:p>
          <w:p w14:paraId="6C14DD1A">
            <w:pPr>
              <w:keepNext w:val="0"/>
              <w:keepLines w:val="0"/>
              <w:suppressLineNumbers w:val="0"/>
              <w:spacing w:before="0" w:beforeAutospacing="0" w:after="0" w:afterAutospacing="0" w:line="460" w:lineRule="exact"/>
              <w:ind w:left="0" w:right="0" w:firstLine="480" w:firstLineChars="200"/>
              <w:rPr>
                <w:rFonts w:hint="default"/>
              </w:rPr>
            </w:pPr>
            <w:r>
              <w:rPr>
                <w:rFonts w:hint="eastAsia" w:cs="Times New Roman"/>
                <w:sz w:val="24"/>
                <w:lang w:val="en-US" w:eastAsia="zh-CN"/>
              </w:rPr>
              <w:t>此过程产生少量剪切、打包粉尘</w:t>
            </w:r>
            <w:r>
              <w:rPr>
                <w:rFonts w:hint="eastAsia" w:cs="Times New Roman"/>
                <w:color w:val="0000FF"/>
                <w:sz w:val="24"/>
                <w:lang w:val="en-US" w:eastAsia="zh-CN"/>
              </w:rPr>
              <w:t>，剪切打包粉尘废气经集气罩收集后</w:t>
            </w:r>
            <w:r>
              <w:rPr>
                <w:rFonts w:hint="eastAsia" w:cs="Times New Roman"/>
                <w:b w:val="0"/>
                <w:bCs w:val="0"/>
                <w:color w:val="0000FF"/>
                <w:sz w:val="24"/>
                <w:u w:val="none"/>
                <w:lang w:val="en-US" w:eastAsia="zh-CN"/>
              </w:rPr>
              <w:t>进入袋式除尘器处理后有组织排放</w:t>
            </w:r>
            <w:r>
              <w:rPr>
                <w:rFonts w:hint="eastAsia" w:ascii="Times New Roman" w:hAnsi="Times New Roman" w:eastAsia="宋体" w:cs="Times New Roman"/>
                <w:b w:val="0"/>
                <w:bCs w:val="0"/>
                <w:color w:val="0000FF"/>
                <w:sz w:val="24"/>
                <w:u w:val="none"/>
                <w:lang w:val="en-US" w:eastAsia="zh-CN"/>
              </w:rPr>
              <w:t>。</w:t>
            </w:r>
          </w:p>
          <w:p w14:paraId="684DAA78">
            <w:pPr>
              <w:keepNext w:val="0"/>
              <w:keepLines w:val="0"/>
              <w:numPr>
                <w:ilvl w:val="0"/>
                <w:numId w:val="0"/>
              </w:numPr>
              <w:suppressLineNumbers w:val="0"/>
              <w:bidi w:val="0"/>
              <w:spacing w:before="0" w:beforeAutospacing="0" w:after="0" w:afterAutospacing="0"/>
              <w:ind w:left="480" w:leftChars="200" w:right="0"/>
              <w:rPr>
                <w:rFonts w:hint="default"/>
                <w:b/>
                <w:bCs/>
                <w:lang w:val="en-US" w:eastAsia="zh-CN"/>
              </w:rPr>
            </w:pPr>
            <w:r>
              <w:rPr>
                <w:rFonts w:hint="eastAsia"/>
                <w:b/>
                <w:bCs/>
                <w:lang w:val="en-US" w:eastAsia="zh-CN"/>
              </w:rPr>
              <w:t>（7）破碎、包装</w:t>
            </w:r>
          </w:p>
          <w:p w14:paraId="2ADC9C0F">
            <w:pPr>
              <w:keepNext w:val="0"/>
              <w:keepLines w:val="0"/>
              <w:suppressLineNumbers w:val="0"/>
              <w:bidi w:val="0"/>
              <w:spacing w:before="0" w:beforeAutospacing="0" w:after="0" w:afterAutospacing="0"/>
              <w:ind w:left="0" w:right="0"/>
              <w:rPr>
                <w:rFonts w:hint="eastAsia"/>
                <w:b w:val="0"/>
                <w:bCs w:val="0"/>
                <w:color w:val="auto"/>
                <w:lang w:val="en-US" w:eastAsia="zh-CN"/>
              </w:rPr>
            </w:pPr>
            <w:r>
              <w:rPr>
                <w:rFonts w:hint="eastAsia"/>
                <w:lang w:val="en-US" w:eastAsia="zh-CN"/>
              </w:rPr>
              <w:t>电池自行车塑料件主要材质可分为PP和ABS材质</w:t>
            </w:r>
            <w:r>
              <w:rPr>
                <w:rFonts w:hint="eastAsia"/>
                <w:b w:val="0"/>
                <w:bCs w:val="0"/>
                <w:color w:val="auto"/>
                <w:lang w:val="en-US" w:eastAsia="zh-CN"/>
              </w:rPr>
              <w:t>，项目设置2台G80系列刀式破碎机对废塑料分别进行湿法破碎，出料粒度为4~25mm。</w:t>
            </w:r>
          </w:p>
          <w:p w14:paraId="5F0FEE43">
            <w:pPr>
              <w:keepNext w:val="0"/>
              <w:keepLines w:val="0"/>
              <w:suppressLineNumbers w:val="0"/>
              <w:bidi w:val="0"/>
              <w:spacing w:before="0" w:beforeAutospacing="0" w:after="0" w:afterAutospacing="0"/>
              <w:ind w:left="0" w:right="0"/>
              <w:rPr>
                <w:rFonts w:hint="eastAsia"/>
                <w:b w:val="0"/>
                <w:bCs w:val="0"/>
                <w:color w:val="auto"/>
                <w:lang w:val="en-US" w:eastAsia="zh-CN"/>
              </w:rPr>
            </w:pPr>
            <w:r>
              <w:rPr>
                <w:rFonts w:hint="eastAsia"/>
                <w:b w:val="0"/>
                <w:bCs w:val="0"/>
                <w:color w:val="auto"/>
                <w:lang w:val="en-US" w:eastAsia="zh-CN"/>
              </w:rPr>
              <w:t>废塑料经人工投料进入破碎机后在喷淋水作用下进行湿法破碎，刀式破碎机设置滤网，破碎完全的碎片经滤网卸料后自然晾干后使用吨袋打包，未完全破碎废塑料返回刀式破碎机重新进行破碎。破碎过程为湿法破碎，产生的颗粒物忽略不计，此工序产生破碎废水、噪声、废刀片、废滤网。</w:t>
            </w:r>
          </w:p>
          <w:p w14:paraId="220E2D5F">
            <w:pPr>
              <w:keepNext w:val="0"/>
              <w:keepLines w:val="0"/>
              <w:pageBreakBefore w:val="0"/>
              <w:widowControl w:val="0"/>
              <w:suppressLineNumbers w:val="0"/>
              <w:kinsoku/>
              <w:wordWrap w:val="0"/>
              <w:overflowPunct/>
              <w:topLinePunct w:val="0"/>
              <w:autoSpaceDE/>
              <w:autoSpaceDN/>
              <w:bidi w:val="0"/>
              <w:adjustRightInd/>
              <w:snapToGrid w:val="0"/>
              <w:spacing w:before="0" w:beforeAutospacing="0" w:after="0" w:afterAutospacing="0"/>
              <w:ind w:left="0" w:right="0"/>
              <w:textAlignment w:val="auto"/>
              <w:rPr>
                <w:rFonts w:hint="eastAsia"/>
                <w:b/>
                <w:bCs/>
                <w:color w:val="auto"/>
                <w:spacing w:val="-1"/>
                <w:sz w:val="24"/>
                <w:szCs w:val="24"/>
                <w:lang w:val="en-US" w:eastAsia="zh-CN"/>
              </w:rPr>
            </w:pPr>
            <w:r>
              <w:rPr>
                <w:rFonts w:hint="eastAsia"/>
                <w:b/>
                <w:bCs/>
                <w:color w:val="auto"/>
                <w:spacing w:val="-1"/>
                <w:sz w:val="24"/>
                <w:szCs w:val="24"/>
                <w:lang w:val="en-US" w:eastAsia="zh-CN"/>
              </w:rPr>
              <w:t>其他工</w:t>
            </w:r>
            <w:commentRangeStart w:id="25"/>
            <w:commentRangeStart w:id="26"/>
            <w:r>
              <w:rPr>
                <w:rFonts w:hint="eastAsia"/>
                <w:b/>
                <w:bCs/>
                <w:color w:val="auto"/>
                <w:spacing w:val="-1"/>
                <w:sz w:val="24"/>
                <w:szCs w:val="24"/>
                <w:lang w:val="en-US" w:eastAsia="zh-CN"/>
              </w:rPr>
              <w:t>艺：</w:t>
            </w:r>
            <w:commentRangeEnd w:id="25"/>
            <w:r>
              <w:rPr>
                <w:rFonts w:hint="default"/>
              </w:rPr>
              <w:commentReference w:id="25"/>
            </w:r>
            <w:commentRangeEnd w:id="26"/>
            <w:r>
              <w:rPr>
                <w:rFonts w:hint="default"/>
              </w:rPr>
              <w:commentReference w:id="26"/>
            </w:r>
          </w:p>
          <w:p w14:paraId="24477C8A">
            <w:pPr>
              <w:keepNext w:val="0"/>
              <w:keepLines w:val="0"/>
              <w:pageBreakBefore w:val="0"/>
              <w:widowControl w:val="0"/>
              <w:suppressLineNumbers w:val="0"/>
              <w:kinsoku/>
              <w:wordWrap w:val="0"/>
              <w:overflowPunct/>
              <w:topLinePunct w:val="0"/>
              <w:autoSpaceDE/>
              <w:autoSpaceDN/>
              <w:bidi w:val="0"/>
              <w:adjustRightInd/>
              <w:snapToGrid w:val="0"/>
              <w:spacing w:before="0" w:beforeAutospacing="0" w:after="0" w:afterAutospacing="0"/>
              <w:ind w:left="0" w:right="0"/>
              <w:textAlignment w:val="auto"/>
              <w:rPr>
                <w:rFonts w:hint="default" w:eastAsia="宋体"/>
                <w:b w:val="0"/>
                <w:bCs w:val="0"/>
                <w:color w:val="auto"/>
                <w:lang w:val="en-US" w:eastAsia="zh-CN"/>
              </w:rPr>
            </w:pPr>
            <w:r>
              <w:rPr>
                <w:rFonts w:hint="eastAsia"/>
                <w:b w:val="0"/>
                <w:bCs w:val="0"/>
                <w:color w:val="auto"/>
              </w:rPr>
              <w:t>职工生活主要产生的废物有生活污水、生活垃圾。</w:t>
            </w:r>
            <w:r>
              <w:rPr>
                <w:rFonts w:hint="eastAsia"/>
                <w:b w:val="0"/>
                <w:bCs w:val="0"/>
                <w:color w:val="auto"/>
                <w:lang w:val="en-US" w:eastAsia="zh-CN"/>
              </w:rPr>
              <w:t>破碎废水处理产生污泥，污泥暂存产生的恶臭气体、废</w:t>
            </w:r>
            <w:r>
              <w:rPr>
                <w:rFonts w:hint="eastAsia"/>
                <w:lang w:val="en-US" w:eastAsia="zh-CN"/>
              </w:rPr>
              <w:t>润滑油</w:t>
            </w:r>
            <w:r>
              <w:rPr>
                <w:rFonts w:hint="eastAsia"/>
                <w:b w:val="0"/>
                <w:bCs w:val="0"/>
                <w:color w:val="auto"/>
                <w:lang w:val="en-US" w:eastAsia="zh-CN"/>
              </w:rPr>
              <w:t>及废</w:t>
            </w:r>
            <w:r>
              <w:rPr>
                <w:rFonts w:hint="eastAsia"/>
                <w:lang w:val="en-US" w:eastAsia="zh-CN"/>
              </w:rPr>
              <w:t>润滑油</w:t>
            </w:r>
            <w:r>
              <w:rPr>
                <w:rFonts w:hint="eastAsia"/>
                <w:b w:val="0"/>
                <w:bCs w:val="0"/>
                <w:color w:val="auto"/>
                <w:lang w:val="en-US" w:eastAsia="zh-CN"/>
              </w:rPr>
              <w:t>包装桶、机器维护保养产生废含油抹布手套。</w:t>
            </w:r>
          </w:p>
          <w:p w14:paraId="0056A9E9">
            <w:pPr>
              <w:keepNext w:val="0"/>
              <w:keepLines w:val="0"/>
              <w:pageBreakBefore w:val="0"/>
              <w:widowControl w:val="0"/>
              <w:suppressLineNumbers w:val="0"/>
              <w:kinsoku/>
              <w:wordWrap w:val="0"/>
              <w:overflowPunct/>
              <w:topLinePunct w:val="0"/>
              <w:autoSpaceDE/>
              <w:autoSpaceDN/>
              <w:bidi w:val="0"/>
              <w:adjustRightInd/>
              <w:snapToGrid w:val="0"/>
              <w:spacing w:before="0" w:beforeAutospacing="0" w:after="0" w:afterAutospacing="0"/>
              <w:ind w:left="0" w:right="0"/>
              <w:textAlignment w:val="auto"/>
              <w:rPr>
                <w:rFonts w:hint="eastAsia"/>
                <w:color w:val="auto"/>
                <w:lang w:val="en-US" w:eastAsia="zh-CN"/>
              </w:rPr>
            </w:pPr>
            <w:r>
              <w:rPr>
                <w:rFonts w:hint="eastAsia"/>
                <w:b/>
                <w:bCs/>
                <w:color w:val="auto"/>
              </w:rPr>
              <w:t>3、生产工艺污染物说明表</w:t>
            </w:r>
          </w:p>
          <w:p w14:paraId="2360A37C">
            <w:pPr>
              <w:pStyle w:val="43"/>
              <w:keepNext w:val="0"/>
              <w:keepLines w:val="0"/>
              <w:suppressLineNumbers w:val="0"/>
              <w:bidi w:val="0"/>
              <w:spacing w:before="0" w:beforeAutospacing="0" w:after="0" w:afterAutospacing="0"/>
              <w:ind w:left="0" w:right="0"/>
              <w:jc w:val="center"/>
              <w:rPr>
                <w:rFonts w:hint="default"/>
                <w:color w:val="auto"/>
              </w:rPr>
            </w:pPr>
            <w:r>
              <w:rPr>
                <w:rFonts w:hint="eastAsia"/>
                <w:color w:val="auto"/>
                <w:lang w:val="en-US" w:eastAsia="zh-CN"/>
              </w:rPr>
              <w:t>表</w:t>
            </w:r>
            <w:r>
              <w:rPr>
                <w:color w:val="auto"/>
              </w:rPr>
              <w:t>2-</w:t>
            </w:r>
            <w:r>
              <w:rPr>
                <w:rFonts w:hint="eastAsia"/>
                <w:color w:val="auto"/>
                <w:lang w:val="en-US" w:eastAsia="zh-CN"/>
              </w:rPr>
              <w:t xml:space="preserve">13  </w:t>
            </w:r>
            <w:r>
              <w:rPr>
                <w:color w:val="auto"/>
              </w:rPr>
              <w:t>项目</w:t>
            </w:r>
            <w:r>
              <w:rPr>
                <w:rFonts w:hint="eastAsia"/>
                <w:color w:val="auto"/>
                <w:lang w:val="en-US" w:eastAsia="zh-CN"/>
              </w:rPr>
              <w:t>产污环节及污染物识别</w:t>
            </w:r>
          </w:p>
          <w:tbl>
            <w:tblPr>
              <w:tblStyle w:val="1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80"/>
              <w:gridCol w:w="773"/>
              <w:gridCol w:w="1433"/>
              <w:gridCol w:w="2025"/>
              <w:gridCol w:w="2634"/>
              <w:gridCol w:w="1103"/>
            </w:tblGrid>
            <w:tr w14:paraId="51EC9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39" w:type="pct"/>
                  <w:noWrap w:val="0"/>
                  <w:vAlign w:val="center"/>
                </w:tcPr>
                <w:p w14:paraId="20F50FD5">
                  <w:pPr>
                    <w:pStyle w:val="46"/>
                    <w:keepNext w:val="0"/>
                    <w:keepLines w:val="0"/>
                    <w:suppressLineNumbers w:val="0"/>
                    <w:bidi w:val="0"/>
                    <w:spacing w:before="0" w:beforeAutospacing="0" w:after="0" w:afterAutospacing="0"/>
                    <w:rPr>
                      <w:b/>
                      <w:bCs/>
                      <w:color w:val="auto"/>
                    </w:rPr>
                  </w:pPr>
                  <w:r>
                    <w:rPr>
                      <w:b/>
                      <w:bCs/>
                      <w:color w:val="auto"/>
                    </w:rPr>
                    <w:t>类别</w:t>
                  </w:r>
                </w:p>
              </w:tc>
              <w:tc>
                <w:tcPr>
                  <w:tcW w:w="452" w:type="pct"/>
                  <w:noWrap w:val="0"/>
                  <w:vAlign w:val="center"/>
                </w:tcPr>
                <w:p w14:paraId="13ADB45B">
                  <w:pPr>
                    <w:pStyle w:val="46"/>
                    <w:keepNext w:val="0"/>
                    <w:keepLines w:val="0"/>
                    <w:suppressLineNumbers w:val="0"/>
                    <w:bidi w:val="0"/>
                    <w:spacing w:before="0" w:beforeAutospacing="0" w:after="0" w:afterAutospacing="0"/>
                    <w:rPr>
                      <w:rFonts w:hint="eastAsia"/>
                      <w:b/>
                      <w:bCs/>
                      <w:color w:val="auto"/>
                    </w:rPr>
                  </w:pPr>
                  <w:r>
                    <w:rPr>
                      <w:rFonts w:hint="eastAsia"/>
                      <w:b/>
                      <w:bCs/>
                      <w:color w:val="auto"/>
                    </w:rPr>
                    <w:t>编号</w:t>
                  </w:r>
                </w:p>
              </w:tc>
              <w:tc>
                <w:tcPr>
                  <w:tcW w:w="838" w:type="pct"/>
                  <w:noWrap w:val="0"/>
                  <w:vAlign w:val="center"/>
                </w:tcPr>
                <w:p w14:paraId="24C42BC1">
                  <w:pPr>
                    <w:pStyle w:val="46"/>
                    <w:keepNext w:val="0"/>
                    <w:keepLines w:val="0"/>
                    <w:suppressLineNumbers w:val="0"/>
                    <w:bidi w:val="0"/>
                    <w:spacing w:before="0" w:beforeAutospacing="0" w:after="0" w:afterAutospacing="0"/>
                    <w:rPr>
                      <w:b/>
                      <w:bCs/>
                      <w:color w:val="auto"/>
                    </w:rPr>
                  </w:pPr>
                  <w:r>
                    <w:rPr>
                      <w:b/>
                      <w:bCs/>
                      <w:color w:val="auto"/>
                    </w:rPr>
                    <w:t>产生点</w:t>
                  </w:r>
                </w:p>
              </w:tc>
              <w:tc>
                <w:tcPr>
                  <w:tcW w:w="1184" w:type="pct"/>
                  <w:noWrap w:val="0"/>
                  <w:vAlign w:val="center"/>
                </w:tcPr>
                <w:p w14:paraId="1E691C2A">
                  <w:pPr>
                    <w:pStyle w:val="46"/>
                    <w:keepNext w:val="0"/>
                    <w:keepLines w:val="0"/>
                    <w:suppressLineNumbers w:val="0"/>
                    <w:bidi w:val="0"/>
                    <w:spacing w:before="0" w:beforeAutospacing="0" w:after="0" w:afterAutospacing="0"/>
                    <w:rPr>
                      <w:b/>
                      <w:bCs/>
                      <w:color w:val="auto"/>
                    </w:rPr>
                  </w:pPr>
                  <w:r>
                    <w:rPr>
                      <w:b/>
                      <w:bCs/>
                      <w:color w:val="auto"/>
                    </w:rPr>
                    <w:t>污染物</w:t>
                  </w:r>
                </w:p>
              </w:tc>
              <w:tc>
                <w:tcPr>
                  <w:tcW w:w="1540" w:type="pct"/>
                  <w:noWrap w:val="0"/>
                  <w:vAlign w:val="center"/>
                </w:tcPr>
                <w:p w14:paraId="55071FBE">
                  <w:pPr>
                    <w:pStyle w:val="46"/>
                    <w:keepNext w:val="0"/>
                    <w:keepLines w:val="0"/>
                    <w:suppressLineNumbers w:val="0"/>
                    <w:bidi w:val="0"/>
                    <w:spacing w:before="0" w:beforeAutospacing="0" w:after="0" w:afterAutospacing="0"/>
                    <w:rPr>
                      <w:b/>
                      <w:bCs/>
                      <w:color w:val="auto"/>
                    </w:rPr>
                  </w:pPr>
                  <w:r>
                    <w:rPr>
                      <w:rFonts w:hint="eastAsia"/>
                      <w:b/>
                      <w:bCs/>
                      <w:color w:val="auto"/>
                    </w:rPr>
                    <w:t>处理措施</w:t>
                  </w:r>
                </w:p>
              </w:tc>
              <w:tc>
                <w:tcPr>
                  <w:tcW w:w="645" w:type="pct"/>
                  <w:noWrap w:val="0"/>
                  <w:vAlign w:val="center"/>
                </w:tcPr>
                <w:p w14:paraId="60D144DE">
                  <w:pPr>
                    <w:pStyle w:val="46"/>
                    <w:keepNext w:val="0"/>
                    <w:keepLines w:val="0"/>
                    <w:suppressLineNumbers w:val="0"/>
                    <w:bidi w:val="0"/>
                    <w:spacing w:before="0" w:beforeAutospacing="0" w:after="0" w:afterAutospacing="0"/>
                    <w:rPr>
                      <w:b/>
                      <w:bCs/>
                      <w:color w:val="auto"/>
                    </w:rPr>
                  </w:pPr>
                  <w:r>
                    <w:rPr>
                      <w:b/>
                      <w:bCs/>
                      <w:color w:val="auto"/>
                    </w:rPr>
                    <w:t>排放方式</w:t>
                  </w:r>
                </w:p>
              </w:tc>
            </w:tr>
            <w:tr w14:paraId="443A2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98" w:hRule="atLeast"/>
                <w:jc w:val="center"/>
              </w:trPr>
              <w:tc>
                <w:tcPr>
                  <w:tcW w:w="339" w:type="pct"/>
                  <w:vMerge w:val="restart"/>
                  <w:noWrap w:val="0"/>
                  <w:vAlign w:val="center"/>
                </w:tcPr>
                <w:p w14:paraId="71536ADD">
                  <w:pPr>
                    <w:pStyle w:val="46"/>
                    <w:keepNext w:val="0"/>
                    <w:keepLines w:val="0"/>
                    <w:suppressLineNumbers w:val="0"/>
                    <w:bidi w:val="0"/>
                    <w:spacing w:before="0" w:beforeAutospacing="0" w:after="0" w:afterAutospacing="0"/>
                    <w:rPr>
                      <w:rFonts w:hint="eastAsia" w:eastAsia="宋体"/>
                      <w:b w:val="0"/>
                      <w:bCs w:val="0"/>
                      <w:color w:val="auto"/>
                      <w:lang w:val="en-US" w:eastAsia="zh-CN"/>
                    </w:rPr>
                  </w:pPr>
                  <w:r>
                    <w:rPr>
                      <w:rFonts w:hint="eastAsia"/>
                      <w:b w:val="0"/>
                      <w:bCs w:val="0"/>
                      <w:color w:val="auto"/>
                      <w:lang w:val="en-US" w:eastAsia="zh-CN"/>
                    </w:rPr>
                    <w:t>废气</w:t>
                  </w:r>
                </w:p>
              </w:tc>
              <w:tc>
                <w:tcPr>
                  <w:tcW w:w="452" w:type="pct"/>
                  <w:noWrap w:val="0"/>
                  <w:vAlign w:val="center"/>
                </w:tcPr>
                <w:p w14:paraId="3E41BF84">
                  <w:pPr>
                    <w:pStyle w:val="46"/>
                    <w:keepNext w:val="0"/>
                    <w:keepLines w:val="0"/>
                    <w:suppressLineNumbers w:val="0"/>
                    <w:bidi w:val="0"/>
                    <w:spacing w:before="0" w:beforeAutospacing="0" w:after="0" w:afterAutospacing="0"/>
                    <w:rPr>
                      <w:rFonts w:hint="default" w:eastAsia="宋体"/>
                      <w:b w:val="0"/>
                      <w:bCs w:val="0"/>
                      <w:color w:val="auto"/>
                      <w:lang w:val="en-US" w:eastAsia="zh-CN"/>
                    </w:rPr>
                  </w:pPr>
                  <w:r>
                    <w:rPr>
                      <w:rFonts w:hint="eastAsia"/>
                      <w:b w:val="0"/>
                      <w:bCs w:val="0"/>
                      <w:color w:val="auto"/>
                      <w:lang w:val="en-US" w:eastAsia="zh-CN"/>
                    </w:rPr>
                    <w:t>G1</w:t>
                  </w:r>
                </w:p>
              </w:tc>
              <w:tc>
                <w:tcPr>
                  <w:tcW w:w="838" w:type="pct"/>
                  <w:noWrap w:val="0"/>
                  <w:vAlign w:val="center"/>
                </w:tcPr>
                <w:p w14:paraId="0311D072">
                  <w:pPr>
                    <w:pStyle w:val="46"/>
                    <w:keepNext w:val="0"/>
                    <w:keepLines w:val="0"/>
                    <w:suppressLineNumbers w:val="0"/>
                    <w:bidi w:val="0"/>
                    <w:spacing w:before="0" w:beforeAutospacing="0" w:after="0" w:afterAutospacing="0"/>
                    <w:rPr>
                      <w:rFonts w:hint="default" w:eastAsia="宋体"/>
                      <w:b w:val="0"/>
                      <w:bCs w:val="0"/>
                      <w:color w:val="auto"/>
                      <w:lang w:val="en-US" w:eastAsia="zh-CN"/>
                    </w:rPr>
                  </w:pPr>
                  <w:r>
                    <w:rPr>
                      <w:rFonts w:hint="eastAsia" w:ascii="Times New Roman" w:hAnsi="Times New Roman" w:eastAsia="宋体" w:cs="Times New Roman"/>
                      <w:b w:val="0"/>
                      <w:bCs w:val="0"/>
                      <w:color w:val="auto"/>
                      <w:lang w:val="en-US" w:eastAsia="zh-CN"/>
                    </w:rPr>
                    <w:t>角磨切割</w:t>
                  </w:r>
                </w:p>
              </w:tc>
              <w:tc>
                <w:tcPr>
                  <w:tcW w:w="1184" w:type="pct"/>
                  <w:noWrap w:val="0"/>
                  <w:vAlign w:val="center"/>
                </w:tcPr>
                <w:p w14:paraId="45832C3A">
                  <w:pPr>
                    <w:pStyle w:val="46"/>
                    <w:keepNext w:val="0"/>
                    <w:keepLines w:val="0"/>
                    <w:suppressLineNumbers w:val="0"/>
                    <w:bidi w:val="0"/>
                    <w:spacing w:before="0" w:beforeAutospacing="0" w:after="0" w:afterAutospacing="0"/>
                    <w:rPr>
                      <w:rFonts w:hint="eastAsia" w:eastAsia="宋体"/>
                      <w:b w:val="0"/>
                      <w:bCs w:val="0"/>
                      <w:color w:val="auto"/>
                      <w:lang w:val="en-US" w:eastAsia="zh-CN"/>
                    </w:rPr>
                  </w:pPr>
                  <w:r>
                    <w:rPr>
                      <w:rFonts w:hint="eastAsia"/>
                      <w:b w:val="0"/>
                      <w:bCs w:val="0"/>
                      <w:color w:val="auto"/>
                      <w:lang w:val="en-US" w:eastAsia="zh-CN"/>
                    </w:rPr>
                    <w:t>颗粒物</w:t>
                  </w:r>
                </w:p>
              </w:tc>
              <w:tc>
                <w:tcPr>
                  <w:tcW w:w="1540" w:type="pct"/>
                  <w:vMerge w:val="restart"/>
                  <w:noWrap w:val="0"/>
                  <w:vAlign w:val="center"/>
                </w:tcPr>
                <w:p w14:paraId="12352A04">
                  <w:pPr>
                    <w:pStyle w:val="46"/>
                    <w:keepNext w:val="0"/>
                    <w:keepLines w:val="0"/>
                    <w:suppressLineNumbers w:val="0"/>
                    <w:bidi w:val="0"/>
                    <w:spacing w:before="0" w:beforeAutospacing="0" w:after="0" w:afterAutospacing="0"/>
                    <w:rPr>
                      <w:rFonts w:hint="default" w:eastAsia="宋体"/>
                      <w:b w:val="0"/>
                      <w:bCs w:val="0"/>
                      <w:color w:val="0000FF"/>
                      <w:highlight w:val="none"/>
                      <w:lang w:val="en-US" w:eastAsia="zh-CN"/>
                    </w:rPr>
                  </w:pPr>
                  <w:r>
                    <w:rPr>
                      <w:rFonts w:hint="eastAsia"/>
                      <w:b w:val="0"/>
                      <w:bCs w:val="0"/>
                      <w:color w:val="0000FF"/>
                      <w:highlight w:val="none"/>
                      <w:lang w:val="en-US" w:eastAsia="zh-CN"/>
                    </w:rPr>
                    <w:t>集气罩+袋式除尘器</w:t>
                  </w:r>
                </w:p>
              </w:tc>
              <w:tc>
                <w:tcPr>
                  <w:tcW w:w="645" w:type="pct"/>
                  <w:vMerge w:val="restart"/>
                  <w:noWrap w:val="0"/>
                  <w:vAlign w:val="center"/>
                </w:tcPr>
                <w:p w14:paraId="34F5AC17">
                  <w:pPr>
                    <w:pStyle w:val="46"/>
                    <w:keepNext w:val="0"/>
                    <w:keepLines w:val="0"/>
                    <w:suppressLineNumbers w:val="0"/>
                    <w:bidi w:val="0"/>
                    <w:spacing w:before="0" w:beforeAutospacing="0" w:after="0" w:afterAutospacing="0"/>
                    <w:rPr>
                      <w:rFonts w:hint="eastAsia" w:eastAsia="宋体"/>
                      <w:b w:val="0"/>
                      <w:bCs w:val="0"/>
                      <w:color w:val="0000FF"/>
                      <w:highlight w:val="none"/>
                      <w:lang w:val="en-US" w:eastAsia="zh-CN"/>
                    </w:rPr>
                  </w:pPr>
                  <w:commentRangeStart w:id="27"/>
                  <w:commentRangeStart w:id="28"/>
                  <w:r>
                    <w:rPr>
                      <w:color w:val="0000FF"/>
                    </w:rPr>
                    <w:commentReference w:id="27"/>
                  </w:r>
                  <w:commentRangeEnd w:id="27"/>
                  <w:commentRangeEnd w:id="28"/>
                  <w:r>
                    <w:commentReference w:id="28"/>
                  </w:r>
                  <w:r>
                    <w:rPr>
                      <w:rFonts w:hint="eastAsia"/>
                      <w:color w:val="0000FF"/>
                      <w:lang w:val="en-US" w:eastAsia="zh-CN"/>
                    </w:rPr>
                    <w:t>有组织</w:t>
                  </w:r>
                </w:p>
              </w:tc>
            </w:tr>
            <w:tr w14:paraId="5653D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39" w:type="pct"/>
                  <w:vMerge w:val="continue"/>
                  <w:noWrap w:val="0"/>
                  <w:vAlign w:val="center"/>
                </w:tcPr>
                <w:p w14:paraId="724D2B2C">
                  <w:pPr>
                    <w:pStyle w:val="46"/>
                    <w:keepNext w:val="0"/>
                    <w:keepLines w:val="0"/>
                    <w:suppressLineNumbers w:val="0"/>
                    <w:bidi w:val="0"/>
                    <w:spacing w:before="0" w:beforeAutospacing="0" w:after="0" w:afterAutospacing="0"/>
                    <w:rPr>
                      <w:rFonts w:hint="eastAsia"/>
                      <w:b w:val="0"/>
                      <w:bCs w:val="0"/>
                      <w:color w:val="auto"/>
                      <w:lang w:val="en-US" w:eastAsia="zh-CN"/>
                    </w:rPr>
                  </w:pPr>
                </w:p>
              </w:tc>
              <w:tc>
                <w:tcPr>
                  <w:tcW w:w="452" w:type="pct"/>
                  <w:noWrap w:val="0"/>
                  <w:vAlign w:val="center"/>
                </w:tcPr>
                <w:p w14:paraId="4F84CBCD">
                  <w:pPr>
                    <w:pStyle w:val="46"/>
                    <w:keepNext w:val="0"/>
                    <w:keepLines w:val="0"/>
                    <w:suppressLineNumbers w:val="0"/>
                    <w:bidi w:val="0"/>
                    <w:spacing w:before="0" w:beforeAutospacing="0" w:after="0" w:afterAutospacing="0"/>
                    <w:rPr>
                      <w:rFonts w:hint="default"/>
                      <w:b w:val="0"/>
                      <w:bCs w:val="0"/>
                      <w:color w:val="auto"/>
                      <w:lang w:val="en-US" w:eastAsia="zh-CN"/>
                    </w:rPr>
                  </w:pPr>
                  <w:r>
                    <w:rPr>
                      <w:rFonts w:hint="eastAsia"/>
                      <w:b w:val="0"/>
                      <w:bCs w:val="0"/>
                      <w:color w:val="auto"/>
                      <w:lang w:val="en-US" w:eastAsia="zh-CN"/>
                    </w:rPr>
                    <w:t>G2</w:t>
                  </w:r>
                </w:p>
              </w:tc>
              <w:tc>
                <w:tcPr>
                  <w:tcW w:w="838" w:type="pct"/>
                  <w:noWrap w:val="0"/>
                  <w:vAlign w:val="center"/>
                </w:tcPr>
                <w:p w14:paraId="77E80F24">
                  <w:pPr>
                    <w:pStyle w:val="46"/>
                    <w:keepNext w:val="0"/>
                    <w:keepLines w:val="0"/>
                    <w:suppressLineNumbers w:val="0"/>
                    <w:bidi w:val="0"/>
                    <w:spacing w:before="0" w:beforeAutospacing="0" w:after="0" w:afterAutospacing="0"/>
                    <w:rPr>
                      <w:rFonts w:hint="eastAsia" w:eastAsia="宋体"/>
                      <w:b w:val="0"/>
                      <w:bCs w:val="0"/>
                      <w:color w:val="auto"/>
                      <w:lang w:val="en-US" w:eastAsia="zh-CN"/>
                    </w:rPr>
                  </w:pPr>
                  <w:r>
                    <w:rPr>
                      <w:rFonts w:hint="eastAsia"/>
                      <w:b w:val="0"/>
                      <w:bCs w:val="0"/>
                      <w:color w:val="auto"/>
                      <w:lang w:val="en-US" w:eastAsia="zh-CN"/>
                    </w:rPr>
                    <w:t>剪切</w:t>
                  </w:r>
                </w:p>
              </w:tc>
              <w:tc>
                <w:tcPr>
                  <w:tcW w:w="1184" w:type="pct"/>
                  <w:noWrap w:val="0"/>
                  <w:vAlign w:val="center"/>
                </w:tcPr>
                <w:p w14:paraId="61F2F8A6">
                  <w:pPr>
                    <w:pStyle w:val="46"/>
                    <w:keepNext w:val="0"/>
                    <w:keepLines w:val="0"/>
                    <w:suppressLineNumbers w:val="0"/>
                    <w:bidi w:val="0"/>
                    <w:spacing w:before="0" w:beforeAutospacing="0" w:after="0" w:afterAutospacing="0"/>
                    <w:rPr>
                      <w:rFonts w:hint="eastAsia" w:eastAsia="宋体"/>
                      <w:b w:val="0"/>
                      <w:bCs w:val="0"/>
                      <w:color w:val="auto"/>
                      <w:lang w:val="en-US" w:eastAsia="zh-CN"/>
                    </w:rPr>
                  </w:pPr>
                  <w:r>
                    <w:rPr>
                      <w:rFonts w:hint="eastAsia"/>
                      <w:b w:val="0"/>
                      <w:bCs w:val="0"/>
                      <w:color w:val="auto"/>
                      <w:lang w:val="en-US" w:eastAsia="zh-CN"/>
                    </w:rPr>
                    <w:t>颗粒物</w:t>
                  </w:r>
                </w:p>
              </w:tc>
              <w:tc>
                <w:tcPr>
                  <w:tcW w:w="1540" w:type="pct"/>
                  <w:vMerge w:val="continue"/>
                  <w:noWrap w:val="0"/>
                  <w:vAlign w:val="center"/>
                </w:tcPr>
                <w:p w14:paraId="1D734EB3">
                  <w:pPr>
                    <w:pStyle w:val="46"/>
                    <w:keepNext w:val="0"/>
                    <w:keepLines w:val="0"/>
                    <w:suppressLineNumbers w:val="0"/>
                    <w:bidi w:val="0"/>
                    <w:spacing w:before="0" w:beforeAutospacing="0" w:after="0" w:afterAutospacing="0"/>
                    <w:rPr>
                      <w:rFonts w:hint="default" w:eastAsia="宋体"/>
                      <w:b w:val="0"/>
                      <w:bCs w:val="0"/>
                      <w:color w:val="auto"/>
                      <w:highlight w:val="none"/>
                      <w:lang w:val="en-US" w:eastAsia="zh-CN"/>
                    </w:rPr>
                  </w:pPr>
                </w:p>
              </w:tc>
              <w:tc>
                <w:tcPr>
                  <w:tcW w:w="645" w:type="pct"/>
                  <w:vMerge w:val="continue"/>
                  <w:noWrap w:val="0"/>
                  <w:vAlign w:val="center"/>
                </w:tcPr>
                <w:p w14:paraId="2A1164FC">
                  <w:pPr>
                    <w:pStyle w:val="46"/>
                    <w:keepNext w:val="0"/>
                    <w:keepLines w:val="0"/>
                    <w:suppressLineNumbers w:val="0"/>
                    <w:bidi w:val="0"/>
                    <w:spacing w:before="0" w:beforeAutospacing="0" w:after="0" w:afterAutospacing="0"/>
                    <w:rPr>
                      <w:rFonts w:hint="eastAsia" w:eastAsia="宋体"/>
                      <w:b w:val="0"/>
                      <w:bCs w:val="0"/>
                      <w:color w:val="auto"/>
                      <w:highlight w:val="none"/>
                      <w:lang w:val="en-US" w:eastAsia="zh-CN"/>
                    </w:rPr>
                  </w:pPr>
                </w:p>
              </w:tc>
            </w:tr>
            <w:tr w14:paraId="5693B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39" w:type="pct"/>
                  <w:vMerge w:val="continue"/>
                  <w:noWrap w:val="0"/>
                  <w:vAlign w:val="center"/>
                </w:tcPr>
                <w:p w14:paraId="50F74BBC">
                  <w:pPr>
                    <w:pStyle w:val="46"/>
                    <w:keepNext w:val="0"/>
                    <w:keepLines w:val="0"/>
                    <w:suppressLineNumbers w:val="0"/>
                    <w:bidi w:val="0"/>
                    <w:spacing w:before="0" w:beforeAutospacing="0" w:after="0" w:afterAutospacing="0"/>
                    <w:rPr>
                      <w:rFonts w:hint="eastAsia"/>
                      <w:b w:val="0"/>
                      <w:bCs w:val="0"/>
                      <w:color w:val="auto"/>
                      <w:lang w:val="en-US" w:eastAsia="zh-CN"/>
                    </w:rPr>
                  </w:pPr>
                </w:p>
              </w:tc>
              <w:tc>
                <w:tcPr>
                  <w:tcW w:w="452" w:type="pct"/>
                  <w:noWrap w:val="0"/>
                  <w:vAlign w:val="center"/>
                </w:tcPr>
                <w:p w14:paraId="2F94BA49">
                  <w:pPr>
                    <w:pStyle w:val="46"/>
                    <w:keepNext w:val="0"/>
                    <w:keepLines w:val="0"/>
                    <w:suppressLineNumbers w:val="0"/>
                    <w:bidi w:val="0"/>
                    <w:spacing w:before="0" w:beforeAutospacing="0" w:after="0" w:afterAutospacing="0"/>
                    <w:rPr>
                      <w:rFonts w:hint="default"/>
                      <w:b w:val="0"/>
                      <w:bCs w:val="0"/>
                      <w:color w:val="auto"/>
                      <w:lang w:val="en-US" w:eastAsia="zh-CN"/>
                    </w:rPr>
                  </w:pPr>
                  <w:r>
                    <w:rPr>
                      <w:rFonts w:hint="eastAsia"/>
                      <w:b w:val="0"/>
                      <w:bCs w:val="0"/>
                      <w:color w:val="auto"/>
                      <w:lang w:val="en-US" w:eastAsia="zh-CN"/>
                    </w:rPr>
                    <w:t>G3</w:t>
                  </w:r>
                </w:p>
              </w:tc>
              <w:tc>
                <w:tcPr>
                  <w:tcW w:w="838" w:type="pct"/>
                  <w:noWrap w:val="0"/>
                  <w:vAlign w:val="center"/>
                </w:tcPr>
                <w:p w14:paraId="14C44F10">
                  <w:pPr>
                    <w:pStyle w:val="46"/>
                    <w:keepNext w:val="0"/>
                    <w:keepLines w:val="0"/>
                    <w:suppressLineNumbers w:val="0"/>
                    <w:bidi w:val="0"/>
                    <w:spacing w:before="0" w:beforeAutospacing="0" w:after="0" w:afterAutospacing="0"/>
                    <w:rPr>
                      <w:rFonts w:hint="eastAsia" w:eastAsia="宋体"/>
                      <w:b w:val="0"/>
                      <w:bCs w:val="0"/>
                      <w:color w:val="auto"/>
                      <w:lang w:val="en-US" w:eastAsia="zh-CN"/>
                    </w:rPr>
                  </w:pPr>
                  <w:r>
                    <w:rPr>
                      <w:rFonts w:hint="eastAsia"/>
                      <w:b w:val="0"/>
                      <w:bCs w:val="0"/>
                      <w:color w:val="auto"/>
                      <w:lang w:val="en-US" w:eastAsia="zh-CN"/>
                    </w:rPr>
                    <w:t>打包</w:t>
                  </w:r>
                </w:p>
              </w:tc>
              <w:tc>
                <w:tcPr>
                  <w:tcW w:w="1184" w:type="pct"/>
                  <w:noWrap w:val="0"/>
                  <w:vAlign w:val="center"/>
                </w:tcPr>
                <w:p w14:paraId="76CFE1A2">
                  <w:pPr>
                    <w:pStyle w:val="46"/>
                    <w:keepNext w:val="0"/>
                    <w:keepLines w:val="0"/>
                    <w:suppressLineNumbers w:val="0"/>
                    <w:bidi w:val="0"/>
                    <w:spacing w:before="0" w:beforeAutospacing="0" w:after="0" w:afterAutospacing="0"/>
                    <w:rPr>
                      <w:rFonts w:hint="eastAsia" w:eastAsia="宋体"/>
                      <w:b w:val="0"/>
                      <w:bCs w:val="0"/>
                      <w:color w:val="auto"/>
                      <w:lang w:val="en-US" w:eastAsia="zh-CN"/>
                    </w:rPr>
                  </w:pPr>
                  <w:r>
                    <w:rPr>
                      <w:rFonts w:hint="eastAsia"/>
                      <w:b w:val="0"/>
                      <w:bCs w:val="0"/>
                      <w:color w:val="auto"/>
                      <w:lang w:val="en-US" w:eastAsia="zh-CN"/>
                    </w:rPr>
                    <w:t>颗粒物</w:t>
                  </w:r>
                </w:p>
              </w:tc>
              <w:tc>
                <w:tcPr>
                  <w:tcW w:w="1540" w:type="pct"/>
                  <w:vMerge w:val="continue"/>
                  <w:noWrap w:val="0"/>
                  <w:vAlign w:val="center"/>
                </w:tcPr>
                <w:p w14:paraId="130469EC">
                  <w:pPr>
                    <w:pStyle w:val="46"/>
                    <w:keepNext w:val="0"/>
                    <w:keepLines w:val="0"/>
                    <w:suppressLineNumbers w:val="0"/>
                    <w:bidi w:val="0"/>
                    <w:spacing w:before="0" w:beforeAutospacing="0" w:after="0" w:afterAutospacing="0"/>
                    <w:rPr>
                      <w:rFonts w:hint="eastAsia"/>
                      <w:b w:val="0"/>
                      <w:bCs w:val="0"/>
                      <w:color w:val="auto"/>
                      <w:highlight w:val="none"/>
                    </w:rPr>
                  </w:pPr>
                </w:p>
              </w:tc>
              <w:tc>
                <w:tcPr>
                  <w:tcW w:w="645" w:type="pct"/>
                  <w:vMerge w:val="continue"/>
                  <w:noWrap w:val="0"/>
                  <w:vAlign w:val="center"/>
                </w:tcPr>
                <w:p w14:paraId="55201FC9">
                  <w:pPr>
                    <w:pStyle w:val="46"/>
                    <w:keepNext w:val="0"/>
                    <w:keepLines w:val="0"/>
                    <w:suppressLineNumbers w:val="0"/>
                    <w:bidi w:val="0"/>
                    <w:spacing w:before="0" w:beforeAutospacing="0" w:after="0" w:afterAutospacing="0"/>
                    <w:rPr>
                      <w:rFonts w:hint="eastAsia" w:eastAsia="宋体"/>
                      <w:b w:val="0"/>
                      <w:bCs w:val="0"/>
                      <w:color w:val="auto"/>
                      <w:highlight w:val="none"/>
                      <w:lang w:val="en-US" w:eastAsia="zh-CN"/>
                    </w:rPr>
                  </w:pPr>
                </w:p>
              </w:tc>
            </w:tr>
            <w:tr w14:paraId="70F97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39" w:type="pct"/>
                  <w:vMerge w:val="continue"/>
                  <w:noWrap w:val="0"/>
                  <w:vAlign w:val="center"/>
                </w:tcPr>
                <w:p w14:paraId="2FD3FDFF">
                  <w:pPr>
                    <w:pStyle w:val="46"/>
                    <w:keepNext w:val="0"/>
                    <w:keepLines w:val="0"/>
                    <w:suppressLineNumbers w:val="0"/>
                    <w:bidi w:val="0"/>
                    <w:spacing w:before="0" w:beforeAutospacing="0" w:after="0" w:afterAutospacing="0"/>
                    <w:rPr>
                      <w:rFonts w:hint="eastAsia"/>
                      <w:b w:val="0"/>
                      <w:bCs w:val="0"/>
                      <w:color w:val="auto"/>
                      <w:lang w:val="en-US" w:eastAsia="zh-CN"/>
                    </w:rPr>
                  </w:pPr>
                </w:p>
              </w:tc>
              <w:tc>
                <w:tcPr>
                  <w:tcW w:w="452" w:type="pct"/>
                  <w:noWrap w:val="0"/>
                  <w:vAlign w:val="center"/>
                </w:tcPr>
                <w:p w14:paraId="3F44883E">
                  <w:pPr>
                    <w:pStyle w:val="46"/>
                    <w:keepNext w:val="0"/>
                    <w:keepLines w:val="0"/>
                    <w:suppressLineNumbers w:val="0"/>
                    <w:bidi w:val="0"/>
                    <w:spacing w:before="0" w:beforeAutospacing="0" w:after="0" w:afterAutospacing="0"/>
                    <w:rPr>
                      <w:rFonts w:hint="default"/>
                      <w:b w:val="0"/>
                      <w:bCs w:val="0"/>
                      <w:color w:val="auto"/>
                      <w:lang w:val="en-US" w:eastAsia="zh-CN"/>
                    </w:rPr>
                  </w:pPr>
                  <w:r>
                    <w:rPr>
                      <w:rFonts w:hint="eastAsia"/>
                      <w:b w:val="0"/>
                      <w:bCs w:val="0"/>
                      <w:color w:val="auto"/>
                      <w:lang w:val="en-US" w:eastAsia="zh-CN"/>
                    </w:rPr>
                    <w:t>/</w:t>
                  </w:r>
                </w:p>
              </w:tc>
              <w:tc>
                <w:tcPr>
                  <w:tcW w:w="838" w:type="pct"/>
                  <w:noWrap w:val="0"/>
                  <w:vAlign w:val="center"/>
                </w:tcPr>
                <w:p w14:paraId="2B96969F">
                  <w:pPr>
                    <w:pStyle w:val="46"/>
                    <w:keepNext w:val="0"/>
                    <w:keepLines w:val="0"/>
                    <w:suppressLineNumbers w:val="0"/>
                    <w:bidi w:val="0"/>
                    <w:spacing w:before="0" w:beforeAutospacing="0" w:after="0" w:afterAutospacing="0"/>
                    <w:rPr>
                      <w:rFonts w:hint="default"/>
                      <w:b w:val="0"/>
                      <w:bCs w:val="0"/>
                      <w:color w:val="auto"/>
                      <w:lang w:val="en-US" w:eastAsia="zh-CN"/>
                    </w:rPr>
                  </w:pPr>
                  <w:r>
                    <w:rPr>
                      <w:rFonts w:hint="eastAsia"/>
                      <w:b w:val="0"/>
                      <w:bCs w:val="0"/>
                      <w:color w:val="auto"/>
                      <w:lang w:val="en-US" w:eastAsia="zh-CN"/>
                    </w:rPr>
                    <w:t>废水处理</w:t>
                  </w:r>
                </w:p>
              </w:tc>
              <w:tc>
                <w:tcPr>
                  <w:tcW w:w="1184" w:type="pct"/>
                  <w:noWrap w:val="0"/>
                  <w:vAlign w:val="center"/>
                </w:tcPr>
                <w:p w14:paraId="7619D89B">
                  <w:pPr>
                    <w:pStyle w:val="46"/>
                    <w:keepNext w:val="0"/>
                    <w:keepLines w:val="0"/>
                    <w:suppressLineNumbers w:val="0"/>
                    <w:bidi w:val="0"/>
                    <w:spacing w:before="0" w:beforeAutospacing="0" w:after="0" w:afterAutospacing="0"/>
                    <w:rPr>
                      <w:rFonts w:hint="eastAsia"/>
                      <w:b w:val="0"/>
                      <w:bCs w:val="0"/>
                      <w:color w:val="auto"/>
                      <w:lang w:val="en-US" w:eastAsia="zh-CN"/>
                    </w:rPr>
                  </w:pPr>
                  <w:commentRangeStart w:id="29"/>
                  <w:commentRangeStart w:id="30"/>
                  <w:r>
                    <w:rPr>
                      <w:rFonts w:hint="eastAsia"/>
                      <w:b w:val="0"/>
                      <w:bCs w:val="0"/>
                      <w:color w:val="auto"/>
                      <w:highlight w:val="none"/>
                      <w:lang w:val="en-US" w:eastAsia="zh-CN"/>
                    </w:rPr>
                    <w:t>臭气浓度</w:t>
                  </w:r>
                  <w:commentRangeEnd w:id="29"/>
                  <w:r>
                    <w:commentReference w:id="29"/>
                  </w:r>
                  <w:commentRangeEnd w:id="30"/>
                  <w:r>
                    <w:commentReference w:id="30"/>
                  </w:r>
                </w:p>
              </w:tc>
              <w:tc>
                <w:tcPr>
                  <w:tcW w:w="1540" w:type="pct"/>
                  <w:noWrap w:val="0"/>
                  <w:vAlign w:val="center"/>
                </w:tcPr>
                <w:p w14:paraId="3F97A37E">
                  <w:pPr>
                    <w:pStyle w:val="46"/>
                    <w:keepNext w:val="0"/>
                    <w:keepLines w:val="0"/>
                    <w:suppressLineNumbers w:val="0"/>
                    <w:bidi w:val="0"/>
                    <w:spacing w:before="0" w:beforeAutospacing="0" w:after="0" w:afterAutospacing="0"/>
                    <w:rPr>
                      <w:rFonts w:hint="eastAsia"/>
                      <w:b w:val="0"/>
                      <w:bCs w:val="0"/>
                      <w:color w:val="auto"/>
                      <w:highlight w:val="none"/>
                    </w:rPr>
                  </w:pPr>
                  <w:r>
                    <w:rPr>
                      <w:rFonts w:hint="eastAsia"/>
                      <w:b w:val="0"/>
                      <w:bCs w:val="0"/>
                      <w:color w:val="auto"/>
                      <w:highlight w:val="none"/>
                      <w:lang w:val="en-US" w:eastAsia="zh-CN"/>
                    </w:rPr>
                    <w:t>喷洒除臭剂、污泥压滤后使用封闭包装袋暂存于一般固废暂存间，定期喷洒除臭剂，及时清运</w:t>
                  </w:r>
                </w:p>
              </w:tc>
              <w:tc>
                <w:tcPr>
                  <w:tcW w:w="645" w:type="pct"/>
                  <w:noWrap w:val="0"/>
                  <w:vAlign w:val="center"/>
                </w:tcPr>
                <w:p w14:paraId="5FB7ABCF">
                  <w:pPr>
                    <w:pStyle w:val="46"/>
                    <w:keepNext w:val="0"/>
                    <w:keepLines w:val="0"/>
                    <w:suppressLineNumbers w:val="0"/>
                    <w:bidi w:val="0"/>
                    <w:spacing w:before="0" w:beforeAutospacing="0" w:after="0" w:afterAutospacing="0"/>
                    <w:rPr>
                      <w:rFonts w:hint="default"/>
                      <w:b w:val="0"/>
                      <w:bCs w:val="0"/>
                      <w:color w:val="auto"/>
                      <w:highlight w:val="none"/>
                      <w:lang w:val="en-US" w:eastAsia="zh-CN"/>
                    </w:rPr>
                  </w:pPr>
                  <w:r>
                    <w:rPr>
                      <w:rFonts w:hint="eastAsia"/>
                      <w:b w:val="0"/>
                      <w:bCs w:val="0"/>
                      <w:color w:val="auto"/>
                      <w:highlight w:val="none"/>
                      <w:lang w:val="en-US" w:eastAsia="zh-CN"/>
                    </w:rPr>
                    <w:t>无组织</w:t>
                  </w:r>
                </w:p>
              </w:tc>
            </w:tr>
            <w:tr w14:paraId="6D820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39" w:type="pct"/>
                  <w:vMerge w:val="restart"/>
                  <w:noWrap w:val="0"/>
                  <w:vAlign w:val="center"/>
                </w:tcPr>
                <w:p w14:paraId="0E37C141">
                  <w:pPr>
                    <w:pStyle w:val="46"/>
                    <w:keepNext w:val="0"/>
                    <w:keepLines w:val="0"/>
                    <w:suppressLineNumbers w:val="0"/>
                    <w:bidi w:val="0"/>
                    <w:spacing w:before="0" w:beforeAutospacing="0" w:after="0" w:afterAutospacing="0"/>
                    <w:rPr>
                      <w:color w:val="auto"/>
                    </w:rPr>
                  </w:pPr>
                  <w:r>
                    <w:rPr>
                      <w:color w:val="auto"/>
                    </w:rPr>
                    <w:t>废水</w:t>
                  </w:r>
                </w:p>
              </w:tc>
              <w:tc>
                <w:tcPr>
                  <w:tcW w:w="452" w:type="pct"/>
                  <w:noWrap w:val="0"/>
                  <w:vAlign w:val="center"/>
                </w:tcPr>
                <w:p w14:paraId="3C2C2CD9">
                  <w:pPr>
                    <w:pStyle w:val="46"/>
                    <w:keepNext w:val="0"/>
                    <w:keepLines w:val="0"/>
                    <w:suppressLineNumbers w:val="0"/>
                    <w:bidi w:val="0"/>
                    <w:spacing w:before="0" w:beforeAutospacing="0" w:after="0" w:afterAutospacing="0"/>
                    <w:rPr>
                      <w:rFonts w:hint="default" w:eastAsia="宋体"/>
                      <w:color w:val="auto"/>
                      <w:highlight w:val="none"/>
                      <w:lang w:val="en-US" w:eastAsia="zh-CN"/>
                    </w:rPr>
                  </w:pPr>
                  <w:r>
                    <w:rPr>
                      <w:rFonts w:hint="eastAsia"/>
                      <w:color w:val="auto"/>
                      <w:highlight w:val="none"/>
                      <w:lang w:val="en-US" w:eastAsia="zh-CN"/>
                    </w:rPr>
                    <w:t>W1</w:t>
                  </w:r>
                </w:p>
              </w:tc>
              <w:tc>
                <w:tcPr>
                  <w:tcW w:w="838" w:type="pct"/>
                  <w:noWrap w:val="0"/>
                  <w:vAlign w:val="center"/>
                </w:tcPr>
                <w:p w14:paraId="6E0AD981">
                  <w:pPr>
                    <w:pStyle w:val="46"/>
                    <w:keepNext w:val="0"/>
                    <w:keepLines w:val="0"/>
                    <w:suppressLineNumbers w:val="0"/>
                    <w:bidi w:val="0"/>
                    <w:spacing w:before="0" w:beforeAutospacing="0" w:after="0" w:afterAutospacing="0"/>
                    <w:rPr>
                      <w:rFonts w:hint="eastAsia" w:eastAsia="宋体"/>
                      <w:color w:val="auto"/>
                      <w:highlight w:val="none"/>
                      <w:lang w:val="en-US" w:eastAsia="zh-CN"/>
                    </w:rPr>
                  </w:pPr>
                  <w:r>
                    <w:rPr>
                      <w:rFonts w:hint="eastAsia"/>
                      <w:color w:val="auto"/>
                      <w:highlight w:val="none"/>
                      <w:lang w:val="en-US" w:eastAsia="zh-CN"/>
                    </w:rPr>
                    <w:t>破碎</w:t>
                  </w:r>
                </w:p>
              </w:tc>
              <w:tc>
                <w:tcPr>
                  <w:tcW w:w="1184" w:type="pct"/>
                  <w:noWrap w:val="0"/>
                  <w:vAlign w:val="center"/>
                </w:tcPr>
                <w:p w14:paraId="107E0680">
                  <w:pPr>
                    <w:pStyle w:val="46"/>
                    <w:keepNext w:val="0"/>
                    <w:keepLines w:val="0"/>
                    <w:suppressLineNumbers w:val="0"/>
                    <w:bidi w:val="0"/>
                    <w:spacing w:before="0" w:beforeAutospacing="0" w:after="0" w:afterAutospacing="0"/>
                    <w:rPr>
                      <w:rFonts w:hint="default" w:eastAsia="宋体"/>
                      <w:color w:val="auto"/>
                      <w:highlight w:val="none"/>
                      <w:lang w:val="en-US" w:eastAsia="zh-CN"/>
                    </w:rPr>
                  </w:pPr>
                  <w:r>
                    <w:rPr>
                      <w:rFonts w:hint="eastAsia"/>
                      <w:color w:val="auto"/>
                      <w:highlight w:val="none"/>
                      <w:lang w:val="en-US" w:eastAsia="zh-CN"/>
                    </w:rPr>
                    <w:t>破碎废水</w:t>
                  </w:r>
                </w:p>
              </w:tc>
              <w:tc>
                <w:tcPr>
                  <w:tcW w:w="1540" w:type="pct"/>
                  <w:noWrap w:val="0"/>
                  <w:vAlign w:val="center"/>
                </w:tcPr>
                <w:p w14:paraId="4180E158">
                  <w:pPr>
                    <w:pStyle w:val="46"/>
                    <w:keepNext w:val="0"/>
                    <w:keepLines w:val="0"/>
                    <w:suppressLineNumbers w:val="0"/>
                    <w:bidi w:val="0"/>
                    <w:spacing w:before="0" w:beforeAutospacing="0" w:after="0" w:afterAutospacing="0"/>
                    <w:rPr>
                      <w:rFonts w:hint="default" w:eastAsia="宋体"/>
                      <w:color w:val="auto"/>
                      <w:highlight w:val="none"/>
                      <w:lang w:val="en-US" w:eastAsia="zh-CN"/>
                    </w:rPr>
                  </w:pPr>
                  <w:r>
                    <w:rPr>
                      <w:rFonts w:hint="eastAsia"/>
                      <w:color w:val="auto"/>
                      <w:highlight w:val="none"/>
                      <w:lang w:val="en-US" w:eastAsia="zh-CN"/>
                    </w:rPr>
                    <w:t>经絮凝沉淀池处理后回用</w:t>
                  </w:r>
                </w:p>
              </w:tc>
              <w:tc>
                <w:tcPr>
                  <w:tcW w:w="645" w:type="pct"/>
                  <w:noWrap w:val="0"/>
                  <w:vAlign w:val="center"/>
                </w:tcPr>
                <w:p w14:paraId="21CDEFE2">
                  <w:pPr>
                    <w:pStyle w:val="46"/>
                    <w:keepNext w:val="0"/>
                    <w:keepLines w:val="0"/>
                    <w:suppressLineNumbers w:val="0"/>
                    <w:bidi w:val="0"/>
                    <w:spacing w:before="0" w:beforeAutospacing="0" w:after="0" w:afterAutospacing="0"/>
                    <w:jc w:val="center"/>
                    <w:rPr>
                      <w:rFonts w:hint="default" w:eastAsia="宋体"/>
                      <w:color w:val="auto"/>
                      <w:lang w:val="en-US" w:eastAsia="zh-CN"/>
                    </w:rPr>
                  </w:pPr>
                  <w:r>
                    <w:rPr>
                      <w:rFonts w:hint="eastAsia"/>
                      <w:color w:val="auto"/>
                      <w:lang w:val="en-US" w:eastAsia="zh-CN"/>
                    </w:rPr>
                    <w:t>不排放</w:t>
                  </w:r>
                </w:p>
              </w:tc>
            </w:tr>
            <w:tr w14:paraId="1F32D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39" w:type="pct"/>
                  <w:vMerge w:val="continue"/>
                  <w:noWrap w:val="0"/>
                  <w:vAlign w:val="center"/>
                </w:tcPr>
                <w:p w14:paraId="1F18BE1E">
                  <w:pPr>
                    <w:pStyle w:val="46"/>
                    <w:keepNext w:val="0"/>
                    <w:keepLines w:val="0"/>
                    <w:suppressLineNumbers w:val="0"/>
                    <w:bidi w:val="0"/>
                    <w:spacing w:before="0" w:beforeAutospacing="0" w:after="0" w:afterAutospacing="0"/>
                    <w:rPr>
                      <w:color w:val="auto"/>
                    </w:rPr>
                  </w:pPr>
                </w:p>
              </w:tc>
              <w:tc>
                <w:tcPr>
                  <w:tcW w:w="452" w:type="pct"/>
                  <w:shd w:val="clear" w:color="auto" w:fill="auto"/>
                  <w:noWrap w:val="0"/>
                  <w:vAlign w:val="center"/>
                </w:tcPr>
                <w:p w14:paraId="58B1B58A">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auto"/>
                      <w:kern w:val="2"/>
                      <w:sz w:val="21"/>
                      <w:szCs w:val="21"/>
                      <w:highlight w:val="none"/>
                      <w:lang w:val="en-US" w:eastAsia="zh-CN" w:bidi="ar-SA"/>
                    </w:rPr>
                  </w:pPr>
                  <w:r>
                    <w:rPr>
                      <w:rFonts w:hint="eastAsia"/>
                      <w:color w:val="auto"/>
                      <w:highlight w:val="none"/>
                      <w:lang w:val="en-US" w:eastAsia="zh-CN"/>
                    </w:rPr>
                    <w:t>/</w:t>
                  </w:r>
                </w:p>
              </w:tc>
              <w:tc>
                <w:tcPr>
                  <w:tcW w:w="838" w:type="pct"/>
                  <w:shd w:val="clear" w:color="auto" w:fill="auto"/>
                  <w:noWrap w:val="0"/>
                  <w:vAlign w:val="center"/>
                </w:tcPr>
                <w:p w14:paraId="3182B953">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auto"/>
                      <w:kern w:val="2"/>
                      <w:sz w:val="21"/>
                      <w:szCs w:val="21"/>
                      <w:highlight w:val="none"/>
                      <w:lang w:val="en-US" w:eastAsia="zh-CN" w:bidi="ar-SA"/>
                    </w:rPr>
                  </w:pPr>
                  <w:r>
                    <w:rPr>
                      <w:rFonts w:hint="eastAsia"/>
                      <w:color w:val="auto"/>
                      <w:highlight w:val="none"/>
                    </w:rPr>
                    <w:t>职工生活</w:t>
                  </w:r>
                </w:p>
              </w:tc>
              <w:tc>
                <w:tcPr>
                  <w:tcW w:w="1184" w:type="pct"/>
                  <w:shd w:val="clear" w:color="auto" w:fill="auto"/>
                  <w:noWrap w:val="0"/>
                  <w:vAlign w:val="center"/>
                </w:tcPr>
                <w:p w14:paraId="14B794DA">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auto"/>
                      <w:kern w:val="2"/>
                      <w:sz w:val="21"/>
                      <w:szCs w:val="21"/>
                      <w:highlight w:val="none"/>
                      <w:lang w:val="en-US" w:eastAsia="zh-CN" w:bidi="ar-SA"/>
                    </w:rPr>
                  </w:pPr>
                  <w:r>
                    <w:rPr>
                      <w:rFonts w:hint="eastAsia"/>
                      <w:color w:val="auto"/>
                      <w:highlight w:val="none"/>
                    </w:rPr>
                    <w:t>生活污水</w:t>
                  </w:r>
                </w:p>
              </w:tc>
              <w:tc>
                <w:tcPr>
                  <w:tcW w:w="1540" w:type="pct"/>
                  <w:noWrap w:val="0"/>
                  <w:vAlign w:val="center"/>
                </w:tcPr>
                <w:p w14:paraId="0CD7FE7C">
                  <w:pPr>
                    <w:pStyle w:val="46"/>
                    <w:keepNext w:val="0"/>
                    <w:keepLines w:val="0"/>
                    <w:suppressLineNumbers w:val="0"/>
                    <w:bidi w:val="0"/>
                    <w:spacing w:before="0" w:beforeAutospacing="0" w:after="0" w:afterAutospacing="0"/>
                    <w:rPr>
                      <w:rFonts w:hint="eastAsia"/>
                      <w:color w:val="auto"/>
                      <w:highlight w:val="none"/>
                    </w:rPr>
                  </w:pPr>
                  <w:r>
                    <w:rPr>
                      <w:rFonts w:hint="eastAsia"/>
                      <w:color w:val="auto"/>
                      <w:highlight w:val="none"/>
                    </w:rPr>
                    <w:t>化粪池预处理＋</w:t>
                  </w:r>
                  <w:r>
                    <w:rPr>
                      <w:rFonts w:hint="eastAsia"/>
                      <w:color w:val="auto"/>
                      <w:highlight w:val="none"/>
                      <w:lang w:val="en-US" w:eastAsia="zh-CN"/>
                    </w:rPr>
                    <w:t>淮南首创八公山区</w:t>
                  </w:r>
                  <w:r>
                    <w:rPr>
                      <w:rFonts w:hint="eastAsia"/>
                      <w:color w:val="auto"/>
                      <w:highlight w:val="none"/>
                    </w:rPr>
                    <w:t>污水处理厂</w:t>
                  </w:r>
                </w:p>
              </w:tc>
              <w:tc>
                <w:tcPr>
                  <w:tcW w:w="645" w:type="pct"/>
                  <w:noWrap w:val="0"/>
                  <w:vAlign w:val="center"/>
                </w:tcPr>
                <w:p w14:paraId="6FF01B5F">
                  <w:pPr>
                    <w:pStyle w:val="46"/>
                    <w:keepNext w:val="0"/>
                    <w:keepLines w:val="0"/>
                    <w:suppressLineNumbers w:val="0"/>
                    <w:bidi w:val="0"/>
                    <w:spacing w:before="0" w:beforeAutospacing="0" w:after="0" w:afterAutospacing="0"/>
                    <w:rPr>
                      <w:rFonts w:hint="eastAsia"/>
                      <w:color w:val="auto"/>
                    </w:rPr>
                  </w:pPr>
                  <w:r>
                    <w:rPr>
                      <w:rFonts w:hint="eastAsia"/>
                      <w:color w:val="auto"/>
                    </w:rPr>
                    <w:t>间接排放</w:t>
                  </w:r>
                </w:p>
              </w:tc>
            </w:tr>
            <w:tr w14:paraId="33609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39" w:type="pct"/>
                  <w:vMerge w:val="restart"/>
                  <w:noWrap w:val="0"/>
                  <w:vAlign w:val="center"/>
                </w:tcPr>
                <w:p w14:paraId="1AE741A3">
                  <w:pPr>
                    <w:pStyle w:val="46"/>
                    <w:keepNext w:val="0"/>
                    <w:keepLines w:val="0"/>
                    <w:suppressLineNumbers w:val="0"/>
                    <w:bidi w:val="0"/>
                    <w:spacing w:before="0" w:beforeAutospacing="0" w:after="0" w:afterAutospacing="0"/>
                    <w:rPr>
                      <w:color w:val="auto"/>
                    </w:rPr>
                  </w:pPr>
                  <w:r>
                    <w:rPr>
                      <w:color w:val="auto"/>
                    </w:rPr>
                    <w:t>固废</w:t>
                  </w:r>
                </w:p>
                <w:p w14:paraId="27E75AFC">
                  <w:pPr>
                    <w:pStyle w:val="46"/>
                    <w:keepNext w:val="0"/>
                    <w:keepLines w:val="0"/>
                    <w:suppressLineNumbers w:val="0"/>
                    <w:bidi w:val="0"/>
                    <w:spacing w:before="0" w:beforeAutospacing="0" w:after="0" w:afterAutospacing="0"/>
                    <w:rPr>
                      <w:rFonts w:hint="eastAsia" w:eastAsia="宋体"/>
                      <w:color w:val="auto"/>
                      <w:lang w:val="en-US" w:eastAsia="zh-CN"/>
                    </w:rPr>
                  </w:pPr>
                  <w:r>
                    <w:rPr>
                      <w:rFonts w:hint="eastAsia"/>
                      <w:color w:val="auto"/>
                      <w:lang w:val="en-US" w:eastAsia="zh-CN"/>
                    </w:rPr>
                    <w:t>/</w:t>
                  </w:r>
                </w:p>
              </w:tc>
              <w:tc>
                <w:tcPr>
                  <w:tcW w:w="452" w:type="pct"/>
                  <w:noWrap w:val="0"/>
                  <w:vAlign w:val="center"/>
                </w:tcPr>
                <w:p w14:paraId="07694D76">
                  <w:pPr>
                    <w:pStyle w:val="61"/>
                    <w:keepNext w:val="0"/>
                    <w:keepLines w:val="0"/>
                    <w:suppressLineNumbers w:val="0"/>
                    <w:bidi w:val="0"/>
                    <w:spacing w:before="0" w:beforeAutospacing="0" w:after="0" w:afterAutospacing="0"/>
                    <w:ind w:left="0" w:right="0"/>
                    <w:rPr>
                      <w:rFonts w:hint="eastAsia"/>
                    </w:rPr>
                  </w:pPr>
                  <w:r>
                    <w:rPr>
                      <w:rFonts w:hint="eastAsia"/>
                    </w:rPr>
                    <w:t>/</w:t>
                  </w:r>
                </w:p>
              </w:tc>
              <w:tc>
                <w:tcPr>
                  <w:tcW w:w="838" w:type="pct"/>
                  <w:noWrap w:val="0"/>
                  <w:vAlign w:val="center"/>
                </w:tcPr>
                <w:p w14:paraId="7148D0A6">
                  <w:pPr>
                    <w:pStyle w:val="61"/>
                    <w:keepNext w:val="0"/>
                    <w:keepLines w:val="0"/>
                    <w:suppressLineNumbers w:val="0"/>
                    <w:bidi w:val="0"/>
                    <w:spacing w:before="0" w:beforeAutospacing="0" w:after="0" w:afterAutospacing="0"/>
                    <w:ind w:left="0" w:right="0"/>
                    <w:rPr>
                      <w:rFonts w:hint="eastAsia"/>
                    </w:rPr>
                  </w:pPr>
                  <w:r>
                    <w:rPr>
                      <w:rFonts w:hint="eastAsia"/>
                    </w:rPr>
                    <w:t>职工生活</w:t>
                  </w:r>
                </w:p>
              </w:tc>
              <w:tc>
                <w:tcPr>
                  <w:tcW w:w="1184" w:type="pct"/>
                  <w:noWrap w:val="0"/>
                  <w:vAlign w:val="center"/>
                </w:tcPr>
                <w:p w14:paraId="62464EF8">
                  <w:pPr>
                    <w:pStyle w:val="61"/>
                    <w:keepNext w:val="0"/>
                    <w:keepLines w:val="0"/>
                    <w:suppressLineNumbers w:val="0"/>
                    <w:bidi w:val="0"/>
                    <w:spacing w:before="0" w:beforeAutospacing="0" w:after="0" w:afterAutospacing="0"/>
                    <w:ind w:left="0" w:right="0"/>
                    <w:rPr>
                      <w:rFonts w:hint="default"/>
                    </w:rPr>
                  </w:pPr>
                  <w:r>
                    <w:rPr>
                      <w:rFonts w:hint="eastAsia"/>
                    </w:rPr>
                    <w:t>生活垃圾</w:t>
                  </w:r>
                </w:p>
              </w:tc>
              <w:tc>
                <w:tcPr>
                  <w:tcW w:w="1540" w:type="pct"/>
                  <w:noWrap w:val="0"/>
                  <w:vAlign w:val="center"/>
                </w:tcPr>
                <w:p w14:paraId="19A4F492">
                  <w:pPr>
                    <w:pStyle w:val="61"/>
                    <w:keepNext w:val="0"/>
                    <w:keepLines w:val="0"/>
                    <w:suppressLineNumbers w:val="0"/>
                    <w:bidi w:val="0"/>
                    <w:spacing w:before="0" w:beforeAutospacing="0" w:after="0" w:afterAutospacing="0"/>
                    <w:ind w:left="0" w:right="0"/>
                    <w:rPr>
                      <w:rFonts w:hint="default"/>
                    </w:rPr>
                  </w:pPr>
                  <w:r>
                    <w:rPr>
                      <w:rFonts w:hint="eastAsia"/>
                    </w:rPr>
                    <w:t>交由环卫部门定期清运</w:t>
                  </w:r>
                </w:p>
              </w:tc>
              <w:tc>
                <w:tcPr>
                  <w:tcW w:w="645" w:type="pct"/>
                  <w:vMerge w:val="restart"/>
                  <w:noWrap w:val="0"/>
                  <w:vAlign w:val="center"/>
                </w:tcPr>
                <w:p w14:paraId="22B53A81">
                  <w:pPr>
                    <w:pStyle w:val="46"/>
                    <w:keepNext w:val="0"/>
                    <w:keepLines w:val="0"/>
                    <w:suppressLineNumbers w:val="0"/>
                    <w:bidi w:val="0"/>
                    <w:spacing w:before="0" w:beforeAutospacing="0" w:after="0" w:afterAutospacing="0"/>
                    <w:rPr>
                      <w:color w:val="auto"/>
                    </w:rPr>
                  </w:pPr>
                  <w:r>
                    <w:rPr>
                      <w:rFonts w:hint="eastAsia"/>
                      <w:color w:val="auto"/>
                    </w:rPr>
                    <w:t>合理处置</w:t>
                  </w:r>
                </w:p>
              </w:tc>
            </w:tr>
            <w:tr w14:paraId="31A42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39" w:type="pct"/>
                  <w:vMerge w:val="continue"/>
                  <w:noWrap w:val="0"/>
                  <w:vAlign w:val="center"/>
                </w:tcPr>
                <w:p w14:paraId="32B83009">
                  <w:pPr>
                    <w:pStyle w:val="46"/>
                    <w:keepNext w:val="0"/>
                    <w:keepLines w:val="0"/>
                    <w:suppressLineNumbers w:val="0"/>
                    <w:bidi w:val="0"/>
                    <w:spacing w:before="0" w:beforeAutospacing="0" w:after="0" w:afterAutospacing="0"/>
                    <w:rPr>
                      <w:color w:val="auto"/>
                    </w:rPr>
                  </w:pPr>
                </w:p>
              </w:tc>
              <w:tc>
                <w:tcPr>
                  <w:tcW w:w="452" w:type="pct"/>
                  <w:noWrap w:val="0"/>
                  <w:vAlign w:val="center"/>
                </w:tcPr>
                <w:p w14:paraId="652F8ABA">
                  <w:pPr>
                    <w:pStyle w:val="61"/>
                    <w:keepNext w:val="0"/>
                    <w:keepLines w:val="0"/>
                    <w:suppressLineNumbers w:val="0"/>
                    <w:bidi w:val="0"/>
                    <w:spacing w:before="0" w:beforeAutospacing="0" w:after="0" w:afterAutospacing="0"/>
                    <w:ind w:left="0" w:right="0"/>
                    <w:rPr>
                      <w:rFonts w:hint="default"/>
                      <w:lang w:val="en-US" w:eastAsia="zh-CN"/>
                    </w:rPr>
                  </w:pPr>
                  <w:r>
                    <w:rPr>
                      <w:rFonts w:hint="eastAsia"/>
                    </w:rPr>
                    <w:t>S1</w:t>
                  </w:r>
                </w:p>
              </w:tc>
              <w:tc>
                <w:tcPr>
                  <w:tcW w:w="838" w:type="pct"/>
                  <w:vMerge w:val="restart"/>
                  <w:noWrap w:val="0"/>
                  <w:vAlign w:val="center"/>
                </w:tcPr>
                <w:p w14:paraId="3B7B2683">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拆解</w:t>
                  </w:r>
                </w:p>
              </w:tc>
              <w:tc>
                <w:tcPr>
                  <w:tcW w:w="1184" w:type="pct"/>
                  <w:noWrap w:val="0"/>
                  <w:vAlign w:val="center"/>
                </w:tcPr>
                <w:p w14:paraId="6A8647CA">
                  <w:pPr>
                    <w:pStyle w:val="61"/>
                    <w:keepNext w:val="0"/>
                    <w:keepLines w:val="0"/>
                    <w:suppressLineNumbers w:val="0"/>
                    <w:bidi w:val="0"/>
                    <w:spacing w:before="0" w:beforeAutospacing="0" w:after="0" w:afterAutospacing="0"/>
                    <w:ind w:left="0" w:right="0"/>
                    <w:rPr>
                      <w:rFonts w:hint="default"/>
                      <w:lang w:val="en-US" w:eastAsia="zh-CN"/>
                    </w:rPr>
                  </w:pPr>
                  <w:r>
                    <w:rPr>
                      <w:rFonts w:hint="eastAsia"/>
                      <w:color w:val="0000FF"/>
                      <w:lang w:val="en-US" w:eastAsia="zh-CN"/>
                    </w:rPr>
                    <w:t>废铅蓄电池、废电解液中和废物</w:t>
                  </w:r>
                </w:p>
              </w:tc>
              <w:tc>
                <w:tcPr>
                  <w:tcW w:w="1540" w:type="pct"/>
                  <w:noWrap w:val="0"/>
                  <w:vAlign w:val="center"/>
                </w:tcPr>
                <w:p w14:paraId="13213998">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暂存于危废暂存间后委托有资质单位处置</w:t>
                  </w:r>
                </w:p>
              </w:tc>
              <w:tc>
                <w:tcPr>
                  <w:tcW w:w="645" w:type="pct"/>
                  <w:vMerge w:val="continue"/>
                  <w:noWrap w:val="0"/>
                  <w:vAlign w:val="center"/>
                </w:tcPr>
                <w:p w14:paraId="7C40A8D1">
                  <w:pPr>
                    <w:pStyle w:val="46"/>
                    <w:keepNext w:val="0"/>
                    <w:keepLines w:val="0"/>
                    <w:suppressLineNumbers w:val="0"/>
                    <w:bidi w:val="0"/>
                    <w:spacing w:before="0" w:beforeAutospacing="0" w:after="0" w:afterAutospacing="0"/>
                    <w:rPr>
                      <w:rFonts w:hint="eastAsia"/>
                      <w:color w:val="auto"/>
                    </w:rPr>
                  </w:pPr>
                </w:p>
              </w:tc>
            </w:tr>
            <w:tr w14:paraId="11064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39" w:type="pct"/>
                  <w:vMerge w:val="continue"/>
                  <w:noWrap w:val="0"/>
                  <w:vAlign w:val="center"/>
                </w:tcPr>
                <w:p w14:paraId="0A2E97C5">
                  <w:pPr>
                    <w:pStyle w:val="46"/>
                    <w:keepNext w:val="0"/>
                    <w:keepLines w:val="0"/>
                    <w:suppressLineNumbers w:val="0"/>
                    <w:bidi w:val="0"/>
                    <w:spacing w:before="0" w:beforeAutospacing="0" w:after="0" w:afterAutospacing="0"/>
                    <w:rPr>
                      <w:color w:val="auto"/>
                    </w:rPr>
                  </w:pPr>
                </w:p>
              </w:tc>
              <w:tc>
                <w:tcPr>
                  <w:tcW w:w="452" w:type="pct"/>
                  <w:noWrap w:val="0"/>
                  <w:vAlign w:val="center"/>
                </w:tcPr>
                <w:p w14:paraId="7111D084">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S2</w:t>
                  </w:r>
                </w:p>
              </w:tc>
              <w:tc>
                <w:tcPr>
                  <w:tcW w:w="838" w:type="pct"/>
                  <w:vMerge w:val="continue"/>
                  <w:noWrap w:val="0"/>
                  <w:vAlign w:val="center"/>
                </w:tcPr>
                <w:p w14:paraId="2ACC845D">
                  <w:pPr>
                    <w:pStyle w:val="61"/>
                    <w:keepNext w:val="0"/>
                    <w:keepLines w:val="0"/>
                    <w:suppressLineNumbers w:val="0"/>
                    <w:bidi w:val="0"/>
                    <w:spacing w:before="0" w:beforeAutospacing="0" w:after="0" w:afterAutospacing="0"/>
                    <w:ind w:left="0" w:right="0"/>
                    <w:rPr>
                      <w:rFonts w:hint="default"/>
                      <w:lang w:val="en-US" w:eastAsia="zh-CN"/>
                    </w:rPr>
                  </w:pPr>
                </w:p>
              </w:tc>
              <w:tc>
                <w:tcPr>
                  <w:tcW w:w="1184" w:type="pct"/>
                  <w:noWrap w:val="0"/>
                  <w:vAlign w:val="center"/>
                </w:tcPr>
                <w:p w14:paraId="378702AD">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废锂电池</w:t>
                  </w:r>
                </w:p>
              </w:tc>
              <w:tc>
                <w:tcPr>
                  <w:tcW w:w="1540" w:type="pct"/>
                  <w:noWrap w:val="0"/>
                  <w:vAlign w:val="center"/>
                </w:tcPr>
                <w:p w14:paraId="5276DF4F">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外售</w:t>
                  </w:r>
                </w:p>
              </w:tc>
              <w:tc>
                <w:tcPr>
                  <w:tcW w:w="645" w:type="pct"/>
                  <w:vMerge w:val="continue"/>
                  <w:noWrap w:val="0"/>
                  <w:vAlign w:val="center"/>
                </w:tcPr>
                <w:p w14:paraId="2AA98D44">
                  <w:pPr>
                    <w:pStyle w:val="46"/>
                    <w:keepNext w:val="0"/>
                    <w:keepLines w:val="0"/>
                    <w:suppressLineNumbers w:val="0"/>
                    <w:bidi w:val="0"/>
                    <w:spacing w:before="0" w:beforeAutospacing="0" w:after="0" w:afterAutospacing="0"/>
                    <w:rPr>
                      <w:rFonts w:hint="eastAsia"/>
                      <w:color w:val="auto"/>
                    </w:rPr>
                  </w:pPr>
                </w:p>
              </w:tc>
            </w:tr>
            <w:tr w14:paraId="221FF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39" w:type="pct"/>
                  <w:vMerge w:val="continue"/>
                  <w:noWrap w:val="0"/>
                  <w:vAlign w:val="center"/>
                </w:tcPr>
                <w:p w14:paraId="3EA24935">
                  <w:pPr>
                    <w:pStyle w:val="46"/>
                    <w:keepNext w:val="0"/>
                    <w:keepLines w:val="0"/>
                    <w:suppressLineNumbers w:val="0"/>
                    <w:bidi w:val="0"/>
                    <w:spacing w:before="0" w:beforeAutospacing="0" w:after="0" w:afterAutospacing="0"/>
                    <w:rPr>
                      <w:color w:val="auto"/>
                    </w:rPr>
                  </w:pPr>
                </w:p>
              </w:tc>
              <w:tc>
                <w:tcPr>
                  <w:tcW w:w="452" w:type="pct"/>
                  <w:noWrap w:val="0"/>
                  <w:vAlign w:val="center"/>
                </w:tcPr>
                <w:p w14:paraId="5F60BB2B">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S3</w:t>
                  </w:r>
                </w:p>
              </w:tc>
              <w:tc>
                <w:tcPr>
                  <w:tcW w:w="838" w:type="pct"/>
                  <w:vMerge w:val="continue"/>
                  <w:noWrap w:val="0"/>
                  <w:vAlign w:val="center"/>
                </w:tcPr>
                <w:p w14:paraId="22ADC05D">
                  <w:pPr>
                    <w:pStyle w:val="61"/>
                    <w:keepNext w:val="0"/>
                    <w:keepLines w:val="0"/>
                    <w:suppressLineNumbers w:val="0"/>
                    <w:bidi w:val="0"/>
                    <w:spacing w:before="0" w:beforeAutospacing="0" w:after="0" w:afterAutospacing="0"/>
                    <w:ind w:left="0" w:right="0"/>
                    <w:rPr>
                      <w:rFonts w:hint="default"/>
                      <w:lang w:val="en-US" w:eastAsia="zh-CN"/>
                    </w:rPr>
                  </w:pPr>
                </w:p>
              </w:tc>
              <w:tc>
                <w:tcPr>
                  <w:tcW w:w="1184" w:type="pct"/>
                  <w:noWrap w:val="0"/>
                  <w:vAlign w:val="center"/>
                </w:tcPr>
                <w:p w14:paraId="442465D8">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废钢铁件</w:t>
                  </w:r>
                </w:p>
              </w:tc>
              <w:tc>
                <w:tcPr>
                  <w:tcW w:w="1540" w:type="pct"/>
                  <w:noWrap w:val="0"/>
                  <w:vAlign w:val="center"/>
                </w:tcPr>
                <w:p w14:paraId="7BDEAD59">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外售</w:t>
                  </w:r>
                </w:p>
              </w:tc>
              <w:tc>
                <w:tcPr>
                  <w:tcW w:w="645" w:type="pct"/>
                  <w:vMerge w:val="continue"/>
                  <w:noWrap w:val="0"/>
                  <w:vAlign w:val="center"/>
                </w:tcPr>
                <w:p w14:paraId="4172EA11">
                  <w:pPr>
                    <w:pStyle w:val="46"/>
                    <w:keepNext w:val="0"/>
                    <w:keepLines w:val="0"/>
                    <w:suppressLineNumbers w:val="0"/>
                    <w:bidi w:val="0"/>
                    <w:spacing w:before="0" w:beforeAutospacing="0" w:after="0" w:afterAutospacing="0"/>
                    <w:rPr>
                      <w:rFonts w:hint="eastAsia"/>
                      <w:color w:val="auto"/>
                    </w:rPr>
                  </w:pPr>
                </w:p>
              </w:tc>
            </w:tr>
            <w:tr w14:paraId="2005E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39" w:type="pct"/>
                  <w:vMerge w:val="continue"/>
                  <w:noWrap w:val="0"/>
                  <w:vAlign w:val="center"/>
                </w:tcPr>
                <w:p w14:paraId="7D8AD955">
                  <w:pPr>
                    <w:pStyle w:val="46"/>
                    <w:keepNext w:val="0"/>
                    <w:keepLines w:val="0"/>
                    <w:suppressLineNumbers w:val="0"/>
                    <w:bidi w:val="0"/>
                    <w:spacing w:before="0" w:beforeAutospacing="0" w:after="0" w:afterAutospacing="0"/>
                    <w:rPr>
                      <w:color w:val="auto"/>
                    </w:rPr>
                  </w:pPr>
                </w:p>
              </w:tc>
              <w:tc>
                <w:tcPr>
                  <w:tcW w:w="452" w:type="pct"/>
                  <w:shd w:val="clear" w:color="auto" w:fill="auto"/>
                  <w:noWrap w:val="0"/>
                  <w:vAlign w:val="center"/>
                </w:tcPr>
                <w:p w14:paraId="370F36F5">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S4</w:t>
                  </w:r>
                </w:p>
              </w:tc>
              <w:tc>
                <w:tcPr>
                  <w:tcW w:w="838" w:type="pct"/>
                  <w:vMerge w:val="continue"/>
                  <w:shd w:val="clear" w:color="auto" w:fill="auto"/>
                  <w:noWrap w:val="0"/>
                  <w:vAlign w:val="center"/>
                </w:tcPr>
                <w:p w14:paraId="68049FC3">
                  <w:pPr>
                    <w:pStyle w:val="61"/>
                    <w:keepNext w:val="0"/>
                    <w:keepLines w:val="0"/>
                    <w:suppressLineNumbers w:val="0"/>
                    <w:bidi w:val="0"/>
                    <w:spacing w:before="0" w:beforeAutospacing="0" w:after="0" w:afterAutospacing="0"/>
                    <w:ind w:left="0" w:right="0"/>
                    <w:rPr>
                      <w:rFonts w:hint="eastAsia"/>
                      <w:lang w:val="en-US" w:eastAsia="zh-CN"/>
                    </w:rPr>
                  </w:pPr>
                </w:p>
              </w:tc>
              <w:tc>
                <w:tcPr>
                  <w:tcW w:w="1184" w:type="pct"/>
                  <w:shd w:val="clear" w:color="auto" w:fill="auto"/>
                  <w:noWrap w:val="0"/>
                  <w:vAlign w:val="center"/>
                </w:tcPr>
                <w:p w14:paraId="070B1763">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废塑料</w:t>
                  </w:r>
                </w:p>
              </w:tc>
              <w:tc>
                <w:tcPr>
                  <w:tcW w:w="1540" w:type="pct"/>
                  <w:noWrap w:val="0"/>
                  <w:vAlign w:val="center"/>
                </w:tcPr>
                <w:p w14:paraId="00BC9CA5">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外售</w:t>
                  </w:r>
                </w:p>
              </w:tc>
              <w:tc>
                <w:tcPr>
                  <w:tcW w:w="645" w:type="pct"/>
                  <w:vMerge w:val="continue"/>
                  <w:noWrap w:val="0"/>
                  <w:vAlign w:val="center"/>
                </w:tcPr>
                <w:p w14:paraId="35C896AA">
                  <w:pPr>
                    <w:pStyle w:val="46"/>
                    <w:keepNext w:val="0"/>
                    <w:keepLines w:val="0"/>
                    <w:suppressLineNumbers w:val="0"/>
                    <w:bidi w:val="0"/>
                    <w:spacing w:before="0" w:beforeAutospacing="0" w:after="0" w:afterAutospacing="0"/>
                    <w:rPr>
                      <w:rFonts w:hint="eastAsia"/>
                      <w:color w:val="auto"/>
                    </w:rPr>
                  </w:pPr>
                </w:p>
              </w:tc>
            </w:tr>
            <w:tr w14:paraId="5FBF0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39" w:type="pct"/>
                  <w:vMerge w:val="continue"/>
                  <w:noWrap w:val="0"/>
                  <w:vAlign w:val="center"/>
                </w:tcPr>
                <w:p w14:paraId="2C7BD444">
                  <w:pPr>
                    <w:pStyle w:val="46"/>
                    <w:keepNext w:val="0"/>
                    <w:keepLines w:val="0"/>
                    <w:suppressLineNumbers w:val="0"/>
                    <w:bidi w:val="0"/>
                    <w:spacing w:before="0" w:beforeAutospacing="0" w:after="0" w:afterAutospacing="0"/>
                    <w:rPr>
                      <w:color w:val="auto"/>
                    </w:rPr>
                  </w:pPr>
                </w:p>
              </w:tc>
              <w:tc>
                <w:tcPr>
                  <w:tcW w:w="452" w:type="pct"/>
                  <w:noWrap w:val="0"/>
                  <w:vAlign w:val="center"/>
                </w:tcPr>
                <w:p w14:paraId="374170E8">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S5</w:t>
                  </w:r>
                </w:p>
              </w:tc>
              <w:tc>
                <w:tcPr>
                  <w:tcW w:w="838" w:type="pct"/>
                  <w:vMerge w:val="continue"/>
                  <w:noWrap w:val="0"/>
                  <w:vAlign w:val="center"/>
                </w:tcPr>
                <w:p w14:paraId="0E7A3E02">
                  <w:pPr>
                    <w:pStyle w:val="61"/>
                    <w:keepNext w:val="0"/>
                    <w:keepLines w:val="0"/>
                    <w:suppressLineNumbers w:val="0"/>
                    <w:bidi w:val="0"/>
                    <w:spacing w:before="0" w:beforeAutospacing="0" w:after="0" w:afterAutospacing="0"/>
                    <w:ind w:left="0" w:right="0"/>
                    <w:rPr>
                      <w:rFonts w:hint="default"/>
                      <w:lang w:val="en-US" w:eastAsia="zh-CN"/>
                    </w:rPr>
                  </w:pPr>
                </w:p>
              </w:tc>
              <w:tc>
                <w:tcPr>
                  <w:tcW w:w="1184" w:type="pct"/>
                  <w:noWrap w:val="0"/>
                  <w:vAlign w:val="center"/>
                </w:tcPr>
                <w:p w14:paraId="4D0DD162">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废玻璃</w:t>
                  </w:r>
                </w:p>
              </w:tc>
              <w:tc>
                <w:tcPr>
                  <w:tcW w:w="1540" w:type="pct"/>
                  <w:noWrap w:val="0"/>
                  <w:vAlign w:val="center"/>
                </w:tcPr>
                <w:p w14:paraId="28C2879B">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外售</w:t>
                  </w:r>
                </w:p>
              </w:tc>
              <w:tc>
                <w:tcPr>
                  <w:tcW w:w="645" w:type="pct"/>
                  <w:vMerge w:val="continue"/>
                  <w:noWrap w:val="0"/>
                  <w:vAlign w:val="center"/>
                </w:tcPr>
                <w:p w14:paraId="75E2AE48">
                  <w:pPr>
                    <w:pStyle w:val="46"/>
                    <w:keepNext w:val="0"/>
                    <w:keepLines w:val="0"/>
                    <w:suppressLineNumbers w:val="0"/>
                    <w:bidi w:val="0"/>
                    <w:spacing w:before="0" w:beforeAutospacing="0" w:after="0" w:afterAutospacing="0"/>
                    <w:rPr>
                      <w:rFonts w:hint="eastAsia"/>
                      <w:color w:val="auto"/>
                    </w:rPr>
                  </w:pPr>
                </w:p>
              </w:tc>
            </w:tr>
            <w:tr w14:paraId="6D5D4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339" w:type="pct"/>
                  <w:vMerge w:val="continue"/>
                  <w:noWrap w:val="0"/>
                  <w:vAlign w:val="center"/>
                </w:tcPr>
                <w:p w14:paraId="6EFEA7CE">
                  <w:pPr>
                    <w:pStyle w:val="46"/>
                    <w:keepNext w:val="0"/>
                    <w:keepLines w:val="0"/>
                    <w:suppressLineNumbers w:val="0"/>
                    <w:bidi w:val="0"/>
                    <w:spacing w:before="0" w:beforeAutospacing="0" w:after="0" w:afterAutospacing="0"/>
                    <w:rPr>
                      <w:color w:val="auto"/>
                    </w:rPr>
                  </w:pPr>
                </w:p>
              </w:tc>
              <w:tc>
                <w:tcPr>
                  <w:tcW w:w="452" w:type="pct"/>
                  <w:noWrap w:val="0"/>
                  <w:vAlign w:val="center"/>
                </w:tcPr>
                <w:p w14:paraId="7728B43A">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S6</w:t>
                  </w:r>
                </w:p>
              </w:tc>
              <w:tc>
                <w:tcPr>
                  <w:tcW w:w="838" w:type="pct"/>
                  <w:vMerge w:val="continue"/>
                  <w:shd w:val="clear" w:color="auto" w:fill="auto"/>
                  <w:noWrap w:val="0"/>
                  <w:vAlign w:val="center"/>
                </w:tcPr>
                <w:p w14:paraId="2889D388">
                  <w:pPr>
                    <w:pStyle w:val="61"/>
                    <w:keepNext w:val="0"/>
                    <w:keepLines w:val="0"/>
                    <w:suppressLineNumbers w:val="0"/>
                    <w:bidi w:val="0"/>
                    <w:spacing w:before="0" w:beforeAutospacing="0" w:after="0" w:afterAutospacing="0"/>
                    <w:ind w:left="0" w:right="0"/>
                    <w:rPr>
                      <w:rFonts w:hint="eastAsia"/>
                      <w:lang w:val="en-US" w:eastAsia="zh-CN"/>
                    </w:rPr>
                  </w:pPr>
                </w:p>
              </w:tc>
              <w:tc>
                <w:tcPr>
                  <w:tcW w:w="1184" w:type="pct"/>
                  <w:shd w:val="clear" w:color="auto" w:fill="auto"/>
                  <w:noWrap w:val="0"/>
                  <w:vAlign w:val="center"/>
                </w:tcPr>
                <w:p w14:paraId="30FCEB88">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废电线</w:t>
                  </w:r>
                </w:p>
              </w:tc>
              <w:tc>
                <w:tcPr>
                  <w:tcW w:w="1540" w:type="pct"/>
                  <w:shd w:val="clear" w:color="auto" w:fill="auto"/>
                  <w:noWrap w:val="0"/>
                  <w:vAlign w:val="center"/>
                </w:tcPr>
                <w:p w14:paraId="2C92581B">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外售</w:t>
                  </w:r>
                </w:p>
              </w:tc>
              <w:tc>
                <w:tcPr>
                  <w:tcW w:w="645" w:type="pct"/>
                  <w:vMerge w:val="continue"/>
                  <w:noWrap w:val="0"/>
                  <w:vAlign w:val="center"/>
                </w:tcPr>
                <w:p w14:paraId="6708D162">
                  <w:pPr>
                    <w:pStyle w:val="46"/>
                    <w:keepNext w:val="0"/>
                    <w:keepLines w:val="0"/>
                    <w:suppressLineNumbers w:val="0"/>
                    <w:bidi w:val="0"/>
                    <w:spacing w:before="0" w:beforeAutospacing="0" w:after="0" w:afterAutospacing="0"/>
                    <w:rPr>
                      <w:rFonts w:hint="eastAsia"/>
                      <w:color w:val="auto"/>
                    </w:rPr>
                  </w:pPr>
                </w:p>
              </w:tc>
            </w:tr>
            <w:tr w14:paraId="2168A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39" w:type="pct"/>
                  <w:vMerge w:val="continue"/>
                  <w:noWrap w:val="0"/>
                  <w:vAlign w:val="center"/>
                </w:tcPr>
                <w:p w14:paraId="2E63A2E8">
                  <w:pPr>
                    <w:pStyle w:val="46"/>
                    <w:keepNext w:val="0"/>
                    <w:keepLines w:val="0"/>
                    <w:suppressLineNumbers w:val="0"/>
                    <w:bidi w:val="0"/>
                    <w:spacing w:before="0" w:beforeAutospacing="0" w:after="0" w:afterAutospacing="0"/>
                    <w:rPr>
                      <w:color w:val="auto"/>
                    </w:rPr>
                  </w:pPr>
                </w:p>
              </w:tc>
              <w:tc>
                <w:tcPr>
                  <w:tcW w:w="452" w:type="pct"/>
                  <w:noWrap w:val="0"/>
                  <w:vAlign w:val="center"/>
                </w:tcPr>
                <w:p w14:paraId="7514794F">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S7</w:t>
                  </w:r>
                </w:p>
              </w:tc>
              <w:tc>
                <w:tcPr>
                  <w:tcW w:w="838" w:type="pct"/>
                  <w:vMerge w:val="continue"/>
                  <w:shd w:val="clear" w:color="auto" w:fill="auto"/>
                  <w:noWrap w:val="0"/>
                  <w:vAlign w:val="center"/>
                </w:tcPr>
                <w:p w14:paraId="438E66D0">
                  <w:pPr>
                    <w:pStyle w:val="61"/>
                    <w:keepNext w:val="0"/>
                    <w:keepLines w:val="0"/>
                    <w:suppressLineNumbers w:val="0"/>
                    <w:bidi w:val="0"/>
                    <w:spacing w:before="0" w:beforeAutospacing="0" w:after="0" w:afterAutospacing="0"/>
                    <w:ind w:left="0" w:right="0"/>
                    <w:rPr>
                      <w:rFonts w:hint="eastAsia"/>
                      <w:lang w:val="en-US" w:eastAsia="zh-CN"/>
                    </w:rPr>
                  </w:pPr>
                </w:p>
              </w:tc>
              <w:tc>
                <w:tcPr>
                  <w:tcW w:w="1184" w:type="pct"/>
                  <w:shd w:val="clear" w:color="auto" w:fill="auto"/>
                  <w:noWrap w:val="0"/>
                  <w:vAlign w:val="center"/>
                </w:tcPr>
                <w:p w14:paraId="3829844A">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废电机</w:t>
                  </w:r>
                </w:p>
              </w:tc>
              <w:tc>
                <w:tcPr>
                  <w:tcW w:w="1540" w:type="pct"/>
                  <w:shd w:val="clear" w:color="auto" w:fill="auto"/>
                  <w:noWrap w:val="0"/>
                  <w:vAlign w:val="center"/>
                </w:tcPr>
                <w:p w14:paraId="7E742A17">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外售</w:t>
                  </w:r>
                </w:p>
              </w:tc>
              <w:tc>
                <w:tcPr>
                  <w:tcW w:w="645" w:type="pct"/>
                  <w:vMerge w:val="continue"/>
                  <w:noWrap w:val="0"/>
                  <w:vAlign w:val="center"/>
                </w:tcPr>
                <w:p w14:paraId="659624B1">
                  <w:pPr>
                    <w:pStyle w:val="46"/>
                    <w:keepNext w:val="0"/>
                    <w:keepLines w:val="0"/>
                    <w:suppressLineNumbers w:val="0"/>
                    <w:bidi w:val="0"/>
                    <w:spacing w:before="0" w:beforeAutospacing="0" w:after="0" w:afterAutospacing="0"/>
                    <w:rPr>
                      <w:rFonts w:hint="eastAsia"/>
                      <w:color w:val="auto"/>
                    </w:rPr>
                  </w:pPr>
                </w:p>
              </w:tc>
            </w:tr>
            <w:tr w14:paraId="60740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39" w:type="pct"/>
                  <w:vMerge w:val="continue"/>
                  <w:noWrap w:val="0"/>
                  <w:vAlign w:val="center"/>
                </w:tcPr>
                <w:p w14:paraId="52277AB7">
                  <w:pPr>
                    <w:pStyle w:val="46"/>
                    <w:keepNext w:val="0"/>
                    <w:keepLines w:val="0"/>
                    <w:suppressLineNumbers w:val="0"/>
                    <w:bidi w:val="0"/>
                    <w:spacing w:before="0" w:beforeAutospacing="0" w:after="0" w:afterAutospacing="0"/>
                    <w:rPr>
                      <w:color w:val="auto"/>
                    </w:rPr>
                  </w:pPr>
                </w:p>
              </w:tc>
              <w:tc>
                <w:tcPr>
                  <w:tcW w:w="452" w:type="pct"/>
                  <w:noWrap w:val="0"/>
                  <w:vAlign w:val="center"/>
                </w:tcPr>
                <w:p w14:paraId="6C985DDD">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S8</w:t>
                  </w:r>
                </w:p>
              </w:tc>
              <w:tc>
                <w:tcPr>
                  <w:tcW w:w="838" w:type="pct"/>
                  <w:vMerge w:val="continue"/>
                  <w:noWrap w:val="0"/>
                  <w:vAlign w:val="center"/>
                </w:tcPr>
                <w:p w14:paraId="2811427B">
                  <w:pPr>
                    <w:pStyle w:val="61"/>
                    <w:keepNext w:val="0"/>
                    <w:keepLines w:val="0"/>
                    <w:suppressLineNumbers w:val="0"/>
                    <w:bidi w:val="0"/>
                    <w:spacing w:before="0" w:beforeAutospacing="0" w:after="0" w:afterAutospacing="0"/>
                    <w:ind w:left="0" w:right="0"/>
                    <w:rPr>
                      <w:rFonts w:hint="default"/>
                      <w:lang w:val="en-US" w:eastAsia="zh-CN"/>
                    </w:rPr>
                  </w:pPr>
                </w:p>
              </w:tc>
              <w:tc>
                <w:tcPr>
                  <w:tcW w:w="1184" w:type="pct"/>
                  <w:noWrap w:val="0"/>
                  <w:vAlign w:val="center"/>
                </w:tcPr>
                <w:p w14:paraId="3ED2B0C4">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废橡胶</w:t>
                  </w:r>
                </w:p>
              </w:tc>
              <w:tc>
                <w:tcPr>
                  <w:tcW w:w="1540" w:type="pct"/>
                  <w:noWrap w:val="0"/>
                  <w:vAlign w:val="center"/>
                </w:tcPr>
                <w:p w14:paraId="2876507C">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外售</w:t>
                  </w:r>
                </w:p>
              </w:tc>
              <w:tc>
                <w:tcPr>
                  <w:tcW w:w="645" w:type="pct"/>
                  <w:vMerge w:val="continue"/>
                  <w:noWrap w:val="0"/>
                  <w:vAlign w:val="center"/>
                </w:tcPr>
                <w:p w14:paraId="1CA39997">
                  <w:pPr>
                    <w:pStyle w:val="46"/>
                    <w:keepNext w:val="0"/>
                    <w:keepLines w:val="0"/>
                    <w:suppressLineNumbers w:val="0"/>
                    <w:bidi w:val="0"/>
                    <w:spacing w:before="0" w:beforeAutospacing="0" w:after="0" w:afterAutospacing="0"/>
                    <w:rPr>
                      <w:rFonts w:hint="eastAsia"/>
                      <w:color w:val="auto"/>
                    </w:rPr>
                  </w:pPr>
                </w:p>
              </w:tc>
            </w:tr>
            <w:tr w14:paraId="44D6E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39" w:type="pct"/>
                  <w:vMerge w:val="continue"/>
                  <w:noWrap w:val="0"/>
                  <w:vAlign w:val="center"/>
                </w:tcPr>
                <w:p w14:paraId="4899731B">
                  <w:pPr>
                    <w:pStyle w:val="46"/>
                    <w:keepNext w:val="0"/>
                    <w:keepLines w:val="0"/>
                    <w:suppressLineNumbers w:val="0"/>
                    <w:bidi w:val="0"/>
                    <w:spacing w:before="0" w:beforeAutospacing="0" w:after="0" w:afterAutospacing="0"/>
                    <w:rPr>
                      <w:color w:val="auto"/>
                    </w:rPr>
                  </w:pPr>
                </w:p>
              </w:tc>
              <w:tc>
                <w:tcPr>
                  <w:tcW w:w="452" w:type="pct"/>
                  <w:noWrap w:val="0"/>
                  <w:vAlign w:val="center"/>
                </w:tcPr>
                <w:p w14:paraId="3F43440C">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S9</w:t>
                  </w:r>
                </w:p>
              </w:tc>
              <w:tc>
                <w:tcPr>
                  <w:tcW w:w="838" w:type="pct"/>
                  <w:vMerge w:val="continue"/>
                  <w:noWrap w:val="0"/>
                  <w:vAlign w:val="center"/>
                </w:tcPr>
                <w:p w14:paraId="7A98EE3A">
                  <w:pPr>
                    <w:pStyle w:val="61"/>
                    <w:keepNext w:val="0"/>
                    <w:keepLines w:val="0"/>
                    <w:suppressLineNumbers w:val="0"/>
                    <w:bidi w:val="0"/>
                    <w:spacing w:before="0" w:beforeAutospacing="0" w:after="0" w:afterAutospacing="0"/>
                    <w:ind w:left="0" w:right="0"/>
                    <w:rPr>
                      <w:rFonts w:hint="default"/>
                      <w:lang w:val="en-US" w:eastAsia="zh-CN"/>
                    </w:rPr>
                  </w:pPr>
                </w:p>
              </w:tc>
              <w:tc>
                <w:tcPr>
                  <w:tcW w:w="1184" w:type="pct"/>
                  <w:noWrap w:val="0"/>
                  <w:vAlign w:val="center"/>
                </w:tcPr>
                <w:p w14:paraId="5C510320">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废皮/布制品</w:t>
                  </w:r>
                </w:p>
              </w:tc>
              <w:tc>
                <w:tcPr>
                  <w:tcW w:w="1540" w:type="pct"/>
                  <w:noWrap w:val="0"/>
                  <w:vAlign w:val="center"/>
                </w:tcPr>
                <w:p w14:paraId="3D65DC7D">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外售</w:t>
                  </w:r>
                </w:p>
              </w:tc>
              <w:tc>
                <w:tcPr>
                  <w:tcW w:w="645" w:type="pct"/>
                  <w:vMerge w:val="continue"/>
                  <w:noWrap w:val="0"/>
                  <w:vAlign w:val="center"/>
                </w:tcPr>
                <w:p w14:paraId="491547F9">
                  <w:pPr>
                    <w:pStyle w:val="46"/>
                    <w:keepNext w:val="0"/>
                    <w:keepLines w:val="0"/>
                    <w:suppressLineNumbers w:val="0"/>
                    <w:bidi w:val="0"/>
                    <w:spacing w:before="0" w:beforeAutospacing="0" w:after="0" w:afterAutospacing="0"/>
                    <w:rPr>
                      <w:rFonts w:hint="eastAsia"/>
                      <w:color w:val="auto"/>
                    </w:rPr>
                  </w:pPr>
                </w:p>
              </w:tc>
            </w:tr>
            <w:tr w14:paraId="6484A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339" w:type="pct"/>
                  <w:vMerge w:val="continue"/>
                  <w:noWrap w:val="0"/>
                  <w:vAlign w:val="center"/>
                </w:tcPr>
                <w:p w14:paraId="54632CCA">
                  <w:pPr>
                    <w:pStyle w:val="46"/>
                    <w:keepNext w:val="0"/>
                    <w:keepLines w:val="0"/>
                    <w:suppressLineNumbers w:val="0"/>
                    <w:bidi w:val="0"/>
                    <w:spacing w:before="0" w:beforeAutospacing="0" w:after="0" w:afterAutospacing="0"/>
                    <w:rPr>
                      <w:color w:val="auto"/>
                    </w:rPr>
                  </w:pPr>
                </w:p>
              </w:tc>
              <w:tc>
                <w:tcPr>
                  <w:tcW w:w="452" w:type="pct"/>
                  <w:noWrap w:val="0"/>
                  <w:vAlign w:val="center"/>
                </w:tcPr>
                <w:p w14:paraId="18F3A50D">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S10</w:t>
                  </w:r>
                </w:p>
              </w:tc>
              <w:tc>
                <w:tcPr>
                  <w:tcW w:w="838" w:type="pct"/>
                  <w:vMerge w:val="continue"/>
                  <w:noWrap w:val="0"/>
                  <w:vAlign w:val="center"/>
                </w:tcPr>
                <w:p w14:paraId="4524F552">
                  <w:pPr>
                    <w:pStyle w:val="61"/>
                    <w:keepNext w:val="0"/>
                    <w:keepLines w:val="0"/>
                    <w:suppressLineNumbers w:val="0"/>
                    <w:bidi w:val="0"/>
                    <w:spacing w:before="0" w:beforeAutospacing="0" w:after="0" w:afterAutospacing="0"/>
                    <w:ind w:left="0" w:right="0"/>
                    <w:rPr>
                      <w:rFonts w:hint="default"/>
                      <w:lang w:val="en-US" w:eastAsia="zh-CN"/>
                    </w:rPr>
                  </w:pPr>
                </w:p>
              </w:tc>
              <w:tc>
                <w:tcPr>
                  <w:tcW w:w="1184" w:type="pct"/>
                  <w:noWrap w:val="0"/>
                  <w:vAlign w:val="center"/>
                </w:tcPr>
                <w:p w14:paraId="42C7240F">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废减震器</w:t>
                  </w:r>
                </w:p>
              </w:tc>
              <w:tc>
                <w:tcPr>
                  <w:tcW w:w="1540" w:type="pct"/>
                  <w:noWrap w:val="0"/>
                  <w:vAlign w:val="center"/>
                </w:tcPr>
                <w:p w14:paraId="0FFF69FF">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外售</w:t>
                  </w:r>
                </w:p>
              </w:tc>
              <w:tc>
                <w:tcPr>
                  <w:tcW w:w="645" w:type="pct"/>
                  <w:vMerge w:val="continue"/>
                  <w:noWrap w:val="0"/>
                  <w:vAlign w:val="center"/>
                </w:tcPr>
                <w:p w14:paraId="0A43A377">
                  <w:pPr>
                    <w:pStyle w:val="46"/>
                    <w:keepNext w:val="0"/>
                    <w:keepLines w:val="0"/>
                    <w:suppressLineNumbers w:val="0"/>
                    <w:bidi w:val="0"/>
                    <w:spacing w:before="0" w:beforeAutospacing="0" w:after="0" w:afterAutospacing="0"/>
                    <w:rPr>
                      <w:rFonts w:hint="eastAsia"/>
                      <w:color w:val="auto"/>
                    </w:rPr>
                  </w:pPr>
                </w:p>
              </w:tc>
            </w:tr>
            <w:tr w14:paraId="163D1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39" w:type="pct"/>
                  <w:vMerge w:val="continue"/>
                  <w:noWrap w:val="0"/>
                  <w:vAlign w:val="center"/>
                </w:tcPr>
                <w:p w14:paraId="519C201E">
                  <w:pPr>
                    <w:pStyle w:val="46"/>
                    <w:keepNext w:val="0"/>
                    <w:keepLines w:val="0"/>
                    <w:suppressLineNumbers w:val="0"/>
                    <w:bidi w:val="0"/>
                    <w:spacing w:before="0" w:beforeAutospacing="0" w:after="0" w:afterAutospacing="0"/>
                    <w:rPr>
                      <w:color w:val="auto"/>
                    </w:rPr>
                  </w:pPr>
                </w:p>
              </w:tc>
              <w:tc>
                <w:tcPr>
                  <w:tcW w:w="452" w:type="pct"/>
                  <w:noWrap w:val="0"/>
                  <w:vAlign w:val="center"/>
                </w:tcPr>
                <w:p w14:paraId="5B604404">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S11</w:t>
                  </w:r>
                </w:p>
              </w:tc>
              <w:tc>
                <w:tcPr>
                  <w:tcW w:w="838" w:type="pct"/>
                  <w:vMerge w:val="continue"/>
                  <w:noWrap w:val="0"/>
                  <w:vAlign w:val="center"/>
                </w:tcPr>
                <w:p w14:paraId="7FF06628">
                  <w:pPr>
                    <w:pStyle w:val="61"/>
                    <w:keepNext w:val="0"/>
                    <w:keepLines w:val="0"/>
                    <w:suppressLineNumbers w:val="0"/>
                    <w:bidi w:val="0"/>
                    <w:spacing w:before="0" w:beforeAutospacing="0" w:after="0" w:afterAutospacing="0"/>
                    <w:ind w:left="0" w:right="0"/>
                    <w:rPr>
                      <w:rFonts w:hint="default"/>
                      <w:lang w:val="en-US" w:eastAsia="zh-CN"/>
                    </w:rPr>
                  </w:pPr>
                </w:p>
              </w:tc>
              <w:tc>
                <w:tcPr>
                  <w:tcW w:w="1184" w:type="pct"/>
                  <w:noWrap w:val="0"/>
                  <w:vAlign w:val="center"/>
                </w:tcPr>
                <w:p w14:paraId="5C1B0A72">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废电路板及电子元器件</w:t>
                  </w:r>
                </w:p>
              </w:tc>
              <w:tc>
                <w:tcPr>
                  <w:tcW w:w="1540" w:type="pct"/>
                  <w:vMerge w:val="restart"/>
                  <w:noWrap w:val="0"/>
                  <w:vAlign w:val="center"/>
                </w:tcPr>
                <w:p w14:paraId="2F73C67F">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暂存于危废暂存间后委托有资质单位处置</w:t>
                  </w:r>
                </w:p>
              </w:tc>
              <w:tc>
                <w:tcPr>
                  <w:tcW w:w="645" w:type="pct"/>
                  <w:vMerge w:val="continue"/>
                  <w:noWrap w:val="0"/>
                  <w:vAlign w:val="center"/>
                </w:tcPr>
                <w:p w14:paraId="56D267B9">
                  <w:pPr>
                    <w:pStyle w:val="46"/>
                    <w:keepNext w:val="0"/>
                    <w:keepLines w:val="0"/>
                    <w:suppressLineNumbers w:val="0"/>
                    <w:bidi w:val="0"/>
                    <w:spacing w:before="0" w:beforeAutospacing="0" w:after="0" w:afterAutospacing="0"/>
                    <w:rPr>
                      <w:rFonts w:hint="eastAsia"/>
                      <w:color w:val="auto"/>
                    </w:rPr>
                  </w:pPr>
                </w:p>
              </w:tc>
            </w:tr>
            <w:tr w14:paraId="49EF5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39" w:type="pct"/>
                  <w:vMerge w:val="continue"/>
                  <w:noWrap w:val="0"/>
                  <w:vAlign w:val="center"/>
                </w:tcPr>
                <w:p w14:paraId="0F93C244">
                  <w:pPr>
                    <w:pStyle w:val="46"/>
                    <w:keepNext w:val="0"/>
                    <w:keepLines w:val="0"/>
                    <w:suppressLineNumbers w:val="0"/>
                    <w:bidi w:val="0"/>
                    <w:spacing w:before="0" w:beforeAutospacing="0" w:after="0" w:afterAutospacing="0"/>
                    <w:rPr>
                      <w:color w:val="auto"/>
                    </w:rPr>
                  </w:pPr>
                </w:p>
              </w:tc>
              <w:tc>
                <w:tcPr>
                  <w:tcW w:w="452" w:type="pct"/>
                  <w:noWrap w:val="0"/>
                  <w:vAlign w:val="center"/>
                </w:tcPr>
                <w:p w14:paraId="60D1B2CA">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S12</w:t>
                  </w:r>
                </w:p>
              </w:tc>
              <w:tc>
                <w:tcPr>
                  <w:tcW w:w="838" w:type="pct"/>
                  <w:vMerge w:val="continue"/>
                  <w:noWrap w:val="0"/>
                  <w:vAlign w:val="center"/>
                </w:tcPr>
                <w:p w14:paraId="60B572FA">
                  <w:pPr>
                    <w:pStyle w:val="61"/>
                    <w:keepNext w:val="0"/>
                    <w:keepLines w:val="0"/>
                    <w:suppressLineNumbers w:val="0"/>
                    <w:bidi w:val="0"/>
                    <w:spacing w:before="0" w:beforeAutospacing="0" w:after="0" w:afterAutospacing="0"/>
                    <w:ind w:left="0" w:right="0"/>
                    <w:rPr>
                      <w:rFonts w:hint="default"/>
                      <w:lang w:val="en-US" w:eastAsia="zh-CN"/>
                    </w:rPr>
                  </w:pPr>
                </w:p>
              </w:tc>
              <w:tc>
                <w:tcPr>
                  <w:tcW w:w="1184" w:type="pct"/>
                  <w:noWrap w:val="0"/>
                  <w:vAlign w:val="center"/>
                </w:tcPr>
                <w:p w14:paraId="0B5F1B98">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废液压油</w:t>
                  </w:r>
                </w:p>
              </w:tc>
              <w:tc>
                <w:tcPr>
                  <w:tcW w:w="1540" w:type="pct"/>
                  <w:vMerge w:val="continue"/>
                  <w:noWrap w:val="0"/>
                  <w:vAlign w:val="center"/>
                </w:tcPr>
                <w:p w14:paraId="697E8E14">
                  <w:pPr>
                    <w:pStyle w:val="61"/>
                    <w:keepNext w:val="0"/>
                    <w:keepLines w:val="0"/>
                    <w:suppressLineNumbers w:val="0"/>
                    <w:bidi w:val="0"/>
                    <w:spacing w:before="0" w:beforeAutospacing="0" w:after="0" w:afterAutospacing="0"/>
                    <w:ind w:left="0" w:right="0"/>
                    <w:rPr>
                      <w:rFonts w:hint="eastAsia"/>
                      <w:lang w:val="en-US" w:eastAsia="zh-CN"/>
                    </w:rPr>
                  </w:pPr>
                </w:p>
              </w:tc>
              <w:tc>
                <w:tcPr>
                  <w:tcW w:w="645" w:type="pct"/>
                  <w:vMerge w:val="continue"/>
                  <w:noWrap w:val="0"/>
                  <w:vAlign w:val="center"/>
                </w:tcPr>
                <w:p w14:paraId="193E0CE1">
                  <w:pPr>
                    <w:pStyle w:val="46"/>
                    <w:keepNext w:val="0"/>
                    <w:keepLines w:val="0"/>
                    <w:suppressLineNumbers w:val="0"/>
                    <w:bidi w:val="0"/>
                    <w:spacing w:before="0" w:beforeAutospacing="0" w:after="0" w:afterAutospacing="0"/>
                    <w:rPr>
                      <w:rFonts w:hint="eastAsia"/>
                      <w:color w:val="auto"/>
                    </w:rPr>
                  </w:pPr>
                </w:p>
              </w:tc>
            </w:tr>
            <w:tr w14:paraId="63B29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339" w:type="pct"/>
                  <w:vMerge w:val="continue"/>
                  <w:noWrap w:val="0"/>
                  <w:vAlign w:val="center"/>
                </w:tcPr>
                <w:p w14:paraId="45A759EA">
                  <w:pPr>
                    <w:pStyle w:val="46"/>
                    <w:keepNext w:val="0"/>
                    <w:keepLines w:val="0"/>
                    <w:suppressLineNumbers w:val="0"/>
                    <w:bidi w:val="0"/>
                    <w:spacing w:before="0" w:beforeAutospacing="0" w:after="0" w:afterAutospacing="0"/>
                    <w:rPr>
                      <w:color w:val="auto"/>
                    </w:rPr>
                  </w:pPr>
                </w:p>
              </w:tc>
              <w:tc>
                <w:tcPr>
                  <w:tcW w:w="452" w:type="pct"/>
                  <w:vMerge w:val="restart"/>
                  <w:noWrap w:val="0"/>
                  <w:vAlign w:val="center"/>
                </w:tcPr>
                <w:p w14:paraId="3A541949">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S13</w:t>
                  </w:r>
                </w:p>
              </w:tc>
              <w:tc>
                <w:tcPr>
                  <w:tcW w:w="838" w:type="pct"/>
                  <w:noWrap w:val="0"/>
                  <w:vAlign w:val="center"/>
                </w:tcPr>
                <w:p w14:paraId="7C2A168C">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破碎</w:t>
                  </w:r>
                </w:p>
              </w:tc>
              <w:tc>
                <w:tcPr>
                  <w:tcW w:w="1184" w:type="pct"/>
                  <w:noWrap w:val="0"/>
                  <w:vAlign w:val="center"/>
                </w:tcPr>
                <w:p w14:paraId="2E97343E">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废刀片、滤网</w:t>
                  </w:r>
                </w:p>
              </w:tc>
              <w:tc>
                <w:tcPr>
                  <w:tcW w:w="1540" w:type="pct"/>
                  <w:noWrap w:val="0"/>
                  <w:vAlign w:val="center"/>
                </w:tcPr>
                <w:p w14:paraId="52EF63C7">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外售</w:t>
                  </w:r>
                </w:p>
              </w:tc>
              <w:tc>
                <w:tcPr>
                  <w:tcW w:w="645" w:type="pct"/>
                  <w:vMerge w:val="continue"/>
                  <w:noWrap w:val="0"/>
                  <w:vAlign w:val="center"/>
                </w:tcPr>
                <w:p w14:paraId="73175A71">
                  <w:pPr>
                    <w:pStyle w:val="46"/>
                    <w:keepNext w:val="0"/>
                    <w:keepLines w:val="0"/>
                    <w:suppressLineNumbers w:val="0"/>
                    <w:bidi w:val="0"/>
                    <w:spacing w:before="0" w:beforeAutospacing="0" w:after="0" w:afterAutospacing="0"/>
                    <w:rPr>
                      <w:rFonts w:hint="eastAsia"/>
                      <w:color w:val="auto"/>
                    </w:rPr>
                  </w:pPr>
                </w:p>
              </w:tc>
            </w:tr>
            <w:tr w14:paraId="583D2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339" w:type="pct"/>
                  <w:vMerge w:val="continue"/>
                  <w:noWrap w:val="0"/>
                  <w:vAlign w:val="center"/>
                </w:tcPr>
                <w:p w14:paraId="18B344BF">
                  <w:pPr>
                    <w:pStyle w:val="46"/>
                    <w:keepNext w:val="0"/>
                    <w:keepLines w:val="0"/>
                    <w:suppressLineNumbers w:val="0"/>
                    <w:bidi w:val="0"/>
                    <w:spacing w:before="0" w:beforeAutospacing="0" w:after="0" w:afterAutospacing="0"/>
                    <w:rPr>
                      <w:color w:val="auto"/>
                    </w:rPr>
                  </w:pPr>
                </w:p>
              </w:tc>
              <w:tc>
                <w:tcPr>
                  <w:tcW w:w="452" w:type="pct"/>
                  <w:vMerge w:val="continue"/>
                  <w:shd w:val="clear" w:color="auto" w:fill="auto"/>
                  <w:noWrap w:val="0"/>
                  <w:vAlign w:val="center"/>
                </w:tcPr>
                <w:p w14:paraId="710F20B4">
                  <w:pPr>
                    <w:pStyle w:val="61"/>
                    <w:keepNext w:val="0"/>
                    <w:keepLines w:val="0"/>
                    <w:suppressLineNumbers w:val="0"/>
                    <w:bidi w:val="0"/>
                    <w:spacing w:before="0" w:beforeAutospacing="0" w:after="0" w:afterAutospacing="0"/>
                    <w:ind w:left="0" w:right="0"/>
                    <w:rPr>
                      <w:rFonts w:hint="eastAsia"/>
                      <w:lang w:val="en-US" w:eastAsia="zh-CN"/>
                    </w:rPr>
                  </w:pPr>
                </w:p>
              </w:tc>
              <w:tc>
                <w:tcPr>
                  <w:tcW w:w="838" w:type="pct"/>
                  <w:shd w:val="clear" w:color="auto" w:fill="auto"/>
                  <w:noWrap w:val="0"/>
                  <w:vAlign w:val="center"/>
                </w:tcPr>
                <w:p w14:paraId="1BAD340D">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污水处理</w:t>
                  </w:r>
                </w:p>
              </w:tc>
              <w:tc>
                <w:tcPr>
                  <w:tcW w:w="1184" w:type="pct"/>
                  <w:shd w:val="clear" w:color="auto" w:fill="auto"/>
                  <w:noWrap w:val="0"/>
                  <w:vAlign w:val="center"/>
                </w:tcPr>
                <w:p w14:paraId="57F38329">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污泥</w:t>
                  </w:r>
                </w:p>
              </w:tc>
              <w:tc>
                <w:tcPr>
                  <w:tcW w:w="1540" w:type="pct"/>
                  <w:shd w:val="clear" w:color="auto" w:fill="auto"/>
                  <w:noWrap w:val="0"/>
                  <w:vAlign w:val="center"/>
                </w:tcPr>
                <w:p w14:paraId="49C6E860">
                  <w:pPr>
                    <w:pStyle w:val="61"/>
                    <w:keepNext w:val="0"/>
                    <w:keepLines w:val="0"/>
                    <w:suppressLineNumbers w:val="0"/>
                    <w:bidi w:val="0"/>
                    <w:spacing w:before="0" w:beforeAutospacing="0" w:after="0" w:afterAutospacing="0"/>
                    <w:ind w:left="0" w:right="0"/>
                    <w:rPr>
                      <w:rFonts w:hint="eastAsia"/>
                      <w:lang w:val="en-US" w:eastAsia="zh-CN"/>
                    </w:rPr>
                  </w:pPr>
                  <w:r>
                    <w:rPr>
                      <w:rFonts w:hint="default"/>
                      <w:lang w:val="en-US" w:eastAsia="zh-CN"/>
                    </w:rPr>
                    <w:t>委托污泥处置单位进行处理</w:t>
                  </w:r>
                </w:p>
              </w:tc>
              <w:tc>
                <w:tcPr>
                  <w:tcW w:w="645" w:type="pct"/>
                  <w:vMerge w:val="continue"/>
                  <w:noWrap w:val="0"/>
                  <w:vAlign w:val="center"/>
                </w:tcPr>
                <w:p w14:paraId="554440EF">
                  <w:pPr>
                    <w:pStyle w:val="46"/>
                    <w:keepNext w:val="0"/>
                    <w:keepLines w:val="0"/>
                    <w:suppressLineNumbers w:val="0"/>
                    <w:bidi w:val="0"/>
                    <w:spacing w:before="0" w:beforeAutospacing="0" w:after="0" w:afterAutospacing="0"/>
                    <w:rPr>
                      <w:rFonts w:hint="eastAsia"/>
                      <w:color w:val="auto"/>
                    </w:rPr>
                  </w:pPr>
                </w:p>
              </w:tc>
            </w:tr>
            <w:tr w14:paraId="3C159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39" w:type="pct"/>
                  <w:vMerge w:val="continue"/>
                  <w:noWrap w:val="0"/>
                  <w:vAlign w:val="center"/>
                </w:tcPr>
                <w:p w14:paraId="67A37BEC">
                  <w:pPr>
                    <w:pStyle w:val="46"/>
                    <w:keepNext w:val="0"/>
                    <w:keepLines w:val="0"/>
                    <w:suppressLineNumbers w:val="0"/>
                    <w:bidi w:val="0"/>
                    <w:spacing w:before="0" w:beforeAutospacing="0" w:after="0" w:afterAutospacing="0"/>
                    <w:rPr>
                      <w:color w:val="auto"/>
                    </w:rPr>
                  </w:pPr>
                </w:p>
              </w:tc>
              <w:tc>
                <w:tcPr>
                  <w:tcW w:w="452" w:type="pct"/>
                  <w:noWrap w:val="0"/>
                  <w:vAlign w:val="center"/>
                </w:tcPr>
                <w:p w14:paraId="24452002">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w:t>
                  </w:r>
                </w:p>
              </w:tc>
              <w:tc>
                <w:tcPr>
                  <w:tcW w:w="838" w:type="pct"/>
                  <w:noWrap w:val="0"/>
                  <w:vAlign w:val="center"/>
                </w:tcPr>
                <w:p w14:paraId="5988A0E3">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机器维护保养</w:t>
                  </w:r>
                </w:p>
              </w:tc>
              <w:tc>
                <w:tcPr>
                  <w:tcW w:w="1184" w:type="pct"/>
                  <w:noWrap w:val="0"/>
                  <w:vAlign w:val="center"/>
                </w:tcPr>
                <w:p w14:paraId="2A042D59">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废润滑油及包装桶、废含油抹布手套</w:t>
                  </w:r>
                </w:p>
              </w:tc>
              <w:tc>
                <w:tcPr>
                  <w:tcW w:w="1540" w:type="pct"/>
                  <w:noWrap w:val="0"/>
                  <w:vAlign w:val="center"/>
                </w:tcPr>
                <w:p w14:paraId="1A3F709B">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暂存于危废暂存间后委托有资质单位处置</w:t>
                  </w:r>
                </w:p>
              </w:tc>
              <w:tc>
                <w:tcPr>
                  <w:tcW w:w="645" w:type="pct"/>
                  <w:vMerge w:val="continue"/>
                  <w:noWrap w:val="0"/>
                  <w:vAlign w:val="center"/>
                </w:tcPr>
                <w:p w14:paraId="5462278B">
                  <w:pPr>
                    <w:pStyle w:val="46"/>
                    <w:keepNext w:val="0"/>
                    <w:keepLines w:val="0"/>
                    <w:suppressLineNumbers w:val="0"/>
                    <w:bidi w:val="0"/>
                    <w:spacing w:before="0" w:beforeAutospacing="0" w:after="0" w:afterAutospacing="0"/>
                    <w:rPr>
                      <w:rFonts w:hint="eastAsia"/>
                      <w:color w:val="auto"/>
                    </w:rPr>
                  </w:pPr>
                </w:p>
              </w:tc>
            </w:tr>
            <w:tr w14:paraId="04357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339" w:type="pct"/>
                  <w:noWrap w:val="0"/>
                  <w:vAlign w:val="center"/>
                </w:tcPr>
                <w:p w14:paraId="7E56BA2B">
                  <w:pPr>
                    <w:pStyle w:val="46"/>
                    <w:keepNext w:val="0"/>
                    <w:keepLines w:val="0"/>
                    <w:suppressLineNumbers w:val="0"/>
                    <w:bidi w:val="0"/>
                    <w:spacing w:before="0" w:beforeAutospacing="0" w:after="0" w:afterAutospacing="0"/>
                    <w:rPr>
                      <w:color w:val="auto"/>
                    </w:rPr>
                  </w:pPr>
                  <w:r>
                    <w:rPr>
                      <w:color w:val="auto"/>
                    </w:rPr>
                    <w:t>噪声</w:t>
                  </w:r>
                </w:p>
              </w:tc>
              <w:tc>
                <w:tcPr>
                  <w:tcW w:w="4660" w:type="pct"/>
                  <w:gridSpan w:val="5"/>
                  <w:noWrap w:val="0"/>
                  <w:vAlign w:val="center"/>
                </w:tcPr>
                <w:p w14:paraId="4F17F96F">
                  <w:pPr>
                    <w:pStyle w:val="46"/>
                    <w:keepNext w:val="0"/>
                    <w:keepLines w:val="0"/>
                    <w:suppressLineNumbers w:val="0"/>
                    <w:bidi w:val="0"/>
                    <w:spacing w:before="0" w:beforeAutospacing="0" w:after="0" w:afterAutospacing="0"/>
                    <w:rPr>
                      <w:rFonts w:hint="eastAsia"/>
                      <w:color w:val="auto"/>
                    </w:rPr>
                  </w:pPr>
                  <w:r>
                    <w:rPr>
                      <w:rFonts w:hint="eastAsia"/>
                      <w:color w:val="auto"/>
                    </w:rPr>
                    <w:t>主要是设备运转产生机械噪声</w:t>
                  </w:r>
                </w:p>
              </w:tc>
            </w:tr>
          </w:tbl>
          <w:p w14:paraId="1DF613F5">
            <w:pPr>
              <w:keepNext w:val="0"/>
              <w:keepLines w:val="0"/>
              <w:suppressLineNumbers w:val="0"/>
              <w:spacing w:before="0" w:beforeAutospacing="0" w:after="0" w:afterAutospacing="0"/>
              <w:ind w:left="0" w:right="0"/>
              <w:rPr>
                <w:rFonts w:hint="default"/>
                <w:color w:val="1D70F5"/>
                <w:spacing w:val="-1"/>
                <w:sz w:val="24"/>
                <w:szCs w:val="24"/>
                <w:lang w:val="en-US" w:eastAsia="zh-CN"/>
              </w:rPr>
            </w:pPr>
          </w:p>
        </w:tc>
      </w:tr>
      <w:tr w14:paraId="28B80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567" w:type="dxa"/>
            <w:tcBorders>
              <w:tl2br w:val="nil"/>
              <w:tr2bl w:val="nil"/>
            </w:tcBorders>
            <w:vAlign w:val="center"/>
          </w:tcPr>
          <w:p w14:paraId="45D17FCF">
            <w:pPr>
              <w:keepNext w:val="0"/>
              <w:keepLines w:val="0"/>
              <w:suppressLineNumbers w:val="0"/>
              <w:spacing w:before="0" w:beforeAutospacing="0" w:after="0" w:afterAutospacing="0"/>
              <w:ind w:left="0" w:right="0" w:firstLine="0" w:firstLineChars="0"/>
              <w:jc w:val="center"/>
              <w:rPr>
                <w:rFonts w:hint="default" w:ascii="Times New Roman" w:hAnsi="Times New Roman"/>
                <w:color w:val="auto"/>
                <w:sz w:val="21"/>
                <w:szCs w:val="21"/>
                <w:lang w:val="en-US" w:eastAsia="zh-CN"/>
              </w:rPr>
            </w:pPr>
            <w:r>
              <w:rPr>
                <w:rFonts w:hint="default" w:ascii="Times New Roman" w:hAnsi="Times New Roman"/>
                <w:bCs/>
                <w:color w:val="auto"/>
                <w:kern w:val="2"/>
                <w:szCs w:val="24"/>
                <w:lang w:val="en-US" w:eastAsia="zh-CN"/>
              </w:rPr>
              <w:t>与项目有关的原有环境污染问题</w:t>
            </w:r>
          </w:p>
        </w:tc>
        <w:tc>
          <w:tcPr>
            <w:tcW w:w="8560" w:type="dxa"/>
            <w:tcBorders>
              <w:tl2br w:val="nil"/>
              <w:tr2bl w:val="nil"/>
            </w:tcBorders>
            <w:shd w:val="clear" w:color="auto" w:fill="auto"/>
          </w:tcPr>
          <w:p w14:paraId="3D99BA74">
            <w:pPr>
              <w:keepNext w:val="0"/>
              <w:keepLines w:val="0"/>
              <w:suppressLineNumbers w:val="0"/>
              <w:bidi w:val="0"/>
              <w:spacing w:before="0" w:beforeAutospacing="0" w:after="0" w:afterAutospacing="0"/>
              <w:ind w:left="0" w:right="0"/>
              <w:rPr>
                <w:rFonts w:hint="default"/>
                <w:color w:val="auto"/>
              </w:rPr>
            </w:pPr>
            <w:r>
              <w:rPr>
                <w:rFonts w:hint="default"/>
                <w:color w:val="auto"/>
              </w:rPr>
              <w:t>与本项目有关的原有污染情况及主要环境问</w:t>
            </w:r>
            <w:commentRangeStart w:id="31"/>
            <w:commentRangeStart w:id="32"/>
            <w:r>
              <w:rPr>
                <w:rFonts w:hint="default"/>
                <w:color w:val="auto"/>
              </w:rPr>
              <w:t>题：</w:t>
            </w:r>
            <w:commentRangeEnd w:id="31"/>
            <w:r>
              <w:rPr>
                <w:rFonts w:hint="default"/>
              </w:rPr>
              <w:commentReference w:id="31"/>
            </w:r>
            <w:commentRangeEnd w:id="32"/>
            <w:r>
              <w:rPr>
                <w:rFonts w:hint="default"/>
              </w:rPr>
              <w:commentReference w:id="32"/>
            </w:r>
          </w:p>
          <w:p w14:paraId="18831341">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spacing w:before="0" w:beforeAutospacing="0" w:after="0" w:afterAutospacing="0" w:line="360" w:lineRule="auto"/>
              <w:ind w:left="0" w:right="0" w:firstLine="480" w:firstLineChars="200"/>
              <w:jc w:val="both"/>
              <w:textAlignment w:val="auto"/>
              <w:rPr>
                <w:rFonts w:hint="eastAsia"/>
                <w:color w:val="auto"/>
                <w:lang w:eastAsia="zh-CN"/>
              </w:rPr>
            </w:pPr>
            <w:r>
              <w:rPr>
                <w:rFonts w:hint="eastAsia"/>
                <w:color w:val="auto"/>
                <w:lang w:eastAsia="zh-CN"/>
              </w:rPr>
              <w:t>淮南市奇锐再生资源有限公司</w:t>
            </w:r>
            <w:r>
              <w:rPr>
                <w:rFonts w:hint="default"/>
                <w:color w:val="auto"/>
              </w:rPr>
              <w:t>租赁</w:t>
            </w:r>
            <w:r>
              <w:rPr>
                <w:rFonts w:hint="eastAsia"/>
                <w:color w:val="auto"/>
                <w:lang w:val="en-US" w:eastAsia="zh-CN"/>
              </w:rPr>
              <w:t>淮南市祥瑞木业有限责任公司</w:t>
            </w:r>
            <w:r>
              <w:rPr>
                <w:rFonts w:hint="default"/>
                <w:color w:val="auto"/>
              </w:rPr>
              <w:t>现有</w:t>
            </w:r>
            <w:r>
              <w:rPr>
                <w:rFonts w:hint="eastAsia"/>
                <w:color w:val="auto"/>
                <w:lang w:val="en-US" w:eastAsia="zh-CN"/>
              </w:rPr>
              <w:t>闲置厂房面积约1900</w:t>
            </w:r>
            <w:r>
              <w:rPr>
                <w:rFonts w:hint="default"/>
                <w:color w:val="auto"/>
              </w:rPr>
              <w:t>平</w:t>
            </w:r>
            <w:r>
              <w:rPr>
                <w:rFonts w:hint="eastAsia"/>
                <w:color w:val="auto"/>
                <w:lang w:eastAsia="zh-CN"/>
              </w:rPr>
              <w:t>方米</w:t>
            </w:r>
            <w:r>
              <w:rPr>
                <w:rFonts w:hint="eastAsia"/>
                <w:color w:val="auto"/>
              </w:rPr>
              <w:t>进行生产</w:t>
            </w:r>
            <w:r>
              <w:rPr>
                <w:rFonts w:hint="eastAsia"/>
                <w:color w:val="auto"/>
                <w:lang w:eastAsia="zh-CN"/>
              </w:rPr>
              <w:t>。</w:t>
            </w:r>
          </w:p>
          <w:p w14:paraId="1E051DED">
            <w:pPr>
              <w:keepNext w:val="0"/>
              <w:keepLines w:val="0"/>
              <w:suppressLineNumbers w:val="0"/>
              <w:bidi w:val="0"/>
              <w:spacing w:before="0" w:beforeAutospacing="0" w:after="0" w:afterAutospacing="0"/>
              <w:ind w:left="0" w:right="0"/>
              <w:rPr>
                <w:rFonts w:hint="eastAsia"/>
                <w:color w:val="auto"/>
                <w:lang w:val="en-US" w:eastAsia="zh-CN"/>
              </w:rPr>
            </w:pPr>
            <w:r>
              <w:rPr>
                <w:rFonts w:hint="eastAsia"/>
                <w:color w:val="auto"/>
              </w:rPr>
              <w:t>根据现场踏勘，</w:t>
            </w:r>
            <w:r>
              <w:rPr>
                <w:rFonts w:hint="eastAsia"/>
                <w:color w:val="0000FF"/>
                <w:lang w:val="en-US" w:eastAsia="zh-CN"/>
              </w:rPr>
              <w:t>该厂房此前一直作为淮南市祥瑞木业有限责任公司仓库使用，用于暂存木制品，</w:t>
            </w:r>
            <w:r>
              <w:rPr>
                <w:rFonts w:hint="eastAsia"/>
                <w:color w:val="auto"/>
                <w:lang w:val="en-US" w:eastAsia="zh-CN"/>
              </w:rPr>
              <w:t>目前为空置状态，</w:t>
            </w:r>
            <w:r>
              <w:rPr>
                <w:rFonts w:hint="eastAsia"/>
                <w:color w:val="auto"/>
              </w:rPr>
              <w:t>未发生过环境污染事件，不存在与原有项目有关的环境问题。</w:t>
            </w:r>
            <w:r>
              <w:rPr>
                <w:rFonts w:hint="eastAsia"/>
                <w:color w:val="auto"/>
                <w:lang w:val="en-US" w:eastAsia="zh-CN"/>
              </w:rPr>
              <w:t>厂房现状图如下所示。</w:t>
            </w:r>
          </w:p>
          <w:tbl>
            <w:tblPr>
              <w:tblStyle w:val="20"/>
              <w:tblW w:w="850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93"/>
              <w:gridCol w:w="4310"/>
            </w:tblGrid>
            <w:tr w14:paraId="33E38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93" w:type="dxa"/>
                </w:tcPr>
                <w:p w14:paraId="109F3996">
                  <w:pPr>
                    <w:keepNext w:val="0"/>
                    <w:keepLines w:val="0"/>
                    <w:suppressLineNumbers w:val="0"/>
                    <w:spacing w:before="0" w:beforeAutospacing="0" w:after="0" w:afterAutospacing="0"/>
                    <w:ind w:left="0" w:leftChars="0" w:right="0" w:firstLine="0" w:firstLineChars="0"/>
                    <w:jc w:val="center"/>
                    <w:rPr>
                      <w:rFonts w:hint="default"/>
                      <w:color w:val="auto"/>
                      <w:spacing w:val="-1"/>
                      <w:sz w:val="24"/>
                      <w:szCs w:val="24"/>
                      <w:vertAlign w:val="baseline"/>
                      <w:lang w:val="en-US" w:eastAsia="zh-CN"/>
                    </w:rPr>
                  </w:pPr>
                  <w:r>
                    <w:rPr>
                      <w:rFonts w:hint="default"/>
                      <w:color w:val="auto"/>
                      <w:spacing w:val="-1"/>
                      <w:sz w:val="24"/>
                      <w:szCs w:val="24"/>
                      <w:vertAlign w:val="baseline"/>
                      <w:lang w:val="en-US" w:eastAsia="zh-CN"/>
                    </w:rPr>
                    <w:drawing>
                      <wp:inline distT="0" distB="0" distL="114300" distR="114300">
                        <wp:extent cx="2487295" cy="1865630"/>
                        <wp:effectExtent l="0" t="0" r="8255" b="1270"/>
                        <wp:docPr id="3" name="图片 3" descr="a1e303700431715c30ee943acbd4e5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1e303700431715c30ee943acbd4e5d9"/>
                                <pic:cNvPicPr>
                                  <a:picLocks noChangeAspect="1"/>
                                </pic:cNvPicPr>
                              </pic:nvPicPr>
                              <pic:blipFill>
                                <a:blip r:embed="rId18"/>
                                <a:stretch>
                                  <a:fillRect/>
                                </a:stretch>
                              </pic:blipFill>
                              <pic:spPr>
                                <a:xfrm>
                                  <a:off x="0" y="0"/>
                                  <a:ext cx="2487295" cy="1865630"/>
                                </a:xfrm>
                                <a:prstGeom prst="rect">
                                  <a:avLst/>
                                </a:prstGeom>
                              </pic:spPr>
                            </pic:pic>
                          </a:graphicData>
                        </a:graphic>
                      </wp:inline>
                    </w:drawing>
                  </w:r>
                </w:p>
              </w:tc>
              <w:tc>
                <w:tcPr>
                  <w:tcW w:w="4310" w:type="dxa"/>
                </w:tcPr>
                <w:p w14:paraId="4C8995EB">
                  <w:pPr>
                    <w:keepNext w:val="0"/>
                    <w:keepLines w:val="0"/>
                    <w:suppressLineNumbers w:val="0"/>
                    <w:spacing w:before="0" w:beforeAutospacing="0" w:after="0" w:afterAutospacing="0"/>
                    <w:ind w:left="0" w:leftChars="0" w:right="0" w:firstLine="0" w:firstLineChars="0"/>
                    <w:jc w:val="center"/>
                    <w:rPr>
                      <w:rFonts w:hint="default"/>
                      <w:color w:val="auto"/>
                      <w:spacing w:val="-1"/>
                      <w:sz w:val="24"/>
                      <w:szCs w:val="24"/>
                      <w:vertAlign w:val="baseline"/>
                      <w:lang w:val="en-US" w:eastAsia="zh-CN"/>
                    </w:rPr>
                  </w:pPr>
                  <w:r>
                    <w:rPr>
                      <w:rFonts w:hint="default"/>
                      <w:color w:val="auto"/>
                      <w:spacing w:val="-1"/>
                      <w:sz w:val="24"/>
                      <w:szCs w:val="24"/>
                      <w:vertAlign w:val="baseline"/>
                      <w:lang w:val="en-US" w:eastAsia="zh-CN"/>
                    </w:rPr>
                    <w:drawing>
                      <wp:inline distT="0" distB="0" distL="114300" distR="114300">
                        <wp:extent cx="2586990" cy="1941195"/>
                        <wp:effectExtent l="0" t="0" r="3810" b="1905"/>
                        <wp:docPr id="13" name="图片 13" descr="d93b6cd823a12cf256b873abf8627d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93b6cd823a12cf256b873abf8627d2d"/>
                                <pic:cNvPicPr>
                                  <a:picLocks noChangeAspect="1"/>
                                </pic:cNvPicPr>
                              </pic:nvPicPr>
                              <pic:blipFill>
                                <a:blip r:embed="rId19"/>
                                <a:stretch>
                                  <a:fillRect/>
                                </a:stretch>
                              </pic:blipFill>
                              <pic:spPr>
                                <a:xfrm>
                                  <a:off x="0" y="0"/>
                                  <a:ext cx="2586990" cy="1941195"/>
                                </a:xfrm>
                                <a:prstGeom prst="rect">
                                  <a:avLst/>
                                </a:prstGeom>
                              </pic:spPr>
                            </pic:pic>
                          </a:graphicData>
                        </a:graphic>
                      </wp:inline>
                    </w:drawing>
                  </w:r>
                </w:p>
              </w:tc>
            </w:tr>
          </w:tbl>
          <w:p w14:paraId="271B86D3">
            <w:pPr>
              <w:pStyle w:val="43"/>
              <w:keepNext w:val="0"/>
              <w:keepLines w:val="0"/>
              <w:suppressLineNumbers w:val="0"/>
              <w:bidi w:val="0"/>
              <w:spacing w:before="0" w:beforeAutospacing="0" w:after="0" w:afterAutospacing="0"/>
              <w:ind w:left="0" w:right="0"/>
              <w:rPr>
                <w:rFonts w:hint="eastAsia"/>
                <w:color w:val="auto"/>
                <w:lang w:val="en-US" w:eastAsia="zh-CN"/>
              </w:rPr>
            </w:pPr>
            <w:r>
              <w:rPr>
                <w:color w:val="auto"/>
              </w:rPr>
              <w:t>图</w:t>
            </w:r>
            <w:r>
              <w:rPr>
                <w:rFonts w:hint="eastAsia"/>
                <w:color w:val="auto"/>
              </w:rPr>
              <w:t>2-</w:t>
            </w:r>
            <w:r>
              <w:rPr>
                <w:rFonts w:hint="eastAsia"/>
                <w:color w:val="auto"/>
                <w:lang w:val="en-US" w:eastAsia="zh-CN"/>
              </w:rPr>
              <w:t>3  厂区现状图</w:t>
            </w:r>
          </w:p>
          <w:p w14:paraId="49EDF8D2">
            <w:pPr>
              <w:pStyle w:val="43"/>
              <w:keepNext w:val="0"/>
              <w:keepLines w:val="0"/>
              <w:suppressLineNumbers w:val="0"/>
              <w:bidi w:val="0"/>
              <w:spacing w:before="0" w:beforeAutospacing="0" w:after="0" w:afterAutospacing="0"/>
              <w:ind w:left="0" w:right="0"/>
              <w:rPr>
                <w:rFonts w:hint="eastAsia"/>
                <w:color w:val="auto"/>
                <w:lang w:val="en-US" w:eastAsia="zh-CN"/>
              </w:rPr>
            </w:pPr>
          </w:p>
          <w:p w14:paraId="103AA1FA">
            <w:pPr>
              <w:pStyle w:val="43"/>
              <w:keepNext w:val="0"/>
              <w:keepLines w:val="0"/>
              <w:suppressLineNumbers w:val="0"/>
              <w:bidi w:val="0"/>
              <w:spacing w:before="0" w:beforeAutospacing="0" w:after="0" w:afterAutospacing="0"/>
              <w:ind w:left="0" w:right="0"/>
              <w:rPr>
                <w:rFonts w:hint="eastAsia"/>
                <w:color w:val="auto"/>
                <w:lang w:val="en-US" w:eastAsia="zh-CN"/>
              </w:rPr>
            </w:pPr>
          </w:p>
          <w:p w14:paraId="44E43C06">
            <w:pPr>
              <w:pStyle w:val="43"/>
              <w:keepNext w:val="0"/>
              <w:keepLines w:val="0"/>
              <w:suppressLineNumbers w:val="0"/>
              <w:bidi w:val="0"/>
              <w:spacing w:before="0" w:beforeAutospacing="0" w:after="0" w:afterAutospacing="0"/>
              <w:ind w:left="0" w:right="0"/>
              <w:rPr>
                <w:rFonts w:hint="eastAsia"/>
                <w:color w:val="auto"/>
                <w:lang w:val="en-US" w:eastAsia="zh-CN"/>
              </w:rPr>
            </w:pPr>
          </w:p>
          <w:p w14:paraId="66742C76">
            <w:pPr>
              <w:pStyle w:val="43"/>
              <w:keepNext w:val="0"/>
              <w:keepLines w:val="0"/>
              <w:suppressLineNumbers w:val="0"/>
              <w:bidi w:val="0"/>
              <w:spacing w:before="0" w:beforeAutospacing="0" w:after="0" w:afterAutospacing="0"/>
              <w:ind w:left="0" w:right="0"/>
              <w:rPr>
                <w:rFonts w:hint="eastAsia"/>
                <w:color w:val="auto"/>
                <w:lang w:val="en-US" w:eastAsia="zh-CN"/>
              </w:rPr>
            </w:pPr>
          </w:p>
          <w:p w14:paraId="56ED52CD">
            <w:pPr>
              <w:pStyle w:val="43"/>
              <w:keepNext w:val="0"/>
              <w:keepLines w:val="0"/>
              <w:suppressLineNumbers w:val="0"/>
              <w:bidi w:val="0"/>
              <w:spacing w:before="0" w:beforeAutospacing="0" w:after="0" w:afterAutospacing="0"/>
              <w:ind w:left="0" w:right="0"/>
              <w:rPr>
                <w:rFonts w:hint="eastAsia"/>
                <w:color w:val="auto"/>
                <w:lang w:val="en-US" w:eastAsia="zh-CN"/>
              </w:rPr>
            </w:pPr>
          </w:p>
          <w:p w14:paraId="6820E036">
            <w:pPr>
              <w:pStyle w:val="43"/>
              <w:keepNext w:val="0"/>
              <w:keepLines w:val="0"/>
              <w:suppressLineNumbers w:val="0"/>
              <w:bidi w:val="0"/>
              <w:spacing w:before="0" w:beforeAutospacing="0" w:after="0" w:afterAutospacing="0"/>
              <w:ind w:left="0" w:right="0"/>
              <w:rPr>
                <w:rFonts w:hint="eastAsia"/>
                <w:color w:val="auto"/>
                <w:lang w:val="en-US" w:eastAsia="zh-CN"/>
              </w:rPr>
            </w:pPr>
          </w:p>
          <w:p w14:paraId="284DD0CA">
            <w:pPr>
              <w:pStyle w:val="43"/>
              <w:keepNext w:val="0"/>
              <w:keepLines w:val="0"/>
              <w:suppressLineNumbers w:val="0"/>
              <w:bidi w:val="0"/>
              <w:spacing w:before="0" w:beforeAutospacing="0" w:after="0" w:afterAutospacing="0"/>
              <w:ind w:left="0" w:right="0"/>
              <w:rPr>
                <w:rFonts w:hint="eastAsia"/>
                <w:color w:val="auto"/>
                <w:lang w:val="en-US" w:eastAsia="zh-CN"/>
              </w:rPr>
            </w:pPr>
          </w:p>
          <w:p w14:paraId="7585F9D2">
            <w:pPr>
              <w:pStyle w:val="43"/>
              <w:keepNext w:val="0"/>
              <w:keepLines w:val="0"/>
              <w:suppressLineNumbers w:val="0"/>
              <w:bidi w:val="0"/>
              <w:spacing w:before="0" w:beforeAutospacing="0" w:after="0" w:afterAutospacing="0"/>
              <w:ind w:left="0" w:right="0"/>
              <w:rPr>
                <w:rFonts w:hint="eastAsia"/>
                <w:color w:val="auto"/>
                <w:lang w:val="en-US" w:eastAsia="zh-CN"/>
              </w:rPr>
            </w:pPr>
          </w:p>
          <w:p w14:paraId="3FCC868B">
            <w:pPr>
              <w:pStyle w:val="43"/>
              <w:keepNext w:val="0"/>
              <w:keepLines w:val="0"/>
              <w:suppressLineNumbers w:val="0"/>
              <w:bidi w:val="0"/>
              <w:spacing w:before="0" w:beforeAutospacing="0" w:after="0" w:afterAutospacing="0"/>
              <w:ind w:left="0" w:right="0"/>
              <w:rPr>
                <w:rFonts w:hint="eastAsia"/>
                <w:color w:val="auto"/>
                <w:lang w:val="en-US" w:eastAsia="zh-CN"/>
              </w:rPr>
            </w:pPr>
          </w:p>
          <w:p w14:paraId="52F97A23">
            <w:pPr>
              <w:pStyle w:val="43"/>
              <w:keepNext w:val="0"/>
              <w:keepLines w:val="0"/>
              <w:suppressLineNumbers w:val="0"/>
              <w:bidi w:val="0"/>
              <w:spacing w:before="0" w:beforeAutospacing="0" w:after="0" w:afterAutospacing="0"/>
              <w:ind w:left="0" w:right="0"/>
              <w:rPr>
                <w:rFonts w:hint="eastAsia"/>
                <w:color w:val="auto"/>
                <w:lang w:val="en-US" w:eastAsia="zh-CN"/>
              </w:rPr>
            </w:pPr>
          </w:p>
          <w:p w14:paraId="2CA05FD3">
            <w:pPr>
              <w:pStyle w:val="43"/>
              <w:keepNext w:val="0"/>
              <w:keepLines w:val="0"/>
              <w:suppressLineNumbers w:val="0"/>
              <w:bidi w:val="0"/>
              <w:spacing w:before="0" w:beforeAutospacing="0" w:after="0" w:afterAutospacing="0"/>
              <w:ind w:left="0" w:right="0"/>
              <w:rPr>
                <w:rFonts w:hint="eastAsia"/>
                <w:color w:val="auto"/>
                <w:lang w:val="en-US" w:eastAsia="zh-CN"/>
              </w:rPr>
            </w:pPr>
          </w:p>
          <w:p w14:paraId="5285D479">
            <w:pPr>
              <w:pStyle w:val="43"/>
              <w:keepNext w:val="0"/>
              <w:keepLines w:val="0"/>
              <w:suppressLineNumbers w:val="0"/>
              <w:bidi w:val="0"/>
              <w:spacing w:before="0" w:beforeAutospacing="0" w:after="0" w:afterAutospacing="0"/>
              <w:ind w:left="0" w:right="0"/>
              <w:rPr>
                <w:rFonts w:hint="eastAsia"/>
                <w:color w:val="auto"/>
                <w:lang w:val="en-US" w:eastAsia="zh-CN"/>
              </w:rPr>
            </w:pPr>
          </w:p>
          <w:p w14:paraId="63BFE76F">
            <w:pPr>
              <w:pStyle w:val="43"/>
              <w:keepNext w:val="0"/>
              <w:keepLines w:val="0"/>
              <w:suppressLineNumbers w:val="0"/>
              <w:bidi w:val="0"/>
              <w:spacing w:before="0" w:beforeAutospacing="0" w:after="0" w:afterAutospacing="0"/>
              <w:ind w:left="0" w:right="0"/>
              <w:rPr>
                <w:rFonts w:hint="eastAsia"/>
                <w:color w:val="auto"/>
                <w:lang w:val="en-US" w:eastAsia="zh-CN"/>
              </w:rPr>
            </w:pPr>
          </w:p>
          <w:p w14:paraId="51DC11CE">
            <w:pPr>
              <w:pStyle w:val="43"/>
              <w:keepNext w:val="0"/>
              <w:keepLines w:val="0"/>
              <w:suppressLineNumbers w:val="0"/>
              <w:bidi w:val="0"/>
              <w:spacing w:before="0" w:beforeAutospacing="0" w:after="0" w:afterAutospacing="0"/>
              <w:ind w:left="0" w:right="0"/>
              <w:rPr>
                <w:rFonts w:hint="eastAsia"/>
                <w:color w:val="auto"/>
                <w:lang w:val="en-US" w:eastAsia="zh-CN"/>
              </w:rPr>
            </w:pPr>
          </w:p>
          <w:p w14:paraId="7F771E17">
            <w:pPr>
              <w:pStyle w:val="43"/>
              <w:keepNext w:val="0"/>
              <w:keepLines w:val="0"/>
              <w:suppressLineNumbers w:val="0"/>
              <w:bidi w:val="0"/>
              <w:spacing w:before="0" w:beforeAutospacing="0" w:after="0" w:afterAutospacing="0"/>
              <w:ind w:left="0" w:right="0"/>
              <w:rPr>
                <w:rFonts w:hint="eastAsia"/>
                <w:color w:val="auto"/>
                <w:lang w:val="en-US" w:eastAsia="zh-CN"/>
              </w:rPr>
            </w:pPr>
          </w:p>
          <w:p w14:paraId="47635D9F">
            <w:pPr>
              <w:pStyle w:val="43"/>
              <w:keepNext w:val="0"/>
              <w:keepLines w:val="0"/>
              <w:suppressLineNumbers w:val="0"/>
              <w:bidi w:val="0"/>
              <w:spacing w:before="0" w:beforeAutospacing="0" w:after="0" w:afterAutospacing="0"/>
              <w:ind w:left="0" w:right="0"/>
              <w:rPr>
                <w:rFonts w:hint="eastAsia"/>
                <w:color w:val="auto"/>
                <w:lang w:val="en-US" w:eastAsia="zh-CN"/>
              </w:rPr>
            </w:pPr>
          </w:p>
          <w:p w14:paraId="27888333">
            <w:pPr>
              <w:pStyle w:val="43"/>
              <w:keepNext w:val="0"/>
              <w:keepLines w:val="0"/>
              <w:suppressLineNumbers w:val="0"/>
              <w:bidi w:val="0"/>
              <w:spacing w:before="0" w:beforeAutospacing="0" w:after="0" w:afterAutospacing="0"/>
              <w:ind w:left="0" w:right="0"/>
              <w:rPr>
                <w:rFonts w:hint="eastAsia"/>
                <w:color w:val="auto"/>
                <w:lang w:val="en-US" w:eastAsia="zh-CN"/>
              </w:rPr>
            </w:pPr>
          </w:p>
          <w:p w14:paraId="4F4288E5">
            <w:pPr>
              <w:pStyle w:val="43"/>
              <w:keepNext w:val="0"/>
              <w:keepLines w:val="0"/>
              <w:suppressLineNumbers w:val="0"/>
              <w:bidi w:val="0"/>
              <w:spacing w:before="0" w:beforeAutospacing="0" w:after="0" w:afterAutospacing="0"/>
              <w:ind w:left="0" w:right="0"/>
              <w:rPr>
                <w:rFonts w:hint="eastAsia"/>
                <w:color w:val="auto"/>
                <w:lang w:val="en-US" w:eastAsia="zh-CN"/>
              </w:rPr>
            </w:pPr>
          </w:p>
          <w:p w14:paraId="72E81799">
            <w:pPr>
              <w:pStyle w:val="43"/>
              <w:keepNext w:val="0"/>
              <w:keepLines w:val="0"/>
              <w:suppressLineNumbers w:val="0"/>
              <w:bidi w:val="0"/>
              <w:spacing w:before="0" w:beforeAutospacing="0" w:after="0" w:afterAutospacing="0"/>
              <w:ind w:left="0" w:right="0"/>
              <w:rPr>
                <w:rFonts w:hint="eastAsia"/>
                <w:color w:val="auto"/>
                <w:lang w:val="en-US" w:eastAsia="zh-CN"/>
              </w:rPr>
            </w:pPr>
          </w:p>
          <w:p w14:paraId="37C6BD80">
            <w:pPr>
              <w:pStyle w:val="43"/>
              <w:keepNext w:val="0"/>
              <w:keepLines w:val="0"/>
              <w:suppressLineNumbers w:val="0"/>
              <w:bidi w:val="0"/>
              <w:spacing w:before="0" w:beforeAutospacing="0" w:after="0" w:afterAutospacing="0"/>
              <w:ind w:left="0" w:right="0"/>
              <w:rPr>
                <w:rFonts w:hint="eastAsia"/>
                <w:color w:val="auto"/>
                <w:lang w:val="en-US" w:eastAsia="zh-CN"/>
              </w:rPr>
            </w:pPr>
          </w:p>
          <w:p w14:paraId="5797F300">
            <w:pPr>
              <w:pStyle w:val="43"/>
              <w:keepNext w:val="0"/>
              <w:keepLines w:val="0"/>
              <w:suppressLineNumbers w:val="0"/>
              <w:bidi w:val="0"/>
              <w:spacing w:before="0" w:beforeAutospacing="0" w:after="0" w:afterAutospacing="0"/>
              <w:ind w:left="0" w:right="0"/>
              <w:rPr>
                <w:rFonts w:hint="eastAsia"/>
                <w:color w:val="auto"/>
                <w:lang w:val="en-US" w:eastAsia="zh-CN"/>
              </w:rPr>
            </w:pPr>
          </w:p>
          <w:p w14:paraId="73F9379E">
            <w:pPr>
              <w:pStyle w:val="43"/>
              <w:keepNext w:val="0"/>
              <w:keepLines w:val="0"/>
              <w:suppressLineNumbers w:val="0"/>
              <w:bidi w:val="0"/>
              <w:spacing w:before="0" w:beforeAutospacing="0" w:after="0" w:afterAutospacing="0"/>
              <w:ind w:left="0" w:right="0"/>
              <w:jc w:val="both"/>
              <w:rPr>
                <w:rFonts w:hint="eastAsia"/>
                <w:color w:val="auto"/>
                <w:lang w:val="en-US" w:eastAsia="zh-CN"/>
              </w:rPr>
            </w:pPr>
          </w:p>
          <w:p w14:paraId="36D75875">
            <w:pPr>
              <w:pStyle w:val="43"/>
              <w:keepNext w:val="0"/>
              <w:keepLines w:val="0"/>
              <w:suppressLineNumbers w:val="0"/>
              <w:bidi w:val="0"/>
              <w:spacing w:before="0" w:beforeAutospacing="0" w:after="0" w:afterAutospacing="0"/>
              <w:ind w:left="0" w:right="0"/>
              <w:rPr>
                <w:rFonts w:hint="eastAsia"/>
                <w:color w:val="auto"/>
                <w:lang w:val="en-US" w:eastAsia="zh-CN"/>
              </w:rPr>
            </w:pPr>
          </w:p>
          <w:p w14:paraId="2BB0CC91">
            <w:pPr>
              <w:pStyle w:val="43"/>
              <w:keepNext w:val="0"/>
              <w:keepLines w:val="0"/>
              <w:suppressLineNumbers w:val="0"/>
              <w:bidi w:val="0"/>
              <w:spacing w:before="0" w:beforeAutospacing="0" w:after="0" w:afterAutospacing="0"/>
              <w:ind w:left="0" w:right="0"/>
              <w:jc w:val="both"/>
              <w:rPr>
                <w:rFonts w:hint="default"/>
                <w:color w:val="auto"/>
                <w:lang w:val="en-US" w:eastAsia="zh-CN"/>
              </w:rPr>
            </w:pPr>
          </w:p>
        </w:tc>
      </w:tr>
    </w:tbl>
    <w:p w14:paraId="31352E6A">
      <w:pPr>
        <w:rPr>
          <w:rFonts w:hint="eastAsia" w:eastAsia="宋体"/>
          <w:color w:val="auto"/>
          <w:lang w:eastAsia="zh-CN"/>
        </w:rPr>
      </w:pPr>
      <w:r>
        <w:rPr>
          <w:rFonts w:hint="eastAsia" w:eastAsia="宋体"/>
          <w:color w:val="auto"/>
          <w:lang w:eastAsia="zh-CN"/>
        </w:rPr>
        <w:br w:type="page"/>
      </w:r>
    </w:p>
    <w:p w14:paraId="52B70FCE">
      <w:pPr>
        <w:pStyle w:val="2"/>
        <w:ind w:firstLine="0" w:firstLineChars="0"/>
        <w:rPr>
          <w:color w:val="auto"/>
          <w:highlight w:val="none"/>
        </w:rPr>
      </w:pPr>
      <w:bookmarkStart w:id="6" w:name="_Toc1382"/>
      <w:r>
        <w:rPr>
          <w:rFonts w:hint="eastAsia"/>
          <w:color w:val="auto"/>
          <w:highlight w:val="none"/>
        </w:rPr>
        <w:t>三</w:t>
      </w:r>
      <w:r>
        <w:rPr>
          <w:color w:val="auto"/>
          <w:highlight w:val="none"/>
        </w:rPr>
        <w:t>、</w:t>
      </w:r>
      <w:r>
        <w:rPr>
          <w:rFonts w:hint="eastAsia"/>
          <w:color w:val="auto"/>
          <w:highlight w:val="none"/>
        </w:rPr>
        <w:t>区域环境质量现状、环境保护目标及评价标准</w:t>
      </w:r>
      <w:bookmarkEnd w:id="6"/>
    </w:p>
    <w:tbl>
      <w:tblPr>
        <w:tblStyle w:val="19"/>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619"/>
        <w:gridCol w:w="8669"/>
      </w:tblGrid>
      <w:tr w14:paraId="6FD6E58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3" w:hRule="atLeast"/>
          <w:jc w:val="center"/>
        </w:trPr>
        <w:tc>
          <w:tcPr>
            <w:tcW w:w="619" w:type="dxa"/>
            <w:tcBorders>
              <w:tl2br w:val="nil"/>
              <w:tr2bl w:val="nil"/>
            </w:tcBorders>
            <w:shd w:val="clear" w:color="auto" w:fill="auto"/>
            <w:vAlign w:val="center"/>
          </w:tcPr>
          <w:p w14:paraId="3CE059FF">
            <w:pPr>
              <w:keepNext w:val="0"/>
              <w:keepLines w:val="0"/>
              <w:suppressLineNumbers w:val="0"/>
              <w:spacing w:before="0" w:beforeAutospacing="0" w:after="0" w:afterAutospacing="0"/>
              <w:ind w:left="0" w:right="0" w:firstLine="0" w:firstLineChars="0"/>
              <w:jc w:val="center"/>
              <w:rPr>
                <w:rFonts w:hint="default"/>
                <w:color w:val="000000" w:themeColor="text1"/>
                <w:highlight w:val="none"/>
                <w14:textFill>
                  <w14:solidFill>
                    <w14:schemeClr w14:val="tx1"/>
                  </w14:solidFill>
                </w14:textFill>
              </w:rPr>
            </w:pPr>
            <w:r>
              <w:rPr>
                <w:rFonts w:hint="eastAsia" w:ascii="宋体"/>
                <w:color w:val="000000" w:themeColor="text1"/>
                <w:highlight w:val="none"/>
                <w14:textFill>
                  <w14:solidFill>
                    <w14:schemeClr w14:val="tx1"/>
                  </w14:solidFill>
                </w14:textFill>
              </w:rPr>
              <w:t>区域环境质量现状</w:t>
            </w:r>
          </w:p>
        </w:tc>
        <w:tc>
          <w:tcPr>
            <w:tcW w:w="8669" w:type="dxa"/>
            <w:tcBorders>
              <w:tl2br w:val="nil"/>
              <w:tr2bl w:val="nil"/>
            </w:tcBorders>
            <w:shd w:val="clear" w:color="auto" w:fill="auto"/>
            <w:vAlign w:val="top"/>
          </w:tcPr>
          <w:p w14:paraId="4140C8C2">
            <w:pPr>
              <w:keepNext w:val="0"/>
              <w:keepLines w:val="0"/>
              <w:suppressLineNumbers w:val="0"/>
              <w:spacing w:before="0" w:beforeAutospacing="0" w:after="0" w:afterAutospacing="0"/>
              <w:ind w:left="0" w:right="0" w:firstLine="482"/>
              <w:rPr>
                <w:rFonts w:hint="eastAsia"/>
                <w:b/>
                <w:bCs/>
                <w:color w:val="000000" w:themeColor="text1"/>
                <w:highlight w:val="none"/>
                <w:lang w:val="en-US" w:eastAsia="zh-CN"/>
                <w14:textFill>
                  <w14:solidFill>
                    <w14:schemeClr w14:val="tx1"/>
                  </w14:solidFill>
                </w14:textFill>
              </w:rPr>
            </w:pPr>
            <w:r>
              <w:rPr>
                <w:rFonts w:hint="eastAsia"/>
                <w:b/>
                <w:bCs/>
                <w:color w:val="000000" w:themeColor="text1"/>
                <w:highlight w:val="none"/>
                <w:lang w:val="en-US" w:eastAsia="zh-CN"/>
                <w14:textFill>
                  <w14:solidFill>
                    <w14:schemeClr w14:val="tx1"/>
                  </w14:solidFill>
                </w14:textFill>
              </w:rPr>
              <w:t>1、大气环境质量现状</w:t>
            </w:r>
          </w:p>
          <w:p w14:paraId="28D0B547">
            <w:pPr>
              <w:keepNext w:val="0"/>
              <w:keepLines w:val="0"/>
              <w:suppressLineNumbers w:val="0"/>
              <w:spacing w:before="0" w:beforeAutospacing="0" w:after="0" w:afterAutospacing="0"/>
              <w:ind w:left="0" w:right="0" w:firstLine="480"/>
              <w:rPr>
                <w:rFonts w:hint="default"/>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（1）基本</w:t>
            </w:r>
            <w:r>
              <w:rPr>
                <w:rFonts w:hint="eastAsia"/>
                <w:b/>
                <w:bCs/>
                <w:color w:val="000000" w:themeColor="text1"/>
                <w:highlight w:val="none"/>
                <w:lang w:val="en-US" w:eastAsia="zh-CN"/>
                <w14:textFill>
                  <w14:solidFill>
                    <w14:schemeClr w14:val="tx1"/>
                  </w14:solidFill>
                </w14:textFill>
              </w:rPr>
              <w:t>污染物</w:t>
            </w:r>
            <w:r>
              <w:rPr>
                <w:rFonts w:hint="eastAsia"/>
                <w:b/>
                <w:bCs/>
                <w:color w:val="000000" w:themeColor="text1"/>
                <w:highlight w:val="none"/>
                <w14:textFill>
                  <w14:solidFill>
                    <w14:schemeClr w14:val="tx1"/>
                  </w14:solidFill>
                </w14:textFill>
              </w:rPr>
              <w:t>：</w:t>
            </w:r>
          </w:p>
          <w:p w14:paraId="0F5A9F08">
            <w:pPr>
              <w:keepNext w:val="0"/>
              <w:keepLines w:val="0"/>
              <w:suppressLineNumbers w:val="0"/>
              <w:spacing w:before="0" w:beforeAutospacing="0" w:after="0" w:afterAutospacing="0"/>
              <w:ind w:left="0" w:right="0" w:firstLine="480"/>
              <w:rPr>
                <w:rFonts w:hint="eastAsia"/>
                <w:color w:val="auto"/>
              </w:rPr>
            </w:pPr>
            <w:r>
              <w:rPr>
                <w:rFonts w:hint="eastAsia"/>
                <w:color w:val="auto"/>
              </w:rPr>
              <w:t>本次评价引用《</w:t>
            </w:r>
            <w:r>
              <w:rPr>
                <w:rFonts w:hint="eastAsia"/>
                <w:color w:val="auto"/>
                <w:lang w:eastAsia="zh-CN"/>
              </w:rPr>
              <w:t>20</w:t>
            </w:r>
            <w:commentRangeStart w:id="33"/>
            <w:commentRangeStart w:id="34"/>
            <w:r>
              <w:rPr>
                <w:rFonts w:hint="eastAsia"/>
                <w:color w:val="auto"/>
                <w:lang w:eastAsia="zh-CN"/>
              </w:rPr>
              <w:t>24</w:t>
            </w:r>
            <w:commentRangeEnd w:id="33"/>
            <w:r>
              <w:rPr>
                <w:rFonts w:hint="default"/>
              </w:rPr>
              <w:commentReference w:id="33"/>
            </w:r>
            <w:commentRangeEnd w:id="34"/>
            <w:r>
              <w:rPr>
                <w:rFonts w:hint="default"/>
              </w:rPr>
              <w:commentReference w:id="34"/>
            </w:r>
            <w:r>
              <w:rPr>
                <w:rFonts w:hint="eastAsia"/>
                <w:color w:val="auto"/>
                <w:lang w:eastAsia="zh-CN"/>
              </w:rPr>
              <w:t>年淮南市生态环境质量状况公报</w:t>
            </w:r>
            <w:r>
              <w:rPr>
                <w:rFonts w:hint="eastAsia"/>
                <w:color w:val="auto"/>
              </w:rPr>
              <w:t>》（https</w:t>
            </w:r>
            <w:r>
              <w:rPr>
                <w:rFonts w:hint="eastAsia"/>
                <w:color w:val="auto"/>
                <w:lang w:eastAsia="zh-CN"/>
              </w:rPr>
              <w:t>：</w:t>
            </w:r>
            <w:r>
              <w:rPr>
                <w:rFonts w:hint="eastAsia"/>
                <w:color w:val="auto"/>
              </w:rPr>
              <w:t>//sthjj.huainan.gov.cn/xwdt/tzgg/551820695.html）中环境空气质量部分内容，具体如下：</w:t>
            </w:r>
          </w:p>
          <w:p w14:paraId="20704E4E">
            <w:pPr>
              <w:pStyle w:val="18"/>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firstLine="420"/>
              <w:jc w:val="both"/>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2024年，全市环境空气质量一级（优）65天，二级（良）218天，三级（轻度污染）69天，四级（中度污染）13天，五级（重度污染）1天；全市年度环境空气达标天数比例为77.3%，与上年相比下降了3.2个百分点；全市环境空气综合指数为3.87，首要污染物为细颗粒物。</w:t>
            </w:r>
          </w:p>
          <w:p w14:paraId="3745F687">
            <w:pPr>
              <w:pStyle w:val="18"/>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ind w:left="0" w:right="0" w:firstLine="420"/>
              <w:jc w:val="both"/>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kern w:val="2"/>
                <w:sz w:val="24"/>
                <w:szCs w:val="24"/>
                <w:highlight w:val="none"/>
                <w:lang w:val="en-US" w:eastAsia="zh-CN" w:bidi="ar-SA"/>
              </w:rPr>
              <w:t>细颗粒物（PM</w:t>
            </w:r>
            <w:r>
              <w:rPr>
                <w:rFonts w:hint="eastAsia" w:ascii="Times New Roman" w:hAnsi="Times New Roman" w:eastAsia="宋体" w:cs="Times New Roman"/>
                <w:color w:val="auto"/>
                <w:kern w:val="2"/>
                <w:sz w:val="24"/>
                <w:szCs w:val="24"/>
                <w:highlight w:val="none"/>
                <w:vertAlign w:val="subscript"/>
                <w:lang w:val="en-US" w:eastAsia="zh-CN" w:bidi="ar-SA"/>
              </w:rPr>
              <w:t>2.5</w:t>
            </w:r>
            <w:r>
              <w:rPr>
                <w:rFonts w:hint="eastAsia" w:ascii="Times New Roman" w:hAnsi="Times New Roman" w:eastAsia="宋体" w:cs="Times New Roman"/>
                <w:color w:val="auto"/>
                <w:kern w:val="2"/>
                <w:sz w:val="24"/>
                <w:szCs w:val="24"/>
                <w:highlight w:val="none"/>
                <w:lang w:val="en-US" w:eastAsia="zh-CN" w:bidi="ar-SA"/>
              </w:rPr>
              <w:t>）日均浓度范围为7～156微克/立方米，日均值达标率为87.6%。年均值为40.0微克/立方米，与上年相比上升了3.4个百分点。可吸入颗粒物（PM</w:t>
            </w:r>
            <w:r>
              <w:rPr>
                <w:rFonts w:hint="eastAsia" w:ascii="Times New Roman" w:hAnsi="Times New Roman" w:eastAsia="宋体" w:cs="Times New Roman"/>
                <w:color w:val="auto"/>
                <w:kern w:val="2"/>
                <w:sz w:val="24"/>
                <w:szCs w:val="24"/>
                <w:highlight w:val="none"/>
                <w:vertAlign w:val="subscript"/>
                <w:lang w:val="en-US" w:eastAsia="zh-CN" w:bidi="ar-SA"/>
              </w:rPr>
              <w:t>10</w:t>
            </w:r>
            <w:r>
              <w:rPr>
                <w:rFonts w:hint="eastAsia" w:ascii="Times New Roman" w:hAnsi="Times New Roman" w:eastAsia="宋体" w:cs="Times New Roman"/>
                <w:color w:val="auto"/>
                <w:kern w:val="2"/>
                <w:sz w:val="24"/>
                <w:szCs w:val="24"/>
                <w:highlight w:val="none"/>
                <w:lang w:val="en-US" w:eastAsia="zh-CN" w:bidi="ar-SA"/>
              </w:rPr>
              <w:t>）日均浓度范围为10～262微克/立方米，日均值达标率为96.0%。年均值为65.0微克/立方米，与上年相比下降了1.4个百分点。二氧化氮（NO</w:t>
            </w:r>
            <w:r>
              <w:rPr>
                <w:rFonts w:hint="eastAsia" w:ascii="Times New Roman" w:hAnsi="Times New Roman" w:eastAsia="宋体" w:cs="Times New Roman"/>
                <w:color w:val="auto"/>
                <w:kern w:val="2"/>
                <w:sz w:val="24"/>
                <w:szCs w:val="24"/>
                <w:highlight w:val="none"/>
                <w:vertAlign w:val="subscript"/>
                <w:lang w:val="en-US" w:eastAsia="zh-CN" w:bidi="ar-SA"/>
              </w:rPr>
              <w:t>2</w:t>
            </w:r>
            <w:r>
              <w:rPr>
                <w:rFonts w:hint="eastAsia" w:ascii="Times New Roman" w:hAnsi="Times New Roman" w:eastAsia="宋体" w:cs="Times New Roman"/>
                <w:color w:val="auto"/>
                <w:kern w:val="2"/>
                <w:sz w:val="24"/>
                <w:szCs w:val="24"/>
                <w:highlight w:val="none"/>
                <w:lang w:val="en-US" w:eastAsia="zh-CN" w:bidi="ar-SA"/>
              </w:rPr>
              <w:t>）日均浓度范围为5～47微克/立方米，日均值达标率为100%。年均浓度为19微克/立方米，与上年相比下降了9.5个百分点。二氧化硫（SO</w:t>
            </w:r>
            <w:r>
              <w:rPr>
                <w:rFonts w:hint="eastAsia" w:ascii="Times New Roman" w:hAnsi="Times New Roman" w:eastAsia="宋体" w:cs="Times New Roman"/>
                <w:color w:val="auto"/>
                <w:kern w:val="2"/>
                <w:sz w:val="24"/>
                <w:szCs w:val="24"/>
                <w:highlight w:val="none"/>
                <w:vertAlign w:val="subscript"/>
                <w:lang w:val="en-US" w:eastAsia="zh-CN" w:bidi="ar-SA"/>
              </w:rPr>
              <w:t>2</w:t>
            </w:r>
            <w:r>
              <w:rPr>
                <w:rFonts w:hint="eastAsia" w:ascii="Times New Roman" w:hAnsi="Times New Roman" w:eastAsia="宋体" w:cs="Times New Roman"/>
                <w:color w:val="auto"/>
                <w:kern w:val="2"/>
                <w:sz w:val="24"/>
                <w:szCs w:val="24"/>
                <w:highlight w:val="none"/>
                <w:lang w:val="en-US" w:eastAsia="zh-CN" w:bidi="ar-SA"/>
              </w:rPr>
              <w:t>）日均浓度范围为2～13微克/立方米，日均值达标率为100%。年均浓度为7微克/立方米，与上年相比下降了12.5个百分点。一氧化碳（CO）日均浓度范围为0.2～1.1毫克/立方米，日均值达标率为100%。日均值第95百分位数为0.8毫克/立方米，与上年相比上升了14.3个百分点。臭氧日最大8小时（O</w:t>
            </w:r>
            <w:r>
              <w:rPr>
                <w:rFonts w:hint="eastAsia" w:ascii="Times New Roman" w:hAnsi="Times New Roman" w:eastAsia="宋体" w:cs="Times New Roman"/>
                <w:color w:val="auto"/>
                <w:kern w:val="2"/>
                <w:sz w:val="24"/>
                <w:szCs w:val="24"/>
                <w:highlight w:val="none"/>
                <w:vertAlign w:val="subscript"/>
                <w:lang w:val="en-US" w:eastAsia="zh-CN" w:bidi="ar-SA"/>
              </w:rPr>
              <w:t>3</w:t>
            </w:r>
            <w:r>
              <w:rPr>
                <w:rFonts w:hint="eastAsia" w:ascii="Times New Roman" w:hAnsi="Times New Roman" w:eastAsia="宋体" w:cs="Times New Roman"/>
                <w:color w:val="auto"/>
                <w:kern w:val="2"/>
                <w:sz w:val="24"/>
                <w:szCs w:val="24"/>
                <w:highlight w:val="none"/>
                <w:lang w:val="en-US" w:eastAsia="zh-CN" w:bidi="ar-SA"/>
              </w:rPr>
              <w:t>-8h）滑动平均值范围为16～227微克/立方米，达标率为90.4%。日最大8小时滑动平均值第90百分位数为160微克/立方米，与上年相比上升了1.9个百分点。</w:t>
            </w:r>
          </w:p>
          <w:p w14:paraId="5A3D5FCA">
            <w:pPr>
              <w:keepNext w:val="0"/>
              <w:keepLines w:val="0"/>
              <w:suppressLineNumbers w:val="0"/>
              <w:bidi w:val="0"/>
              <w:spacing w:before="0" w:beforeAutospacing="0" w:after="0" w:afterAutospacing="0"/>
              <w:ind w:left="0" w:right="0"/>
              <w:rPr>
                <w:rFonts w:hint="eastAsia"/>
                <w:color w:val="auto"/>
                <w:highlight w:val="none"/>
                <w:lang w:val="en-US" w:eastAsia="zh-CN"/>
              </w:rPr>
            </w:pPr>
            <w:r>
              <w:rPr>
                <w:rFonts w:hint="eastAsia"/>
                <w:color w:val="auto"/>
                <w:highlight w:val="none"/>
                <w:lang w:val="en-US" w:eastAsia="zh-CN"/>
              </w:rPr>
              <w:t>依据《2024年淮南市生态环境质量状况公报》，淮南市属于</w:t>
            </w:r>
            <w:r>
              <w:rPr>
                <w:rFonts w:hint="eastAsia"/>
              </w:rPr>
              <w:t>环境空气质量不达标区域，超标因子为</w:t>
            </w:r>
            <w:r>
              <w:rPr>
                <w:rFonts w:hint="eastAsia"/>
                <w:lang w:val="en-US" w:eastAsia="zh-CN"/>
              </w:rPr>
              <w:t>PM</w:t>
            </w:r>
            <w:r>
              <w:rPr>
                <w:rFonts w:hint="eastAsia"/>
                <w:vertAlign w:val="subscript"/>
                <w:lang w:val="en-US" w:eastAsia="zh-CN"/>
              </w:rPr>
              <w:t>2.5</w:t>
            </w:r>
            <w:r>
              <w:rPr>
                <w:rFonts w:hint="eastAsia"/>
                <w:color w:val="auto"/>
                <w:highlight w:val="none"/>
                <w:lang w:val="en-US" w:eastAsia="zh-CN"/>
              </w:rPr>
              <w:t>。</w:t>
            </w:r>
          </w:p>
          <w:p w14:paraId="63054357">
            <w:pPr>
              <w:pStyle w:val="39"/>
              <w:keepNext w:val="0"/>
              <w:keepLines w:val="0"/>
              <w:suppressLineNumbers w:val="0"/>
              <w:bidi w:val="0"/>
              <w:spacing w:before="0" w:beforeAutospacing="0" w:after="0" w:afterAutospacing="0"/>
              <w:ind w:left="0" w:right="0"/>
              <w:rPr>
                <w:rFonts w:hint="eastAsia"/>
              </w:rPr>
            </w:pPr>
            <w:r>
              <w:rPr>
                <w:rFonts w:hint="eastAsia"/>
              </w:rPr>
              <w:t>表</w:t>
            </w:r>
            <w:r>
              <w:rPr>
                <w:rFonts w:hint="eastAsia"/>
                <w:lang w:val="en-US" w:eastAsia="zh-CN"/>
              </w:rPr>
              <w:t xml:space="preserve">3-1 </w:t>
            </w:r>
            <w:r>
              <w:rPr>
                <w:rFonts w:hint="eastAsia"/>
              </w:rPr>
              <w:t xml:space="preserve"> 202</w:t>
            </w:r>
            <w:r>
              <w:rPr>
                <w:rFonts w:hint="eastAsia"/>
                <w:lang w:val="en-US" w:eastAsia="zh-CN"/>
              </w:rPr>
              <w:t>4</w:t>
            </w:r>
            <w:r>
              <w:rPr>
                <w:rFonts w:hint="eastAsia"/>
              </w:rPr>
              <w:t>年度</w:t>
            </w:r>
            <w:r>
              <w:rPr>
                <w:rFonts w:hint="eastAsia"/>
                <w:lang w:val="en-US" w:eastAsia="zh-CN"/>
              </w:rPr>
              <w:t>大气</w:t>
            </w:r>
            <w:r>
              <w:rPr>
                <w:rFonts w:hint="eastAsia"/>
              </w:rPr>
              <w:t>环境质量状况</w:t>
            </w:r>
          </w:p>
          <w:tbl>
            <w:tblPr>
              <w:tblStyle w:val="19"/>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236"/>
              <w:gridCol w:w="1722"/>
              <w:gridCol w:w="1003"/>
              <w:gridCol w:w="1332"/>
              <w:gridCol w:w="1565"/>
              <w:gridCol w:w="1578"/>
            </w:tblGrid>
            <w:tr w14:paraId="12480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733" w:type="pct"/>
                  <w:noWrap w:val="0"/>
                  <w:vAlign w:val="center"/>
                </w:tcPr>
                <w:p w14:paraId="3CE9A723">
                  <w:pPr>
                    <w:pStyle w:val="46"/>
                    <w:keepNext w:val="0"/>
                    <w:keepLines w:val="0"/>
                    <w:suppressLineNumbers w:val="0"/>
                    <w:bidi w:val="0"/>
                    <w:spacing w:before="0" w:beforeAutospacing="0" w:after="0" w:afterAutospacing="0"/>
                    <w:rPr>
                      <w:rFonts w:hint="default"/>
                      <w:b/>
                      <w:bCs/>
                    </w:rPr>
                  </w:pPr>
                  <w:r>
                    <w:rPr>
                      <w:rFonts w:hint="eastAsia"/>
                      <w:b/>
                      <w:bCs/>
                    </w:rPr>
                    <w:t>环境要素</w:t>
                  </w:r>
                </w:p>
              </w:tc>
              <w:tc>
                <w:tcPr>
                  <w:tcW w:w="1020" w:type="pct"/>
                  <w:noWrap w:val="0"/>
                  <w:vAlign w:val="center"/>
                </w:tcPr>
                <w:p w14:paraId="693631A4">
                  <w:pPr>
                    <w:pStyle w:val="46"/>
                    <w:keepNext w:val="0"/>
                    <w:keepLines w:val="0"/>
                    <w:suppressLineNumbers w:val="0"/>
                    <w:bidi w:val="0"/>
                    <w:spacing w:before="0" w:beforeAutospacing="0" w:after="0" w:afterAutospacing="0"/>
                    <w:rPr>
                      <w:rFonts w:hint="default"/>
                      <w:b/>
                      <w:bCs/>
                    </w:rPr>
                  </w:pPr>
                  <w:r>
                    <w:rPr>
                      <w:rFonts w:hint="eastAsia"/>
                      <w:b/>
                      <w:bCs/>
                    </w:rPr>
                    <w:t>评价因子</w:t>
                  </w:r>
                </w:p>
              </w:tc>
              <w:tc>
                <w:tcPr>
                  <w:tcW w:w="594" w:type="pct"/>
                  <w:noWrap w:val="0"/>
                  <w:vAlign w:val="center"/>
                </w:tcPr>
                <w:p w14:paraId="2BCDC141">
                  <w:pPr>
                    <w:pStyle w:val="46"/>
                    <w:keepNext w:val="0"/>
                    <w:keepLines w:val="0"/>
                    <w:suppressLineNumbers w:val="0"/>
                    <w:bidi w:val="0"/>
                    <w:spacing w:before="0" w:beforeAutospacing="0" w:after="0" w:afterAutospacing="0"/>
                    <w:rPr>
                      <w:rFonts w:hint="default"/>
                      <w:b/>
                      <w:bCs/>
                    </w:rPr>
                  </w:pPr>
                  <w:r>
                    <w:rPr>
                      <w:rFonts w:hint="eastAsia"/>
                      <w:b/>
                      <w:bCs/>
                    </w:rPr>
                    <w:t>监测值</w:t>
                  </w:r>
                </w:p>
              </w:tc>
              <w:tc>
                <w:tcPr>
                  <w:tcW w:w="789" w:type="pct"/>
                  <w:noWrap w:val="0"/>
                  <w:vAlign w:val="center"/>
                </w:tcPr>
                <w:p w14:paraId="518746D5">
                  <w:pPr>
                    <w:pStyle w:val="46"/>
                    <w:keepNext w:val="0"/>
                    <w:keepLines w:val="0"/>
                    <w:suppressLineNumbers w:val="0"/>
                    <w:bidi w:val="0"/>
                    <w:spacing w:before="0" w:beforeAutospacing="0" w:after="0" w:afterAutospacing="0"/>
                    <w:rPr>
                      <w:rFonts w:hint="default"/>
                      <w:b/>
                      <w:bCs/>
                    </w:rPr>
                  </w:pPr>
                  <w:r>
                    <w:rPr>
                      <w:rFonts w:hint="eastAsia"/>
                      <w:b/>
                      <w:bCs/>
                    </w:rPr>
                    <w:t>标准值</w:t>
                  </w:r>
                </w:p>
              </w:tc>
              <w:tc>
                <w:tcPr>
                  <w:tcW w:w="927" w:type="pct"/>
                  <w:noWrap w:val="0"/>
                  <w:vAlign w:val="center"/>
                </w:tcPr>
                <w:p w14:paraId="06FC58FD">
                  <w:pPr>
                    <w:pStyle w:val="46"/>
                    <w:keepNext w:val="0"/>
                    <w:keepLines w:val="0"/>
                    <w:suppressLineNumbers w:val="0"/>
                    <w:bidi w:val="0"/>
                    <w:spacing w:before="0" w:beforeAutospacing="0" w:after="0" w:afterAutospacing="0"/>
                    <w:rPr>
                      <w:rFonts w:hint="default"/>
                      <w:b/>
                      <w:bCs/>
                    </w:rPr>
                  </w:pPr>
                  <w:r>
                    <w:rPr>
                      <w:rFonts w:hint="eastAsia"/>
                      <w:b/>
                      <w:bCs/>
                    </w:rPr>
                    <w:t>是否达标</w:t>
                  </w:r>
                </w:p>
              </w:tc>
              <w:tc>
                <w:tcPr>
                  <w:tcW w:w="935" w:type="pct"/>
                  <w:noWrap w:val="0"/>
                  <w:vAlign w:val="center"/>
                </w:tcPr>
                <w:p w14:paraId="02CD61A8">
                  <w:pPr>
                    <w:pStyle w:val="46"/>
                    <w:keepNext w:val="0"/>
                    <w:keepLines w:val="0"/>
                    <w:suppressLineNumbers w:val="0"/>
                    <w:bidi w:val="0"/>
                    <w:spacing w:before="0" w:beforeAutospacing="0" w:after="0" w:afterAutospacing="0"/>
                    <w:rPr>
                      <w:rFonts w:hint="eastAsia"/>
                      <w:b/>
                      <w:bCs/>
                      <w:lang w:eastAsia="zh-CN"/>
                    </w:rPr>
                  </w:pPr>
                  <w:r>
                    <w:rPr>
                      <w:rFonts w:hint="eastAsia"/>
                      <w:b/>
                      <w:bCs/>
                      <w:lang w:val="en-US" w:eastAsia="zh-CN"/>
                    </w:rPr>
                    <w:t>占标率</w:t>
                  </w:r>
                </w:p>
              </w:tc>
            </w:tr>
            <w:tr w14:paraId="2FA70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733" w:type="pct"/>
                  <w:vMerge w:val="restart"/>
                  <w:noWrap w:val="0"/>
                  <w:vAlign w:val="center"/>
                </w:tcPr>
                <w:p w14:paraId="0C8150CA">
                  <w:pPr>
                    <w:pStyle w:val="46"/>
                    <w:keepNext w:val="0"/>
                    <w:keepLines w:val="0"/>
                    <w:suppressLineNumbers w:val="0"/>
                    <w:bidi w:val="0"/>
                    <w:spacing w:before="0" w:beforeAutospacing="0" w:after="0" w:afterAutospacing="0"/>
                    <w:rPr>
                      <w:rFonts w:hint="default"/>
                    </w:rPr>
                  </w:pPr>
                  <w:r>
                    <w:rPr>
                      <w:rFonts w:hint="eastAsia"/>
                    </w:rPr>
                    <w:t>环境空气</w:t>
                  </w:r>
                </w:p>
              </w:tc>
              <w:tc>
                <w:tcPr>
                  <w:tcW w:w="1020" w:type="pct"/>
                  <w:noWrap w:val="0"/>
                  <w:vAlign w:val="center"/>
                </w:tcPr>
                <w:p w14:paraId="4DFB975E">
                  <w:pPr>
                    <w:pStyle w:val="46"/>
                    <w:keepNext w:val="0"/>
                    <w:keepLines w:val="0"/>
                    <w:suppressLineNumbers w:val="0"/>
                    <w:bidi w:val="0"/>
                    <w:spacing w:before="0" w:beforeAutospacing="0" w:after="0" w:afterAutospacing="0"/>
                    <w:rPr>
                      <w:rFonts w:hint="eastAsia"/>
                    </w:rPr>
                  </w:pPr>
                  <w:r>
                    <w:rPr>
                      <w:rFonts w:hint="eastAsia"/>
                    </w:rPr>
                    <w:t>SO</w:t>
                  </w:r>
                  <w:r>
                    <w:rPr>
                      <w:rFonts w:hint="eastAsia"/>
                      <w:vertAlign w:val="subscript"/>
                    </w:rPr>
                    <w:t>2</w:t>
                  </w:r>
                  <w:r>
                    <w:rPr>
                      <w:rFonts w:hint="eastAsia"/>
                    </w:rPr>
                    <w:t>(</w:t>
                  </w:r>
                  <w:r>
                    <w:rPr>
                      <w:rFonts w:hint="default"/>
                      <w:lang w:eastAsia="zh-CN"/>
                    </w:rPr>
                    <w:t>μ</w:t>
                  </w:r>
                  <w:r>
                    <w:rPr>
                      <w:rFonts w:hint="eastAsia"/>
                      <w:lang w:eastAsia="zh-CN"/>
                    </w:rPr>
                    <w:t>g</w:t>
                  </w:r>
                  <w:r>
                    <w:rPr>
                      <w:rFonts w:hint="eastAsia"/>
                      <w:lang w:val="en-US" w:eastAsia="zh-CN"/>
                    </w:rPr>
                    <w:t>/m³</w:t>
                  </w:r>
                  <w:r>
                    <w:rPr>
                      <w:rFonts w:hint="eastAsia"/>
                    </w:rPr>
                    <w:t>)</w:t>
                  </w:r>
                </w:p>
              </w:tc>
              <w:tc>
                <w:tcPr>
                  <w:tcW w:w="594" w:type="pct"/>
                  <w:noWrap w:val="0"/>
                  <w:vAlign w:val="center"/>
                </w:tcPr>
                <w:p w14:paraId="47357950">
                  <w:pPr>
                    <w:pStyle w:val="46"/>
                    <w:keepNext w:val="0"/>
                    <w:keepLines w:val="0"/>
                    <w:suppressLineNumbers w:val="0"/>
                    <w:bidi w:val="0"/>
                    <w:spacing w:before="0" w:beforeAutospacing="0" w:after="0" w:afterAutospacing="0"/>
                    <w:rPr>
                      <w:rFonts w:hint="eastAsia"/>
                      <w:lang w:eastAsia="zh-CN"/>
                    </w:rPr>
                  </w:pPr>
                  <w:r>
                    <w:rPr>
                      <w:rFonts w:hint="eastAsia"/>
                      <w:lang w:val="en-US" w:eastAsia="zh-CN"/>
                    </w:rPr>
                    <w:t>7</w:t>
                  </w:r>
                </w:p>
              </w:tc>
              <w:tc>
                <w:tcPr>
                  <w:tcW w:w="789" w:type="pct"/>
                  <w:noWrap w:val="0"/>
                  <w:vAlign w:val="center"/>
                </w:tcPr>
                <w:p w14:paraId="2EA1D1B8">
                  <w:pPr>
                    <w:pStyle w:val="46"/>
                    <w:keepNext w:val="0"/>
                    <w:keepLines w:val="0"/>
                    <w:suppressLineNumbers w:val="0"/>
                    <w:bidi w:val="0"/>
                    <w:spacing w:before="0" w:beforeAutospacing="0" w:after="0" w:afterAutospacing="0"/>
                    <w:rPr>
                      <w:rFonts w:hint="default"/>
                    </w:rPr>
                  </w:pPr>
                  <w:r>
                    <w:rPr>
                      <w:rFonts w:hint="eastAsia"/>
                    </w:rPr>
                    <w:t>60</w:t>
                  </w:r>
                </w:p>
              </w:tc>
              <w:tc>
                <w:tcPr>
                  <w:tcW w:w="927" w:type="pct"/>
                  <w:noWrap w:val="0"/>
                  <w:vAlign w:val="center"/>
                </w:tcPr>
                <w:p w14:paraId="28642C32">
                  <w:pPr>
                    <w:pStyle w:val="46"/>
                    <w:keepNext w:val="0"/>
                    <w:keepLines w:val="0"/>
                    <w:suppressLineNumbers w:val="0"/>
                    <w:bidi w:val="0"/>
                    <w:spacing w:before="0" w:beforeAutospacing="0" w:after="0" w:afterAutospacing="0"/>
                    <w:rPr>
                      <w:rFonts w:hint="default"/>
                    </w:rPr>
                  </w:pPr>
                  <w:r>
                    <w:rPr>
                      <w:rFonts w:hint="eastAsia"/>
                    </w:rPr>
                    <w:t>是</w:t>
                  </w:r>
                </w:p>
              </w:tc>
              <w:tc>
                <w:tcPr>
                  <w:tcW w:w="935" w:type="pct"/>
                  <w:noWrap w:val="0"/>
                  <w:vAlign w:val="center"/>
                </w:tcPr>
                <w:p w14:paraId="448B29A2">
                  <w:pPr>
                    <w:pStyle w:val="46"/>
                    <w:keepNext w:val="0"/>
                    <w:keepLines w:val="0"/>
                    <w:suppressLineNumbers w:val="0"/>
                    <w:bidi w:val="0"/>
                    <w:spacing w:before="0" w:beforeAutospacing="0" w:after="0" w:afterAutospacing="0"/>
                    <w:rPr>
                      <w:rFonts w:hint="default"/>
                      <w:lang w:val="en-US" w:eastAsia="zh-CN"/>
                    </w:rPr>
                  </w:pPr>
                  <w:r>
                    <w:rPr>
                      <w:rFonts w:hint="eastAsia"/>
                      <w:lang w:val="en-US" w:eastAsia="zh-CN"/>
                    </w:rPr>
                    <w:t>11.7</w:t>
                  </w:r>
                </w:p>
              </w:tc>
            </w:tr>
            <w:tr w14:paraId="3ACD4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733" w:type="pct"/>
                  <w:vMerge w:val="continue"/>
                  <w:noWrap w:val="0"/>
                  <w:vAlign w:val="center"/>
                </w:tcPr>
                <w:p w14:paraId="7F370989">
                  <w:pPr>
                    <w:pStyle w:val="46"/>
                    <w:keepNext w:val="0"/>
                    <w:keepLines w:val="0"/>
                    <w:suppressLineNumbers w:val="0"/>
                    <w:bidi w:val="0"/>
                    <w:spacing w:before="0" w:beforeAutospacing="0" w:after="0" w:afterAutospacing="0"/>
                    <w:rPr>
                      <w:rFonts w:hint="eastAsia"/>
                    </w:rPr>
                  </w:pPr>
                </w:p>
              </w:tc>
              <w:tc>
                <w:tcPr>
                  <w:tcW w:w="1020" w:type="pct"/>
                  <w:noWrap w:val="0"/>
                  <w:vAlign w:val="center"/>
                </w:tcPr>
                <w:p w14:paraId="3542CC55">
                  <w:pPr>
                    <w:pStyle w:val="46"/>
                    <w:keepNext w:val="0"/>
                    <w:keepLines w:val="0"/>
                    <w:suppressLineNumbers w:val="0"/>
                    <w:bidi w:val="0"/>
                    <w:spacing w:before="0" w:beforeAutospacing="0" w:after="0" w:afterAutospacing="0"/>
                    <w:rPr>
                      <w:rFonts w:hint="eastAsia"/>
                    </w:rPr>
                  </w:pPr>
                  <w:r>
                    <w:rPr>
                      <w:rFonts w:hint="default"/>
                    </w:rPr>
                    <w:t>NO</w:t>
                  </w:r>
                  <w:r>
                    <w:rPr>
                      <w:rFonts w:hint="default"/>
                      <w:vertAlign w:val="subscript"/>
                    </w:rPr>
                    <w:t>2</w:t>
                  </w:r>
                  <w:r>
                    <w:rPr>
                      <w:rFonts w:hint="eastAsia"/>
                    </w:rPr>
                    <w:t>(</w:t>
                  </w:r>
                  <w:r>
                    <w:rPr>
                      <w:rFonts w:hint="default"/>
                      <w:lang w:eastAsia="zh-CN"/>
                    </w:rPr>
                    <w:t>μ</w:t>
                  </w:r>
                  <w:r>
                    <w:rPr>
                      <w:rFonts w:hint="eastAsia"/>
                      <w:lang w:eastAsia="zh-CN"/>
                    </w:rPr>
                    <w:t>g/</w:t>
                  </w:r>
                  <w:r>
                    <w:rPr>
                      <w:rFonts w:hint="eastAsia"/>
                      <w:lang w:val="en-US" w:eastAsia="zh-CN"/>
                    </w:rPr>
                    <w:t>m³</w:t>
                  </w:r>
                  <w:r>
                    <w:rPr>
                      <w:rFonts w:hint="eastAsia"/>
                    </w:rPr>
                    <w:t>)</w:t>
                  </w:r>
                </w:p>
              </w:tc>
              <w:tc>
                <w:tcPr>
                  <w:tcW w:w="594" w:type="pct"/>
                  <w:noWrap w:val="0"/>
                  <w:vAlign w:val="center"/>
                </w:tcPr>
                <w:p w14:paraId="3A73CA14">
                  <w:pPr>
                    <w:pStyle w:val="46"/>
                    <w:keepNext w:val="0"/>
                    <w:keepLines w:val="0"/>
                    <w:suppressLineNumbers w:val="0"/>
                    <w:bidi w:val="0"/>
                    <w:spacing w:before="0" w:beforeAutospacing="0" w:after="0" w:afterAutospacing="0"/>
                    <w:rPr>
                      <w:rFonts w:hint="default"/>
                      <w:lang w:val="en-US"/>
                    </w:rPr>
                  </w:pPr>
                  <w:r>
                    <w:rPr>
                      <w:rFonts w:hint="eastAsia"/>
                      <w:lang w:val="en-US" w:eastAsia="zh-CN"/>
                    </w:rPr>
                    <w:t>19</w:t>
                  </w:r>
                </w:p>
              </w:tc>
              <w:tc>
                <w:tcPr>
                  <w:tcW w:w="789" w:type="pct"/>
                  <w:noWrap w:val="0"/>
                  <w:vAlign w:val="center"/>
                </w:tcPr>
                <w:p w14:paraId="27886DE9">
                  <w:pPr>
                    <w:pStyle w:val="46"/>
                    <w:keepNext w:val="0"/>
                    <w:keepLines w:val="0"/>
                    <w:suppressLineNumbers w:val="0"/>
                    <w:bidi w:val="0"/>
                    <w:spacing w:before="0" w:beforeAutospacing="0" w:after="0" w:afterAutospacing="0"/>
                    <w:rPr>
                      <w:rFonts w:hint="default"/>
                    </w:rPr>
                  </w:pPr>
                  <w:r>
                    <w:rPr>
                      <w:rFonts w:hint="eastAsia"/>
                    </w:rPr>
                    <w:t>40</w:t>
                  </w:r>
                </w:p>
              </w:tc>
              <w:tc>
                <w:tcPr>
                  <w:tcW w:w="927" w:type="pct"/>
                  <w:noWrap w:val="0"/>
                  <w:vAlign w:val="center"/>
                </w:tcPr>
                <w:p w14:paraId="6F8DAA0A">
                  <w:pPr>
                    <w:pStyle w:val="46"/>
                    <w:keepNext w:val="0"/>
                    <w:keepLines w:val="0"/>
                    <w:suppressLineNumbers w:val="0"/>
                    <w:bidi w:val="0"/>
                    <w:spacing w:before="0" w:beforeAutospacing="0" w:after="0" w:afterAutospacing="0"/>
                    <w:rPr>
                      <w:rFonts w:hint="eastAsia"/>
                    </w:rPr>
                  </w:pPr>
                  <w:r>
                    <w:rPr>
                      <w:rFonts w:hint="eastAsia"/>
                    </w:rPr>
                    <w:t>是</w:t>
                  </w:r>
                </w:p>
              </w:tc>
              <w:tc>
                <w:tcPr>
                  <w:tcW w:w="935" w:type="pct"/>
                  <w:noWrap w:val="0"/>
                  <w:vAlign w:val="center"/>
                </w:tcPr>
                <w:p w14:paraId="181054BE">
                  <w:pPr>
                    <w:pStyle w:val="46"/>
                    <w:keepNext w:val="0"/>
                    <w:keepLines w:val="0"/>
                    <w:suppressLineNumbers w:val="0"/>
                    <w:bidi w:val="0"/>
                    <w:spacing w:before="0" w:beforeAutospacing="0" w:after="0" w:afterAutospacing="0"/>
                    <w:rPr>
                      <w:rFonts w:hint="default"/>
                      <w:lang w:val="en-US" w:eastAsia="zh-CN"/>
                    </w:rPr>
                  </w:pPr>
                  <w:r>
                    <w:rPr>
                      <w:rFonts w:hint="eastAsia"/>
                      <w:lang w:val="en-US" w:eastAsia="zh-CN"/>
                    </w:rPr>
                    <w:t>47.5</w:t>
                  </w:r>
                </w:p>
              </w:tc>
            </w:tr>
            <w:tr w14:paraId="39A975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733" w:type="pct"/>
                  <w:vMerge w:val="continue"/>
                  <w:noWrap w:val="0"/>
                  <w:vAlign w:val="center"/>
                </w:tcPr>
                <w:p w14:paraId="391B785F">
                  <w:pPr>
                    <w:pStyle w:val="46"/>
                    <w:keepNext w:val="0"/>
                    <w:keepLines w:val="0"/>
                    <w:suppressLineNumbers w:val="0"/>
                    <w:bidi w:val="0"/>
                    <w:spacing w:before="0" w:beforeAutospacing="0" w:after="0" w:afterAutospacing="0"/>
                    <w:rPr>
                      <w:rFonts w:hint="eastAsia"/>
                    </w:rPr>
                  </w:pPr>
                </w:p>
              </w:tc>
              <w:tc>
                <w:tcPr>
                  <w:tcW w:w="1020" w:type="pct"/>
                  <w:noWrap w:val="0"/>
                  <w:vAlign w:val="center"/>
                </w:tcPr>
                <w:p w14:paraId="118F9500">
                  <w:pPr>
                    <w:pStyle w:val="46"/>
                    <w:keepNext w:val="0"/>
                    <w:keepLines w:val="0"/>
                    <w:suppressLineNumbers w:val="0"/>
                    <w:bidi w:val="0"/>
                    <w:spacing w:before="0" w:beforeAutospacing="0" w:after="0" w:afterAutospacing="0"/>
                    <w:rPr>
                      <w:rFonts w:hint="default"/>
                    </w:rPr>
                  </w:pPr>
                  <w:r>
                    <w:rPr>
                      <w:rFonts w:hint="default"/>
                    </w:rPr>
                    <w:t>PM</w:t>
                  </w:r>
                  <w:r>
                    <w:rPr>
                      <w:rFonts w:hint="default"/>
                      <w:vertAlign w:val="subscript"/>
                    </w:rPr>
                    <w:t>10</w:t>
                  </w:r>
                  <w:r>
                    <w:rPr>
                      <w:rFonts w:hint="eastAsia"/>
                    </w:rPr>
                    <w:t>(</w:t>
                  </w:r>
                  <w:r>
                    <w:rPr>
                      <w:rFonts w:hint="default"/>
                      <w:lang w:eastAsia="zh-CN"/>
                    </w:rPr>
                    <w:t>μ</w:t>
                  </w:r>
                  <w:r>
                    <w:rPr>
                      <w:rFonts w:hint="eastAsia"/>
                      <w:lang w:eastAsia="zh-CN"/>
                    </w:rPr>
                    <w:t>g/</w:t>
                  </w:r>
                  <w:r>
                    <w:rPr>
                      <w:rFonts w:hint="eastAsia"/>
                      <w:lang w:val="en-US" w:eastAsia="zh-CN"/>
                    </w:rPr>
                    <w:t>m³</w:t>
                  </w:r>
                  <w:r>
                    <w:rPr>
                      <w:rFonts w:hint="eastAsia"/>
                    </w:rPr>
                    <w:t>)</w:t>
                  </w:r>
                </w:p>
              </w:tc>
              <w:tc>
                <w:tcPr>
                  <w:tcW w:w="594" w:type="pct"/>
                  <w:noWrap w:val="0"/>
                  <w:vAlign w:val="center"/>
                </w:tcPr>
                <w:p w14:paraId="42981484">
                  <w:pPr>
                    <w:pStyle w:val="46"/>
                    <w:keepNext w:val="0"/>
                    <w:keepLines w:val="0"/>
                    <w:suppressLineNumbers w:val="0"/>
                    <w:bidi w:val="0"/>
                    <w:spacing w:before="0" w:beforeAutospacing="0" w:after="0" w:afterAutospacing="0"/>
                    <w:rPr>
                      <w:rFonts w:hint="default"/>
                      <w:lang w:val="en-US"/>
                    </w:rPr>
                  </w:pPr>
                  <w:r>
                    <w:rPr>
                      <w:rFonts w:hint="eastAsia"/>
                      <w:lang w:val="en-US" w:eastAsia="zh-CN"/>
                    </w:rPr>
                    <w:t>65</w:t>
                  </w:r>
                </w:p>
              </w:tc>
              <w:tc>
                <w:tcPr>
                  <w:tcW w:w="789" w:type="pct"/>
                  <w:noWrap w:val="0"/>
                  <w:vAlign w:val="center"/>
                </w:tcPr>
                <w:p w14:paraId="0DA1FD1B">
                  <w:pPr>
                    <w:pStyle w:val="46"/>
                    <w:keepNext w:val="0"/>
                    <w:keepLines w:val="0"/>
                    <w:suppressLineNumbers w:val="0"/>
                    <w:bidi w:val="0"/>
                    <w:spacing w:before="0" w:beforeAutospacing="0" w:after="0" w:afterAutospacing="0"/>
                    <w:rPr>
                      <w:rFonts w:hint="default"/>
                      <w:lang w:val="en-US" w:eastAsia="zh-CN"/>
                    </w:rPr>
                  </w:pPr>
                  <w:r>
                    <w:rPr>
                      <w:rFonts w:hint="eastAsia"/>
                      <w:lang w:val="en-US" w:eastAsia="zh-CN"/>
                    </w:rPr>
                    <w:t>70</w:t>
                  </w:r>
                </w:p>
              </w:tc>
              <w:tc>
                <w:tcPr>
                  <w:tcW w:w="927" w:type="pct"/>
                  <w:noWrap w:val="0"/>
                  <w:vAlign w:val="center"/>
                </w:tcPr>
                <w:p w14:paraId="1EB5D7C8">
                  <w:pPr>
                    <w:pStyle w:val="46"/>
                    <w:keepNext w:val="0"/>
                    <w:keepLines w:val="0"/>
                    <w:suppressLineNumbers w:val="0"/>
                    <w:bidi w:val="0"/>
                    <w:spacing w:before="0" w:beforeAutospacing="0" w:after="0" w:afterAutospacing="0"/>
                    <w:rPr>
                      <w:rFonts w:hint="default"/>
                    </w:rPr>
                  </w:pPr>
                  <w:r>
                    <w:rPr>
                      <w:rFonts w:hint="eastAsia"/>
                    </w:rPr>
                    <w:t>是</w:t>
                  </w:r>
                </w:p>
              </w:tc>
              <w:tc>
                <w:tcPr>
                  <w:tcW w:w="935" w:type="pct"/>
                  <w:noWrap w:val="0"/>
                  <w:vAlign w:val="center"/>
                </w:tcPr>
                <w:p w14:paraId="2C7259D9">
                  <w:pPr>
                    <w:pStyle w:val="46"/>
                    <w:keepNext w:val="0"/>
                    <w:keepLines w:val="0"/>
                    <w:suppressLineNumbers w:val="0"/>
                    <w:bidi w:val="0"/>
                    <w:spacing w:before="0" w:beforeAutospacing="0" w:after="0" w:afterAutospacing="0"/>
                    <w:rPr>
                      <w:rFonts w:hint="default"/>
                      <w:lang w:val="en-US" w:eastAsia="zh-CN"/>
                    </w:rPr>
                  </w:pPr>
                  <w:r>
                    <w:rPr>
                      <w:rFonts w:hint="eastAsia"/>
                      <w:lang w:val="en-US" w:eastAsia="zh-CN"/>
                    </w:rPr>
                    <w:t>92.9</w:t>
                  </w:r>
                </w:p>
              </w:tc>
            </w:tr>
            <w:tr w14:paraId="0A4BC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733" w:type="pct"/>
                  <w:vMerge w:val="continue"/>
                  <w:noWrap w:val="0"/>
                  <w:vAlign w:val="center"/>
                </w:tcPr>
                <w:p w14:paraId="3241A0C3">
                  <w:pPr>
                    <w:pStyle w:val="46"/>
                    <w:keepNext w:val="0"/>
                    <w:keepLines w:val="0"/>
                    <w:suppressLineNumbers w:val="0"/>
                    <w:bidi w:val="0"/>
                    <w:spacing w:before="0" w:beforeAutospacing="0" w:after="0" w:afterAutospacing="0"/>
                    <w:rPr>
                      <w:rFonts w:hint="eastAsia"/>
                    </w:rPr>
                  </w:pPr>
                </w:p>
              </w:tc>
              <w:tc>
                <w:tcPr>
                  <w:tcW w:w="1020" w:type="pct"/>
                  <w:noWrap w:val="0"/>
                  <w:vAlign w:val="center"/>
                </w:tcPr>
                <w:p w14:paraId="64B10877">
                  <w:pPr>
                    <w:pStyle w:val="46"/>
                    <w:keepNext w:val="0"/>
                    <w:keepLines w:val="0"/>
                    <w:suppressLineNumbers w:val="0"/>
                    <w:bidi w:val="0"/>
                    <w:spacing w:before="0" w:beforeAutospacing="0" w:after="0" w:afterAutospacing="0"/>
                    <w:rPr>
                      <w:rFonts w:hint="default"/>
                    </w:rPr>
                  </w:pPr>
                  <w:r>
                    <w:rPr>
                      <w:rFonts w:hint="default"/>
                      <w:lang w:val="en" w:eastAsia="zh-CN"/>
                    </w:rPr>
                    <w:t>PM</w:t>
                  </w:r>
                  <w:r>
                    <w:rPr>
                      <w:rFonts w:hint="default"/>
                      <w:vertAlign w:val="subscript"/>
                      <w:lang w:val="en" w:eastAsia="zh-CN"/>
                    </w:rPr>
                    <w:t>2.5</w:t>
                  </w:r>
                  <w:r>
                    <w:rPr>
                      <w:rFonts w:hint="eastAsia"/>
                    </w:rPr>
                    <w:t>(</w:t>
                  </w:r>
                  <w:r>
                    <w:rPr>
                      <w:rFonts w:hint="default"/>
                      <w:lang w:eastAsia="zh-CN"/>
                    </w:rPr>
                    <w:t>μ</w:t>
                  </w:r>
                  <w:r>
                    <w:rPr>
                      <w:rFonts w:hint="eastAsia"/>
                      <w:lang w:eastAsia="zh-CN"/>
                    </w:rPr>
                    <w:t>g/</w:t>
                  </w:r>
                  <w:r>
                    <w:rPr>
                      <w:rFonts w:hint="eastAsia"/>
                      <w:lang w:val="en-US" w:eastAsia="zh-CN"/>
                    </w:rPr>
                    <w:t>m³</w:t>
                  </w:r>
                  <w:r>
                    <w:rPr>
                      <w:rFonts w:hint="eastAsia"/>
                    </w:rPr>
                    <w:t>)</w:t>
                  </w:r>
                </w:p>
              </w:tc>
              <w:tc>
                <w:tcPr>
                  <w:tcW w:w="594" w:type="pct"/>
                  <w:noWrap w:val="0"/>
                  <w:vAlign w:val="center"/>
                </w:tcPr>
                <w:p w14:paraId="5BB5B843">
                  <w:pPr>
                    <w:pStyle w:val="46"/>
                    <w:keepNext w:val="0"/>
                    <w:keepLines w:val="0"/>
                    <w:suppressLineNumbers w:val="0"/>
                    <w:bidi w:val="0"/>
                    <w:spacing w:before="0" w:beforeAutospacing="0" w:after="0" w:afterAutospacing="0"/>
                    <w:rPr>
                      <w:rFonts w:hint="default"/>
                      <w:lang w:val="en-US"/>
                    </w:rPr>
                  </w:pPr>
                  <w:r>
                    <w:rPr>
                      <w:rFonts w:hint="eastAsia"/>
                      <w:lang w:val="en-US" w:eastAsia="zh-CN"/>
                    </w:rPr>
                    <w:t>40</w:t>
                  </w:r>
                </w:p>
              </w:tc>
              <w:tc>
                <w:tcPr>
                  <w:tcW w:w="789" w:type="pct"/>
                  <w:noWrap w:val="0"/>
                  <w:vAlign w:val="center"/>
                </w:tcPr>
                <w:p w14:paraId="7FB7C15F">
                  <w:pPr>
                    <w:pStyle w:val="46"/>
                    <w:keepNext w:val="0"/>
                    <w:keepLines w:val="0"/>
                    <w:suppressLineNumbers w:val="0"/>
                    <w:bidi w:val="0"/>
                    <w:spacing w:before="0" w:beforeAutospacing="0" w:after="0" w:afterAutospacing="0"/>
                    <w:rPr>
                      <w:rFonts w:hint="default"/>
                      <w:lang w:val="en-US" w:eastAsia="zh-CN"/>
                    </w:rPr>
                  </w:pPr>
                  <w:r>
                    <w:rPr>
                      <w:rFonts w:hint="eastAsia"/>
                      <w:lang w:val="en-US" w:eastAsia="zh-CN"/>
                    </w:rPr>
                    <w:t>35</w:t>
                  </w:r>
                </w:p>
              </w:tc>
              <w:tc>
                <w:tcPr>
                  <w:tcW w:w="927" w:type="pct"/>
                  <w:noWrap w:val="0"/>
                  <w:vAlign w:val="center"/>
                </w:tcPr>
                <w:p w14:paraId="6C495DEE">
                  <w:pPr>
                    <w:pStyle w:val="46"/>
                    <w:keepNext w:val="0"/>
                    <w:keepLines w:val="0"/>
                    <w:suppressLineNumbers w:val="0"/>
                    <w:bidi w:val="0"/>
                    <w:spacing w:before="0" w:beforeAutospacing="0" w:after="0" w:afterAutospacing="0"/>
                    <w:rPr>
                      <w:rFonts w:hint="default"/>
                      <w:lang w:val="en-US" w:eastAsia="zh-CN"/>
                    </w:rPr>
                  </w:pPr>
                  <w:r>
                    <w:rPr>
                      <w:rFonts w:hint="eastAsia"/>
                      <w:lang w:val="en-US" w:eastAsia="zh-CN"/>
                    </w:rPr>
                    <w:t>否</w:t>
                  </w:r>
                </w:p>
              </w:tc>
              <w:tc>
                <w:tcPr>
                  <w:tcW w:w="935" w:type="pct"/>
                  <w:noWrap w:val="0"/>
                  <w:vAlign w:val="center"/>
                </w:tcPr>
                <w:p w14:paraId="31D01C98">
                  <w:pPr>
                    <w:pStyle w:val="46"/>
                    <w:keepNext w:val="0"/>
                    <w:keepLines w:val="0"/>
                    <w:suppressLineNumbers w:val="0"/>
                    <w:bidi w:val="0"/>
                    <w:spacing w:before="0" w:beforeAutospacing="0" w:after="0" w:afterAutospacing="0"/>
                    <w:rPr>
                      <w:rFonts w:hint="default"/>
                      <w:lang w:val="en-US"/>
                    </w:rPr>
                  </w:pPr>
                  <w:r>
                    <w:rPr>
                      <w:rFonts w:hint="eastAsia"/>
                      <w:lang w:val="en-US" w:eastAsia="zh-CN"/>
                    </w:rPr>
                    <w:t>114</w:t>
                  </w:r>
                </w:p>
              </w:tc>
            </w:tr>
            <w:tr w14:paraId="4BAAD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733" w:type="pct"/>
                  <w:vMerge w:val="continue"/>
                  <w:noWrap w:val="0"/>
                  <w:vAlign w:val="center"/>
                </w:tcPr>
                <w:p w14:paraId="0FD5FF9E">
                  <w:pPr>
                    <w:pStyle w:val="46"/>
                    <w:keepNext w:val="0"/>
                    <w:keepLines w:val="0"/>
                    <w:suppressLineNumbers w:val="0"/>
                    <w:bidi w:val="0"/>
                    <w:spacing w:before="0" w:beforeAutospacing="0" w:after="0" w:afterAutospacing="0"/>
                    <w:rPr>
                      <w:rFonts w:hint="eastAsia"/>
                    </w:rPr>
                  </w:pPr>
                </w:p>
              </w:tc>
              <w:tc>
                <w:tcPr>
                  <w:tcW w:w="1020" w:type="pct"/>
                  <w:noWrap w:val="0"/>
                  <w:vAlign w:val="center"/>
                </w:tcPr>
                <w:p w14:paraId="67158470">
                  <w:pPr>
                    <w:pStyle w:val="46"/>
                    <w:keepNext w:val="0"/>
                    <w:keepLines w:val="0"/>
                    <w:suppressLineNumbers w:val="0"/>
                    <w:bidi w:val="0"/>
                    <w:spacing w:before="0" w:beforeAutospacing="0" w:after="0" w:afterAutospacing="0"/>
                    <w:rPr>
                      <w:rFonts w:hint="eastAsia"/>
                    </w:rPr>
                  </w:pPr>
                  <w:r>
                    <w:rPr>
                      <w:rFonts w:hint="default"/>
                    </w:rPr>
                    <w:t>CO</w:t>
                  </w:r>
                  <w:r>
                    <w:rPr>
                      <w:rFonts w:hint="eastAsia"/>
                      <w:lang w:eastAsia="zh-CN"/>
                    </w:rPr>
                    <w:t>(</w:t>
                  </w:r>
                  <w:r>
                    <w:rPr>
                      <w:rFonts w:hint="eastAsia"/>
                    </w:rPr>
                    <w:t>mg/</w:t>
                  </w:r>
                  <w:r>
                    <w:rPr>
                      <w:rFonts w:hint="eastAsia"/>
                      <w:lang w:val="en-US" w:eastAsia="zh-CN"/>
                    </w:rPr>
                    <w:t>m³)</w:t>
                  </w:r>
                </w:p>
              </w:tc>
              <w:tc>
                <w:tcPr>
                  <w:tcW w:w="594" w:type="pct"/>
                  <w:noWrap w:val="0"/>
                  <w:vAlign w:val="center"/>
                </w:tcPr>
                <w:p w14:paraId="4321D16A">
                  <w:pPr>
                    <w:pStyle w:val="46"/>
                    <w:keepNext w:val="0"/>
                    <w:keepLines w:val="0"/>
                    <w:suppressLineNumbers w:val="0"/>
                    <w:bidi w:val="0"/>
                    <w:spacing w:before="0" w:beforeAutospacing="0" w:after="0" w:afterAutospacing="0"/>
                    <w:rPr>
                      <w:rFonts w:hint="default"/>
                      <w:lang w:val="en-US"/>
                    </w:rPr>
                  </w:pPr>
                  <w:r>
                    <w:rPr>
                      <w:rFonts w:hint="eastAsia"/>
                      <w:lang w:val="en-US" w:eastAsia="zh-CN"/>
                    </w:rPr>
                    <w:t>0.8</w:t>
                  </w:r>
                </w:p>
              </w:tc>
              <w:tc>
                <w:tcPr>
                  <w:tcW w:w="789" w:type="pct"/>
                  <w:noWrap w:val="0"/>
                  <w:vAlign w:val="center"/>
                </w:tcPr>
                <w:p w14:paraId="247076F2">
                  <w:pPr>
                    <w:pStyle w:val="46"/>
                    <w:keepNext w:val="0"/>
                    <w:keepLines w:val="0"/>
                    <w:suppressLineNumbers w:val="0"/>
                    <w:bidi w:val="0"/>
                    <w:spacing w:before="0" w:beforeAutospacing="0" w:after="0" w:afterAutospacing="0"/>
                    <w:rPr>
                      <w:rFonts w:hint="default"/>
                    </w:rPr>
                  </w:pPr>
                  <w:r>
                    <w:rPr>
                      <w:rFonts w:hint="eastAsia"/>
                    </w:rPr>
                    <w:t>4</w:t>
                  </w:r>
                </w:p>
              </w:tc>
              <w:tc>
                <w:tcPr>
                  <w:tcW w:w="927" w:type="pct"/>
                  <w:noWrap w:val="0"/>
                  <w:vAlign w:val="center"/>
                </w:tcPr>
                <w:p w14:paraId="49F66D1E">
                  <w:pPr>
                    <w:pStyle w:val="46"/>
                    <w:keepNext w:val="0"/>
                    <w:keepLines w:val="0"/>
                    <w:suppressLineNumbers w:val="0"/>
                    <w:bidi w:val="0"/>
                    <w:spacing w:before="0" w:beforeAutospacing="0" w:after="0" w:afterAutospacing="0"/>
                    <w:rPr>
                      <w:rFonts w:hint="eastAsia"/>
                    </w:rPr>
                  </w:pPr>
                  <w:r>
                    <w:rPr>
                      <w:rFonts w:hint="eastAsia"/>
                    </w:rPr>
                    <w:t>是</w:t>
                  </w:r>
                </w:p>
              </w:tc>
              <w:tc>
                <w:tcPr>
                  <w:tcW w:w="935" w:type="pct"/>
                  <w:noWrap w:val="0"/>
                  <w:vAlign w:val="center"/>
                </w:tcPr>
                <w:p w14:paraId="2A2C7C58">
                  <w:pPr>
                    <w:pStyle w:val="46"/>
                    <w:keepNext w:val="0"/>
                    <w:keepLines w:val="0"/>
                    <w:suppressLineNumbers w:val="0"/>
                    <w:bidi w:val="0"/>
                    <w:spacing w:before="0" w:beforeAutospacing="0" w:after="0" w:afterAutospacing="0"/>
                    <w:rPr>
                      <w:rFonts w:hint="default"/>
                      <w:lang w:val="en-US" w:eastAsia="zh-CN"/>
                    </w:rPr>
                  </w:pPr>
                  <w:r>
                    <w:rPr>
                      <w:rFonts w:hint="eastAsia"/>
                      <w:lang w:val="en-US" w:eastAsia="zh-CN"/>
                    </w:rPr>
                    <w:t>20</w:t>
                  </w:r>
                </w:p>
              </w:tc>
            </w:tr>
            <w:tr w14:paraId="548F5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733" w:type="pct"/>
                  <w:vMerge w:val="continue"/>
                  <w:noWrap w:val="0"/>
                  <w:vAlign w:val="center"/>
                </w:tcPr>
                <w:p w14:paraId="6F3B7012">
                  <w:pPr>
                    <w:pStyle w:val="46"/>
                    <w:keepNext w:val="0"/>
                    <w:keepLines w:val="0"/>
                    <w:suppressLineNumbers w:val="0"/>
                    <w:bidi w:val="0"/>
                    <w:spacing w:before="0" w:beforeAutospacing="0" w:after="0" w:afterAutospacing="0"/>
                    <w:rPr>
                      <w:rFonts w:hint="eastAsia"/>
                    </w:rPr>
                  </w:pPr>
                </w:p>
              </w:tc>
              <w:tc>
                <w:tcPr>
                  <w:tcW w:w="1020" w:type="pct"/>
                  <w:noWrap w:val="0"/>
                  <w:vAlign w:val="center"/>
                </w:tcPr>
                <w:p w14:paraId="0ED84788">
                  <w:pPr>
                    <w:pStyle w:val="46"/>
                    <w:keepNext w:val="0"/>
                    <w:keepLines w:val="0"/>
                    <w:suppressLineNumbers w:val="0"/>
                    <w:bidi w:val="0"/>
                    <w:spacing w:before="0" w:beforeAutospacing="0" w:after="0" w:afterAutospacing="0"/>
                    <w:rPr>
                      <w:rFonts w:hint="default"/>
                    </w:rPr>
                  </w:pPr>
                  <w:r>
                    <w:rPr>
                      <w:rFonts w:hint="default"/>
                    </w:rPr>
                    <w:t>O</w:t>
                  </w:r>
                  <w:r>
                    <w:rPr>
                      <w:rFonts w:hint="default"/>
                      <w:vertAlign w:val="subscript"/>
                    </w:rPr>
                    <w:t>3</w:t>
                  </w:r>
                  <w:r>
                    <w:rPr>
                      <w:rFonts w:hint="eastAsia"/>
                    </w:rPr>
                    <w:t>(</w:t>
                  </w:r>
                  <w:r>
                    <w:rPr>
                      <w:rFonts w:hint="default"/>
                      <w:lang w:eastAsia="zh-CN"/>
                    </w:rPr>
                    <w:t>μ</w:t>
                  </w:r>
                  <w:r>
                    <w:rPr>
                      <w:rFonts w:hint="eastAsia"/>
                      <w:lang w:eastAsia="zh-CN"/>
                    </w:rPr>
                    <w:t>g/</w:t>
                  </w:r>
                  <w:r>
                    <w:rPr>
                      <w:rFonts w:hint="eastAsia"/>
                      <w:lang w:val="en-US" w:eastAsia="zh-CN"/>
                    </w:rPr>
                    <w:t>m³</w:t>
                  </w:r>
                  <w:r>
                    <w:rPr>
                      <w:rFonts w:hint="eastAsia"/>
                    </w:rPr>
                    <w:t>)</w:t>
                  </w:r>
                </w:p>
              </w:tc>
              <w:tc>
                <w:tcPr>
                  <w:tcW w:w="594" w:type="pct"/>
                  <w:noWrap w:val="0"/>
                  <w:vAlign w:val="center"/>
                </w:tcPr>
                <w:p w14:paraId="7C7954A3">
                  <w:pPr>
                    <w:pStyle w:val="46"/>
                    <w:keepNext w:val="0"/>
                    <w:keepLines w:val="0"/>
                    <w:suppressLineNumbers w:val="0"/>
                    <w:bidi w:val="0"/>
                    <w:spacing w:before="0" w:beforeAutospacing="0" w:after="0" w:afterAutospacing="0"/>
                    <w:rPr>
                      <w:rFonts w:hint="default"/>
                      <w:lang w:val="en-US"/>
                    </w:rPr>
                  </w:pPr>
                  <w:r>
                    <w:rPr>
                      <w:rFonts w:hint="eastAsia"/>
                      <w:lang w:val="en-US" w:eastAsia="zh-CN"/>
                    </w:rPr>
                    <w:t>160</w:t>
                  </w:r>
                </w:p>
              </w:tc>
              <w:tc>
                <w:tcPr>
                  <w:tcW w:w="789" w:type="pct"/>
                  <w:noWrap w:val="0"/>
                  <w:vAlign w:val="center"/>
                </w:tcPr>
                <w:p w14:paraId="7F68A042">
                  <w:pPr>
                    <w:pStyle w:val="46"/>
                    <w:keepNext w:val="0"/>
                    <w:keepLines w:val="0"/>
                    <w:suppressLineNumbers w:val="0"/>
                    <w:bidi w:val="0"/>
                    <w:spacing w:before="0" w:beforeAutospacing="0" w:after="0" w:afterAutospacing="0"/>
                    <w:rPr>
                      <w:rFonts w:hint="default"/>
                    </w:rPr>
                  </w:pPr>
                  <w:r>
                    <w:rPr>
                      <w:rFonts w:hint="eastAsia"/>
                    </w:rPr>
                    <w:t>160</w:t>
                  </w:r>
                </w:p>
              </w:tc>
              <w:tc>
                <w:tcPr>
                  <w:tcW w:w="927" w:type="pct"/>
                  <w:noWrap w:val="0"/>
                  <w:vAlign w:val="center"/>
                </w:tcPr>
                <w:p w14:paraId="00529318">
                  <w:pPr>
                    <w:pStyle w:val="46"/>
                    <w:keepNext w:val="0"/>
                    <w:keepLines w:val="0"/>
                    <w:suppressLineNumbers w:val="0"/>
                    <w:bidi w:val="0"/>
                    <w:spacing w:before="0" w:beforeAutospacing="0" w:after="0" w:afterAutospacing="0"/>
                    <w:rPr>
                      <w:rFonts w:hint="default"/>
                    </w:rPr>
                  </w:pPr>
                  <w:r>
                    <w:rPr>
                      <w:rFonts w:hint="eastAsia"/>
                    </w:rPr>
                    <w:t>是</w:t>
                  </w:r>
                </w:p>
              </w:tc>
              <w:tc>
                <w:tcPr>
                  <w:tcW w:w="935" w:type="pct"/>
                  <w:noWrap w:val="0"/>
                  <w:vAlign w:val="center"/>
                </w:tcPr>
                <w:p w14:paraId="6B296C1A">
                  <w:pPr>
                    <w:pStyle w:val="46"/>
                    <w:keepNext w:val="0"/>
                    <w:keepLines w:val="0"/>
                    <w:suppressLineNumbers w:val="0"/>
                    <w:bidi w:val="0"/>
                    <w:spacing w:before="0" w:beforeAutospacing="0" w:after="0" w:afterAutospacing="0"/>
                    <w:rPr>
                      <w:rFonts w:hint="default"/>
                      <w:lang w:val="en-US"/>
                    </w:rPr>
                  </w:pPr>
                  <w:r>
                    <w:rPr>
                      <w:rFonts w:hint="eastAsia"/>
                      <w:lang w:val="en-US" w:eastAsia="zh-CN"/>
                    </w:rPr>
                    <w:t>100</w:t>
                  </w:r>
                </w:p>
              </w:tc>
            </w:tr>
          </w:tbl>
          <w:p w14:paraId="2520A07F">
            <w:pPr>
              <w:keepNext w:val="0"/>
              <w:keepLines w:val="0"/>
              <w:suppressLineNumbers w:val="0"/>
              <w:spacing w:before="0" w:beforeAutospacing="0" w:after="0" w:afterAutospacing="0"/>
              <w:ind w:left="0" w:right="0" w:firstLine="482"/>
              <w:rPr>
                <w:rFonts w:hint="default"/>
                <w:b/>
                <w:bCs/>
                <w:color w:val="auto"/>
              </w:rPr>
            </w:pPr>
            <w:r>
              <w:rPr>
                <w:rFonts w:hint="eastAsia"/>
                <w:b/>
                <w:bCs/>
                <w:color w:val="auto"/>
              </w:rPr>
              <w:t>（2）其他污染物</w:t>
            </w:r>
          </w:p>
          <w:p w14:paraId="7838FB0F">
            <w:pPr>
              <w:keepNext w:val="0"/>
              <w:keepLines w:val="0"/>
              <w:widowControl/>
              <w:suppressLineNumbers w:val="0"/>
              <w:spacing w:before="0" w:beforeAutospacing="0" w:after="0" w:afterAutospacing="0"/>
              <w:ind w:left="0" w:right="0" w:firstLine="480"/>
              <w:rPr>
                <w:rFonts w:hint="eastAsia" w:ascii="Times New Roman" w:hAnsi="Times New Roman" w:cs="Times New Roman"/>
                <w:color w:val="auto"/>
                <w:sz w:val="24"/>
                <w:szCs w:val="24"/>
                <w:lang w:val="en-US" w:eastAsia="zh-CN" w:bidi="ar"/>
              </w:rPr>
            </w:pPr>
            <w:r>
              <w:rPr>
                <w:rFonts w:hint="eastAsia"/>
                <w:color w:val="auto"/>
              </w:rPr>
              <w:t>根据本项目工程分析可知，本项目特征污染物为</w:t>
            </w:r>
            <w:r>
              <w:rPr>
                <w:rFonts w:hint="eastAsia"/>
                <w:color w:val="auto"/>
                <w:lang w:val="en-US" w:eastAsia="zh-CN"/>
              </w:rPr>
              <w:t>颗粒物</w:t>
            </w:r>
            <w:r>
              <w:rPr>
                <w:rFonts w:hint="eastAsia"/>
                <w:color w:val="auto"/>
              </w:rPr>
              <w:t>。</w:t>
            </w:r>
            <w:r>
              <w:rPr>
                <w:rFonts w:hint="eastAsia"/>
                <w:color w:val="auto"/>
                <w:highlight w:val="none"/>
                <w:lang w:val="en-US" w:eastAsia="zh-CN"/>
              </w:rPr>
              <w:t>项目区域</w:t>
            </w:r>
            <w:r>
              <w:rPr>
                <w:rFonts w:hint="eastAsia"/>
                <w:color w:val="auto"/>
                <w:highlight w:val="none"/>
              </w:rPr>
              <w:t>环境空气质量</w:t>
            </w:r>
            <w:r>
              <w:rPr>
                <w:rFonts w:hint="eastAsia"/>
                <w:color w:val="auto"/>
                <w:highlight w:val="none"/>
                <w:lang w:val="en-US" w:eastAsia="zh-CN"/>
              </w:rPr>
              <w:t>TSP</w:t>
            </w:r>
            <w:r>
              <w:rPr>
                <w:rFonts w:hint="eastAsia"/>
                <w:color w:val="auto"/>
                <w:highlight w:val="none"/>
              </w:rPr>
              <w:t>数据</w:t>
            </w:r>
            <w:r>
              <w:rPr>
                <w:rFonts w:hint="eastAsia"/>
                <w:color w:val="auto"/>
                <w:highlight w:val="none"/>
                <w:lang w:val="en-US" w:eastAsia="zh-CN"/>
              </w:rPr>
              <w:t>引</w:t>
            </w:r>
            <w:r>
              <w:rPr>
                <w:rFonts w:hint="eastAsia" w:ascii="Times New Roman" w:hAnsi="Times New Roman" w:eastAsia="宋体" w:cs="Times New Roman"/>
                <w:color w:val="auto"/>
                <w:lang w:val="en-US" w:eastAsia="zh-CN"/>
              </w:rPr>
              <w:t>用《淮南荣基再生资源有限公司年处理10万吨铝塑综合利用项目环境影响报告表》现状监测数据，监测点位为孟岗村，距离本项目东侧约193.5m，监测时间为2024年</w:t>
            </w:r>
            <w:r>
              <w:rPr>
                <w:rFonts w:hint="eastAsia" w:cs="Times New Roman"/>
                <w:color w:val="auto"/>
                <w:sz w:val="24"/>
                <w:szCs w:val="24"/>
                <w:lang w:val="en-US" w:eastAsia="zh-CN" w:bidi="ar"/>
              </w:rPr>
              <w:t>5</w:t>
            </w:r>
            <w:r>
              <w:rPr>
                <w:rFonts w:hint="default" w:ascii="Times New Roman" w:hAnsi="Times New Roman" w:eastAsia="宋体" w:cs="Times New Roman"/>
                <w:color w:val="auto"/>
                <w:sz w:val="24"/>
                <w:szCs w:val="24"/>
                <w:lang w:bidi="ar"/>
              </w:rPr>
              <w:t>月</w:t>
            </w:r>
            <w:r>
              <w:rPr>
                <w:rFonts w:hint="default" w:ascii="Times New Roman" w:hAnsi="Times New Roman" w:cs="Times New Roman"/>
                <w:color w:val="auto"/>
                <w:sz w:val="24"/>
                <w:szCs w:val="24"/>
                <w:lang w:val="en-US" w:eastAsia="zh-CN" w:bidi="ar"/>
              </w:rPr>
              <w:t>2</w:t>
            </w:r>
            <w:r>
              <w:rPr>
                <w:rFonts w:hint="eastAsia" w:cs="Times New Roman"/>
                <w:color w:val="auto"/>
                <w:sz w:val="24"/>
                <w:szCs w:val="24"/>
                <w:lang w:val="en-US" w:eastAsia="zh-CN" w:bidi="ar"/>
              </w:rPr>
              <w:t>4</w:t>
            </w:r>
            <w:r>
              <w:rPr>
                <w:rFonts w:hint="default" w:ascii="Times New Roman" w:hAnsi="Times New Roman" w:eastAsia="宋体" w:cs="Times New Roman"/>
                <w:color w:val="auto"/>
                <w:sz w:val="24"/>
                <w:szCs w:val="24"/>
                <w:lang w:bidi="ar"/>
              </w:rPr>
              <w:t>日</w:t>
            </w:r>
            <w:r>
              <w:rPr>
                <w:rFonts w:hint="eastAsia" w:cs="Times New Roman"/>
                <w:color w:val="auto"/>
                <w:sz w:val="24"/>
                <w:szCs w:val="24"/>
                <w:lang w:eastAsia="zh-CN" w:bidi="ar"/>
              </w:rPr>
              <w:t>—</w:t>
            </w:r>
            <w:r>
              <w:rPr>
                <w:rFonts w:hint="eastAsia" w:cs="Times New Roman"/>
                <w:color w:val="auto"/>
                <w:sz w:val="24"/>
                <w:szCs w:val="24"/>
                <w:lang w:val="en-US" w:eastAsia="zh-CN" w:bidi="ar"/>
              </w:rPr>
              <w:t>26</w:t>
            </w:r>
            <w:r>
              <w:rPr>
                <w:rFonts w:hint="default" w:ascii="Times New Roman" w:hAnsi="Times New Roman" w:eastAsia="宋体" w:cs="Times New Roman"/>
                <w:color w:val="auto"/>
                <w:sz w:val="24"/>
                <w:szCs w:val="24"/>
                <w:lang w:bidi="ar"/>
              </w:rPr>
              <w:t>日</w:t>
            </w:r>
            <w:r>
              <w:rPr>
                <w:rFonts w:hint="eastAsia" w:ascii="Times New Roman" w:hAnsi="Times New Roman" w:cs="Times New Roman"/>
                <w:color w:val="auto"/>
                <w:sz w:val="24"/>
                <w:szCs w:val="24"/>
                <w:lang w:eastAsia="zh-CN" w:bidi="ar"/>
              </w:rPr>
              <w:t>，</w:t>
            </w:r>
            <w:r>
              <w:rPr>
                <w:rFonts w:hint="eastAsia" w:ascii="Times New Roman" w:hAnsi="Times New Roman" w:cs="Times New Roman"/>
                <w:color w:val="auto"/>
                <w:sz w:val="24"/>
                <w:szCs w:val="24"/>
                <w:lang w:val="en-US" w:eastAsia="zh-CN" w:bidi="ar"/>
              </w:rPr>
              <w:t>引用监测数据有效，监测点位与项目相对位置见下图，监测结果见下表。</w:t>
            </w:r>
          </w:p>
          <w:p w14:paraId="49278383">
            <w:pPr>
              <w:pStyle w:val="47"/>
              <w:keepNext w:val="0"/>
              <w:keepLines w:val="0"/>
              <w:suppressLineNumbers w:val="0"/>
              <w:bidi w:val="0"/>
              <w:spacing w:before="0" w:beforeAutospacing="0" w:after="0" w:afterAutospacing="0"/>
              <w:ind w:left="0" w:right="0"/>
              <w:rPr>
                <w:rFonts w:hint="default"/>
              </w:rPr>
            </w:pPr>
            <w:r>
              <w:rPr>
                <w:rFonts w:hint="eastAsia"/>
              </w:rPr>
              <w:t xml:space="preserve">表3-2 </w:t>
            </w:r>
            <w:r>
              <w:rPr>
                <w:rFonts w:hint="eastAsia"/>
                <w:lang w:val="en-US" w:eastAsia="zh-CN"/>
              </w:rPr>
              <w:t xml:space="preserve"> </w:t>
            </w:r>
            <w:r>
              <w:rPr>
                <w:rFonts w:hint="eastAsia"/>
              </w:rPr>
              <w:t>环境空气现状检测结果统计表</w:t>
            </w:r>
          </w:p>
          <w:tbl>
            <w:tblPr>
              <w:tblStyle w:val="1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2"/>
              <w:gridCol w:w="810"/>
              <w:gridCol w:w="761"/>
              <w:gridCol w:w="1105"/>
              <w:gridCol w:w="1699"/>
              <w:gridCol w:w="1650"/>
              <w:gridCol w:w="761"/>
              <w:gridCol w:w="945"/>
            </w:tblGrid>
            <w:tr w14:paraId="203D5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421" w:type="pct"/>
                  <w:noWrap/>
                  <w:vAlign w:val="center"/>
                </w:tcPr>
                <w:p w14:paraId="43A52132">
                  <w:pPr>
                    <w:pStyle w:val="61"/>
                    <w:keepNext w:val="0"/>
                    <w:keepLines w:val="0"/>
                    <w:suppressLineNumbers w:val="0"/>
                    <w:bidi w:val="0"/>
                    <w:spacing w:before="0" w:beforeAutospacing="0" w:after="0" w:afterAutospacing="0"/>
                    <w:ind w:left="0" w:right="0"/>
                    <w:rPr>
                      <w:rFonts w:hint="default"/>
                    </w:rPr>
                  </w:pPr>
                  <w:r>
                    <w:rPr>
                      <w:rFonts w:hint="default"/>
                    </w:rPr>
                    <w:t>监测</w:t>
                  </w:r>
                </w:p>
                <w:p w14:paraId="6CF25EDD">
                  <w:pPr>
                    <w:pStyle w:val="61"/>
                    <w:keepNext w:val="0"/>
                    <w:keepLines w:val="0"/>
                    <w:suppressLineNumbers w:val="0"/>
                    <w:bidi w:val="0"/>
                    <w:spacing w:before="0" w:beforeAutospacing="0" w:after="0" w:afterAutospacing="0"/>
                    <w:ind w:left="0" w:right="0"/>
                    <w:rPr>
                      <w:rFonts w:hint="default"/>
                    </w:rPr>
                  </w:pPr>
                  <w:r>
                    <w:rPr>
                      <w:rFonts w:hint="default"/>
                    </w:rPr>
                    <w:t>因子</w:t>
                  </w:r>
                </w:p>
              </w:tc>
              <w:tc>
                <w:tcPr>
                  <w:tcW w:w="479" w:type="pct"/>
                  <w:noWrap/>
                  <w:vAlign w:val="center"/>
                </w:tcPr>
                <w:p w14:paraId="7D1982C0">
                  <w:pPr>
                    <w:pStyle w:val="61"/>
                    <w:keepNext w:val="0"/>
                    <w:keepLines w:val="0"/>
                    <w:suppressLineNumbers w:val="0"/>
                    <w:bidi w:val="0"/>
                    <w:spacing w:before="0" w:beforeAutospacing="0" w:after="0" w:afterAutospacing="0"/>
                    <w:ind w:left="0" w:right="0"/>
                    <w:rPr>
                      <w:rFonts w:hint="default"/>
                    </w:rPr>
                  </w:pPr>
                  <w:r>
                    <w:rPr>
                      <w:rFonts w:hint="eastAsia"/>
                    </w:rPr>
                    <w:t>监测点位</w:t>
                  </w:r>
                </w:p>
              </w:tc>
              <w:tc>
                <w:tcPr>
                  <w:tcW w:w="450" w:type="pct"/>
                  <w:noWrap/>
                  <w:vAlign w:val="center"/>
                </w:tcPr>
                <w:p w14:paraId="10C949D3">
                  <w:pPr>
                    <w:pStyle w:val="61"/>
                    <w:keepNext w:val="0"/>
                    <w:keepLines w:val="0"/>
                    <w:suppressLineNumbers w:val="0"/>
                    <w:bidi w:val="0"/>
                    <w:spacing w:before="0" w:beforeAutospacing="0" w:after="0" w:afterAutospacing="0"/>
                    <w:ind w:left="0" w:right="0"/>
                    <w:rPr>
                      <w:rFonts w:hint="default"/>
                    </w:rPr>
                  </w:pPr>
                  <w:r>
                    <w:rPr>
                      <w:rFonts w:hint="eastAsia"/>
                    </w:rPr>
                    <w:t>平均</w:t>
                  </w:r>
                </w:p>
                <w:p w14:paraId="25D6A9AA">
                  <w:pPr>
                    <w:pStyle w:val="61"/>
                    <w:keepNext w:val="0"/>
                    <w:keepLines w:val="0"/>
                    <w:suppressLineNumbers w:val="0"/>
                    <w:bidi w:val="0"/>
                    <w:spacing w:before="0" w:beforeAutospacing="0" w:after="0" w:afterAutospacing="0"/>
                    <w:ind w:left="0" w:right="0"/>
                    <w:rPr>
                      <w:rFonts w:hint="default"/>
                    </w:rPr>
                  </w:pPr>
                  <w:r>
                    <w:rPr>
                      <w:rFonts w:hint="eastAsia"/>
                    </w:rPr>
                    <w:t>时间</w:t>
                  </w:r>
                </w:p>
              </w:tc>
              <w:tc>
                <w:tcPr>
                  <w:tcW w:w="654" w:type="pct"/>
                  <w:noWrap/>
                  <w:vAlign w:val="center"/>
                </w:tcPr>
                <w:p w14:paraId="243C3168">
                  <w:pPr>
                    <w:pStyle w:val="61"/>
                    <w:keepNext w:val="0"/>
                    <w:keepLines w:val="0"/>
                    <w:suppressLineNumbers w:val="0"/>
                    <w:bidi w:val="0"/>
                    <w:spacing w:before="0" w:beforeAutospacing="0" w:after="0" w:afterAutospacing="0"/>
                    <w:ind w:left="0" w:right="0"/>
                    <w:rPr>
                      <w:rFonts w:hint="default"/>
                    </w:rPr>
                  </w:pPr>
                  <w:r>
                    <w:rPr>
                      <w:rFonts w:hint="eastAsia"/>
                    </w:rPr>
                    <w:t>评价</w:t>
                  </w:r>
                </w:p>
                <w:p w14:paraId="54BF7B77">
                  <w:pPr>
                    <w:pStyle w:val="61"/>
                    <w:keepNext w:val="0"/>
                    <w:keepLines w:val="0"/>
                    <w:suppressLineNumbers w:val="0"/>
                    <w:bidi w:val="0"/>
                    <w:spacing w:before="0" w:beforeAutospacing="0" w:after="0" w:afterAutospacing="0"/>
                    <w:ind w:left="0" w:right="0"/>
                    <w:rPr>
                      <w:rFonts w:hint="default"/>
                    </w:rPr>
                  </w:pPr>
                  <w:r>
                    <w:rPr>
                      <w:rFonts w:hint="eastAsia"/>
                    </w:rPr>
                    <w:t>标准</w:t>
                  </w:r>
                </w:p>
              </w:tc>
              <w:tc>
                <w:tcPr>
                  <w:tcW w:w="1006" w:type="pct"/>
                  <w:noWrap/>
                  <w:vAlign w:val="center"/>
                </w:tcPr>
                <w:p w14:paraId="43EB5FCD">
                  <w:pPr>
                    <w:pStyle w:val="61"/>
                    <w:keepNext w:val="0"/>
                    <w:keepLines w:val="0"/>
                    <w:suppressLineNumbers w:val="0"/>
                    <w:bidi w:val="0"/>
                    <w:spacing w:before="0" w:beforeAutospacing="0" w:after="0" w:afterAutospacing="0"/>
                    <w:ind w:left="0" w:right="0"/>
                    <w:rPr>
                      <w:rFonts w:hint="default"/>
                    </w:rPr>
                  </w:pPr>
                  <w:r>
                    <w:rPr>
                      <w:rFonts w:hint="eastAsia"/>
                    </w:rPr>
                    <w:t>监测浓度范围</w:t>
                  </w:r>
                  <w:r>
                    <w:rPr>
                      <w:rFonts w:hint="eastAsia"/>
                      <w:lang w:val="en-US" w:eastAsia="zh-CN"/>
                    </w:rPr>
                    <w:t>m</w:t>
                  </w:r>
                  <w:r>
                    <w:rPr>
                      <w:rFonts w:hint="eastAsia"/>
                    </w:rPr>
                    <w:t>g</w:t>
                  </w:r>
                  <w:r>
                    <w:rPr>
                      <w:rFonts w:hint="default"/>
                    </w:rPr>
                    <w:t>/m³</w:t>
                  </w:r>
                </w:p>
              </w:tc>
              <w:tc>
                <w:tcPr>
                  <w:tcW w:w="977" w:type="pct"/>
                  <w:noWrap/>
                  <w:vAlign w:val="center"/>
                </w:tcPr>
                <w:p w14:paraId="2A5C42C2">
                  <w:pPr>
                    <w:pStyle w:val="61"/>
                    <w:keepNext w:val="0"/>
                    <w:keepLines w:val="0"/>
                    <w:suppressLineNumbers w:val="0"/>
                    <w:bidi w:val="0"/>
                    <w:spacing w:before="0" w:beforeAutospacing="0" w:after="0" w:afterAutospacing="0"/>
                    <w:ind w:left="0" w:right="0"/>
                    <w:rPr>
                      <w:rFonts w:hint="default"/>
                    </w:rPr>
                  </w:pPr>
                  <w:r>
                    <w:rPr>
                      <w:rFonts w:hint="eastAsia"/>
                    </w:rPr>
                    <w:t>最大浓度占标率%</w:t>
                  </w:r>
                </w:p>
              </w:tc>
              <w:tc>
                <w:tcPr>
                  <w:tcW w:w="450" w:type="pct"/>
                  <w:noWrap/>
                  <w:vAlign w:val="center"/>
                </w:tcPr>
                <w:p w14:paraId="4B7E4A07">
                  <w:pPr>
                    <w:pStyle w:val="61"/>
                    <w:keepNext w:val="0"/>
                    <w:keepLines w:val="0"/>
                    <w:suppressLineNumbers w:val="0"/>
                    <w:bidi w:val="0"/>
                    <w:spacing w:before="0" w:beforeAutospacing="0" w:after="0" w:afterAutospacing="0"/>
                    <w:ind w:left="0" w:right="0"/>
                    <w:rPr>
                      <w:rFonts w:hint="default"/>
                    </w:rPr>
                  </w:pPr>
                  <w:r>
                    <w:rPr>
                      <w:rFonts w:hint="eastAsia"/>
                    </w:rPr>
                    <w:t>超标率</w:t>
                  </w:r>
                </w:p>
              </w:tc>
              <w:tc>
                <w:tcPr>
                  <w:tcW w:w="559" w:type="pct"/>
                  <w:noWrap/>
                  <w:vAlign w:val="center"/>
                </w:tcPr>
                <w:p w14:paraId="1ED84719">
                  <w:pPr>
                    <w:pStyle w:val="61"/>
                    <w:keepNext w:val="0"/>
                    <w:keepLines w:val="0"/>
                    <w:suppressLineNumbers w:val="0"/>
                    <w:bidi w:val="0"/>
                    <w:spacing w:before="0" w:beforeAutospacing="0" w:after="0" w:afterAutospacing="0"/>
                    <w:ind w:left="0" w:right="0"/>
                    <w:rPr>
                      <w:rFonts w:hint="default"/>
                    </w:rPr>
                  </w:pPr>
                  <w:r>
                    <w:rPr>
                      <w:rFonts w:hint="eastAsia"/>
                    </w:rPr>
                    <w:t>达标情况</w:t>
                  </w:r>
                </w:p>
              </w:tc>
            </w:tr>
            <w:tr w14:paraId="4E2D5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8" w:hRule="atLeast"/>
                <w:jc w:val="center"/>
              </w:trPr>
              <w:tc>
                <w:tcPr>
                  <w:tcW w:w="421" w:type="pct"/>
                  <w:shd w:val="clear" w:color="auto" w:fill="auto"/>
                  <w:noWrap/>
                  <w:vAlign w:val="center"/>
                </w:tcPr>
                <w:p w14:paraId="793697A8">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TSP</w:t>
                  </w:r>
                </w:p>
              </w:tc>
              <w:tc>
                <w:tcPr>
                  <w:tcW w:w="479" w:type="pct"/>
                  <w:shd w:val="clear" w:color="auto" w:fill="auto"/>
                  <w:noWrap/>
                  <w:vAlign w:val="center"/>
                </w:tcPr>
                <w:p w14:paraId="4B23C085">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kern w:val="2"/>
                      <w:sz w:val="21"/>
                      <w:szCs w:val="24"/>
                      <w:lang w:val="en-US" w:eastAsia="zh-CN" w:bidi="ar-SA"/>
                    </w:rPr>
                  </w:pPr>
                  <w:r>
                    <w:rPr>
                      <w:rFonts w:hint="eastAsia" w:cs="Times New Roman"/>
                      <w:kern w:val="2"/>
                      <w:sz w:val="21"/>
                      <w:szCs w:val="24"/>
                      <w:lang w:val="en-US" w:eastAsia="zh-CN" w:bidi="ar-SA"/>
                    </w:rPr>
                    <w:t>孟岗村</w:t>
                  </w:r>
                </w:p>
              </w:tc>
              <w:tc>
                <w:tcPr>
                  <w:tcW w:w="450" w:type="pct"/>
                  <w:shd w:val="clear" w:color="auto" w:fill="auto"/>
                  <w:noWrap/>
                  <w:vAlign w:val="center"/>
                </w:tcPr>
                <w:p w14:paraId="6A03B889">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日均值</w:t>
                  </w:r>
                </w:p>
              </w:tc>
              <w:tc>
                <w:tcPr>
                  <w:tcW w:w="654" w:type="pct"/>
                  <w:shd w:val="clear" w:color="auto" w:fill="auto"/>
                  <w:noWrap/>
                  <w:vAlign w:val="center"/>
                </w:tcPr>
                <w:p w14:paraId="767D80AC">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0.3</w:t>
                  </w:r>
                  <w:r>
                    <w:rPr>
                      <w:rFonts w:hint="default"/>
                    </w:rPr>
                    <w:t>mg/</w:t>
                  </w:r>
                  <w:r>
                    <w:rPr>
                      <w:rFonts w:hint="eastAsia"/>
                      <w:lang w:val="en-US" w:eastAsia="zh-CN"/>
                    </w:rPr>
                    <w:t>m³</w:t>
                  </w:r>
                </w:p>
              </w:tc>
              <w:tc>
                <w:tcPr>
                  <w:tcW w:w="1006" w:type="pct"/>
                  <w:shd w:val="clear" w:color="auto" w:fill="auto"/>
                  <w:noWrap/>
                  <w:vAlign w:val="center"/>
                </w:tcPr>
                <w:p w14:paraId="7CF37729">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kern w:val="2"/>
                      <w:sz w:val="21"/>
                      <w:szCs w:val="24"/>
                      <w:highlight w:val="none"/>
                      <w:lang w:val="en-US" w:eastAsia="zh-CN" w:bidi="ar-SA"/>
                    </w:rPr>
                  </w:pPr>
                  <w:r>
                    <w:rPr>
                      <w:rFonts w:hint="eastAsia"/>
                      <w:highlight w:val="none"/>
                      <w:lang w:val="en-US" w:eastAsia="zh-CN"/>
                    </w:rPr>
                    <w:t>0.186-0.206</w:t>
                  </w:r>
                </w:p>
              </w:tc>
              <w:tc>
                <w:tcPr>
                  <w:tcW w:w="977" w:type="pct"/>
                  <w:shd w:val="clear" w:color="auto" w:fill="auto"/>
                  <w:noWrap/>
                  <w:vAlign w:val="center"/>
                </w:tcPr>
                <w:p w14:paraId="05443C4E">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kern w:val="2"/>
                      <w:sz w:val="21"/>
                      <w:szCs w:val="24"/>
                      <w:highlight w:val="none"/>
                      <w:lang w:val="en-US" w:eastAsia="zh-CN" w:bidi="ar-SA"/>
                    </w:rPr>
                  </w:pPr>
                  <w:r>
                    <w:rPr>
                      <w:rFonts w:hint="eastAsia"/>
                      <w:highlight w:val="none"/>
                      <w:lang w:val="en-US" w:eastAsia="zh-CN"/>
                    </w:rPr>
                    <w:t>69</w:t>
                  </w:r>
                </w:p>
              </w:tc>
              <w:tc>
                <w:tcPr>
                  <w:tcW w:w="450" w:type="pct"/>
                  <w:shd w:val="clear" w:color="auto" w:fill="auto"/>
                  <w:noWrap/>
                  <w:vAlign w:val="center"/>
                </w:tcPr>
                <w:p w14:paraId="41B7E8B7">
                  <w:pPr>
                    <w:pStyle w:val="61"/>
                    <w:keepNext w:val="0"/>
                    <w:keepLines w:val="0"/>
                    <w:suppressLineNumbers w:val="0"/>
                    <w:bidi w:val="0"/>
                    <w:spacing w:before="0" w:beforeAutospacing="0" w:after="0" w:afterAutospacing="0"/>
                    <w:ind w:left="0" w:right="0" w:firstLine="0" w:firstLineChars="0"/>
                    <w:rPr>
                      <w:rFonts w:hint="eastAsia" w:ascii="Times New Roman" w:hAnsi="Times New Roman" w:eastAsia="宋体" w:cs="Times New Roman"/>
                      <w:kern w:val="2"/>
                      <w:sz w:val="21"/>
                      <w:szCs w:val="24"/>
                      <w:lang w:val="en-US" w:eastAsia="zh-CN" w:bidi="ar-SA"/>
                    </w:rPr>
                  </w:pPr>
                  <w:r>
                    <w:rPr>
                      <w:rFonts w:hint="eastAsia"/>
                    </w:rPr>
                    <w:t>0</w:t>
                  </w:r>
                </w:p>
              </w:tc>
              <w:tc>
                <w:tcPr>
                  <w:tcW w:w="559" w:type="pct"/>
                  <w:shd w:val="clear" w:color="auto" w:fill="auto"/>
                  <w:noWrap/>
                  <w:vAlign w:val="center"/>
                </w:tcPr>
                <w:p w14:paraId="55AB3A43">
                  <w:pPr>
                    <w:pStyle w:val="61"/>
                    <w:keepNext w:val="0"/>
                    <w:keepLines w:val="0"/>
                    <w:suppressLineNumbers w:val="0"/>
                    <w:bidi w:val="0"/>
                    <w:spacing w:before="0" w:beforeAutospacing="0" w:after="0" w:afterAutospacing="0"/>
                    <w:ind w:left="0" w:right="0" w:firstLine="0" w:firstLineChars="0"/>
                    <w:rPr>
                      <w:rFonts w:hint="eastAsia" w:ascii="Times New Roman" w:hAnsi="Times New Roman" w:eastAsia="宋体" w:cs="Times New Roman"/>
                      <w:kern w:val="2"/>
                      <w:sz w:val="21"/>
                      <w:szCs w:val="24"/>
                      <w:lang w:val="en-US" w:eastAsia="zh-CN" w:bidi="ar-SA"/>
                    </w:rPr>
                  </w:pPr>
                  <w:r>
                    <w:rPr>
                      <w:rFonts w:hint="eastAsia"/>
                    </w:rPr>
                    <w:t>达标</w:t>
                  </w:r>
                </w:p>
              </w:tc>
            </w:tr>
          </w:tbl>
          <w:p w14:paraId="77B1A7A1">
            <w:pPr>
              <w:keepNext w:val="0"/>
              <w:keepLines w:val="0"/>
              <w:widowControl/>
              <w:suppressLineNumbers w:val="0"/>
              <w:spacing w:before="0" w:beforeAutospacing="0" w:after="0" w:afterAutospacing="0"/>
              <w:ind w:left="0" w:leftChars="0" w:right="0" w:firstLine="0" w:firstLineChars="0"/>
              <w:rPr>
                <w:rFonts w:hint="eastAsia" w:ascii="Times New Roman" w:hAnsi="Times New Roman" w:cs="Times New Roman"/>
                <w:color w:val="auto"/>
                <w:sz w:val="24"/>
                <w:szCs w:val="24"/>
                <w:lang w:val="en-US" w:eastAsia="zh-CN" w:bidi="ar"/>
              </w:rPr>
            </w:pPr>
            <w:r>
              <w:rPr>
                <w:rFonts w:hint="eastAsia" w:eastAsia="宋体"/>
                <w:color w:val="0000FF"/>
                <w:lang w:val="en-US" w:eastAsia="zh-CN"/>
              </w:rPr>
              <w:drawing>
                <wp:anchor distT="0" distB="0" distL="114300" distR="114300" simplePos="0" relativeHeight="251675648" behindDoc="0" locked="0" layoutInCell="1" allowOverlap="1">
                  <wp:simplePos x="0" y="0"/>
                  <wp:positionH relativeFrom="column">
                    <wp:posOffset>4963795</wp:posOffset>
                  </wp:positionH>
                  <wp:positionV relativeFrom="paragraph">
                    <wp:posOffset>319405</wp:posOffset>
                  </wp:positionV>
                  <wp:extent cx="465455" cy="516255"/>
                  <wp:effectExtent l="0" t="0" r="6985" b="1905"/>
                  <wp:wrapNone/>
                  <wp:docPr id="9" name="图片 108" descr="1f096c1b-a7f2-4202-9673-a5d2fe6a88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8" descr="1f096c1b-a7f2-4202-9673-a5d2fe6a88d4"/>
                          <pic:cNvPicPr>
                            <a:picLocks noChangeAspect="1"/>
                          </pic:cNvPicPr>
                        </pic:nvPicPr>
                        <pic:blipFill>
                          <a:blip r:embed="rId20"/>
                          <a:stretch>
                            <a:fillRect/>
                          </a:stretch>
                        </pic:blipFill>
                        <pic:spPr>
                          <a:xfrm>
                            <a:off x="0" y="0"/>
                            <a:ext cx="465455" cy="516255"/>
                          </a:xfrm>
                          <a:prstGeom prst="rect">
                            <a:avLst/>
                          </a:prstGeom>
                          <a:noFill/>
                          <a:ln>
                            <a:noFill/>
                          </a:ln>
                        </pic:spPr>
                      </pic:pic>
                    </a:graphicData>
                  </a:graphic>
                </wp:anchor>
              </w:drawing>
            </w:r>
          </w:p>
          <w:p w14:paraId="10B7F259">
            <w:pPr>
              <w:keepNext w:val="0"/>
              <w:keepLines w:val="0"/>
              <w:widowControl/>
              <w:suppressLineNumbers w:val="0"/>
              <w:spacing w:before="0" w:beforeAutospacing="0" w:after="0" w:afterAutospacing="0"/>
              <w:ind w:left="0" w:leftChars="0" w:right="0" w:firstLine="0" w:firstLineChars="0"/>
              <w:rPr>
                <w:rFonts w:hint="eastAsia" w:ascii="Times New Roman" w:hAnsi="Times New Roman" w:cs="Times New Roman"/>
                <w:color w:val="auto"/>
                <w:sz w:val="24"/>
                <w:szCs w:val="24"/>
                <w:lang w:val="en-US" w:eastAsia="zh-CN" w:bidi="ar"/>
              </w:rPr>
            </w:pPr>
            <w:r>
              <w:rPr>
                <w:rFonts w:hint="default"/>
              </w:rPr>
              <w:drawing>
                <wp:inline distT="0" distB="0" distL="114300" distR="114300">
                  <wp:extent cx="5520690" cy="3169920"/>
                  <wp:effectExtent l="0" t="0" r="1143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21"/>
                          <a:stretch>
                            <a:fillRect/>
                          </a:stretch>
                        </pic:blipFill>
                        <pic:spPr>
                          <a:xfrm>
                            <a:off x="0" y="0"/>
                            <a:ext cx="5520690" cy="3169920"/>
                          </a:xfrm>
                          <a:prstGeom prst="rect">
                            <a:avLst/>
                          </a:prstGeom>
                          <a:noFill/>
                          <a:ln>
                            <a:noFill/>
                          </a:ln>
                        </pic:spPr>
                      </pic:pic>
                    </a:graphicData>
                  </a:graphic>
                </wp:inline>
              </w:drawing>
            </w:r>
          </w:p>
          <w:p w14:paraId="1E1134DD">
            <w:pPr>
              <w:pStyle w:val="47"/>
              <w:keepNext w:val="0"/>
              <w:keepLines w:val="0"/>
              <w:suppressLineNumbers w:val="0"/>
              <w:bidi w:val="0"/>
              <w:spacing w:before="0" w:beforeAutospacing="0" w:after="0" w:afterAutospacing="0"/>
              <w:ind w:left="0" w:right="0"/>
              <w:rPr>
                <w:rFonts w:hint="default"/>
              </w:rPr>
            </w:pPr>
            <w:r>
              <w:rPr>
                <w:rFonts w:hint="default"/>
              </w:rPr>
              <w:t xml:space="preserve">图3-1 </w:t>
            </w:r>
            <w:r>
              <w:rPr>
                <w:rFonts w:hint="eastAsia"/>
                <w:lang w:val="en-US" w:eastAsia="zh-CN"/>
              </w:rPr>
              <w:t xml:space="preserve"> </w:t>
            </w:r>
            <w:r>
              <w:rPr>
                <w:rFonts w:hint="default"/>
              </w:rPr>
              <w:t>监测点示意图</w:t>
            </w:r>
          </w:p>
          <w:p w14:paraId="0C908DCE">
            <w:pPr>
              <w:keepNext w:val="0"/>
              <w:keepLines w:val="0"/>
              <w:suppressLineNumbers w:val="0"/>
              <w:spacing w:before="0" w:beforeAutospacing="0" w:after="0" w:afterAutospacing="0"/>
              <w:ind w:left="0" w:right="0"/>
              <w:rPr>
                <w:rFonts w:hint="default"/>
              </w:rPr>
            </w:pPr>
            <w:r>
              <w:rPr>
                <w:rFonts w:hint="eastAsia"/>
              </w:rPr>
              <w:t>根据</w:t>
            </w:r>
            <w:r>
              <w:rPr>
                <w:rFonts w:hint="eastAsia"/>
                <w:lang w:val="en-US" w:eastAsia="zh-CN"/>
              </w:rPr>
              <w:t>引用现状</w:t>
            </w:r>
            <w:r>
              <w:rPr>
                <w:rFonts w:hint="eastAsia"/>
              </w:rPr>
              <w:t>监测数据可知，</w:t>
            </w:r>
            <w:r>
              <w:rPr>
                <w:rFonts w:hint="eastAsia"/>
                <w:color w:val="auto"/>
                <w:lang w:val="en-US" w:eastAsia="zh-CN"/>
              </w:rPr>
              <w:t>项目所在区域</w:t>
            </w:r>
            <w:r>
              <w:rPr>
                <w:rFonts w:hint="default"/>
                <w:color w:val="auto"/>
              </w:rPr>
              <w:t>TSP</w:t>
            </w:r>
            <w:r>
              <w:rPr>
                <w:rFonts w:hint="eastAsia"/>
                <w:color w:val="auto"/>
                <w:lang w:val="en-US" w:eastAsia="zh-CN"/>
              </w:rPr>
              <w:t>满足</w:t>
            </w:r>
            <w:r>
              <w:rPr>
                <w:rFonts w:hint="default"/>
                <w:color w:val="auto"/>
              </w:rPr>
              <w:t>《环境空气质量标准》（GB3095-20</w:t>
            </w:r>
            <w:r>
              <w:rPr>
                <w:rFonts w:hint="eastAsia"/>
                <w:color w:val="auto"/>
                <w:lang w:val="en-US" w:eastAsia="zh-CN"/>
              </w:rPr>
              <w:t>26</w:t>
            </w:r>
            <w:r>
              <w:rPr>
                <w:rFonts w:hint="default"/>
                <w:color w:val="auto"/>
              </w:rPr>
              <w:t>）中的二级标准要求</w:t>
            </w:r>
            <w:r>
              <w:rPr>
                <w:rFonts w:hint="eastAsia"/>
                <w:color w:val="auto"/>
                <w:lang w:eastAsia="zh-CN"/>
              </w:rPr>
              <w:t>，</w:t>
            </w:r>
          </w:p>
          <w:p w14:paraId="32321C06">
            <w:pPr>
              <w:keepNext w:val="0"/>
              <w:keepLines w:val="0"/>
              <w:suppressLineNumbers w:val="0"/>
              <w:bidi w:val="0"/>
              <w:spacing w:before="0" w:beforeAutospacing="0" w:after="0" w:afterAutospacing="0"/>
              <w:ind w:left="0" w:right="0"/>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w:t>
            </w:r>
            <w:r>
              <w:rPr>
                <w:rFonts w:hint="eastAsia"/>
                <w:b/>
                <w:bCs/>
                <w:color w:val="000000" w:themeColor="text1"/>
                <w:lang w:val="en-US" w:eastAsia="zh-CN"/>
                <w14:textFill>
                  <w14:solidFill>
                    <w14:schemeClr w14:val="tx1"/>
                  </w14:solidFill>
                </w14:textFill>
              </w:rPr>
              <w:t>3</w:t>
            </w:r>
            <w:r>
              <w:rPr>
                <w:rFonts w:hint="eastAsia"/>
                <w:b/>
                <w:bCs/>
                <w:color w:val="000000" w:themeColor="text1"/>
                <w14:textFill>
                  <w14:solidFill>
                    <w14:schemeClr w14:val="tx1"/>
                  </w14:solidFill>
                </w14:textFill>
              </w:rPr>
              <w:t>）改善区域环境空气质量对应措施</w:t>
            </w:r>
          </w:p>
          <w:p w14:paraId="0F51D1A2">
            <w:pPr>
              <w:keepNext w:val="0"/>
              <w:keepLines w:val="0"/>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针对环境质量状况，淮南市政府采取了一系列的措施：</w:t>
            </w:r>
          </w:p>
          <w:p w14:paraId="59D96F21">
            <w:pPr>
              <w:keepNext w:val="0"/>
              <w:keepLines w:val="0"/>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①对标先进制定规范：对标长三角地区，制定淮南市建设工程扬尘污染防治“十达标”措施，明确施工扬尘管控的具体标准和要求，从工地围挡、物料覆盖、洒水降尘等多方面规范施工行为，有效减少扬尘污染。</w:t>
            </w:r>
          </w:p>
          <w:p w14:paraId="66609069">
            <w:pPr>
              <w:keepNext w:val="0"/>
              <w:keepLines w:val="0"/>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②建立协同工作机制：建立空气质量联席会商、重点区域监督帮扶、快速联动反应等一系列机制，通过定期会商分析空气质量状况，针对重点区域开展精准监督帮扶，对突发污染问题快速响应处置，全年发布建议2411条，帮扶县区100余次，推动解决问题1393个。</w:t>
            </w:r>
          </w:p>
          <w:p w14:paraId="08DC181F">
            <w:pPr>
              <w:keepNext w:val="0"/>
              <w:keepLines w:val="0"/>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③制定全过程管理办法：在全省率先制定《淮南市农村黑臭水体治理全过程监督管理办法》，规范“排查识别、成因分析、系统治理、项目管理、长效管控、责任追究”的全过程，为农村黑臭水体治理提供系统性指导，确保治理工作有序推进。</w:t>
            </w:r>
          </w:p>
          <w:p w14:paraId="3E8DE737">
            <w:pPr>
              <w:keepNext w:val="0"/>
              <w:keepLines w:val="0"/>
              <w:suppressLineNumbers w:val="0"/>
              <w:bidi w:val="0"/>
              <w:spacing w:before="0" w:beforeAutospacing="0" w:after="0" w:afterAutospacing="0"/>
              <w:ind w:left="0" w:right="0"/>
              <w:rPr>
                <w:rFonts w:hint="eastAsia"/>
                <w:color w:val="000000" w:themeColor="text1"/>
                <w:lang w:val="en"/>
                <w14:textFill>
                  <w14:solidFill>
                    <w14:schemeClr w14:val="tx1"/>
                  </w14:solidFill>
                </w14:textFill>
              </w:rPr>
            </w:pPr>
            <w:r>
              <w:rPr>
                <w:rFonts w:hint="eastAsia"/>
                <w:color w:val="000000" w:themeColor="text1"/>
                <w:lang w:val="en-US" w:eastAsia="zh-CN"/>
                <w14:textFill>
                  <w14:solidFill>
                    <w14:schemeClr w14:val="tx1"/>
                  </w14:solidFill>
                </w14:textFill>
              </w:rPr>
              <w:t>④出台多领域协同政策：联合多部门出台金融、税务、交通等领域支持减污降碳协同创新政策。如《金融支持淮南市减污降碳协同创新试点工作的指导意见》，创新推出“绿色贷”和“转型贷”；出台“绿色税务标签”，为符合条件企业给予税收减免优惠3.69亿元；出台《淮南市交通运输领域减污降碳协同创新实施方案》，优化交通运输结构，使铁、水运输量占比分别高出全省平均水平6.74和5.76个百分点。</w:t>
            </w:r>
          </w:p>
          <w:p w14:paraId="127629F9">
            <w:pPr>
              <w:keepNext w:val="0"/>
              <w:keepLines w:val="0"/>
              <w:suppressLineNumbers w:val="0"/>
              <w:spacing w:before="0" w:beforeAutospacing="0" w:after="0" w:afterAutospacing="0"/>
              <w:ind w:left="0" w:right="0" w:firstLine="482"/>
              <w:rPr>
                <w:rFonts w:hint="default"/>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2、地表水环境</w:t>
            </w:r>
          </w:p>
          <w:p w14:paraId="5E9C7A1C">
            <w:pPr>
              <w:keepNext w:val="0"/>
              <w:keepLines w:val="0"/>
              <w:suppressLineNumbers w:val="0"/>
              <w:bidi w:val="0"/>
              <w:spacing w:before="0" w:beforeAutospacing="0" w:after="0" w:afterAutospacing="0"/>
              <w:ind w:left="0" w:right="0"/>
              <w:rPr>
                <w:rFonts w:hint="default"/>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根据《建设项目环境影响报告表编制技术指南》，项目所在区域地表水环境质量引用与建设项目距离近的有效数据，包括近3年的规划环境影响评价的监测数据，所在流域控制单元内国家、地方控制断面监测数据，生态环境主管部门发布的水环境质量数据或地表水达标情况的结论。</w:t>
            </w:r>
          </w:p>
          <w:p w14:paraId="7861783C">
            <w:pPr>
              <w:keepNext w:val="0"/>
              <w:keepLines w:val="0"/>
              <w:suppressLineNumbers w:val="0"/>
              <w:bidi w:val="0"/>
              <w:spacing w:before="0" w:beforeAutospacing="0" w:after="0" w:afterAutospacing="0"/>
              <w:ind w:left="0" w:right="0"/>
              <w:rPr>
                <w:rFonts w:hint="default" w:ascii="Times New Roman" w:hAnsi="Times New Roman" w:cs="Times New Roman"/>
                <w:color w:val="000000" w:themeColor="text1"/>
                <w14:textFill>
                  <w14:solidFill>
                    <w14:schemeClr w14:val="tx1"/>
                  </w14:solidFill>
                </w14:textFill>
              </w:rPr>
            </w:pPr>
            <w:r>
              <w:rPr>
                <w:rFonts w:hint="eastAsia"/>
                <w:color w:val="000000" w:themeColor="text1"/>
                <w:highlight w:val="none"/>
                <w14:textFill>
                  <w14:solidFill>
                    <w14:schemeClr w14:val="tx1"/>
                  </w14:solidFill>
                </w14:textFill>
              </w:rPr>
              <w:t>根据淮南市生态环境局发布的《202</w:t>
            </w:r>
            <w:r>
              <w:rPr>
                <w:rFonts w:hint="eastAsia"/>
                <w:color w:val="000000" w:themeColor="text1"/>
                <w:highlight w:val="none"/>
                <w:lang w:val="en-US" w:eastAsia="zh-CN"/>
                <w14:textFill>
                  <w14:solidFill>
                    <w14:schemeClr w14:val="tx1"/>
                  </w14:solidFill>
                </w14:textFill>
              </w:rPr>
              <w:t>4</w:t>
            </w:r>
            <w:r>
              <w:rPr>
                <w:rFonts w:hint="eastAsia"/>
                <w:color w:val="000000" w:themeColor="text1"/>
                <w:highlight w:val="none"/>
                <w14:textFill>
                  <w14:solidFill>
                    <w14:schemeClr w14:val="tx1"/>
                  </w14:solidFill>
                </w14:textFill>
              </w:rPr>
              <w:t>年淮南市环境质量状况公报》，</w:t>
            </w:r>
            <w:r>
              <w:rPr>
                <w:rFonts w:hint="default" w:ascii="Times New Roman" w:hAnsi="Times New Roman" w:cs="Times New Roman"/>
                <w:color w:val="000000" w:themeColor="text1"/>
                <w14:textFill>
                  <w14:solidFill>
                    <w14:schemeClr w14:val="tx1"/>
                  </w14:solidFill>
                </w14:textFill>
              </w:rPr>
              <w:t>2024年，全市地表水24个监测断面中优良水质比例为91.7%，比上年下降了4.1个百分点，Ⅳ类水质比例8.3%，总体水质状况优。 8个国控断面中优良水质比例为87.5%，Ⅳ类水质比例12.5%，水质总体状况良好；11个省控断面中优良水质比例为90.9%，水质总体状况优。</w:t>
            </w:r>
          </w:p>
          <w:p w14:paraId="744E8DE2">
            <w:pPr>
              <w:keepNext w:val="0"/>
              <w:keepLines w:val="0"/>
              <w:suppressLineNumbers w:val="0"/>
              <w:bidi w:val="0"/>
              <w:spacing w:before="0" w:beforeAutospacing="0" w:after="0" w:afterAutospacing="0"/>
              <w:ind w:left="0" w:right="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全市8个国控断面中优良水质比例为87.5%，Ⅳ类水质比例12.5%，总体水质状况良好；11个省控断面中优良水质比例为100%，总体水质状况优。</w:t>
            </w:r>
          </w:p>
          <w:p w14:paraId="38B758B8">
            <w:pPr>
              <w:keepNext w:val="0"/>
              <w:keepLines w:val="0"/>
              <w:suppressLineNumbers w:val="0"/>
              <w:bidi w:val="0"/>
              <w:spacing w:before="0" w:beforeAutospacing="0" w:after="0" w:afterAutospacing="0"/>
              <w:ind w:left="0" w:right="0"/>
              <w:rPr>
                <w:rFonts w:hint="eastAsia" w:ascii="Times New Roman" w:hAnsi="Times New Roman" w:eastAsia="宋体" w:cs="Times New Roman"/>
                <w:color w:val="000000" w:themeColor="text1"/>
                <w14:textFill>
                  <w14:solidFill>
                    <w14:schemeClr w14:val="tx1"/>
                  </w14:solidFill>
                </w14:textFill>
              </w:rPr>
            </w:pPr>
            <w:r>
              <w:rPr>
                <w:rFonts w:hint="eastAsia" w:ascii="Times New Roman" w:hAnsi="Times New Roman" w:eastAsia="宋体" w:cs="Times New Roman"/>
                <w:color w:val="000000" w:themeColor="text1"/>
                <w14:textFill>
                  <w14:solidFill>
                    <w14:schemeClr w14:val="tx1"/>
                  </w14:solidFill>
                </w14:textFill>
              </w:rPr>
              <w:t>河流：全市辖区内淮河干流水质状况为优，永幸河和丁家沟水质状况为优，西淝河、东淝河、架河、泥河、万小河、瓦西干渠、陡涧河和便民沟水质状况为良好。20个监测断面中优良水质比例为100%，与去年持平。其中黄圩和丁家沟河口断面水质均有所好转（Ⅲ类→Ⅱ类），五里闸（Ⅱ类→Ⅲ类）和西淝河闸下（</w:t>
            </w:r>
            <w:r>
              <w:rPr>
                <w:rFonts w:hint="eastAsia" w:cs="Times New Roman"/>
                <w:color w:val="000000" w:themeColor="text1"/>
                <w:lang w:eastAsia="zh-CN"/>
                <w14:textFill>
                  <w14:solidFill>
                    <w14:schemeClr w14:val="tx1"/>
                  </w14:solidFill>
                </w14:textFill>
              </w:rPr>
              <w:t>Ⅱ类</w:t>
            </w:r>
            <w:r>
              <w:rPr>
                <w:rFonts w:hint="eastAsia" w:ascii="Times New Roman" w:hAnsi="Times New Roman" w:eastAsia="宋体" w:cs="Times New Roman"/>
                <w:color w:val="000000" w:themeColor="text1"/>
                <w14:textFill>
                  <w14:solidFill>
                    <w14:schemeClr w14:val="tx1"/>
                  </w14:solidFill>
                </w14:textFill>
              </w:rPr>
              <w:t>→Ⅲ类）水质均有所下降，其他断面水质保持稳定。</w:t>
            </w:r>
          </w:p>
          <w:p w14:paraId="38A4A5FB">
            <w:pPr>
              <w:keepNext w:val="0"/>
              <w:keepLines w:val="0"/>
              <w:suppressLineNumbers w:val="0"/>
              <w:bidi w:val="0"/>
              <w:spacing w:before="0" w:beforeAutospacing="0" w:after="0" w:afterAutospacing="0"/>
              <w:ind w:left="0" w:right="0"/>
              <w:rPr>
                <w:rFonts w:hint="default" w:ascii="Times New Roman" w:hAnsi="Times New Roman" w:eastAsia="宋体" w:cs="Times New Roman"/>
                <w:color w:val="000000" w:themeColor="text1"/>
                <w:lang w:val="en-US" w:eastAsia="zh-CN"/>
                <w14:textFill>
                  <w14:solidFill>
                    <w14:schemeClr w14:val="tx1"/>
                  </w14:solidFill>
                </w14:textFill>
              </w:rPr>
            </w:pPr>
            <w:r>
              <w:rPr>
                <w:rFonts w:hint="eastAsia" w:ascii="Times New Roman" w:hAnsi="Times New Roman" w:eastAsia="宋体" w:cs="Times New Roman"/>
                <w:color w:val="000000" w:themeColor="text1"/>
                <w14:textFill>
                  <w14:solidFill>
                    <w14:schemeClr w14:val="tx1"/>
                  </w14:solidFill>
                </w14:textFill>
              </w:rPr>
              <w:t>湖库：瓦埠湖和焦岗湖点位水质年均值符合Ⅲ类标准，水质状况为良好；高塘湖和安丰塘点位水质年均值符合Ⅳ类标准，水质轻度污染，主要污染指标为总磷。安丰塘营养状态为中营养，焦岗湖、高塘湖和瓦埠湖营养状态均为轻度富营养。与上年相比，安丰塘点位水质类别由Ⅲ类下降为Ⅳ类，瓦埠湖、高塘湖和焦岗湖点位水质类别保持稳定。</w:t>
            </w:r>
          </w:p>
          <w:p w14:paraId="1C4A5E27">
            <w:pPr>
              <w:keepNext w:val="0"/>
              <w:keepLines w:val="0"/>
              <w:suppressLineNumbers w:val="0"/>
              <w:spacing w:before="0" w:beforeAutospacing="0" w:after="0" w:afterAutospacing="0"/>
              <w:ind w:left="0" w:right="0" w:firstLine="482"/>
              <w:rPr>
                <w:rFonts w:hint="default"/>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3、声环境</w:t>
            </w:r>
          </w:p>
          <w:p w14:paraId="4127C54A">
            <w:pPr>
              <w:keepNext w:val="0"/>
              <w:keepLines w:val="0"/>
              <w:suppressLineNumbers w:val="0"/>
              <w:spacing w:before="0" w:beforeAutospacing="0" w:after="0" w:afterAutospacing="0"/>
              <w:ind w:left="0" w:right="0" w:firstLine="48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本项目位于</w:t>
            </w:r>
            <w:r>
              <w:rPr>
                <w:rFonts w:hint="eastAsia"/>
                <w:color w:val="auto"/>
                <w:lang w:val="en-US" w:eastAsia="zh-CN"/>
              </w:rPr>
              <w:t>淮南市祥瑞木业有限责任公司现有空置</w:t>
            </w:r>
            <w:r>
              <w:rPr>
                <w:rFonts w:hint="eastAsia"/>
                <w:color w:val="000000" w:themeColor="text1"/>
                <w:lang w:val="en-US" w:eastAsia="zh-CN"/>
                <w14:textFill>
                  <w14:solidFill>
                    <w14:schemeClr w14:val="tx1"/>
                  </w14:solidFill>
                </w14:textFill>
              </w:rPr>
              <w:t>厂房内</w:t>
            </w:r>
            <w:r>
              <w:rPr>
                <w:rFonts w:hint="eastAsia"/>
                <w:color w:val="000000" w:themeColor="text1"/>
                <w14:textFill>
                  <w14:solidFill>
                    <w14:schemeClr w14:val="tx1"/>
                  </w14:solidFill>
                </w14:textFill>
              </w:rPr>
              <w:t>，项目厂界50m</w:t>
            </w:r>
            <w:r>
              <w:rPr>
                <w:rFonts w:hint="eastAsia"/>
                <w:color w:val="000000" w:themeColor="text1"/>
                <w:lang w:val="en-US" w:eastAsia="zh-CN"/>
                <w14:textFill>
                  <w14:solidFill>
                    <w14:schemeClr w14:val="tx1"/>
                  </w14:solidFill>
                </w14:textFill>
              </w:rPr>
              <w:t>内无声环境敏感目标</w:t>
            </w:r>
            <w:r>
              <w:rPr>
                <w:rFonts w:hint="eastAsia"/>
                <w:color w:val="000000" w:themeColor="text1"/>
                <w14:textFill>
                  <w14:solidFill>
                    <w14:schemeClr w14:val="tx1"/>
                  </w14:solidFill>
                </w14:textFill>
              </w:rPr>
              <w:t>。</w:t>
            </w:r>
          </w:p>
          <w:p w14:paraId="33A31CC7">
            <w:pPr>
              <w:keepNext w:val="0"/>
              <w:keepLines w:val="0"/>
              <w:suppressLineNumbers w:val="0"/>
              <w:spacing w:before="0" w:beforeAutospacing="0" w:after="0" w:afterAutospacing="0"/>
              <w:ind w:left="0" w:right="0" w:firstLine="482"/>
              <w:rPr>
                <w:rFonts w:hint="default"/>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4、土壤、地下水</w:t>
            </w:r>
          </w:p>
          <w:p w14:paraId="1CB3BCDC">
            <w:pPr>
              <w:keepNext w:val="0"/>
              <w:keepLines w:val="0"/>
              <w:suppressLineNumbers w:val="0"/>
              <w:spacing w:before="0" w:beforeAutospacing="0" w:after="0" w:afterAutospacing="0"/>
              <w:ind w:left="0" w:right="0" w:firstLine="480"/>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根据《</w:t>
            </w:r>
            <w:bookmarkStart w:id="7" w:name="建设项目环境影响报告表编制技术指南"/>
            <w:bookmarkEnd w:id="7"/>
            <w:r>
              <w:rPr>
                <w:rFonts w:hint="eastAsia"/>
                <w:color w:val="000000" w:themeColor="text1"/>
                <w:highlight w:val="none"/>
                <w14:textFill>
                  <w14:solidFill>
                    <w14:schemeClr w14:val="tx1"/>
                  </w14:solidFill>
                </w14:textFill>
              </w:rPr>
              <w:t>建设项目环境影响报告表编制技术指南</w:t>
            </w:r>
            <w:bookmarkStart w:id="8" w:name="（污染影响类）（试行）"/>
            <w:bookmarkEnd w:id="8"/>
            <w:r>
              <w:rPr>
                <w:rFonts w:hint="eastAsia"/>
                <w:color w:val="000000" w:themeColor="text1"/>
                <w:highlight w:val="none"/>
                <w14:textFill>
                  <w14:solidFill>
                    <w14:schemeClr w14:val="tx1"/>
                  </w14:solidFill>
                </w14:textFill>
              </w:rPr>
              <w:t>（污染影响类）（试行）》地下水、土壤环境原则上不开展环境质量现状调查。建设项目存在土壤、地下水环境污染途径的，应结合污染源、保护目标分布情况开展现状调查以留作背景值。</w:t>
            </w:r>
          </w:p>
          <w:p w14:paraId="17216E38">
            <w:pPr>
              <w:keepNext w:val="0"/>
              <w:keepLines w:val="0"/>
              <w:suppressLineNumbers w:val="0"/>
              <w:spacing w:before="0" w:beforeAutospacing="0" w:after="0" w:afterAutospacing="0"/>
              <w:ind w:left="0" w:right="0" w:firstLine="480"/>
              <w:rPr>
                <w:rFonts w:hint="eastAsia"/>
                <w:color w:val="000000" w:themeColor="text1"/>
                <w:highlight w:val="none"/>
                <w14:textFill>
                  <w14:solidFill>
                    <w14:schemeClr w14:val="tx1"/>
                  </w14:solidFill>
                </w14:textFill>
              </w:rPr>
            </w:pPr>
            <w:r>
              <w:rPr>
                <w:rFonts w:hint="eastAsia"/>
                <w:color w:val="000000" w:themeColor="text1"/>
                <w14:textFill>
                  <w14:solidFill>
                    <w14:schemeClr w14:val="tx1"/>
                  </w14:solidFill>
                </w14:textFill>
              </w:rPr>
              <w:t>本项目位于淮南市</w:t>
            </w:r>
            <w:r>
              <w:rPr>
                <w:rFonts w:hint="eastAsia"/>
                <w:color w:val="000000" w:themeColor="text1"/>
                <w:lang w:val="en-US" w:eastAsia="zh-CN"/>
                <w14:textFill>
                  <w14:solidFill>
                    <w14:schemeClr w14:val="tx1"/>
                  </w14:solidFill>
                </w14:textFill>
              </w:rPr>
              <w:t>谢家集区</w:t>
            </w:r>
            <w:r>
              <w:rPr>
                <w:rFonts w:hint="eastAsia"/>
                <w:color w:val="000000" w:themeColor="text1"/>
                <w14:textFill>
                  <w14:solidFill>
                    <w14:schemeClr w14:val="tx1"/>
                  </w14:solidFill>
                </w14:textFill>
              </w:rPr>
              <w:t>，项目厂界外500米范围内不涉及地下水集中式饮用水水源和热水、矿泉水、温泉等特殊地下水资源。</w:t>
            </w:r>
            <w:r>
              <w:rPr>
                <w:rFonts w:hint="eastAsia"/>
                <w:color w:val="000000" w:themeColor="text1"/>
                <w:lang w:val="en-US" w:eastAsia="zh-CN"/>
                <w14:textFill>
                  <w14:solidFill>
                    <w14:schemeClr w14:val="tx1"/>
                  </w14:solidFill>
                </w14:textFill>
              </w:rPr>
              <w:t>厂界外50m范围内无土壤环境敏感目标。</w:t>
            </w:r>
            <w:r>
              <w:rPr>
                <w:rFonts w:hint="eastAsia"/>
                <w:color w:val="000000" w:themeColor="text1"/>
                <w:highlight w:val="none"/>
                <w14:textFill>
                  <w14:solidFill>
                    <w14:schemeClr w14:val="tx1"/>
                  </w14:solidFill>
                </w14:textFill>
              </w:rPr>
              <w:t>本项目厂区地面已硬化，</w:t>
            </w:r>
            <w:r>
              <w:rPr>
                <w:rFonts w:hint="eastAsia"/>
                <w:color w:val="000000" w:themeColor="text1"/>
                <w:highlight w:val="none"/>
                <w:lang w:val="en-US" w:eastAsia="zh-CN"/>
                <w14:textFill>
                  <w14:solidFill>
                    <w14:schemeClr w14:val="tx1"/>
                  </w14:solidFill>
                </w14:textFill>
              </w:rPr>
              <w:t>各区域按要求进行分区防渗，</w:t>
            </w:r>
            <w:r>
              <w:rPr>
                <w:rFonts w:hint="eastAsia"/>
                <w:color w:val="000000" w:themeColor="text1"/>
                <w:highlight w:val="none"/>
                <w14:textFill>
                  <w14:solidFill>
                    <w14:schemeClr w14:val="tx1"/>
                  </w14:solidFill>
                </w14:textFill>
              </w:rPr>
              <w:t>厂区内不存在影响地下水和土壤环境的途径，故不开展地下水、土壤环境现状调查。</w:t>
            </w:r>
          </w:p>
          <w:p w14:paraId="02B42637">
            <w:pPr>
              <w:keepNext w:val="0"/>
              <w:keepLines w:val="0"/>
              <w:suppressLineNumbers w:val="0"/>
              <w:spacing w:before="0" w:beforeAutospacing="0" w:after="0" w:afterAutospacing="0"/>
              <w:ind w:left="0" w:right="0" w:firstLine="482"/>
              <w:rPr>
                <w:rFonts w:hint="default"/>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5、生态环境、电磁辐射</w:t>
            </w:r>
          </w:p>
          <w:p w14:paraId="656E7E14">
            <w:pPr>
              <w:keepNext w:val="0"/>
              <w:keepLines w:val="0"/>
              <w:suppressLineNumbers w:val="0"/>
              <w:spacing w:before="0" w:beforeAutospacing="0" w:after="0" w:afterAutospacing="0"/>
              <w:ind w:left="0" w:right="0" w:firstLine="480"/>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根据《建设项目环境影响报告表编制技术指南（污染影响类）（试行）》，建设项目新增用地且用地范围内含有生态环境保护目标时，应进行生态现状调查。本项目位于</w:t>
            </w:r>
            <w:r>
              <w:rPr>
                <w:rFonts w:hint="eastAsia"/>
                <w:color w:val="auto"/>
                <w:lang w:val="en-US" w:eastAsia="zh-CN"/>
              </w:rPr>
              <w:t>淮南市祥瑞木业有限责任公司厂区</w:t>
            </w:r>
            <w:r>
              <w:rPr>
                <w:rFonts w:hint="eastAsia"/>
                <w:color w:val="000000" w:themeColor="text1"/>
                <w:lang w:val="en-US" w:eastAsia="zh-CN"/>
                <w14:textFill>
                  <w14:solidFill>
                    <w14:schemeClr w14:val="tx1"/>
                  </w14:solidFill>
                </w14:textFill>
              </w:rPr>
              <w:t>内</w:t>
            </w:r>
            <w:r>
              <w:rPr>
                <w:rFonts w:hint="eastAsia"/>
                <w:color w:val="000000" w:themeColor="text1"/>
                <w:highlight w:val="none"/>
                <w:lang w:val="en-US" w:eastAsia="zh-CN"/>
                <w14:textFill>
                  <w14:solidFill>
                    <w14:schemeClr w14:val="tx1"/>
                  </w14:solidFill>
                </w14:textFill>
              </w:rPr>
              <w:t>，租赁已建厂房进行生产</w:t>
            </w:r>
            <w:r>
              <w:rPr>
                <w:rFonts w:hint="eastAsia"/>
                <w:color w:val="000000" w:themeColor="text1"/>
                <w:highlight w:val="none"/>
                <w14:textFill>
                  <w14:solidFill>
                    <w14:schemeClr w14:val="tx1"/>
                  </w14:solidFill>
                </w14:textFill>
              </w:rPr>
              <w:t>，</w:t>
            </w:r>
            <w:r>
              <w:rPr>
                <w:rFonts w:hint="eastAsia"/>
                <w:color w:val="000000" w:themeColor="text1"/>
                <w:highlight w:val="none"/>
                <w:lang w:val="en-US" w:eastAsia="zh-CN"/>
                <w14:textFill>
                  <w14:solidFill>
                    <w14:schemeClr w14:val="tx1"/>
                  </w14:solidFill>
                </w14:textFill>
              </w:rPr>
              <w:t>无新增用地</w:t>
            </w:r>
            <w:r>
              <w:rPr>
                <w:rFonts w:hint="eastAsia"/>
                <w:color w:val="000000" w:themeColor="text1"/>
                <w:highlight w:val="none"/>
                <w14:textFill>
                  <w14:solidFill>
                    <w14:schemeClr w14:val="tx1"/>
                  </w14:solidFill>
                </w14:textFill>
              </w:rPr>
              <w:t>且周边无生态环境保护目标，故未进行生态环境质量监测。</w:t>
            </w:r>
          </w:p>
          <w:p w14:paraId="451F2CD5">
            <w:pPr>
              <w:keepNext w:val="0"/>
              <w:keepLines w:val="0"/>
              <w:suppressLineNumbers w:val="0"/>
              <w:spacing w:before="0" w:beforeAutospacing="0" w:after="0" w:afterAutospacing="0"/>
              <w:ind w:left="0" w:right="0" w:firstLine="480"/>
              <w:rPr>
                <w:rFonts w:hint="default"/>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本项目不存在电磁辐射等污染，因此</w:t>
            </w:r>
            <w:r>
              <w:rPr>
                <w:rFonts w:hint="eastAsia"/>
                <w:color w:val="000000" w:themeColor="text1"/>
                <w:highlight w:val="none"/>
                <w:lang w:val="en-US" w:eastAsia="zh-CN"/>
                <w14:textFill>
                  <w14:solidFill>
                    <w14:schemeClr w14:val="tx1"/>
                  </w14:solidFill>
                </w14:textFill>
              </w:rPr>
              <w:t>未</w:t>
            </w:r>
            <w:r>
              <w:rPr>
                <w:rFonts w:hint="eastAsia"/>
                <w:color w:val="000000" w:themeColor="text1"/>
                <w:highlight w:val="none"/>
                <w14:textFill>
                  <w14:solidFill>
                    <w14:schemeClr w14:val="tx1"/>
                  </w14:solidFill>
                </w14:textFill>
              </w:rPr>
              <w:t>开展电磁辐射现状监测与评价。本项目不涉及电磁辐射</w:t>
            </w:r>
            <w:r>
              <w:rPr>
                <w:rFonts w:hint="default"/>
                <w:color w:val="000000" w:themeColor="text1"/>
                <w:highlight w:val="none"/>
                <w14:textFill>
                  <w14:solidFill>
                    <w14:schemeClr w14:val="tx1"/>
                  </w14:solidFill>
                </w14:textFill>
              </w:rPr>
              <w:t>。</w:t>
            </w:r>
          </w:p>
        </w:tc>
      </w:tr>
      <w:tr w14:paraId="2D635D0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269" w:hRule="atLeast"/>
          <w:jc w:val="center"/>
        </w:trPr>
        <w:tc>
          <w:tcPr>
            <w:tcW w:w="619" w:type="dxa"/>
            <w:tcBorders>
              <w:tl2br w:val="nil"/>
              <w:tr2bl w:val="nil"/>
            </w:tcBorders>
            <w:shd w:val="clear" w:color="auto" w:fill="auto"/>
            <w:vAlign w:val="center"/>
          </w:tcPr>
          <w:p w14:paraId="00382CE3">
            <w:pPr>
              <w:keepNext w:val="0"/>
              <w:keepLines w:val="0"/>
              <w:suppressLineNumbers w:val="0"/>
              <w:spacing w:before="0" w:beforeAutospacing="0" w:after="0" w:afterAutospacing="0"/>
              <w:ind w:left="0" w:right="0" w:firstLine="0" w:firstLineChars="0"/>
              <w:jc w:val="center"/>
              <w:rPr>
                <w:rFonts w:hint="default"/>
                <w:color w:val="000000" w:themeColor="text1"/>
                <w:highlight w:val="none"/>
                <w14:textFill>
                  <w14:solidFill>
                    <w14:schemeClr w14:val="tx1"/>
                  </w14:solidFill>
                </w14:textFill>
              </w:rPr>
            </w:pPr>
            <w:r>
              <w:rPr>
                <w:rFonts w:hint="eastAsia" w:ascii="宋体"/>
                <w:color w:val="000000" w:themeColor="text1"/>
                <w:highlight w:val="none"/>
                <w14:textFill>
                  <w14:solidFill>
                    <w14:schemeClr w14:val="tx1"/>
                  </w14:solidFill>
                </w14:textFill>
              </w:rPr>
              <w:t>环境保护目标</w:t>
            </w:r>
          </w:p>
        </w:tc>
        <w:tc>
          <w:tcPr>
            <w:tcW w:w="8669" w:type="dxa"/>
            <w:tcBorders>
              <w:tl2br w:val="nil"/>
              <w:tr2bl w:val="nil"/>
            </w:tcBorders>
            <w:shd w:val="clear" w:color="auto" w:fill="auto"/>
          </w:tcPr>
          <w:p w14:paraId="443D2CCE">
            <w:pPr>
              <w:keepNext w:val="0"/>
              <w:keepLines w:val="0"/>
              <w:suppressLineNumbers w:val="0"/>
              <w:spacing w:before="0" w:beforeAutospacing="0" w:after="0" w:afterAutospacing="0"/>
              <w:ind w:left="0" w:right="0" w:firstLine="480"/>
              <w:rPr>
                <w:rFonts w:hint="default"/>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主要环境保护目标</w:t>
            </w:r>
            <w:r>
              <w:rPr>
                <w:rFonts w:hint="eastAsia"/>
                <w:color w:val="000000" w:themeColor="text1"/>
                <w:highlight w:val="none"/>
                <w:lang w:eastAsia="zh-CN"/>
                <w14:textFill>
                  <w14:solidFill>
                    <w14:schemeClr w14:val="tx1"/>
                  </w14:solidFill>
                </w14:textFill>
              </w:rPr>
              <w:t>（</w:t>
            </w:r>
            <w:r>
              <w:rPr>
                <w:rFonts w:hint="eastAsia"/>
                <w:color w:val="000000" w:themeColor="text1"/>
                <w:highlight w:val="none"/>
                <w14:textFill>
                  <w14:solidFill>
                    <w14:schemeClr w14:val="tx1"/>
                  </w14:solidFill>
                </w14:textFill>
              </w:rPr>
              <w:t>列出名单及保护级别</w:t>
            </w:r>
            <w:r>
              <w:rPr>
                <w:rFonts w:hint="eastAsia"/>
                <w:color w:val="000000" w:themeColor="text1"/>
                <w:highlight w:val="none"/>
                <w:lang w:eastAsia="zh-CN"/>
                <w14:textFill>
                  <w14:solidFill>
                    <w14:schemeClr w14:val="tx1"/>
                  </w14:solidFill>
                </w14:textFill>
              </w:rPr>
              <w:t>）</w:t>
            </w:r>
            <w:r>
              <w:rPr>
                <w:rFonts w:hint="eastAsia"/>
                <w:color w:val="000000" w:themeColor="text1"/>
                <w:highlight w:val="none"/>
                <w14:textFill>
                  <w14:solidFill>
                    <w14:schemeClr w14:val="tx1"/>
                  </w14:solidFill>
                </w14:textFill>
              </w:rPr>
              <w:t>：</w:t>
            </w:r>
          </w:p>
          <w:p w14:paraId="5250861A">
            <w:pPr>
              <w:keepNext w:val="0"/>
              <w:keepLines w:val="0"/>
              <w:suppressLineNumbers w:val="0"/>
              <w:spacing w:before="0" w:beforeAutospacing="0" w:after="0" w:afterAutospacing="0"/>
              <w:ind w:left="0" w:right="0" w:firstLine="480"/>
              <w:rPr>
                <w:rFonts w:hint="default"/>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根据项目污染特征及区域环境现状，其主要环境保护目标如下。</w:t>
            </w:r>
          </w:p>
          <w:p w14:paraId="28F8005A">
            <w:pPr>
              <w:keepNext w:val="0"/>
              <w:keepLines w:val="0"/>
              <w:numPr>
                <w:ilvl w:val="0"/>
                <w:numId w:val="0"/>
              </w:numPr>
              <w:suppressLineNumbers w:val="0"/>
              <w:spacing w:before="0" w:beforeAutospacing="0" w:after="0" w:afterAutospacing="0"/>
              <w:ind w:left="0" w:right="0" w:firstLine="482" w:firstLineChars="200"/>
              <w:rPr>
                <w:rFonts w:hint="eastAsia" w:cs="Times New Roman"/>
                <w:b/>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bCs/>
                <w:color w:val="000000" w:themeColor="text1"/>
                <w:kern w:val="2"/>
                <w:sz w:val="24"/>
                <w:szCs w:val="24"/>
                <w:lang w:val="en-US" w:eastAsia="zh-CN" w:bidi="ar-SA"/>
                <w14:textFill>
                  <w14:solidFill>
                    <w14:schemeClr w14:val="tx1"/>
                  </w14:solidFill>
                </w14:textFill>
              </w:rPr>
              <w:t>1、</w:t>
            </w:r>
            <w:r>
              <w:rPr>
                <w:rFonts w:hint="eastAsia" w:cs="Times New Roman"/>
                <w:b/>
                <w:bCs/>
                <w:color w:val="000000" w:themeColor="text1"/>
                <w:kern w:val="2"/>
                <w:sz w:val="24"/>
                <w:szCs w:val="24"/>
                <w:lang w:val="en-US" w:eastAsia="zh-CN" w:bidi="ar-SA"/>
                <w14:textFill>
                  <w14:solidFill>
                    <w14:schemeClr w14:val="tx1"/>
                  </w14:solidFill>
                </w14:textFill>
              </w:rPr>
              <w:t>大气环境</w:t>
            </w:r>
            <w:r>
              <w:rPr>
                <w:rFonts w:hint="eastAsia"/>
                <w:b/>
                <w:bCs/>
                <w:color w:val="000000" w:themeColor="text1"/>
                <w14:textFill>
                  <w14:solidFill>
                    <w14:schemeClr w14:val="tx1"/>
                  </w14:solidFill>
                </w14:textFill>
              </w:rPr>
              <w:t>保护目标</w:t>
            </w:r>
          </w:p>
          <w:p w14:paraId="4C13777D">
            <w:pPr>
              <w:keepNext w:val="0"/>
              <w:keepLines w:val="0"/>
              <w:numPr>
                <w:ilvl w:val="0"/>
                <w:numId w:val="0"/>
              </w:numPr>
              <w:suppressLineNumbers w:val="0"/>
              <w:spacing w:before="0" w:beforeAutospacing="0" w:after="0" w:afterAutospacing="0"/>
              <w:ind w:left="0" w:right="0" w:firstLine="480" w:firstLineChars="200"/>
              <w:rPr>
                <w:rFonts w:hint="eastAsia" w:eastAsia="宋体"/>
                <w:color w:val="000000" w:themeColor="text1"/>
                <w:highlight w:val="none"/>
                <w:lang w:eastAsia="zh-CN"/>
                <w14:textFill>
                  <w14:solidFill>
                    <w14:schemeClr w14:val="tx1"/>
                  </w14:solidFill>
                </w14:textFill>
              </w:rPr>
            </w:pPr>
            <w:r>
              <w:rPr>
                <w:rFonts w:hint="eastAsia" w:cs="宋体"/>
                <w:color w:val="000000" w:themeColor="text1"/>
                <w:szCs w:val="21"/>
                <w14:textFill>
                  <w14:solidFill>
                    <w14:schemeClr w14:val="tx1"/>
                  </w14:solidFill>
                </w14:textFill>
              </w:rPr>
              <w:t>厂界周边500m范围内不涉及自然保护区、风景名胜区，</w:t>
            </w:r>
            <w:r>
              <w:rPr>
                <w:rFonts w:hint="eastAsia"/>
                <w:color w:val="000000" w:themeColor="text1"/>
                <w:kern w:val="0"/>
                <w:szCs w:val="21"/>
                <w14:textFill>
                  <w14:solidFill>
                    <w14:schemeClr w14:val="tx1"/>
                  </w14:solidFill>
                </w14:textFill>
              </w:rPr>
              <w:t>根据评价范围，以评价范围内环境敏感点作为保护目标，本项目周边5</w:t>
            </w:r>
            <w:r>
              <w:rPr>
                <w:rFonts w:hint="default"/>
                <w:color w:val="000000" w:themeColor="text1"/>
                <w:kern w:val="0"/>
                <w:szCs w:val="21"/>
                <w14:textFill>
                  <w14:solidFill>
                    <w14:schemeClr w14:val="tx1"/>
                  </w14:solidFill>
                </w14:textFill>
              </w:rPr>
              <w:t>00m</w:t>
            </w:r>
            <w:r>
              <w:rPr>
                <w:rFonts w:hint="eastAsia"/>
                <w:color w:val="000000" w:themeColor="text1"/>
                <w:kern w:val="0"/>
                <w:szCs w:val="21"/>
                <w14:textFill>
                  <w14:solidFill>
                    <w14:schemeClr w14:val="tx1"/>
                  </w14:solidFill>
                </w14:textFill>
              </w:rPr>
              <w:t>范围内大气环境敏感目标分布见下表</w:t>
            </w:r>
            <w:r>
              <w:rPr>
                <w:rFonts w:hint="eastAsia"/>
                <w:color w:val="000000" w:themeColor="text1"/>
                <w:highlight w:val="none"/>
                <w14:textFill>
                  <w14:solidFill>
                    <w14:schemeClr w14:val="tx1"/>
                  </w14:solidFill>
                </w14:textFill>
              </w:rPr>
              <w:t>。项目区域环境空气满足《环境空气质量标准》（GB3095-20</w:t>
            </w:r>
            <w:r>
              <w:rPr>
                <w:rFonts w:hint="eastAsia"/>
                <w:color w:val="000000" w:themeColor="text1"/>
                <w:highlight w:val="none"/>
                <w:lang w:val="en-US" w:eastAsia="zh-CN"/>
                <w14:textFill>
                  <w14:solidFill>
                    <w14:schemeClr w14:val="tx1"/>
                  </w14:solidFill>
                </w14:textFill>
              </w:rPr>
              <w:t>26</w:t>
            </w:r>
            <w:r>
              <w:rPr>
                <w:rFonts w:hint="eastAsia"/>
                <w:color w:val="000000" w:themeColor="text1"/>
                <w:highlight w:val="none"/>
                <w14:textFill>
                  <w14:solidFill>
                    <w14:schemeClr w14:val="tx1"/>
                  </w14:solidFill>
                </w14:textFill>
              </w:rPr>
              <w:t>）中的二级标准</w:t>
            </w:r>
            <w:r>
              <w:rPr>
                <w:rFonts w:hint="eastAsia"/>
                <w:color w:val="000000" w:themeColor="text1"/>
                <w:highlight w:val="none"/>
                <w:lang w:eastAsia="zh-CN"/>
                <w14:textFill>
                  <w14:solidFill>
                    <w14:schemeClr w14:val="tx1"/>
                  </w14:solidFill>
                </w14:textFill>
              </w:rPr>
              <w:t>。</w:t>
            </w:r>
          </w:p>
          <w:p w14:paraId="72B44802">
            <w:pPr>
              <w:pStyle w:val="43"/>
              <w:keepNext w:val="0"/>
              <w:keepLines w:val="0"/>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表3-3  项目周边主要大气环境保护目标一览表</w:t>
            </w:r>
          </w:p>
          <w:tbl>
            <w:tblPr>
              <w:tblStyle w:val="1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61"/>
              <w:gridCol w:w="1075"/>
              <w:gridCol w:w="1242"/>
              <w:gridCol w:w="1147"/>
              <w:gridCol w:w="1728"/>
              <w:gridCol w:w="1061"/>
              <w:gridCol w:w="909"/>
              <w:gridCol w:w="820"/>
            </w:tblGrid>
            <w:tr w14:paraId="5CA72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273" w:type="pct"/>
                  <w:vMerge w:val="restart"/>
                  <w:noWrap w:val="0"/>
                  <w:vAlign w:val="center"/>
                </w:tcPr>
                <w:p w14:paraId="41354219">
                  <w:pPr>
                    <w:pStyle w:val="46"/>
                    <w:keepNext w:val="0"/>
                    <w:keepLines w:val="0"/>
                    <w:suppressLineNumbers w:val="0"/>
                    <w:bidi w:val="0"/>
                    <w:spacing w:before="0" w:beforeAutospacing="0" w:after="0" w:afterAutospacing="0"/>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序号</w:t>
                  </w:r>
                </w:p>
              </w:tc>
              <w:tc>
                <w:tcPr>
                  <w:tcW w:w="636" w:type="pct"/>
                  <w:vMerge w:val="restart"/>
                  <w:noWrap w:val="0"/>
                  <w:vAlign w:val="center"/>
                </w:tcPr>
                <w:p w14:paraId="69B7A9DB">
                  <w:pPr>
                    <w:pStyle w:val="46"/>
                    <w:keepNext w:val="0"/>
                    <w:keepLines w:val="0"/>
                    <w:suppressLineNumbers w:val="0"/>
                    <w:bidi w:val="0"/>
                    <w:spacing w:before="0" w:beforeAutospacing="0" w:after="0" w:afterAutospacing="0"/>
                    <w:rPr>
                      <w:b/>
                      <w:bCs/>
                      <w:color w:val="000000" w:themeColor="text1"/>
                      <w14:textFill>
                        <w14:solidFill>
                          <w14:schemeClr w14:val="tx1"/>
                        </w14:solidFill>
                      </w14:textFill>
                    </w:rPr>
                  </w:pPr>
                  <w:r>
                    <w:rPr>
                      <w:b/>
                      <w:bCs/>
                      <w:color w:val="000000" w:themeColor="text1"/>
                      <w14:textFill>
                        <w14:solidFill>
                          <w14:schemeClr w14:val="tx1"/>
                        </w14:solidFill>
                      </w14:textFill>
                    </w:rPr>
                    <w:t>名称</w:t>
                  </w:r>
                </w:p>
              </w:tc>
              <w:tc>
                <w:tcPr>
                  <w:tcW w:w="1414" w:type="pct"/>
                  <w:gridSpan w:val="2"/>
                  <w:noWrap w:val="0"/>
                  <w:vAlign w:val="center"/>
                </w:tcPr>
                <w:p w14:paraId="62CE99A9">
                  <w:pPr>
                    <w:pStyle w:val="46"/>
                    <w:keepNext w:val="0"/>
                    <w:keepLines w:val="0"/>
                    <w:suppressLineNumbers w:val="0"/>
                    <w:bidi w:val="0"/>
                    <w:spacing w:before="0" w:beforeAutospacing="0" w:after="0" w:afterAutospacing="0"/>
                    <w:rPr>
                      <w:b/>
                      <w:bCs/>
                      <w:color w:val="000000" w:themeColor="text1"/>
                      <w14:textFill>
                        <w14:solidFill>
                          <w14:schemeClr w14:val="tx1"/>
                        </w14:solidFill>
                      </w14:textFill>
                    </w:rPr>
                  </w:pPr>
                  <w:r>
                    <w:rPr>
                      <w:b/>
                      <w:bCs/>
                      <w:color w:val="000000" w:themeColor="text1"/>
                      <w14:textFill>
                        <w14:solidFill>
                          <w14:schemeClr w14:val="tx1"/>
                        </w14:solidFill>
                      </w14:textFill>
                    </w:rPr>
                    <w:t>坐标</w:t>
                  </w:r>
                </w:p>
              </w:tc>
              <w:tc>
                <w:tcPr>
                  <w:tcW w:w="1023" w:type="pct"/>
                  <w:vMerge w:val="restart"/>
                  <w:noWrap w:val="0"/>
                  <w:vAlign w:val="center"/>
                </w:tcPr>
                <w:p w14:paraId="36527820">
                  <w:pPr>
                    <w:pStyle w:val="46"/>
                    <w:keepNext w:val="0"/>
                    <w:keepLines w:val="0"/>
                    <w:suppressLineNumbers w:val="0"/>
                    <w:bidi w:val="0"/>
                    <w:spacing w:before="0" w:beforeAutospacing="0" w:after="0" w:afterAutospacing="0"/>
                    <w:rPr>
                      <w:b/>
                      <w:bCs/>
                      <w:color w:val="000000" w:themeColor="text1"/>
                      <w14:textFill>
                        <w14:solidFill>
                          <w14:schemeClr w14:val="tx1"/>
                        </w14:solidFill>
                      </w14:textFill>
                    </w:rPr>
                  </w:pPr>
                  <w:r>
                    <w:rPr>
                      <w:b/>
                      <w:bCs/>
                      <w:color w:val="000000" w:themeColor="text1"/>
                      <w14:textFill>
                        <w14:solidFill>
                          <w14:schemeClr w14:val="tx1"/>
                        </w14:solidFill>
                      </w14:textFill>
                    </w:rPr>
                    <w:t>保护内容</w:t>
                  </w:r>
                  <w:r>
                    <w:rPr>
                      <w:rFonts w:hint="eastAsia"/>
                      <w:b/>
                      <w:bCs/>
                      <w:color w:val="000000" w:themeColor="text1"/>
                      <w14:textFill>
                        <w14:solidFill>
                          <w14:schemeClr w14:val="tx1"/>
                        </w14:solidFill>
                      </w14:textFill>
                    </w:rPr>
                    <w:t>（户/人）</w:t>
                  </w:r>
                </w:p>
              </w:tc>
              <w:tc>
                <w:tcPr>
                  <w:tcW w:w="628" w:type="pct"/>
                  <w:vMerge w:val="restart"/>
                  <w:noWrap w:val="0"/>
                  <w:vAlign w:val="center"/>
                </w:tcPr>
                <w:p w14:paraId="5F08A753">
                  <w:pPr>
                    <w:pStyle w:val="46"/>
                    <w:keepNext w:val="0"/>
                    <w:keepLines w:val="0"/>
                    <w:suppressLineNumbers w:val="0"/>
                    <w:bidi w:val="0"/>
                    <w:spacing w:before="0" w:beforeAutospacing="0" w:after="0" w:afterAutospacing="0"/>
                    <w:rPr>
                      <w:rFonts w:hint="eastAsia"/>
                      <w:b/>
                      <w:bCs/>
                      <w:color w:val="000000" w:themeColor="text1"/>
                      <w14:textFill>
                        <w14:solidFill>
                          <w14:schemeClr w14:val="tx1"/>
                        </w14:solidFill>
                      </w14:textFill>
                    </w:rPr>
                  </w:pPr>
                  <w:r>
                    <w:rPr>
                      <w:b/>
                      <w:bCs/>
                      <w:color w:val="000000" w:themeColor="text1"/>
                      <w14:textFill>
                        <w14:solidFill>
                          <w14:schemeClr w14:val="tx1"/>
                        </w14:solidFill>
                      </w14:textFill>
                    </w:rPr>
                    <w:t>环境功能</w:t>
                  </w:r>
                </w:p>
                <w:p w14:paraId="76355F05">
                  <w:pPr>
                    <w:pStyle w:val="46"/>
                    <w:keepNext w:val="0"/>
                    <w:keepLines w:val="0"/>
                    <w:suppressLineNumbers w:val="0"/>
                    <w:bidi w:val="0"/>
                    <w:spacing w:before="0" w:beforeAutospacing="0" w:after="0" w:afterAutospacing="0"/>
                    <w:rPr>
                      <w:b/>
                      <w:bCs/>
                      <w:color w:val="000000" w:themeColor="text1"/>
                      <w14:textFill>
                        <w14:solidFill>
                          <w14:schemeClr w14:val="tx1"/>
                        </w14:solidFill>
                      </w14:textFill>
                    </w:rPr>
                  </w:pPr>
                  <w:r>
                    <w:rPr>
                      <w:b/>
                      <w:bCs/>
                      <w:color w:val="000000" w:themeColor="text1"/>
                      <w14:textFill>
                        <w14:solidFill>
                          <w14:schemeClr w14:val="tx1"/>
                        </w14:solidFill>
                      </w14:textFill>
                    </w:rPr>
                    <w:t>区划</w:t>
                  </w:r>
                </w:p>
              </w:tc>
              <w:tc>
                <w:tcPr>
                  <w:tcW w:w="538" w:type="pct"/>
                  <w:vMerge w:val="restart"/>
                  <w:noWrap w:val="0"/>
                  <w:vAlign w:val="center"/>
                </w:tcPr>
                <w:p w14:paraId="71F917C8">
                  <w:pPr>
                    <w:pStyle w:val="46"/>
                    <w:keepNext w:val="0"/>
                    <w:keepLines w:val="0"/>
                    <w:suppressLineNumbers w:val="0"/>
                    <w:bidi w:val="0"/>
                    <w:spacing w:before="0" w:beforeAutospacing="0" w:after="0" w:afterAutospacing="0"/>
                    <w:rPr>
                      <w:b/>
                      <w:bCs/>
                      <w:color w:val="000000" w:themeColor="text1"/>
                      <w14:textFill>
                        <w14:solidFill>
                          <w14:schemeClr w14:val="tx1"/>
                        </w14:solidFill>
                      </w14:textFill>
                    </w:rPr>
                  </w:pPr>
                  <w:r>
                    <w:rPr>
                      <w:b/>
                      <w:bCs/>
                      <w:color w:val="000000" w:themeColor="text1"/>
                      <w14:textFill>
                        <w14:solidFill>
                          <w14:schemeClr w14:val="tx1"/>
                        </w14:solidFill>
                      </w14:textFill>
                    </w:rPr>
                    <w:t>相对厂址方位</w:t>
                  </w:r>
                </w:p>
              </w:tc>
              <w:tc>
                <w:tcPr>
                  <w:tcW w:w="485" w:type="pct"/>
                  <w:vMerge w:val="restart"/>
                  <w:noWrap w:val="0"/>
                  <w:vAlign w:val="center"/>
                </w:tcPr>
                <w:p w14:paraId="5DAA868C">
                  <w:pPr>
                    <w:pStyle w:val="46"/>
                    <w:keepNext w:val="0"/>
                    <w:keepLines w:val="0"/>
                    <w:suppressLineNumbers w:val="0"/>
                    <w:bidi w:val="0"/>
                    <w:spacing w:before="0" w:beforeAutospacing="0" w:after="0" w:afterAutospacing="0"/>
                    <w:rPr>
                      <w:b/>
                      <w:bCs/>
                      <w:color w:val="000000" w:themeColor="text1"/>
                      <w14:textFill>
                        <w14:solidFill>
                          <w14:schemeClr w14:val="tx1"/>
                        </w14:solidFill>
                      </w14:textFill>
                    </w:rPr>
                  </w:pPr>
                  <w:r>
                    <w:rPr>
                      <w:b/>
                      <w:bCs/>
                      <w:color w:val="000000" w:themeColor="text1"/>
                      <w14:textFill>
                        <w14:solidFill>
                          <w14:schemeClr w14:val="tx1"/>
                        </w14:solidFill>
                      </w14:textFill>
                    </w:rPr>
                    <w:t>相对厂界距离</w:t>
                  </w:r>
                </w:p>
              </w:tc>
            </w:tr>
            <w:tr w14:paraId="082EA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73" w:type="pct"/>
                  <w:vMerge w:val="continue"/>
                  <w:noWrap w:val="0"/>
                  <w:vAlign w:val="center"/>
                </w:tcPr>
                <w:p w14:paraId="1B6740C5">
                  <w:pPr>
                    <w:pStyle w:val="46"/>
                    <w:keepNext w:val="0"/>
                    <w:keepLines w:val="0"/>
                    <w:suppressLineNumbers w:val="0"/>
                    <w:bidi w:val="0"/>
                    <w:spacing w:before="0" w:beforeAutospacing="0" w:after="0" w:afterAutospacing="0"/>
                    <w:rPr>
                      <w:color w:val="000000" w:themeColor="text1"/>
                      <w14:textFill>
                        <w14:solidFill>
                          <w14:schemeClr w14:val="tx1"/>
                        </w14:solidFill>
                      </w14:textFill>
                    </w:rPr>
                  </w:pPr>
                </w:p>
              </w:tc>
              <w:tc>
                <w:tcPr>
                  <w:tcW w:w="636" w:type="pct"/>
                  <w:vMerge w:val="continue"/>
                  <w:noWrap w:val="0"/>
                  <w:vAlign w:val="center"/>
                </w:tcPr>
                <w:p w14:paraId="04B245B8">
                  <w:pPr>
                    <w:pStyle w:val="46"/>
                    <w:keepNext w:val="0"/>
                    <w:keepLines w:val="0"/>
                    <w:suppressLineNumbers w:val="0"/>
                    <w:bidi w:val="0"/>
                    <w:spacing w:before="0" w:beforeAutospacing="0" w:after="0" w:afterAutospacing="0"/>
                    <w:rPr>
                      <w:color w:val="000000" w:themeColor="text1"/>
                      <w14:textFill>
                        <w14:solidFill>
                          <w14:schemeClr w14:val="tx1"/>
                        </w14:solidFill>
                      </w14:textFill>
                    </w:rPr>
                  </w:pPr>
                </w:p>
              </w:tc>
              <w:tc>
                <w:tcPr>
                  <w:tcW w:w="735" w:type="pct"/>
                  <w:noWrap w:val="0"/>
                  <w:vAlign w:val="center"/>
                </w:tcPr>
                <w:p w14:paraId="66B4ADD2">
                  <w:pPr>
                    <w:pStyle w:val="46"/>
                    <w:keepNext w:val="0"/>
                    <w:keepLines w:val="0"/>
                    <w:suppressLineNumbers w:val="0"/>
                    <w:bidi w:val="0"/>
                    <w:spacing w:before="0" w:beforeAutospacing="0" w:after="0" w:afterAutospacing="0"/>
                    <w:rPr>
                      <w:b/>
                      <w:bCs/>
                      <w:color w:val="000000" w:themeColor="text1"/>
                      <w14:textFill>
                        <w14:solidFill>
                          <w14:schemeClr w14:val="tx1"/>
                        </w14:solidFill>
                      </w14:textFill>
                    </w:rPr>
                  </w:pPr>
                  <w:r>
                    <w:rPr>
                      <w:b/>
                      <w:bCs/>
                      <w:color w:val="000000" w:themeColor="text1"/>
                      <w14:textFill>
                        <w14:solidFill>
                          <w14:schemeClr w14:val="tx1"/>
                        </w14:solidFill>
                      </w14:textFill>
                    </w:rPr>
                    <w:t>X</w:t>
                  </w:r>
                </w:p>
              </w:tc>
              <w:tc>
                <w:tcPr>
                  <w:tcW w:w="679" w:type="pct"/>
                  <w:noWrap w:val="0"/>
                  <w:vAlign w:val="center"/>
                </w:tcPr>
                <w:p w14:paraId="0B7FC47A">
                  <w:pPr>
                    <w:pStyle w:val="46"/>
                    <w:keepNext w:val="0"/>
                    <w:keepLines w:val="0"/>
                    <w:suppressLineNumbers w:val="0"/>
                    <w:bidi w:val="0"/>
                    <w:spacing w:before="0" w:beforeAutospacing="0" w:after="0" w:afterAutospacing="0"/>
                    <w:rPr>
                      <w:b/>
                      <w:bCs/>
                      <w:color w:val="000000" w:themeColor="text1"/>
                      <w14:textFill>
                        <w14:solidFill>
                          <w14:schemeClr w14:val="tx1"/>
                        </w14:solidFill>
                      </w14:textFill>
                    </w:rPr>
                  </w:pPr>
                  <w:r>
                    <w:rPr>
                      <w:b/>
                      <w:bCs/>
                      <w:color w:val="000000" w:themeColor="text1"/>
                      <w14:textFill>
                        <w14:solidFill>
                          <w14:schemeClr w14:val="tx1"/>
                        </w14:solidFill>
                      </w14:textFill>
                    </w:rPr>
                    <w:t>Y</w:t>
                  </w:r>
                </w:p>
              </w:tc>
              <w:tc>
                <w:tcPr>
                  <w:tcW w:w="1023" w:type="pct"/>
                  <w:vMerge w:val="continue"/>
                  <w:noWrap w:val="0"/>
                  <w:vAlign w:val="center"/>
                </w:tcPr>
                <w:p w14:paraId="30832831">
                  <w:pPr>
                    <w:pStyle w:val="46"/>
                    <w:keepNext w:val="0"/>
                    <w:keepLines w:val="0"/>
                    <w:suppressLineNumbers w:val="0"/>
                    <w:bidi w:val="0"/>
                    <w:spacing w:before="0" w:beforeAutospacing="0" w:after="0" w:afterAutospacing="0"/>
                    <w:rPr>
                      <w:color w:val="000000" w:themeColor="text1"/>
                      <w14:textFill>
                        <w14:solidFill>
                          <w14:schemeClr w14:val="tx1"/>
                        </w14:solidFill>
                      </w14:textFill>
                    </w:rPr>
                  </w:pPr>
                </w:p>
              </w:tc>
              <w:tc>
                <w:tcPr>
                  <w:tcW w:w="628" w:type="pct"/>
                  <w:vMerge w:val="continue"/>
                  <w:noWrap w:val="0"/>
                  <w:vAlign w:val="center"/>
                </w:tcPr>
                <w:p w14:paraId="6209EA4C">
                  <w:pPr>
                    <w:pStyle w:val="46"/>
                    <w:keepNext w:val="0"/>
                    <w:keepLines w:val="0"/>
                    <w:suppressLineNumbers w:val="0"/>
                    <w:bidi w:val="0"/>
                    <w:spacing w:before="0" w:beforeAutospacing="0" w:after="0" w:afterAutospacing="0"/>
                    <w:rPr>
                      <w:color w:val="000000" w:themeColor="text1"/>
                      <w14:textFill>
                        <w14:solidFill>
                          <w14:schemeClr w14:val="tx1"/>
                        </w14:solidFill>
                      </w14:textFill>
                    </w:rPr>
                  </w:pPr>
                </w:p>
              </w:tc>
              <w:tc>
                <w:tcPr>
                  <w:tcW w:w="538" w:type="pct"/>
                  <w:vMerge w:val="continue"/>
                  <w:noWrap w:val="0"/>
                  <w:vAlign w:val="center"/>
                </w:tcPr>
                <w:p w14:paraId="6A3F840C">
                  <w:pPr>
                    <w:pStyle w:val="46"/>
                    <w:keepNext w:val="0"/>
                    <w:keepLines w:val="0"/>
                    <w:suppressLineNumbers w:val="0"/>
                    <w:bidi w:val="0"/>
                    <w:spacing w:before="0" w:beforeAutospacing="0" w:after="0" w:afterAutospacing="0"/>
                    <w:rPr>
                      <w:color w:val="000000" w:themeColor="text1"/>
                      <w14:textFill>
                        <w14:solidFill>
                          <w14:schemeClr w14:val="tx1"/>
                        </w14:solidFill>
                      </w14:textFill>
                    </w:rPr>
                  </w:pPr>
                </w:p>
              </w:tc>
              <w:tc>
                <w:tcPr>
                  <w:tcW w:w="485" w:type="pct"/>
                  <w:vMerge w:val="continue"/>
                  <w:noWrap w:val="0"/>
                  <w:vAlign w:val="center"/>
                </w:tcPr>
                <w:p w14:paraId="247187F2">
                  <w:pPr>
                    <w:pStyle w:val="46"/>
                    <w:keepNext w:val="0"/>
                    <w:keepLines w:val="0"/>
                    <w:suppressLineNumbers w:val="0"/>
                    <w:bidi w:val="0"/>
                    <w:spacing w:before="0" w:beforeAutospacing="0" w:after="0" w:afterAutospacing="0"/>
                    <w:rPr>
                      <w:color w:val="000000" w:themeColor="text1"/>
                      <w14:textFill>
                        <w14:solidFill>
                          <w14:schemeClr w14:val="tx1"/>
                        </w14:solidFill>
                      </w14:textFill>
                    </w:rPr>
                  </w:pPr>
                </w:p>
              </w:tc>
            </w:tr>
            <w:tr w14:paraId="18B2C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73" w:type="pct"/>
                  <w:shd w:val="clear" w:color="auto" w:fill="auto"/>
                  <w:noWrap w:val="0"/>
                  <w:vAlign w:val="center"/>
                </w:tcPr>
                <w:p w14:paraId="6E83CF0F">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14:textFill>
                        <w14:solidFill>
                          <w14:schemeClr w14:val="tx1"/>
                        </w14:solidFill>
                      </w14:textFill>
                    </w:rPr>
                    <w:t>1</w:t>
                  </w:r>
                </w:p>
              </w:tc>
              <w:tc>
                <w:tcPr>
                  <w:tcW w:w="636" w:type="pct"/>
                  <w:shd w:val="clear" w:color="auto" w:fill="auto"/>
                  <w:noWrap w:val="0"/>
                  <w:vAlign w:val="center"/>
                </w:tcPr>
                <w:p w14:paraId="00D3A709">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孟岗</w:t>
                  </w:r>
                </w:p>
              </w:tc>
              <w:tc>
                <w:tcPr>
                  <w:tcW w:w="735" w:type="pct"/>
                  <w:shd w:val="clear" w:color="auto" w:fill="auto"/>
                  <w:noWrap w:val="0"/>
                  <w:vAlign w:val="center"/>
                </w:tcPr>
                <w:p w14:paraId="67667F33">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color w:val="000000" w:themeColor="text1"/>
                      <w:lang w:val="en-US" w:eastAsia="zh-CN"/>
                      <w14:textFill>
                        <w14:solidFill>
                          <w14:schemeClr w14:val="tx1"/>
                        </w14:solidFill>
                      </w14:textFill>
                    </w:rPr>
                    <w:t>116.893711</w:t>
                  </w:r>
                </w:p>
              </w:tc>
              <w:tc>
                <w:tcPr>
                  <w:tcW w:w="679" w:type="pct"/>
                  <w:shd w:val="clear" w:color="auto" w:fill="auto"/>
                  <w:noWrap w:val="0"/>
                  <w:vAlign w:val="center"/>
                </w:tcPr>
                <w:p w14:paraId="0E938B62">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color w:val="000000" w:themeColor="text1"/>
                      <w:lang w:val="en-US" w:eastAsia="zh-CN"/>
                      <w14:textFill>
                        <w14:solidFill>
                          <w14:schemeClr w14:val="tx1"/>
                        </w14:solidFill>
                      </w14:textFill>
                    </w:rPr>
                    <w:t>32.564429</w:t>
                  </w:r>
                </w:p>
              </w:tc>
              <w:tc>
                <w:tcPr>
                  <w:tcW w:w="1023" w:type="pct"/>
                  <w:shd w:val="clear" w:color="auto" w:fill="auto"/>
                  <w:noWrap w:val="0"/>
                  <w:vAlign w:val="center"/>
                </w:tcPr>
                <w:p w14:paraId="65352CC3">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约25户，80人</w:t>
                  </w:r>
                </w:p>
              </w:tc>
              <w:tc>
                <w:tcPr>
                  <w:tcW w:w="628" w:type="pct"/>
                  <w:vMerge w:val="restart"/>
                  <w:noWrap w:val="0"/>
                  <w:vAlign w:val="center"/>
                </w:tcPr>
                <w:p w14:paraId="19A521F0">
                  <w:pPr>
                    <w:pStyle w:val="46"/>
                    <w:keepNext w:val="0"/>
                    <w:keepLines w:val="0"/>
                    <w:suppressLineNumbers w:val="0"/>
                    <w:bidi w:val="0"/>
                    <w:spacing w:before="0" w:beforeAutospacing="0" w:after="0" w:afterAutospacing="0"/>
                    <w:rPr>
                      <w:color w:val="000000" w:themeColor="text1"/>
                      <w14:textFill>
                        <w14:solidFill>
                          <w14:schemeClr w14:val="tx1"/>
                        </w14:solidFill>
                      </w14:textFill>
                    </w:rPr>
                  </w:pPr>
                  <w:r>
                    <w:rPr>
                      <w:color w:val="000000" w:themeColor="text1"/>
                      <w14:textFill>
                        <w14:solidFill>
                          <w14:schemeClr w14:val="tx1"/>
                        </w14:solidFill>
                      </w14:textFill>
                    </w:rPr>
                    <w:t>《环境空气质量标准</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（GB3095-20</w:t>
                  </w:r>
                  <w:r>
                    <w:rPr>
                      <w:rFonts w:hint="eastAsia"/>
                      <w:color w:val="000000" w:themeColor="text1"/>
                      <w:lang w:val="en-US" w:eastAsia="zh-CN"/>
                      <w14:textFill>
                        <w14:solidFill>
                          <w14:schemeClr w14:val="tx1"/>
                        </w14:solidFill>
                      </w14:textFill>
                    </w:rPr>
                    <w:t>26</w:t>
                  </w:r>
                  <w:r>
                    <w:rPr>
                      <w:color w:val="000000" w:themeColor="text1"/>
                      <w14:textFill>
                        <w14:solidFill>
                          <w14:schemeClr w14:val="tx1"/>
                        </w14:solidFill>
                      </w14:textFill>
                    </w:rPr>
                    <w:t>）中的二级标准</w:t>
                  </w:r>
                </w:p>
              </w:tc>
              <w:tc>
                <w:tcPr>
                  <w:tcW w:w="538" w:type="pct"/>
                  <w:shd w:val="clear" w:color="auto" w:fill="auto"/>
                  <w:noWrap w:val="0"/>
                  <w:vAlign w:val="center"/>
                </w:tcPr>
                <w:p w14:paraId="481BBC89">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东北</w:t>
                  </w:r>
                </w:p>
              </w:tc>
              <w:tc>
                <w:tcPr>
                  <w:tcW w:w="485" w:type="pct"/>
                  <w:shd w:val="clear" w:color="auto" w:fill="auto"/>
                  <w:noWrap w:val="0"/>
                  <w:vAlign w:val="center"/>
                </w:tcPr>
                <w:p w14:paraId="1A4D94EB">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193</w:t>
                  </w:r>
                </w:p>
              </w:tc>
            </w:tr>
            <w:tr w14:paraId="5B195B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73" w:type="pct"/>
                  <w:shd w:val="clear" w:color="auto" w:fill="auto"/>
                  <w:noWrap w:val="0"/>
                  <w:vAlign w:val="center"/>
                </w:tcPr>
                <w:p w14:paraId="61B11D60">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14:textFill>
                        <w14:solidFill>
                          <w14:schemeClr w14:val="tx1"/>
                        </w14:solidFill>
                      </w14:textFill>
                    </w:rPr>
                    <w:t>2</w:t>
                  </w:r>
                </w:p>
              </w:tc>
              <w:tc>
                <w:tcPr>
                  <w:tcW w:w="636" w:type="pct"/>
                  <w:shd w:val="clear" w:color="auto" w:fill="auto"/>
                  <w:noWrap w:val="0"/>
                  <w:vAlign w:val="center"/>
                </w:tcPr>
                <w:p w14:paraId="36E61497">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蔡郢孜</w:t>
                  </w:r>
                </w:p>
              </w:tc>
              <w:tc>
                <w:tcPr>
                  <w:tcW w:w="735" w:type="pct"/>
                  <w:shd w:val="clear" w:color="auto" w:fill="auto"/>
                  <w:noWrap w:val="0"/>
                  <w:vAlign w:val="center"/>
                </w:tcPr>
                <w:p w14:paraId="2A8E4A0D">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116.8943252</w:t>
                  </w:r>
                </w:p>
              </w:tc>
              <w:tc>
                <w:tcPr>
                  <w:tcW w:w="679" w:type="pct"/>
                  <w:shd w:val="clear" w:color="auto" w:fill="auto"/>
                  <w:noWrap w:val="0"/>
                  <w:vAlign w:val="center"/>
                </w:tcPr>
                <w:p w14:paraId="69B47178">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32.558760</w:t>
                  </w:r>
                </w:p>
              </w:tc>
              <w:tc>
                <w:tcPr>
                  <w:tcW w:w="1023" w:type="pct"/>
                  <w:shd w:val="clear" w:color="auto" w:fill="auto"/>
                  <w:noWrap w:val="0"/>
                  <w:vAlign w:val="center"/>
                </w:tcPr>
                <w:p w14:paraId="6542A712">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约10户，32人</w:t>
                  </w:r>
                </w:p>
              </w:tc>
              <w:tc>
                <w:tcPr>
                  <w:tcW w:w="628" w:type="pct"/>
                  <w:vMerge w:val="continue"/>
                  <w:noWrap w:val="0"/>
                  <w:vAlign w:val="center"/>
                </w:tcPr>
                <w:p w14:paraId="13E95992">
                  <w:pPr>
                    <w:pStyle w:val="46"/>
                    <w:keepNext w:val="0"/>
                    <w:keepLines w:val="0"/>
                    <w:suppressLineNumbers w:val="0"/>
                    <w:bidi w:val="0"/>
                    <w:spacing w:before="0" w:beforeAutospacing="0" w:after="0" w:afterAutospacing="0"/>
                    <w:rPr>
                      <w:color w:val="000000" w:themeColor="text1"/>
                      <w14:textFill>
                        <w14:solidFill>
                          <w14:schemeClr w14:val="tx1"/>
                        </w14:solidFill>
                      </w14:textFill>
                    </w:rPr>
                  </w:pPr>
                </w:p>
              </w:tc>
              <w:tc>
                <w:tcPr>
                  <w:tcW w:w="538" w:type="pct"/>
                  <w:shd w:val="clear" w:color="auto" w:fill="auto"/>
                  <w:noWrap w:val="0"/>
                  <w:vAlign w:val="center"/>
                </w:tcPr>
                <w:p w14:paraId="70B33B3D">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东南</w:t>
                  </w:r>
                </w:p>
              </w:tc>
              <w:tc>
                <w:tcPr>
                  <w:tcW w:w="485" w:type="pct"/>
                  <w:shd w:val="clear" w:color="auto" w:fill="auto"/>
                  <w:noWrap w:val="0"/>
                  <w:vAlign w:val="center"/>
                </w:tcPr>
                <w:p w14:paraId="44B5E7E8">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487</w:t>
                  </w:r>
                </w:p>
              </w:tc>
            </w:tr>
            <w:tr w14:paraId="1F8E5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73" w:type="pct"/>
                  <w:shd w:val="clear" w:color="auto" w:fill="auto"/>
                  <w:noWrap w:val="0"/>
                  <w:vAlign w:val="center"/>
                </w:tcPr>
                <w:p w14:paraId="39BBF134">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14:textFill>
                        <w14:solidFill>
                          <w14:schemeClr w14:val="tx1"/>
                        </w14:solidFill>
                      </w14:textFill>
                    </w:rPr>
                    <w:t>3</w:t>
                  </w:r>
                </w:p>
              </w:tc>
              <w:tc>
                <w:tcPr>
                  <w:tcW w:w="636" w:type="pct"/>
                  <w:shd w:val="clear" w:color="auto" w:fill="auto"/>
                  <w:noWrap w:val="0"/>
                  <w:vAlign w:val="center"/>
                </w:tcPr>
                <w:p w14:paraId="4EEFB884">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九丫椿</w:t>
                  </w:r>
                </w:p>
              </w:tc>
              <w:tc>
                <w:tcPr>
                  <w:tcW w:w="735" w:type="pct"/>
                  <w:shd w:val="clear" w:color="auto" w:fill="auto"/>
                  <w:noWrap w:val="0"/>
                  <w:vAlign w:val="center"/>
                </w:tcPr>
                <w:p w14:paraId="7C0B4F04">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color w:val="000000" w:themeColor="text1"/>
                      <w:lang w:val="en-US" w:eastAsia="zh-CN"/>
                      <w14:textFill>
                        <w14:solidFill>
                          <w14:schemeClr w14:val="tx1"/>
                        </w14:solidFill>
                      </w14:textFill>
                    </w:rPr>
                    <w:t>116.888759</w:t>
                  </w:r>
                </w:p>
              </w:tc>
              <w:tc>
                <w:tcPr>
                  <w:tcW w:w="679" w:type="pct"/>
                  <w:shd w:val="clear" w:color="auto" w:fill="auto"/>
                  <w:noWrap w:val="0"/>
                  <w:vAlign w:val="center"/>
                </w:tcPr>
                <w:p w14:paraId="6AF31D82">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color w:val="000000" w:themeColor="text1"/>
                      <w:lang w:val="en-US" w:eastAsia="zh-CN"/>
                      <w14:textFill>
                        <w14:solidFill>
                          <w14:schemeClr w14:val="tx1"/>
                        </w14:solidFill>
                      </w14:textFill>
                    </w:rPr>
                    <w:t>32.563606</w:t>
                  </w:r>
                </w:p>
              </w:tc>
              <w:tc>
                <w:tcPr>
                  <w:tcW w:w="1023" w:type="pct"/>
                  <w:shd w:val="clear" w:color="auto" w:fill="auto"/>
                  <w:noWrap w:val="0"/>
                  <w:vAlign w:val="center"/>
                </w:tcPr>
                <w:p w14:paraId="1F96E8E2">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约20户，65人</w:t>
                  </w:r>
                </w:p>
              </w:tc>
              <w:tc>
                <w:tcPr>
                  <w:tcW w:w="628" w:type="pct"/>
                  <w:vMerge w:val="continue"/>
                  <w:noWrap w:val="0"/>
                  <w:vAlign w:val="center"/>
                </w:tcPr>
                <w:p w14:paraId="702D8EA5">
                  <w:pPr>
                    <w:pStyle w:val="46"/>
                    <w:keepNext w:val="0"/>
                    <w:keepLines w:val="0"/>
                    <w:suppressLineNumbers w:val="0"/>
                    <w:bidi w:val="0"/>
                    <w:spacing w:before="0" w:beforeAutospacing="0" w:after="0" w:afterAutospacing="0"/>
                    <w:rPr>
                      <w:color w:val="000000" w:themeColor="text1"/>
                      <w14:textFill>
                        <w14:solidFill>
                          <w14:schemeClr w14:val="tx1"/>
                        </w14:solidFill>
                      </w14:textFill>
                    </w:rPr>
                  </w:pPr>
                </w:p>
              </w:tc>
              <w:tc>
                <w:tcPr>
                  <w:tcW w:w="538" w:type="pct"/>
                  <w:shd w:val="clear" w:color="auto" w:fill="auto"/>
                  <w:noWrap w:val="0"/>
                  <w:vAlign w:val="center"/>
                </w:tcPr>
                <w:p w14:paraId="3907D29E">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西南</w:t>
                  </w:r>
                </w:p>
              </w:tc>
              <w:tc>
                <w:tcPr>
                  <w:tcW w:w="485" w:type="pct"/>
                  <w:shd w:val="clear" w:color="auto" w:fill="auto"/>
                  <w:noWrap w:val="0"/>
                  <w:vAlign w:val="center"/>
                </w:tcPr>
                <w:p w14:paraId="786043F1">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368</w:t>
                  </w:r>
                </w:p>
              </w:tc>
            </w:tr>
            <w:tr w14:paraId="25E55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4" w:hRule="atLeast"/>
                <w:jc w:val="center"/>
              </w:trPr>
              <w:tc>
                <w:tcPr>
                  <w:tcW w:w="273" w:type="pct"/>
                  <w:shd w:val="clear" w:color="auto" w:fill="auto"/>
                  <w:noWrap w:val="0"/>
                  <w:vAlign w:val="center"/>
                </w:tcPr>
                <w:p w14:paraId="7B8EA616">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4</w:t>
                  </w:r>
                </w:p>
              </w:tc>
              <w:tc>
                <w:tcPr>
                  <w:tcW w:w="636" w:type="pct"/>
                  <w:shd w:val="clear" w:color="auto" w:fill="auto"/>
                  <w:noWrap w:val="0"/>
                  <w:vAlign w:val="center"/>
                </w:tcPr>
                <w:p w14:paraId="019630C6">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新河村</w:t>
                  </w:r>
                </w:p>
              </w:tc>
              <w:tc>
                <w:tcPr>
                  <w:tcW w:w="735" w:type="pct"/>
                  <w:shd w:val="clear" w:color="auto" w:fill="auto"/>
                  <w:noWrap w:val="0"/>
                  <w:vAlign w:val="center"/>
                </w:tcPr>
                <w:p w14:paraId="0984FDEB">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116.8874158</w:t>
                  </w:r>
                </w:p>
              </w:tc>
              <w:tc>
                <w:tcPr>
                  <w:tcW w:w="679" w:type="pct"/>
                  <w:shd w:val="clear" w:color="auto" w:fill="auto"/>
                  <w:noWrap w:val="0"/>
                  <w:vAlign w:val="center"/>
                </w:tcPr>
                <w:p w14:paraId="6CAA34A3">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32.559554</w:t>
                  </w:r>
                </w:p>
              </w:tc>
              <w:tc>
                <w:tcPr>
                  <w:tcW w:w="1023" w:type="pct"/>
                  <w:shd w:val="clear" w:color="auto" w:fill="auto"/>
                  <w:noWrap w:val="0"/>
                  <w:vAlign w:val="center"/>
                </w:tcPr>
                <w:p w14:paraId="055E4A77">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约30户，100人</w:t>
                  </w:r>
                </w:p>
              </w:tc>
              <w:tc>
                <w:tcPr>
                  <w:tcW w:w="628" w:type="pct"/>
                  <w:vMerge w:val="continue"/>
                  <w:noWrap w:val="0"/>
                  <w:vAlign w:val="center"/>
                </w:tcPr>
                <w:p w14:paraId="09C5D47F">
                  <w:pPr>
                    <w:pStyle w:val="46"/>
                    <w:keepNext w:val="0"/>
                    <w:keepLines w:val="0"/>
                    <w:suppressLineNumbers w:val="0"/>
                    <w:bidi w:val="0"/>
                    <w:spacing w:before="0" w:beforeAutospacing="0" w:after="0" w:afterAutospacing="0"/>
                    <w:rPr>
                      <w:color w:val="000000" w:themeColor="text1"/>
                      <w14:textFill>
                        <w14:solidFill>
                          <w14:schemeClr w14:val="tx1"/>
                        </w14:solidFill>
                      </w14:textFill>
                    </w:rPr>
                  </w:pPr>
                </w:p>
              </w:tc>
              <w:tc>
                <w:tcPr>
                  <w:tcW w:w="538" w:type="pct"/>
                  <w:shd w:val="clear" w:color="auto" w:fill="auto"/>
                  <w:noWrap w:val="0"/>
                  <w:vAlign w:val="center"/>
                </w:tcPr>
                <w:p w14:paraId="7A70AFFC">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西南</w:t>
                  </w:r>
                </w:p>
              </w:tc>
              <w:tc>
                <w:tcPr>
                  <w:tcW w:w="485" w:type="pct"/>
                  <w:shd w:val="clear" w:color="auto" w:fill="auto"/>
                  <w:noWrap w:val="0"/>
                  <w:vAlign w:val="center"/>
                </w:tcPr>
                <w:p w14:paraId="1F40B3D1">
                  <w:pPr>
                    <w:pStyle w:val="46"/>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464</w:t>
                  </w:r>
                </w:p>
              </w:tc>
            </w:tr>
          </w:tbl>
          <w:p w14:paraId="184B948E">
            <w:pPr>
              <w:keepNext w:val="0"/>
              <w:keepLines w:val="0"/>
              <w:suppressLineNumbers w:val="0"/>
              <w:bidi w:val="0"/>
              <w:spacing w:before="0" w:beforeAutospacing="0" w:after="0" w:afterAutospacing="0"/>
              <w:ind w:left="0" w:right="0"/>
              <w:rPr>
                <w:rFonts w:hint="eastAsia"/>
                <w:b/>
                <w:bCs/>
                <w:color w:val="000000" w:themeColor="text1"/>
                <w:highlight w:val="none"/>
                <w:lang w:val="en-US" w:eastAsia="zh-CN"/>
                <w14:textFill>
                  <w14:solidFill>
                    <w14:schemeClr w14:val="tx1"/>
                  </w14:solidFill>
                </w14:textFill>
              </w:rPr>
            </w:pPr>
            <w:r>
              <w:rPr>
                <w:rFonts w:hint="eastAsia"/>
                <w:b/>
                <w:bCs/>
                <w:color w:val="000000" w:themeColor="text1"/>
                <w:highlight w:val="none"/>
                <w:lang w:val="en-US" w:eastAsia="zh-CN"/>
                <w14:textFill>
                  <w14:solidFill>
                    <w14:schemeClr w14:val="tx1"/>
                  </w14:solidFill>
                </w14:textFill>
              </w:rPr>
              <w:t>2</w:t>
            </w:r>
            <w:r>
              <w:rPr>
                <w:rFonts w:hint="eastAsia"/>
                <w:b/>
                <w:bCs/>
                <w:color w:val="000000" w:themeColor="text1"/>
                <w:highlight w:val="none"/>
                <w14:textFill>
                  <w14:solidFill>
                    <w14:schemeClr w14:val="tx1"/>
                  </w14:solidFill>
                </w14:textFill>
              </w:rPr>
              <w:t>、</w:t>
            </w:r>
            <w:r>
              <w:rPr>
                <w:rFonts w:hint="eastAsia"/>
                <w:b/>
                <w:bCs/>
                <w:color w:val="000000" w:themeColor="text1"/>
                <w:highlight w:val="none"/>
                <w:lang w:val="en-US" w:eastAsia="zh-CN"/>
                <w14:textFill>
                  <w14:solidFill>
                    <w14:schemeClr w14:val="tx1"/>
                  </w14:solidFill>
                </w14:textFill>
              </w:rPr>
              <w:t>声环境</w:t>
            </w:r>
            <w:r>
              <w:rPr>
                <w:rFonts w:hint="eastAsia"/>
                <w:b/>
                <w:bCs/>
                <w:color w:val="000000" w:themeColor="text1"/>
                <w14:textFill>
                  <w14:solidFill>
                    <w14:schemeClr w14:val="tx1"/>
                  </w14:solidFill>
                </w14:textFill>
              </w:rPr>
              <w:t>保护目标</w:t>
            </w:r>
          </w:p>
          <w:p w14:paraId="28AA02A9">
            <w:pPr>
              <w:keepNext w:val="0"/>
              <w:keepLines w:val="0"/>
              <w:suppressLineNumbers w:val="0"/>
              <w:spacing w:before="0" w:beforeAutospacing="0" w:after="0" w:afterAutospacing="0"/>
              <w:ind w:left="0" w:right="0" w:firstLine="480"/>
              <w:rPr>
                <w:rFonts w:hint="default"/>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本项目位于</w:t>
            </w:r>
            <w:r>
              <w:rPr>
                <w:rFonts w:hint="eastAsia"/>
                <w:color w:val="auto"/>
                <w:lang w:val="en-US" w:eastAsia="zh-CN"/>
              </w:rPr>
              <w:t>淮南市祥瑞木业有限责任公司现有厂区</w:t>
            </w:r>
            <w:r>
              <w:rPr>
                <w:rFonts w:hint="eastAsia"/>
                <w:color w:val="000000" w:themeColor="text1"/>
                <w:lang w:val="en-US" w:eastAsia="zh-CN"/>
                <w14:textFill>
                  <w14:solidFill>
                    <w14:schemeClr w14:val="tx1"/>
                  </w14:solidFill>
                </w14:textFill>
              </w:rPr>
              <w:t>内</w:t>
            </w:r>
            <w:r>
              <w:rPr>
                <w:rFonts w:hint="eastAsia"/>
                <w:color w:val="000000" w:themeColor="text1"/>
                <w14:textFill>
                  <w14:solidFill>
                    <w14:schemeClr w14:val="tx1"/>
                  </w14:solidFill>
                </w14:textFill>
              </w:rPr>
              <w:t>，项目厂界50m</w:t>
            </w:r>
            <w:r>
              <w:rPr>
                <w:rFonts w:hint="eastAsia"/>
                <w:color w:val="000000" w:themeColor="text1"/>
                <w:lang w:val="en-US" w:eastAsia="zh-CN"/>
                <w14:textFill>
                  <w14:solidFill>
                    <w14:schemeClr w14:val="tx1"/>
                  </w14:solidFill>
                </w14:textFill>
              </w:rPr>
              <w:t>无声环境敏感目标</w:t>
            </w:r>
            <w:r>
              <w:rPr>
                <w:rFonts w:hint="eastAsia"/>
                <w:color w:val="000000" w:themeColor="text1"/>
                <w14:textFill>
                  <w14:solidFill>
                    <w14:schemeClr w14:val="tx1"/>
                  </w14:solidFill>
                </w14:textFill>
              </w:rPr>
              <w:t>。</w:t>
            </w:r>
          </w:p>
          <w:p w14:paraId="3629A6E7">
            <w:pPr>
              <w:keepNext w:val="0"/>
              <w:keepLines w:val="0"/>
              <w:suppressLineNumbers w:val="0"/>
              <w:bidi w:val="0"/>
              <w:spacing w:before="0" w:beforeAutospacing="0" w:after="0" w:afterAutospacing="0"/>
              <w:ind w:left="0" w:right="0"/>
              <w:rPr>
                <w:rFonts w:hint="eastAsia"/>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3、地下水</w:t>
            </w:r>
            <w:r>
              <w:rPr>
                <w:rFonts w:hint="eastAsia"/>
                <w:b/>
                <w:bCs/>
                <w:color w:val="000000" w:themeColor="text1"/>
                <w14:textFill>
                  <w14:solidFill>
                    <w14:schemeClr w14:val="tx1"/>
                  </w14:solidFill>
                </w14:textFill>
              </w:rPr>
              <w:t>保护目标</w:t>
            </w:r>
          </w:p>
          <w:p w14:paraId="01074B48">
            <w:pPr>
              <w:keepNext w:val="0"/>
              <w:keepLines w:val="0"/>
              <w:numPr>
                <w:ilvl w:val="0"/>
                <w:numId w:val="0"/>
              </w:numPr>
              <w:suppressLineNumbers w:val="0"/>
              <w:spacing w:before="0" w:beforeAutospacing="0" w:after="0" w:afterAutospacing="0"/>
              <w:ind w:left="-2" w:leftChars="0" w:right="0" w:firstLine="482" w:firstLineChars="0"/>
              <w:rPr>
                <w:rFonts w:hint="default"/>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厂界外500米范围内无地下水集中式饮用水水源和热水、矿泉水、温泉等特殊地下水资源，无地下水环境保护目标；</w:t>
            </w:r>
          </w:p>
          <w:p w14:paraId="60EB86A8">
            <w:pPr>
              <w:keepNext w:val="0"/>
              <w:keepLines w:val="0"/>
              <w:suppressLineNumbers w:val="0"/>
              <w:bidi w:val="0"/>
              <w:spacing w:before="0" w:beforeAutospacing="0" w:after="0" w:afterAutospacing="0"/>
              <w:ind w:left="0" w:right="0"/>
              <w:rPr>
                <w:rFonts w:hint="default" w:eastAsia="宋体"/>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4</w:t>
            </w:r>
            <w:r>
              <w:rPr>
                <w:rFonts w:hint="eastAsia"/>
                <w:b/>
                <w:bCs/>
                <w:color w:val="000000" w:themeColor="text1"/>
                <w14:textFill>
                  <w14:solidFill>
                    <w14:schemeClr w14:val="tx1"/>
                  </w14:solidFill>
                </w14:textFill>
              </w:rPr>
              <w:t>、</w:t>
            </w:r>
            <w:r>
              <w:rPr>
                <w:rFonts w:hint="eastAsia"/>
                <w:b/>
                <w:bCs/>
                <w:color w:val="000000" w:themeColor="text1"/>
                <w:lang w:val="en-US" w:eastAsia="zh-CN"/>
                <w14:textFill>
                  <w14:solidFill>
                    <w14:schemeClr w14:val="tx1"/>
                  </w14:solidFill>
                </w14:textFill>
              </w:rPr>
              <w:t>生态环境保护目标</w:t>
            </w:r>
          </w:p>
          <w:p w14:paraId="24169B82">
            <w:pPr>
              <w:keepNext w:val="0"/>
              <w:keepLines w:val="0"/>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本项目利用</w:t>
            </w:r>
            <w:r>
              <w:rPr>
                <w:rFonts w:hint="eastAsia"/>
                <w:color w:val="auto"/>
                <w:lang w:val="en-US" w:eastAsia="zh-CN"/>
              </w:rPr>
              <w:t>淮南市祥瑞木业有限责任公司现有空置厂房</w:t>
            </w:r>
            <w:r>
              <w:rPr>
                <w:rFonts w:hint="eastAsia"/>
                <w:color w:val="000000" w:themeColor="text1"/>
                <w14:textFill>
                  <w14:solidFill>
                    <w14:schemeClr w14:val="tx1"/>
                  </w14:solidFill>
                </w14:textFill>
              </w:rPr>
              <w:t>，不新增占地，无生态环境保护目标。</w:t>
            </w:r>
          </w:p>
        </w:tc>
      </w:tr>
      <w:tr w14:paraId="6851DE9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498" w:hRule="atLeast"/>
          <w:jc w:val="center"/>
        </w:trPr>
        <w:tc>
          <w:tcPr>
            <w:tcW w:w="619" w:type="dxa"/>
            <w:tcBorders>
              <w:tl2br w:val="nil"/>
              <w:tr2bl w:val="nil"/>
            </w:tcBorders>
            <w:shd w:val="clear" w:color="auto" w:fill="auto"/>
            <w:vAlign w:val="center"/>
          </w:tcPr>
          <w:p w14:paraId="26A1C0B0">
            <w:pPr>
              <w:keepNext w:val="0"/>
              <w:keepLines w:val="0"/>
              <w:suppressLineNumbers w:val="0"/>
              <w:spacing w:before="0" w:beforeAutospacing="0" w:after="0" w:afterAutospacing="0"/>
              <w:ind w:left="0" w:right="0" w:firstLine="0" w:firstLineChars="0"/>
              <w:jc w:val="center"/>
              <w:rPr>
                <w:rFonts w:hint="eastAsia" w:ascii="宋体"/>
                <w:color w:val="000000" w:themeColor="text1"/>
                <w:highlight w:val="none"/>
                <w14:textFill>
                  <w14:solidFill>
                    <w14:schemeClr w14:val="tx1"/>
                  </w14:solidFill>
                </w14:textFill>
              </w:rPr>
            </w:pPr>
            <w:r>
              <w:rPr>
                <w:rFonts w:hint="default"/>
                <w:color w:val="000000" w:themeColor="text1"/>
                <w:szCs w:val="21"/>
                <w:highlight w:val="none"/>
                <w14:textFill>
                  <w14:solidFill>
                    <w14:schemeClr w14:val="tx1"/>
                  </w14:solidFill>
                </w14:textFill>
              </w:rPr>
              <w:t>污染物排放标准</w:t>
            </w:r>
          </w:p>
        </w:tc>
        <w:tc>
          <w:tcPr>
            <w:tcW w:w="8669" w:type="dxa"/>
            <w:tcBorders>
              <w:tl2br w:val="nil"/>
              <w:tr2bl w:val="nil"/>
            </w:tcBorders>
            <w:shd w:val="clear" w:color="auto" w:fill="auto"/>
          </w:tcPr>
          <w:p w14:paraId="27DFC46D">
            <w:pPr>
              <w:keepNext w:val="0"/>
              <w:keepLines w:val="0"/>
              <w:suppressLineNumbers w:val="0"/>
              <w:spacing w:before="0" w:beforeAutospacing="0" w:after="0" w:afterAutospacing="0"/>
              <w:ind w:left="0" w:right="0" w:firstLine="482"/>
              <w:rPr>
                <w:rFonts w:hint="default"/>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1、废气污染物排放</w:t>
            </w:r>
            <w:commentRangeStart w:id="35"/>
            <w:r>
              <w:rPr>
                <w:rFonts w:hint="eastAsia"/>
                <w:b/>
                <w:bCs/>
                <w:color w:val="000000" w:themeColor="text1"/>
                <w:highlight w:val="none"/>
                <w14:textFill>
                  <w14:solidFill>
                    <w14:schemeClr w14:val="tx1"/>
                  </w14:solidFill>
                </w14:textFill>
              </w:rPr>
              <w:t>标准</w:t>
            </w:r>
            <w:commentRangeEnd w:id="35"/>
            <w:r>
              <w:rPr>
                <w:rFonts w:hint="default"/>
              </w:rPr>
              <w:commentReference w:id="35"/>
            </w:r>
          </w:p>
          <w:p w14:paraId="42537BDC">
            <w:pPr>
              <w:keepNext w:val="0"/>
              <w:keepLines w:val="0"/>
              <w:suppressLineNumbers w:val="0"/>
              <w:bidi w:val="0"/>
              <w:spacing w:before="0" w:beforeAutospacing="0" w:after="0" w:afterAutospacing="0"/>
              <w:ind w:left="0" w:right="0"/>
              <w:rPr>
                <w:rFonts w:hint="eastAsia" w:ascii="Calibri" w:hAnsi="Calibri" w:cs="Times New Roman"/>
                <w:b w:val="0"/>
                <w:bCs w:val="0"/>
                <w:color w:val="auto"/>
                <w:kern w:val="2"/>
                <w:sz w:val="24"/>
                <w:szCs w:val="24"/>
                <w:highlight w:val="none"/>
                <w:lang w:val="en-US" w:eastAsia="zh-CN" w:bidi="ar-SA"/>
              </w:rPr>
            </w:pPr>
            <w:r>
              <w:rPr>
                <w:rFonts w:hint="eastAsia"/>
                <w:color w:val="0000FF"/>
                <w:highlight w:val="none"/>
                <w:lang w:val="en-US" w:eastAsia="zh-CN"/>
              </w:rPr>
              <w:t>本项目</w:t>
            </w:r>
            <w:r>
              <w:rPr>
                <w:rFonts w:hint="eastAsia" w:ascii="Calibri" w:hAnsi="Calibri" w:cs="Times New Roman"/>
                <w:b w:val="0"/>
                <w:bCs w:val="0"/>
                <w:color w:val="0000FF"/>
                <w:kern w:val="2"/>
                <w:sz w:val="24"/>
                <w:szCs w:val="24"/>
                <w:highlight w:val="none"/>
                <w:lang w:val="en-US" w:eastAsia="zh-CN" w:bidi="ar-SA"/>
              </w:rPr>
              <w:t>生产废气主要为车身车架角磨切割、废钢铁件剪切打包产生的颗粒物、絮凝沉淀池污水处理产生少量的无组织恶臭气体，颗粒物执行</w:t>
            </w:r>
            <w:r>
              <w:rPr>
                <w:rFonts w:hint="default"/>
                <w:color w:val="0000FF"/>
                <w:highlight w:val="none"/>
              </w:rPr>
              <w:t>《大气污染物综合排放标准》（GB16297-1996）表2中二级排放标准</w:t>
            </w:r>
            <w:r>
              <w:rPr>
                <w:rFonts w:hint="eastAsia"/>
                <w:color w:val="0000FF"/>
                <w:highlight w:val="none"/>
                <w:lang w:eastAsia="zh-CN"/>
              </w:rPr>
              <w:t>，</w:t>
            </w:r>
            <w:r>
              <w:rPr>
                <w:rFonts w:hint="eastAsia" w:ascii="Calibri" w:hAnsi="Calibri" w:cs="Times New Roman"/>
                <w:b w:val="0"/>
                <w:bCs w:val="0"/>
                <w:color w:val="0000FF"/>
                <w:kern w:val="2"/>
                <w:sz w:val="24"/>
                <w:szCs w:val="24"/>
                <w:highlight w:val="none"/>
                <w:lang w:val="en-US" w:eastAsia="zh-CN" w:bidi="ar-SA"/>
              </w:rPr>
              <w:t>臭气浓度执行《恶臭污染物排放标准》（GB14554-93）表1恶臭污染物厂界标准值，具体见下表。</w:t>
            </w:r>
          </w:p>
          <w:p w14:paraId="56BB2812">
            <w:pPr>
              <w:pStyle w:val="65"/>
              <w:keepNext w:val="0"/>
              <w:keepLines w:val="0"/>
              <w:suppressLineNumbers w:val="0"/>
              <w:bidi w:val="0"/>
              <w:spacing w:before="0" w:beforeAutospacing="0" w:after="0" w:afterAutospacing="0"/>
              <w:ind w:left="0" w:right="0"/>
              <w:rPr>
                <w:rFonts w:hint="eastAsia"/>
                <w:lang w:val="en-US" w:eastAsia="zh-CN"/>
              </w:rPr>
            </w:pPr>
            <w:r>
              <w:rPr>
                <w:rFonts w:hint="default"/>
                <w:lang w:val="en-US" w:eastAsia="zh-CN"/>
              </w:rPr>
              <w:t>表3-</w:t>
            </w:r>
            <w:r>
              <w:rPr>
                <w:rFonts w:hint="eastAsia"/>
                <w:lang w:val="en-US" w:eastAsia="zh-CN"/>
              </w:rPr>
              <w:t>4  项目废气排放标准</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336"/>
              <w:gridCol w:w="990"/>
              <w:gridCol w:w="962"/>
              <w:gridCol w:w="962"/>
              <w:gridCol w:w="4193"/>
            </w:tblGrid>
            <w:tr w14:paraId="6D736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1" w:hRule="atLeast"/>
                <w:jc w:val="center"/>
              </w:trPr>
              <w:tc>
                <w:tcPr>
                  <w:tcW w:w="1336" w:type="dxa"/>
                  <w:vMerge w:val="restart"/>
                  <w:vAlign w:val="center"/>
                </w:tcPr>
                <w:p w14:paraId="1EDED155">
                  <w:pPr>
                    <w:pStyle w:val="61"/>
                    <w:keepNext w:val="0"/>
                    <w:keepLines w:val="0"/>
                    <w:suppressLineNumbers w:val="0"/>
                    <w:bidi w:val="0"/>
                    <w:spacing w:before="0" w:beforeAutospacing="0" w:after="0" w:afterAutospacing="0"/>
                    <w:ind w:left="0" w:right="0"/>
                    <w:jc w:val="center"/>
                    <w:rPr>
                      <w:rFonts w:hint="default"/>
                      <w:b/>
                      <w:bCs/>
                      <w:color w:val="0000FF"/>
                      <w:highlight w:val="none"/>
                      <w:lang w:val="en-US" w:eastAsia="zh-CN"/>
                    </w:rPr>
                  </w:pPr>
                  <w:r>
                    <w:rPr>
                      <w:rFonts w:hint="eastAsia"/>
                      <w:b/>
                      <w:bCs/>
                      <w:color w:val="0000FF"/>
                      <w:highlight w:val="none"/>
                      <w:lang w:val="en-US" w:eastAsia="zh-CN"/>
                    </w:rPr>
                    <w:t>控制项目</w:t>
                  </w:r>
                </w:p>
              </w:tc>
              <w:tc>
                <w:tcPr>
                  <w:tcW w:w="2914" w:type="dxa"/>
                  <w:gridSpan w:val="3"/>
                  <w:vAlign w:val="center"/>
                </w:tcPr>
                <w:p w14:paraId="4B6D2D09">
                  <w:pPr>
                    <w:pStyle w:val="61"/>
                    <w:keepNext w:val="0"/>
                    <w:keepLines w:val="0"/>
                    <w:suppressLineNumbers w:val="0"/>
                    <w:bidi w:val="0"/>
                    <w:spacing w:before="0" w:beforeAutospacing="0" w:after="0" w:afterAutospacing="0"/>
                    <w:ind w:left="0" w:right="0"/>
                    <w:jc w:val="center"/>
                    <w:rPr>
                      <w:rFonts w:hint="eastAsia"/>
                      <w:b/>
                      <w:bCs/>
                      <w:color w:val="0000FF"/>
                      <w:highlight w:val="none"/>
                      <w:lang w:val="en-US" w:eastAsia="zh-CN"/>
                    </w:rPr>
                  </w:pPr>
                  <w:r>
                    <w:rPr>
                      <w:rFonts w:hint="eastAsia"/>
                      <w:b/>
                      <w:bCs/>
                      <w:color w:val="0000FF"/>
                      <w:highlight w:val="none"/>
                      <w:lang w:val="en-US" w:eastAsia="zh-CN"/>
                    </w:rPr>
                    <w:t>标准限值</w:t>
                  </w:r>
                </w:p>
              </w:tc>
              <w:tc>
                <w:tcPr>
                  <w:tcW w:w="4193" w:type="dxa"/>
                  <w:vMerge w:val="restart"/>
                  <w:vAlign w:val="center"/>
                </w:tcPr>
                <w:p w14:paraId="7EB6776A">
                  <w:pPr>
                    <w:pStyle w:val="61"/>
                    <w:keepNext w:val="0"/>
                    <w:keepLines w:val="0"/>
                    <w:suppressLineNumbers w:val="0"/>
                    <w:bidi w:val="0"/>
                    <w:spacing w:before="0" w:beforeAutospacing="0" w:after="0" w:afterAutospacing="0"/>
                    <w:ind w:left="0" w:right="0"/>
                    <w:jc w:val="center"/>
                    <w:rPr>
                      <w:rFonts w:hint="default"/>
                      <w:b/>
                      <w:bCs/>
                      <w:color w:val="0000FF"/>
                      <w:highlight w:val="none"/>
                      <w:lang w:val="en-US" w:eastAsia="zh-CN"/>
                    </w:rPr>
                  </w:pPr>
                  <w:r>
                    <w:rPr>
                      <w:rFonts w:hint="eastAsia"/>
                      <w:b/>
                      <w:bCs/>
                      <w:color w:val="0000FF"/>
                      <w:highlight w:val="none"/>
                      <w:lang w:val="en-US" w:eastAsia="zh-CN"/>
                    </w:rPr>
                    <w:t>执行标准</w:t>
                  </w:r>
                </w:p>
              </w:tc>
            </w:tr>
            <w:tr w14:paraId="6F6BB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1" w:hRule="atLeast"/>
                <w:jc w:val="center"/>
              </w:trPr>
              <w:tc>
                <w:tcPr>
                  <w:tcW w:w="1336" w:type="dxa"/>
                  <w:vMerge w:val="continue"/>
                  <w:vAlign w:val="center"/>
                </w:tcPr>
                <w:p w14:paraId="06FAC07F">
                  <w:pPr>
                    <w:pStyle w:val="61"/>
                    <w:keepNext w:val="0"/>
                    <w:keepLines w:val="0"/>
                    <w:suppressLineNumbers w:val="0"/>
                    <w:bidi w:val="0"/>
                    <w:spacing w:before="0" w:beforeAutospacing="0" w:after="0" w:afterAutospacing="0"/>
                    <w:ind w:left="0" w:right="0"/>
                    <w:jc w:val="center"/>
                    <w:rPr>
                      <w:rFonts w:hint="default"/>
                      <w:color w:val="0000FF"/>
                    </w:rPr>
                  </w:pPr>
                </w:p>
              </w:tc>
              <w:tc>
                <w:tcPr>
                  <w:tcW w:w="990" w:type="dxa"/>
                  <w:vAlign w:val="center"/>
                </w:tcPr>
                <w:p w14:paraId="5BE15081">
                  <w:pPr>
                    <w:pStyle w:val="61"/>
                    <w:keepNext w:val="0"/>
                    <w:keepLines w:val="0"/>
                    <w:suppressLineNumbers w:val="0"/>
                    <w:bidi w:val="0"/>
                    <w:spacing w:before="0" w:beforeAutospacing="0" w:after="0" w:afterAutospacing="0"/>
                    <w:ind w:left="0" w:right="0"/>
                    <w:jc w:val="center"/>
                    <w:rPr>
                      <w:rFonts w:hint="default"/>
                      <w:b/>
                      <w:bCs/>
                      <w:color w:val="0000FF"/>
                    </w:rPr>
                  </w:pPr>
                  <w:r>
                    <w:rPr>
                      <w:rFonts w:hint="default"/>
                      <w:b/>
                      <w:bCs/>
                      <w:color w:val="0000FF"/>
                    </w:rPr>
                    <w:t>最高允许排放浓度</w:t>
                  </w:r>
                </w:p>
              </w:tc>
              <w:tc>
                <w:tcPr>
                  <w:tcW w:w="962" w:type="dxa"/>
                  <w:vAlign w:val="center"/>
                </w:tcPr>
                <w:p w14:paraId="464861A4">
                  <w:pPr>
                    <w:pStyle w:val="61"/>
                    <w:keepNext w:val="0"/>
                    <w:keepLines w:val="0"/>
                    <w:suppressLineNumbers w:val="0"/>
                    <w:bidi w:val="0"/>
                    <w:spacing w:before="0" w:beforeAutospacing="0" w:after="0" w:afterAutospacing="0"/>
                    <w:ind w:left="0" w:right="0"/>
                    <w:jc w:val="center"/>
                    <w:rPr>
                      <w:rFonts w:hint="eastAsia"/>
                      <w:b/>
                      <w:bCs/>
                      <w:color w:val="0000FF"/>
                      <w:highlight w:val="none"/>
                      <w:lang w:val="en-US" w:eastAsia="zh-CN"/>
                    </w:rPr>
                  </w:pPr>
                  <w:r>
                    <w:rPr>
                      <w:rFonts w:hint="default"/>
                      <w:b/>
                      <w:bCs/>
                      <w:color w:val="0000FF"/>
                    </w:rPr>
                    <w:t>最高允许排放速率</w:t>
                  </w:r>
                </w:p>
              </w:tc>
              <w:tc>
                <w:tcPr>
                  <w:tcW w:w="962" w:type="dxa"/>
                  <w:vAlign w:val="center"/>
                </w:tcPr>
                <w:p w14:paraId="7283A2EE">
                  <w:pPr>
                    <w:pStyle w:val="61"/>
                    <w:keepNext w:val="0"/>
                    <w:keepLines w:val="0"/>
                    <w:suppressLineNumbers w:val="0"/>
                    <w:bidi w:val="0"/>
                    <w:spacing w:before="0" w:beforeAutospacing="0" w:after="0" w:afterAutospacing="0"/>
                    <w:ind w:left="0" w:right="0"/>
                    <w:jc w:val="center"/>
                    <w:rPr>
                      <w:rFonts w:hint="eastAsia"/>
                      <w:b/>
                      <w:bCs/>
                      <w:color w:val="0000FF"/>
                      <w:highlight w:val="none"/>
                      <w:lang w:val="en-US" w:eastAsia="zh-CN"/>
                    </w:rPr>
                  </w:pPr>
                  <w:r>
                    <w:rPr>
                      <w:rFonts w:hint="default"/>
                      <w:b/>
                      <w:bCs/>
                      <w:color w:val="0000FF"/>
                      <w:lang w:eastAsia="zh-CN"/>
                    </w:rPr>
                    <w:t>周界外浓度最高点</w:t>
                  </w:r>
                </w:p>
              </w:tc>
              <w:tc>
                <w:tcPr>
                  <w:tcW w:w="4193" w:type="dxa"/>
                  <w:vMerge w:val="continue"/>
                  <w:vAlign w:val="center"/>
                </w:tcPr>
                <w:p w14:paraId="678899DF">
                  <w:pPr>
                    <w:pStyle w:val="61"/>
                    <w:keepNext w:val="0"/>
                    <w:keepLines w:val="0"/>
                    <w:suppressLineNumbers w:val="0"/>
                    <w:bidi w:val="0"/>
                    <w:spacing w:before="0" w:beforeAutospacing="0" w:after="0" w:afterAutospacing="0"/>
                    <w:ind w:left="0" w:right="0"/>
                    <w:jc w:val="center"/>
                    <w:rPr>
                      <w:rFonts w:hint="eastAsia"/>
                      <w:b/>
                      <w:bCs/>
                      <w:color w:val="0000FF"/>
                      <w:highlight w:val="none"/>
                      <w:lang w:val="en-US" w:eastAsia="zh-CN"/>
                    </w:rPr>
                  </w:pPr>
                </w:p>
              </w:tc>
            </w:tr>
            <w:tr w14:paraId="3531C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36" w:type="dxa"/>
                  <w:vAlign w:val="center"/>
                </w:tcPr>
                <w:p w14:paraId="627A51F9">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颗粒物</w:t>
                  </w:r>
                </w:p>
              </w:tc>
              <w:tc>
                <w:tcPr>
                  <w:tcW w:w="990" w:type="dxa"/>
                  <w:vAlign w:val="center"/>
                </w:tcPr>
                <w:p w14:paraId="10C6E722">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120mg/m³</w:t>
                  </w:r>
                </w:p>
              </w:tc>
              <w:tc>
                <w:tcPr>
                  <w:tcW w:w="962" w:type="dxa"/>
                  <w:vAlign w:val="center"/>
                </w:tcPr>
                <w:p w14:paraId="6DC71E2F">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3.5kg/h</w:t>
                  </w:r>
                </w:p>
              </w:tc>
              <w:tc>
                <w:tcPr>
                  <w:tcW w:w="962" w:type="dxa"/>
                  <w:shd w:val="clear" w:color="auto" w:fill="auto"/>
                  <w:vAlign w:val="center"/>
                </w:tcPr>
                <w:p w14:paraId="0BF55819">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color w:val="0000FF"/>
                      <w:kern w:val="2"/>
                      <w:sz w:val="21"/>
                      <w:szCs w:val="24"/>
                      <w:lang w:val="en-US" w:eastAsia="zh-CN" w:bidi="ar-SA"/>
                    </w:rPr>
                  </w:pPr>
                  <w:r>
                    <w:rPr>
                      <w:rFonts w:hint="eastAsia"/>
                      <w:color w:val="0000FF"/>
                      <w:lang w:val="en-US" w:eastAsia="zh-CN"/>
                    </w:rPr>
                    <w:t>1.0mg/m³</w:t>
                  </w:r>
                </w:p>
              </w:tc>
              <w:tc>
                <w:tcPr>
                  <w:tcW w:w="4193" w:type="dxa"/>
                  <w:vAlign w:val="center"/>
                </w:tcPr>
                <w:p w14:paraId="28C6EE71">
                  <w:pPr>
                    <w:pStyle w:val="61"/>
                    <w:keepNext w:val="0"/>
                    <w:keepLines w:val="0"/>
                    <w:suppressLineNumbers w:val="0"/>
                    <w:bidi w:val="0"/>
                    <w:spacing w:before="0" w:beforeAutospacing="0" w:after="0" w:afterAutospacing="0"/>
                    <w:ind w:left="0" w:right="0"/>
                    <w:rPr>
                      <w:rFonts w:hint="eastAsia"/>
                      <w:color w:val="0000FF"/>
                      <w:lang w:val="en-US" w:eastAsia="zh-CN"/>
                    </w:rPr>
                  </w:pPr>
                  <w:r>
                    <w:rPr>
                      <w:rFonts w:hint="default"/>
                      <w:color w:val="0000FF"/>
                    </w:rPr>
                    <w:t>《大气污染物综合排放标准》（GB16297-1996）表2中二级排放标准</w:t>
                  </w:r>
                </w:p>
              </w:tc>
            </w:tr>
            <w:tr w14:paraId="45143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336" w:type="dxa"/>
                  <w:vAlign w:val="center"/>
                </w:tcPr>
                <w:p w14:paraId="18D0E1E4">
                  <w:pPr>
                    <w:pStyle w:val="61"/>
                    <w:keepNext w:val="0"/>
                    <w:keepLines w:val="0"/>
                    <w:suppressLineNumbers w:val="0"/>
                    <w:bidi w:val="0"/>
                    <w:spacing w:before="0" w:beforeAutospacing="0" w:after="0" w:afterAutospacing="0"/>
                    <w:ind w:left="0" w:right="0"/>
                    <w:rPr>
                      <w:rFonts w:hint="eastAsia"/>
                      <w:color w:val="0000FF"/>
                      <w:lang w:val="en-US" w:eastAsia="zh-CN"/>
                    </w:rPr>
                  </w:pPr>
                  <w:r>
                    <w:rPr>
                      <w:rFonts w:hint="eastAsia"/>
                      <w:color w:val="0000FF"/>
                      <w:lang w:val="en-US" w:eastAsia="zh-CN"/>
                    </w:rPr>
                    <w:t>臭气浓度</w:t>
                  </w:r>
                </w:p>
              </w:tc>
              <w:tc>
                <w:tcPr>
                  <w:tcW w:w="1952" w:type="dxa"/>
                  <w:gridSpan w:val="2"/>
                  <w:shd w:val="clear" w:color="auto" w:fill="auto"/>
                  <w:vAlign w:val="center"/>
                </w:tcPr>
                <w:p w14:paraId="7843B982">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w:t>
                  </w:r>
                </w:p>
              </w:tc>
              <w:tc>
                <w:tcPr>
                  <w:tcW w:w="962" w:type="dxa"/>
                  <w:shd w:val="clear" w:color="auto" w:fill="auto"/>
                  <w:vAlign w:val="center"/>
                </w:tcPr>
                <w:p w14:paraId="1E431056">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color w:val="0000FF"/>
                      <w:kern w:val="2"/>
                      <w:sz w:val="21"/>
                      <w:szCs w:val="24"/>
                      <w:lang w:val="en-US" w:eastAsia="zh-CN" w:bidi="ar-SA"/>
                    </w:rPr>
                  </w:pPr>
                  <w:r>
                    <w:rPr>
                      <w:rFonts w:hint="eastAsia"/>
                      <w:color w:val="0000FF"/>
                      <w:lang w:val="en-US" w:eastAsia="zh-CN"/>
                    </w:rPr>
                    <w:t>20（无量纲）</w:t>
                  </w:r>
                </w:p>
              </w:tc>
              <w:tc>
                <w:tcPr>
                  <w:tcW w:w="4193" w:type="dxa"/>
                  <w:vAlign w:val="center"/>
                </w:tcPr>
                <w:p w14:paraId="2D2E3C73">
                  <w:pPr>
                    <w:pStyle w:val="61"/>
                    <w:keepNext w:val="0"/>
                    <w:keepLines w:val="0"/>
                    <w:suppressLineNumbers w:val="0"/>
                    <w:bidi w:val="0"/>
                    <w:spacing w:before="0" w:beforeAutospacing="0" w:after="0" w:afterAutospacing="0"/>
                    <w:ind w:left="0" w:right="0"/>
                    <w:rPr>
                      <w:rFonts w:hint="eastAsia"/>
                      <w:color w:val="0000FF"/>
                      <w:lang w:val="en-US" w:eastAsia="zh-CN"/>
                    </w:rPr>
                  </w:pPr>
                  <w:r>
                    <w:rPr>
                      <w:rFonts w:hint="eastAsia"/>
                      <w:color w:val="0000FF"/>
                      <w:lang w:val="en-US" w:eastAsia="zh-CN"/>
                    </w:rPr>
                    <w:t>《恶臭污染物排放标准》（GB14554-93）表1恶臭污染物厂界标准值</w:t>
                  </w:r>
                </w:p>
              </w:tc>
            </w:tr>
          </w:tbl>
          <w:p w14:paraId="261B9ECF">
            <w:pPr>
              <w:keepNext w:val="0"/>
              <w:keepLines w:val="0"/>
              <w:suppressLineNumbers w:val="0"/>
              <w:bidi w:val="0"/>
              <w:spacing w:before="0" w:beforeAutospacing="0" w:after="0" w:afterAutospacing="0"/>
              <w:ind w:left="0" w:right="0"/>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2、水污染物排放标准</w:t>
            </w:r>
          </w:p>
          <w:p w14:paraId="208D76F9">
            <w:pPr>
              <w:keepNext w:val="0"/>
              <w:keepLines w:val="0"/>
              <w:widowControl/>
              <w:suppressLineNumbers w:val="0"/>
              <w:adjustRightInd w:val="0"/>
              <w:snapToGrid w:val="0"/>
              <w:spacing w:before="0" w:beforeAutospacing="0" w:after="0" w:afterAutospacing="0" w:line="360" w:lineRule="auto"/>
              <w:ind w:left="0" w:right="0" w:firstLine="424" w:firstLineChars="177"/>
              <w:jc w:val="both"/>
              <w:rPr>
                <w:rFonts w:hint="default" w:ascii="Times New Roman" w:hAnsi="Times New Roman" w:eastAsia="宋体" w:cs="Times New Roman"/>
                <w:b/>
                <w:bCs w:val="0"/>
                <w:snapToGrid w:val="0"/>
                <w:color w:val="000000" w:themeColor="text1"/>
                <w:kern w:val="0"/>
                <w:sz w:val="24"/>
                <w:szCs w:val="24"/>
                <w14:textFill>
                  <w14:solidFill>
                    <w14:schemeClr w14:val="tx1"/>
                  </w14:solidFill>
                </w14:textFill>
              </w:rPr>
            </w:pPr>
            <w:r>
              <w:rPr>
                <w:rFonts w:hint="eastAsia"/>
                <w:color w:val="000000" w:themeColor="text1"/>
                <w:highlight w:val="none"/>
                <w:lang w:val="en-US" w:eastAsia="zh-CN"/>
                <w14:textFill>
                  <w14:solidFill>
                    <w14:schemeClr w14:val="tx1"/>
                  </w14:solidFill>
                </w14:textFill>
              </w:rPr>
              <w:t>本项目废水主要为生活污水及破碎废水。项目生活污水经化粪池处理后进入淮南市首创</w:t>
            </w:r>
            <w:r>
              <w:rPr>
                <w:rFonts w:hint="eastAsia" w:cs="Times New Roman"/>
                <w:color w:val="000000" w:themeColor="text1"/>
                <w:kern w:val="0"/>
                <w:sz w:val="24"/>
                <w:lang w:val="en-US" w:eastAsia="zh-CN"/>
                <w14:textFill>
                  <w14:solidFill>
                    <w14:schemeClr w14:val="tx1"/>
                  </w14:solidFill>
                </w14:textFill>
              </w:rPr>
              <w:t>八公山污水处理厂集中处理，</w:t>
            </w:r>
            <w:r>
              <w:rPr>
                <w:rFonts w:hint="eastAsia" w:cs="Times New Roman"/>
                <w:color w:val="000000" w:themeColor="text1"/>
                <w:sz w:val="24"/>
                <w:szCs w:val="24"/>
                <w:highlight w:val="none"/>
                <w:lang w:eastAsia="zh-CN"/>
                <w14:textFill>
                  <w14:solidFill>
                    <w14:schemeClr w14:val="tx1"/>
                  </w14:solidFill>
                </w14:textFill>
              </w:rPr>
              <w:t>项目</w:t>
            </w:r>
            <w:r>
              <w:rPr>
                <w:rFonts w:hint="default" w:ascii="Times New Roman" w:hAnsi="Times New Roman" w:cs="Times New Roman"/>
                <w:color w:val="000000" w:themeColor="text1"/>
                <w:sz w:val="24"/>
                <w14:textFill>
                  <w14:solidFill>
                    <w14:schemeClr w14:val="tx1"/>
                  </w14:solidFill>
                </w14:textFill>
              </w:rPr>
              <w:t>废水</w:t>
            </w:r>
            <w:r>
              <w:rPr>
                <w:rFonts w:hint="eastAsia" w:cs="Times New Roman"/>
                <w:color w:val="000000" w:themeColor="text1"/>
                <w:sz w:val="24"/>
                <w:lang w:eastAsia="zh-CN"/>
                <w14:textFill>
                  <w14:solidFill>
                    <w14:schemeClr w14:val="tx1"/>
                  </w14:solidFill>
                </w14:textFill>
              </w:rPr>
              <w:t>接管前</w:t>
            </w:r>
            <w:r>
              <w:rPr>
                <w:rFonts w:hint="default" w:ascii="Times New Roman" w:hAnsi="Times New Roman" w:cs="Times New Roman"/>
                <w:color w:val="000000" w:themeColor="text1"/>
                <w:sz w:val="24"/>
                <w14:textFill>
                  <w14:solidFill>
                    <w14:schemeClr w14:val="tx1"/>
                  </w14:solidFill>
                </w14:textFill>
              </w:rPr>
              <w:t>执行</w:t>
            </w:r>
            <w:r>
              <w:rPr>
                <w:rFonts w:hint="default" w:ascii="Times New Roman" w:hAnsi="Times New Roman" w:eastAsia="宋体" w:cs="Times New Roman"/>
                <w:color w:val="000000" w:themeColor="text1"/>
                <w:sz w:val="24"/>
                <w:szCs w:val="24"/>
                <w:highlight w:val="none"/>
                <w14:textFill>
                  <w14:solidFill>
                    <w14:schemeClr w14:val="tx1"/>
                  </w14:solidFill>
                </w14:textFill>
              </w:rPr>
              <w:t>《污水综合排放标准》</w:t>
            </w:r>
            <w:r>
              <w:rPr>
                <w:rFonts w:hint="eastAsia" w:cs="Times New Roman"/>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color w:val="000000" w:themeColor="text1"/>
                <w:sz w:val="24"/>
                <w:szCs w:val="24"/>
                <w14:textFill>
                  <w14:solidFill>
                    <w14:schemeClr w14:val="tx1"/>
                  </w14:solidFill>
                </w14:textFill>
              </w:rPr>
              <w:t>GB8</w:t>
            </w:r>
            <w:r>
              <w:rPr>
                <w:rFonts w:hint="eastAsia" w:cs="Times New Roman"/>
                <w:color w:val="000000" w:themeColor="text1"/>
                <w:sz w:val="24"/>
                <w:szCs w:val="24"/>
                <w:lang w:val="en-US" w:eastAsia="zh-CN"/>
                <w14:textFill>
                  <w14:solidFill>
                    <w14:schemeClr w14:val="tx1"/>
                  </w14:solidFill>
                </w14:textFill>
              </w:rPr>
              <w:t>9</w:t>
            </w:r>
            <w:r>
              <w:rPr>
                <w:rFonts w:hint="default" w:ascii="Times New Roman" w:hAnsi="Times New Roman" w:eastAsia="宋体" w:cs="Times New Roman"/>
                <w:color w:val="000000" w:themeColor="text1"/>
                <w:sz w:val="24"/>
                <w:szCs w:val="24"/>
                <w14:textFill>
                  <w14:solidFill>
                    <w14:schemeClr w14:val="tx1"/>
                  </w14:solidFill>
                </w14:textFill>
              </w:rPr>
              <w:t>78-1996</w:t>
            </w:r>
            <w:r>
              <w:rPr>
                <w:rFonts w:hint="eastAsia" w:cs="Times New Roman"/>
                <w:color w:val="000000" w:themeColor="text1"/>
                <w:sz w:val="24"/>
                <w:szCs w:val="24"/>
                <w:highlight w:val="none"/>
                <w:lang w:eastAsia="zh-CN"/>
                <w14:textFill>
                  <w14:solidFill>
                    <w14:schemeClr w14:val="tx1"/>
                  </w14:solidFill>
                </w14:textFill>
              </w:rPr>
              <w:t>）表</w:t>
            </w:r>
            <w:r>
              <w:rPr>
                <w:rFonts w:hint="eastAsia" w:cs="Times New Roman"/>
                <w:color w:val="000000" w:themeColor="text1"/>
                <w:sz w:val="24"/>
                <w:szCs w:val="24"/>
                <w:highlight w:val="none"/>
                <w:lang w:val="en-US" w:eastAsia="zh-CN"/>
                <w14:textFill>
                  <w14:solidFill>
                    <w14:schemeClr w14:val="tx1"/>
                  </w14:solidFill>
                </w14:textFill>
              </w:rPr>
              <w:t>4</w:t>
            </w:r>
            <w:r>
              <w:rPr>
                <w:rFonts w:hint="default" w:ascii="Times New Roman" w:hAnsi="Times New Roman" w:eastAsia="宋体" w:cs="Times New Roman"/>
                <w:color w:val="000000" w:themeColor="text1"/>
                <w:sz w:val="24"/>
                <w:szCs w:val="24"/>
                <w:highlight w:val="none"/>
                <w14:textFill>
                  <w14:solidFill>
                    <w14:schemeClr w14:val="tx1"/>
                  </w14:solidFill>
                </w14:textFill>
              </w:rPr>
              <w:t>中的三级标准</w:t>
            </w:r>
            <w:r>
              <w:rPr>
                <w:rFonts w:hint="default" w:ascii="Times New Roman" w:hAnsi="Times New Roman" w:eastAsia="宋体" w:cs="Times New Roman"/>
                <w:color w:val="000000" w:themeColor="text1"/>
                <w:sz w:val="24"/>
                <w:szCs w:val="24"/>
                <w:highlight w:val="none"/>
                <w:lang w:eastAsia="zh-CN"/>
                <w14:textFill>
                  <w14:solidFill>
                    <w14:schemeClr w14:val="tx1"/>
                  </w14:solidFill>
                </w14:textFill>
              </w:rPr>
              <w:t>及</w:t>
            </w:r>
            <w:r>
              <w:rPr>
                <w:rFonts w:hint="eastAsia" w:cs="Times New Roman"/>
                <w:color w:val="000000" w:themeColor="text1"/>
                <w:sz w:val="24"/>
                <w:szCs w:val="24"/>
                <w:highlight w:val="none"/>
                <w:lang w:eastAsia="zh-CN"/>
                <w14:textFill>
                  <w14:solidFill>
                    <w14:schemeClr w14:val="tx1"/>
                  </w14:solidFill>
                </w14:textFill>
              </w:rPr>
              <w:t>八公山污水处理厂接管</w:t>
            </w:r>
            <w:r>
              <w:rPr>
                <w:rFonts w:hint="eastAsia" w:cs="Times New Roman"/>
                <w:color w:val="000000" w:themeColor="text1"/>
                <w:sz w:val="24"/>
                <w:szCs w:val="24"/>
                <w:highlight w:val="none"/>
                <w:lang w:val="en-US" w:eastAsia="zh-CN"/>
                <w14:textFill>
                  <w14:solidFill>
                    <w14:schemeClr w14:val="tx1"/>
                  </w14:solidFill>
                </w14:textFill>
              </w:rPr>
              <w:t>限值后</w:t>
            </w:r>
            <w:r>
              <w:rPr>
                <w:rFonts w:hint="default" w:ascii="Times New Roman" w:hAnsi="Times New Roman" w:cs="Times New Roman"/>
                <w:color w:val="000000" w:themeColor="text1"/>
                <w:kern w:val="0"/>
                <w:sz w:val="24"/>
                <w:szCs w:val="20"/>
                <w:lang w:val="en-US" w:eastAsia="zh-CN"/>
                <w14:textFill>
                  <w14:solidFill>
                    <w14:schemeClr w14:val="tx1"/>
                  </w14:solidFill>
                </w14:textFill>
              </w:rPr>
              <w:t>，</w:t>
            </w:r>
            <w:r>
              <w:rPr>
                <w:rFonts w:hint="eastAsia" w:cs="Times New Roman"/>
                <w:color w:val="000000" w:themeColor="text1"/>
                <w:kern w:val="0"/>
                <w:sz w:val="24"/>
                <w:szCs w:val="20"/>
                <w:lang w:val="en-US" w:eastAsia="zh-CN"/>
                <w14:textFill>
                  <w14:solidFill>
                    <w14:schemeClr w14:val="tx1"/>
                  </w14:solidFill>
                </w14:textFill>
              </w:rPr>
              <w:t>八公山污水处理厂</w:t>
            </w:r>
            <w:r>
              <w:rPr>
                <w:rFonts w:hint="default" w:ascii="Times New Roman" w:hAnsi="Times New Roman" w:eastAsia="宋体" w:cs="Times New Roman"/>
                <w:color w:val="000000" w:themeColor="text1"/>
                <w:sz w:val="24"/>
                <w:szCs w:val="24"/>
                <w:highlight w:val="none"/>
                <w14:textFill>
                  <w14:solidFill>
                    <w14:schemeClr w14:val="tx1"/>
                  </w14:solidFill>
                </w14:textFill>
              </w:rPr>
              <w:t>处理后</w:t>
            </w:r>
            <w:r>
              <w:rPr>
                <w:rFonts w:hint="eastAsia" w:cs="Times New Roman"/>
                <w:color w:val="000000" w:themeColor="text1"/>
                <w:sz w:val="24"/>
                <w:szCs w:val="24"/>
                <w:highlight w:val="none"/>
                <w:lang w:eastAsia="zh-CN"/>
                <w14:textFill>
                  <w14:solidFill>
                    <w14:schemeClr w14:val="tx1"/>
                  </w14:solidFill>
                </w14:textFill>
              </w:rPr>
              <w:t>尾水</w:t>
            </w:r>
            <w:r>
              <w:rPr>
                <w:rFonts w:hint="default" w:ascii="Times New Roman" w:hAnsi="Times New Roman" w:eastAsia="宋体" w:cs="Times New Roman"/>
                <w:color w:val="000000" w:themeColor="text1"/>
                <w:sz w:val="24"/>
                <w:szCs w:val="24"/>
                <w:highlight w:val="none"/>
                <w14:textFill>
                  <w14:solidFill>
                    <w14:schemeClr w14:val="tx1"/>
                  </w14:solidFill>
                </w14:textFill>
              </w:rPr>
              <w:t>达到《城镇污水处理厂污染物排放标准》（GB18918-2002）中一级A标准</w:t>
            </w:r>
            <w:r>
              <w:rPr>
                <w:rFonts w:hint="eastAsia" w:cs="Times New Roman"/>
                <w:color w:val="000000" w:themeColor="text1"/>
                <w:sz w:val="24"/>
                <w:szCs w:val="24"/>
                <w:highlight w:val="none"/>
                <w:lang w:eastAsia="zh-CN"/>
                <w14:textFill>
                  <w14:solidFill>
                    <w14:schemeClr w14:val="tx1"/>
                  </w14:solidFill>
                </w14:textFill>
              </w:rPr>
              <w:t>，尾水最终排入淮河；</w:t>
            </w:r>
            <w:r>
              <w:rPr>
                <w:rFonts w:hint="eastAsia" w:cs="Times New Roman"/>
                <w:color w:val="000000" w:themeColor="text1"/>
                <w:sz w:val="24"/>
                <w:szCs w:val="24"/>
                <w:highlight w:val="none"/>
                <w:lang w:val="en-US" w:eastAsia="zh-CN"/>
                <w14:textFill>
                  <w14:solidFill>
                    <w14:schemeClr w14:val="tx1"/>
                  </w14:solidFill>
                </w14:textFill>
              </w:rPr>
              <w:t>项目</w:t>
            </w:r>
            <w:r>
              <w:rPr>
                <w:rFonts w:hint="eastAsia"/>
                <w:color w:val="000000" w:themeColor="text1"/>
                <w:highlight w:val="none"/>
                <w:lang w:val="en-US" w:eastAsia="zh-CN"/>
                <w14:textFill>
                  <w14:solidFill>
                    <w14:schemeClr w14:val="tx1"/>
                  </w14:solidFill>
                </w14:textFill>
              </w:rPr>
              <w:t>破碎废水经絮凝沉淀池处理后</w:t>
            </w:r>
            <w:r>
              <w:rPr>
                <w:rFonts w:hint="eastAsia"/>
                <w:color w:val="000000" w:themeColor="text1"/>
                <w14:textFill>
                  <w14:solidFill>
                    <w14:schemeClr w14:val="tx1"/>
                  </w14:solidFill>
                </w14:textFill>
              </w:rPr>
              <w:t>回用不外排</w:t>
            </w:r>
            <w:r>
              <w:rPr>
                <w:rFonts w:hint="eastAsia"/>
                <w:color w:val="000000" w:themeColor="text1"/>
                <w:lang w:eastAsia="zh-CN"/>
                <w14:textFill>
                  <w14:solidFill>
                    <w14:schemeClr w14:val="tx1"/>
                  </w14:solidFill>
                </w14:textFill>
              </w:rPr>
              <w:t>。</w:t>
            </w:r>
            <w:r>
              <w:rPr>
                <w:rFonts w:hint="default" w:ascii="Times New Roman" w:hAnsi="Times New Roman" w:cs="Times New Roman"/>
                <w:color w:val="000000" w:themeColor="text1"/>
                <w:kern w:val="0"/>
                <w:sz w:val="24"/>
                <w:szCs w:val="20"/>
                <w:lang w:val="en-US" w:eastAsia="zh-CN"/>
                <w14:textFill>
                  <w14:solidFill>
                    <w14:schemeClr w14:val="tx1"/>
                  </w14:solidFill>
                </w14:textFill>
              </w:rPr>
              <w:t>标准值见下表</w:t>
            </w:r>
            <w:r>
              <w:rPr>
                <w:rFonts w:hint="default" w:ascii="Times New Roman" w:hAnsi="Times New Roman" w:cs="Times New Roman"/>
                <w:color w:val="000000" w:themeColor="text1"/>
                <w:kern w:val="0"/>
                <w:sz w:val="24"/>
                <w:szCs w:val="20"/>
                <w14:textFill>
                  <w14:solidFill>
                    <w14:schemeClr w14:val="tx1"/>
                  </w14:solidFill>
                </w14:textFill>
              </w:rPr>
              <w:t>。</w:t>
            </w:r>
          </w:p>
          <w:p w14:paraId="05DE16A3">
            <w:pPr>
              <w:pStyle w:val="39"/>
              <w:keepNext w:val="0"/>
              <w:keepLines w:val="0"/>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r>
              <w:rPr>
                <w:rFonts w:hint="default"/>
                <w:color w:val="000000" w:themeColor="text1"/>
                <w14:textFill>
                  <w14:solidFill>
                    <w14:schemeClr w14:val="tx1"/>
                  </w14:solidFill>
                </w14:textFill>
              </w:rPr>
              <w:t>表</w:t>
            </w:r>
            <w:r>
              <w:rPr>
                <w:rFonts w:hint="default"/>
                <w:color w:val="000000" w:themeColor="text1"/>
                <w:lang w:val="en-US" w:eastAsia="zh-CN"/>
                <w14:textFill>
                  <w14:solidFill>
                    <w14:schemeClr w14:val="tx1"/>
                  </w14:solidFill>
                </w14:textFill>
              </w:rPr>
              <w:t>3-</w:t>
            </w:r>
            <w:r>
              <w:rPr>
                <w:rFonts w:hint="eastAsia"/>
                <w:color w:val="000000" w:themeColor="text1"/>
                <w:lang w:val="en-US" w:eastAsia="zh-CN"/>
                <w14:textFill>
                  <w14:solidFill>
                    <w14:schemeClr w14:val="tx1"/>
                  </w14:solidFill>
                </w14:textFill>
              </w:rPr>
              <w:t>5</w:t>
            </w:r>
            <w:r>
              <w:rPr>
                <w:rFonts w:hint="eastAsia"/>
                <w:color w:val="000000" w:themeColor="text1"/>
                <w:lang w:eastAsia="zh-CN"/>
                <w14:textFill>
                  <w14:solidFill>
                    <w14:schemeClr w14:val="tx1"/>
                  </w14:solidFill>
                </w14:textFill>
              </w:rPr>
              <w:t xml:space="preserve">  </w:t>
            </w:r>
            <w:r>
              <w:rPr>
                <w:rFonts w:hint="default"/>
                <w:color w:val="000000" w:themeColor="text1"/>
                <w14:textFill>
                  <w14:solidFill>
                    <w14:schemeClr w14:val="tx1"/>
                  </w14:solidFill>
                </w14:textFill>
              </w:rPr>
              <w:t>项目</w:t>
            </w:r>
            <w:r>
              <w:rPr>
                <w:rFonts w:hint="eastAsia"/>
                <w:color w:val="000000" w:themeColor="text1"/>
                <w:lang w:val="en-US" w:eastAsia="zh-CN"/>
                <w14:textFill>
                  <w14:solidFill>
                    <w14:schemeClr w14:val="tx1"/>
                  </w14:solidFill>
                </w14:textFill>
              </w:rPr>
              <w:t>生活污水</w:t>
            </w:r>
            <w:r>
              <w:rPr>
                <w:rFonts w:hint="default"/>
                <w:color w:val="000000" w:themeColor="text1"/>
                <w14:textFill>
                  <w14:solidFill>
                    <w14:schemeClr w14:val="tx1"/>
                  </w14:solidFill>
                </w14:textFill>
              </w:rPr>
              <w:t>污染物排放标</w:t>
            </w:r>
            <w:commentRangeStart w:id="36"/>
            <w:r>
              <w:rPr>
                <w:rFonts w:hint="default"/>
                <w:color w:val="000000" w:themeColor="text1"/>
                <w14:textFill>
                  <w14:solidFill>
                    <w14:schemeClr w14:val="tx1"/>
                  </w14:solidFill>
                </w14:textFill>
              </w:rPr>
              <w:t>准</w:t>
            </w:r>
            <w:commentRangeEnd w:id="36"/>
            <w:r>
              <w:rPr>
                <w:rFonts w:hint="default"/>
              </w:rPr>
              <w:commentReference w:id="36"/>
            </w:r>
            <w:r>
              <w:rPr>
                <w:rFonts w:hint="eastAsia"/>
                <w:color w:val="000000" w:themeColor="text1"/>
                <w:lang w:eastAsia="zh-CN"/>
                <w14:textFill>
                  <w14:solidFill>
                    <w14:schemeClr w14:val="tx1"/>
                  </w14:solidFill>
                </w14:textFill>
              </w:rPr>
              <w:t>（单位：</w:t>
            </w:r>
            <w:r>
              <w:rPr>
                <w:rFonts w:hint="eastAsia"/>
                <w:color w:val="000000" w:themeColor="text1"/>
                <w:lang w:val="en-US" w:eastAsia="zh-CN"/>
                <w14:textFill>
                  <w14:solidFill>
                    <w14:schemeClr w14:val="tx1"/>
                  </w14:solidFill>
                </w14:textFill>
              </w:rPr>
              <w:t>mg/L</w:t>
            </w:r>
            <w:r>
              <w:rPr>
                <w:rFonts w:hint="eastAsia"/>
                <w:color w:val="000000" w:themeColor="text1"/>
                <w:lang w:eastAsia="zh-CN"/>
                <w14:textFill>
                  <w14:solidFill>
                    <w14:schemeClr w14:val="tx1"/>
                  </w14:solidFill>
                </w14:textFill>
              </w:rPr>
              <w:t>）</w:t>
            </w:r>
          </w:p>
          <w:tbl>
            <w:tblPr>
              <w:tblStyle w:val="1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644"/>
              <w:gridCol w:w="1556"/>
              <w:gridCol w:w="1775"/>
              <w:gridCol w:w="1541"/>
              <w:gridCol w:w="1927"/>
            </w:tblGrid>
            <w:tr w14:paraId="17082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973" w:type="pct"/>
                  <w:tcBorders>
                    <w:tl2br w:val="nil"/>
                    <w:tr2bl w:val="nil"/>
                  </w:tcBorders>
                  <w:noWrap w:val="0"/>
                  <w:vAlign w:val="center"/>
                </w:tcPr>
                <w:p w14:paraId="0CD0674D">
                  <w:pPr>
                    <w:pStyle w:val="46"/>
                    <w:keepNext w:val="0"/>
                    <w:keepLines w:val="0"/>
                    <w:suppressLineNumbers w:val="0"/>
                    <w:bidi w:val="0"/>
                    <w:spacing w:before="0" w:beforeAutospacing="0" w:after="0" w:afterAutospacing="0"/>
                    <w:rPr>
                      <w:rFonts w:hint="default"/>
                      <w:b/>
                      <w:bCs/>
                      <w:color w:val="000000" w:themeColor="text1"/>
                      <w14:textFill>
                        <w14:solidFill>
                          <w14:schemeClr w14:val="tx1"/>
                        </w14:solidFill>
                      </w14:textFill>
                    </w:rPr>
                  </w:pPr>
                  <w:r>
                    <w:rPr>
                      <w:rFonts w:hint="default"/>
                      <w:b/>
                      <w:bCs/>
                      <w:color w:val="000000" w:themeColor="text1"/>
                      <w14:textFill>
                        <w14:solidFill>
                          <w14:schemeClr w14:val="tx1"/>
                        </w14:solidFill>
                      </w14:textFill>
                    </w:rPr>
                    <w:t>污染物名称</w:t>
                  </w:r>
                </w:p>
              </w:tc>
              <w:tc>
                <w:tcPr>
                  <w:tcW w:w="921" w:type="pct"/>
                  <w:tcBorders>
                    <w:tl2br w:val="nil"/>
                    <w:tr2bl w:val="nil"/>
                  </w:tcBorders>
                  <w:shd w:val="clear" w:color="auto" w:fill="auto"/>
                  <w:noWrap w:val="0"/>
                  <w:vAlign w:val="center"/>
                </w:tcPr>
                <w:p w14:paraId="7D73BC0B">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bCs/>
                      <w:color w:val="000000" w:themeColor="text1"/>
                      <w:kern w:val="2"/>
                      <w:sz w:val="21"/>
                      <w:szCs w:val="21"/>
                      <w:lang w:val="en-US" w:eastAsia="zh-CN" w:bidi="ar-SA"/>
                      <w14:textFill>
                        <w14:solidFill>
                          <w14:schemeClr w14:val="tx1"/>
                        </w14:solidFill>
                      </w14:textFill>
                    </w:rPr>
                  </w:pPr>
                  <w:r>
                    <w:rPr>
                      <w:rFonts w:hint="eastAsia"/>
                      <w:b/>
                      <w:bCs/>
                      <w:color w:val="000000" w:themeColor="text1"/>
                      <w:lang w:val="en-US" w:eastAsia="zh-CN"/>
                      <w14:textFill>
                        <w14:solidFill>
                          <w14:schemeClr w14:val="tx1"/>
                        </w14:solidFill>
                      </w14:textFill>
                    </w:rPr>
                    <w:t>污水处理厂接管标准</w:t>
                  </w:r>
                </w:p>
              </w:tc>
              <w:tc>
                <w:tcPr>
                  <w:tcW w:w="1051" w:type="pct"/>
                  <w:tcBorders>
                    <w:tl2br w:val="nil"/>
                    <w:tr2bl w:val="nil"/>
                  </w:tcBorders>
                  <w:noWrap w:val="0"/>
                  <w:vAlign w:val="center"/>
                </w:tcPr>
                <w:p w14:paraId="760A3C40">
                  <w:pPr>
                    <w:pStyle w:val="46"/>
                    <w:keepNext w:val="0"/>
                    <w:keepLines w:val="0"/>
                    <w:suppressLineNumbers w:val="0"/>
                    <w:bidi w:val="0"/>
                    <w:spacing w:before="0" w:beforeAutospacing="0" w:after="0" w:afterAutospacing="0"/>
                    <w:rPr>
                      <w:rFonts w:hint="default"/>
                      <w:b/>
                      <w:bCs/>
                      <w:color w:val="000000" w:themeColor="text1"/>
                      <w14:textFill>
                        <w14:solidFill>
                          <w14:schemeClr w14:val="tx1"/>
                        </w14:solidFill>
                      </w14:textFill>
                    </w:rPr>
                  </w:pPr>
                  <w:r>
                    <w:rPr>
                      <w:rFonts w:hint="default"/>
                      <w:b/>
                      <w:bCs/>
                      <w:color w:val="000000" w:themeColor="text1"/>
                      <w14:textFill>
                        <w14:solidFill>
                          <w14:schemeClr w14:val="tx1"/>
                        </w14:solidFill>
                      </w14:textFill>
                    </w:rPr>
                    <w:t>GB8</w:t>
                  </w:r>
                  <w:r>
                    <w:rPr>
                      <w:rFonts w:hint="eastAsia"/>
                      <w:b/>
                      <w:bCs/>
                      <w:color w:val="000000" w:themeColor="text1"/>
                      <w:lang w:val="en-US" w:eastAsia="zh-CN"/>
                      <w14:textFill>
                        <w14:solidFill>
                          <w14:schemeClr w14:val="tx1"/>
                        </w14:solidFill>
                      </w14:textFill>
                    </w:rPr>
                    <w:t>9</w:t>
                  </w:r>
                  <w:r>
                    <w:rPr>
                      <w:rFonts w:hint="default"/>
                      <w:b/>
                      <w:bCs/>
                      <w:color w:val="000000" w:themeColor="text1"/>
                      <w14:textFill>
                        <w14:solidFill>
                          <w14:schemeClr w14:val="tx1"/>
                        </w14:solidFill>
                      </w14:textFill>
                    </w:rPr>
                    <w:t>78-1996表4中三级标准</w:t>
                  </w:r>
                </w:p>
              </w:tc>
              <w:tc>
                <w:tcPr>
                  <w:tcW w:w="912" w:type="pct"/>
                  <w:tcBorders>
                    <w:tl2br w:val="nil"/>
                    <w:tr2bl w:val="nil"/>
                  </w:tcBorders>
                  <w:noWrap w:val="0"/>
                  <w:vAlign w:val="center"/>
                </w:tcPr>
                <w:p w14:paraId="2FCD1688">
                  <w:pPr>
                    <w:pStyle w:val="46"/>
                    <w:keepNext w:val="0"/>
                    <w:keepLines w:val="0"/>
                    <w:suppressLineNumbers w:val="0"/>
                    <w:bidi w:val="0"/>
                    <w:spacing w:before="0" w:beforeAutospacing="0" w:after="0" w:afterAutospacing="0"/>
                    <w:rPr>
                      <w:rFonts w:hint="default"/>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本项目执行标准</w:t>
                  </w:r>
                </w:p>
              </w:tc>
              <w:tc>
                <w:tcPr>
                  <w:tcW w:w="1141" w:type="pct"/>
                  <w:tcBorders>
                    <w:tl2br w:val="nil"/>
                    <w:tr2bl w:val="nil"/>
                  </w:tcBorders>
                  <w:noWrap w:val="0"/>
                  <w:vAlign w:val="center"/>
                </w:tcPr>
                <w:p w14:paraId="194604A9">
                  <w:pPr>
                    <w:pStyle w:val="46"/>
                    <w:keepNext w:val="0"/>
                    <w:keepLines w:val="0"/>
                    <w:suppressLineNumbers w:val="0"/>
                    <w:bidi w:val="0"/>
                    <w:spacing w:before="0" w:beforeAutospacing="0" w:after="0" w:afterAutospacing="0"/>
                    <w:rPr>
                      <w:rFonts w:hint="default"/>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GB18918-2002中一级A标准</w:t>
                  </w:r>
                </w:p>
              </w:tc>
            </w:tr>
            <w:tr w14:paraId="50AE2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973" w:type="pct"/>
                  <w:tcBorders>
                    <w:tl2br w:val="nil"/>
                    <w:tr2bl w:val="nil"/>
                  </w:tcBorders>
                  <w:noWrap w:val="0"/>
                  <w:vAlign w:val="center"/>
                </w:tcPr>
                <w:p w14:paraId="3D46A64A">
                  <w:pPr>
                    <w:pStyle w:val="46"/>
                    <w:keepNext w:val="0"/>
                    <w:keepLines w:val="0"/>
                    <w:suppressLineNumbers w:val="0"/>
                    <w:bidi w:val="0"/>
                    <w:spacing w:before="0" w:beforeAutospacing="0" w:after="0" w:afterAutospacing="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pH（无量纲）</w:t>
                  </w:r>
                </w:p>
              </w:tc>
              <w:tc>
                <w:tcPr>
                  <w:tcW w:w="921" w:type="pct"/>
                  <w:tcBorders>
                    <w:tl2br w:val="nil"/>
                    <w:tr2bl w:val="nil"/>
                  </w:tcBorders>
                  <w:shd w:val="clear" w:color="auto" w:fill="auto"/>
                  <w:noWrap w:val="0"/>
                  <w:vAlign w:val="center"/>
                </w:tcPr>
                <w:p w14:paraId="74433099">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default"/>
                      <w:color w:val="000000" w:themeColor="text1"/>
                      <w14:textFill>
                        <w14:solidFill>
                          <w14:schemeClr w14:val="tx1"/>
                        </w14:solidFill>
                      </w14:textFill>
                    </w:rPr>
                    <w:t>6</w:t>
                  </w:r>
                  <w:r>
                    <w:rPr>
                      <w:rFonts w:hint="eastAsia"/>
                      <w:color w:val="000000" w:themeColor="text1"/>
                      <w:lang w:eastAsia="zh-CN"/>
                      <w14:textFill>
                        <w14:solidFill>
                          <w14:schemeClr w14:val="tx1"/>
                        </w14:solidFill>
                      </w14:textFill>
                    </w:rPr>
                    <w:t>~</w:t>
                  </w:r>
                  <w:r>
                    <w:rPr>
                      <w:rFonts w:hint="default"/>
                      <w:color w:val="000000" w:themeColor="text1"/>
                      <w14:textFill>
                        <w14:solidFill>
                          <w14:schemeClr w14:val="tx1"/>
                        </w14:solidFill>
                      </w14:textFill>
                    </w:rPr>
                    <w:t>9</w:t>
                  </w:r>
                </w:p>
              </w:tc>
              <w:tc>
                <w:tcPr>
                  <w:tcW w:w="1051" w:type="pct"/>
                  <w:tcBorders>
                    <w:tl2br w:val="nil"/>
                    <w:tr2bl w:val="nil"/>
                  </w:tcBorders>
                  <w:noWrap w:val="0"/>
                  <w:vAlign w:val="center"/>
                </w:tcPr>
                <w:p w14:paraId="292BE329">
                  <w:pPr>
                    <w:pStyle w:val="46"/>
                    <w:keepNext w:val="0"/>
                    <w:keepLines w:val="0"/>
                    <w:suppressLineNumbers w:val="0"/>
                    <w:bidi w:val="0"/>
                    <w:spacing w:before="0" w:beforeAutospacing="0" w:after="0" w:afterAutospacing="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6</w:t>
                  </w:r>
                  <w:r>
                    <w:rPr>
                      <w:rFonts w:hint="eastAsia"/>
                      <w:color w:val="000000" w:themeColor="text1"/>
                      <w:lang w:eastAsia="zh-CN"/>
                      <w14:textFill>
                        <w14:solidFill>
                          <w14:schemeClr w14:val="tx1"/>
                        </w14:solidFill>
                      </w14:textFill>
                    </w:rPr>
                    <w:t>~</w:t>
                  </w:r>
                  <w:r>
                    <w:rPr>
                      <w:rFonts w:hint="default"/>
                      <w:color w:val="000000" w:themeColor="text1"/>
                      <w14:textFill>
                        <w14:solidFill>
                          <w14:schemeClr w14:val="tx1"/>
                        </w14:solidFill>
                      </w14:textFill>
                    </w:rPr>
                    <w:t>9</w:t>
                  </w:r>
                </w:p>
              </w:tc>
              <w:tc>
                <w:tcPr>
                  <w:tcW w:w="912" w:type="pct"/>
                  <w:tcBorders>
                    <w:tl2br w:val="nil"/>
                    <w:tr2bl w:val="nil"/>
                  </w:tcBorders>
                  <w:noWrap w:val="0"/>
                  <w:vAlign w:val="center"/>
                </w:tcPr>
                <w:p w14:paraId="3728CA6F">
                  <w:pPr>
                    <w:pStyle w:val="46"/>
                    <w:keepNext w:val="0"/>
                    <w:keepLines w:val="0"/>
                    <w:suppressLineNumbers w:val="0"/>
                    <w:bidi w:val="0"/>
                    <w:spacing w:before="0" w:beforeAutospacing="0" w:after="0" w:afterAutospacing="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6</w:t>
                  </w:r>
                  <w:r>
                    <w:rPr>
                      <w:rFonts w:hint="eastAsia"/>
                      <w:color w:val="000000" w:themeColor="text1"/>
                      <w:lang w:eastAsia="zh-CN"/>
                      <w14:textFill>
                        <w14:solidFill>
                          <w14:schemeClr w14:val="tx1"/>
                        </w14:solidFill>
                      </w14:textFill>
                    </w:rPr>
                    <w:t>~</w:t>
                  </w:r>
                  <w:r>
                    <w:rPr>
                      <w:rFonts w:hint="default"/>
                      <w:color w:val="000000" w:themeColor="text1"/>
                      <w14:textFill>
                        <w14:solidFill>
                          <w14:schemeClr w14:val="tx1"/>
                        </w14:solidFill>
                      </w14:textFill>
                    </w:rPr>
                    <w:t>9</w:t>
                  </w:r>
                </w:p>
              </w:tc>
              <w:tc>
                <w:tcPr>
                  <w:tcW w:w="1141" w:type="pct"/>
                  <w:tcBorders>
                    <w:tl2br w:val="nil"/>
                    <w:tr2bl w:val="nil"/>
                  </w:tcBorders>
                  <w:noWrap w:val="0"/>
                  <w:vAlign w:val="center"/>
                </w:tcPr>
                <w:p w14:paraId="1D013BF3">
                  <w:pPr>
                    <w:pStyle w:val="46"/>
                    <w:keepNext w:val="0"/>
                    <w:keepLines w:val="0"/>
                    <w:suppressLineNumbers w:val="0"/>
                    <w:bidi w:val="0"/>
                    <w:spacing w:before="0" w:beforeAutospacing="0" w:after="0" w:afterAutospacing="0"/>
                    <w:rPr>
                      <w:rFonts w:hint="default"/>
                      <w:color w:val="000000" w:themeColor="text1"/>
                      <w14:textFill>
                        <w14:solidFill>
                          <w14:schemeClr w14:val="tx1"/>
                        </w14:solidFill>
                      </w14:textFill>
                    </w:rPr>
                  </w:pPr>
                  <w:r>
                    <w:rPr>
                      <w:color w:val="000000" w:themeColor="text1"/>
                      <w14:textFill>
                        <w14:solidFill>
                          <w14:schemeClr w14:val="tx1"/>
                        </w14:solidFill>
                      </w14:textFill>
                    </w:rPr>
                    <w:t>6</w:t>
                  </w:r>
                  <w:r>
                    <w:rPr>
                      <w:rFonts w:hint="eastAsia"/>
                      <w:color w:val="000000" w:themeColor="text1"/>
                      <w:lang w:eastAsia="zh-CN"/>
                      <w14:textFill>
                        <w14:solidFill>
                          <w14:schemeClr w14:val="tx1"/>
                        </w14:solidFill>
                      </w14:textFill>
                    </w:rPr>
                    <w:t>~</w:t>
                  </w:r>
                  <w:r>
                    <w:rPr>
                      <w:color w:val="000000" w:themeColor="text1"/>
                      <w14:textFill>
                        <w14:solidFill>
                          <w14:schemeClr w14:val="tx1"/>
                        </w14:solidFill>
                      </w14:textFill>
                    </w:rPr>
                    <w:t>9</w:t>
                  </w:r>
                </w:p>
              </w:tc>
            </w:tr>
            <w:tr w14:paraId="44F0D3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973" w:type="pct"/>
                  <w:tcBorders>
                    <w:tl2br w:val="nil"/>
                    <w:tr2bl w:val="nil"/>
                  </w:tcBorders>
                  <w:noWrap w:val="0"/>
                  <w:vAlign w:val="center"/>
                </w:tcPr>
                <w:p w14:paraId="01D9CE4C">
                  <w:pPr>
                    <w:pStyle w:val="46"/>
                    <w:keepNext w:val="0"/>
                    <w:keepLines w:val="0"/>
                    <w:suppressLineNumbers w:val="0"/>
                    <w:bidi w:val="0"/>
                    <w:spacing w:before="0" w:beforeAutospacing="0" w:after="0" w:afterAutospacing="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COD</w:t>
                  </w:r>
                </w:p>
              </w:tc>
              <w:tc>
                <w:tcPr>
                  <w:tcW w:w="921" w:type="pct"/>
                  <w:tcBorders>
                    <w:tl2br w:val="nil"/>
                    <w:tr2bl w:val="nil"/>
                  </w:tcBorders>
                  <w:shd w:val="clear" w:color="auto" w:fill="auto"/>
                  <w:noWrap w:val="0"/>
                  <w:vAlign w:val="center"/>
                </w:tcPr>
                <w:p w14:paraId="1F067E06">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380</w:t>
                  </w:r>
                </w:p>
              </w:tc>
              <w:tc>
                <w:tcPr>
                  <w:tcW w:w="1051" w:type="pct"/>
                  <w:tcBorders>
                    <w:tl2br w:val="nil"/>
                    <w:tr2bl w:val="nil"/>
                  </w:tcBorders>
                  <w:noWrap w:val="0"/>
                  <w:vAlign w:val="center"/>
                </w:tcPr>
                <w:p w14:paraId="3C750C8B">
                  <w:pPr>
                    <w:pStyle w:val="46"/>
                    <w:keepNext w:val="0"/>
                    <w:keepLines w:val="0"/>
                    <w:suppressLineNumbers w:val="0"/>
                    <w:bidi w:val="0"/>
                    <w:spacing w:before="0" w:beforeAutospacing="0" w:after="0" w:afterAutospacing="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500</w:t>
                  </w:r>
                </w:p>
              </w:tc>
              <w:tc>
                <w:tcPr>
                  <w:tcW w:w="912" w:type="pct"/>
                  <w:tcBorders>
                    <w:tl2br w:val="nil"/>
                    <w:tr2bl w:val="nil"/>
                  </w:tcBorders>
                  <w:shd w:val="clear" w:color="auto" w:fill="auto"/>
                  <w:noWrap w:val="0"/>
                  <w:vAlign w:val="center"/>
                </w:tcPr>
                <w:p w14:paraId="0A338FE7">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380</w:t>
                  </w:r>
                </w:p>
              </w:tc>
              <w:tc>
                <w:tcPr>
                  <w:tcW w:w="1141" w:type="pct"/>
                  <w:tcBorders>
                    <w:tl2br w:val="nil"/>
                    <w:tr2bl w:val="nil"/>
                  </w:tcBorders>
                  <w:noWrap w:val="0"/>
                  <w:vAlign w:val="center"/>
                </w:tcPr>
                <w:p w14:paraId="3F42756B">
                  <w:pPr>
                    <w:pStyle w:val="46"/>
                    <w:keepNext w:val="0"/>
                    <w:keepLines w:val="0"/>
                    <w:suppressLineNumbers w:val="0"/>
                    <w:bidi w:val="0"/>
                    <w:spacing w:before="0" w:beforeAutospacing="0" w:after="0" w:afterAutospacing="0"/>
                    <w:rPr>
                      <w:rFonts w:hint="default"/>
                      <w:color w:val="000000" w:themeColor="text1"/>
                      <w14:textFill>
                        <w14:solidFill>
                          <w14:schemeClr w14:val="tx1"/>
                        </w14:solidFill>
                      </w14:textFill>
                    </w:rPr>
                  </w:pPr>
                  <w:r>
                    <w:rPr>
                      <w:color w:val="000000" w:themeColor="text1"/>
                      <w14:textFill>
                        <w14:solidFill>
                          <w14:schemeClr w14:val="tx1"/>
                        </w14:solidFill>
                      </w14:textFill>
                    </w:rPr>
                    <w:t>50</w:t>
                  </w:r>
                </w:p>
              </w:tc>
            </w:tr>
            <w:tr w14:paraId="6EEAD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973" w:type="pct"/>
                  <w:tcBorders>
                    <w:tl2br w:val="nil"/>
                    <w:tr2bl w:val="nil"/>
                  </w:tcBorders>
                  <w:noWrap w:val="0"/>
                  <w:vAlign w:val="center"/>
                </w:tcPr>
                <w:p w14:paraId="156143ED">
                  <w:pPr>
                    <w:pStyle w:val="46"/>
                    <w:keepNext w:val="0"/>
                    <w:keepLines w:val="0"/>
                    <w:suppressLineNumbers w:val="0"/>
                    <w:bidi w:val="0"/>
                    <w:spacing w:before="0" w:beforeAutospacing="0" w:after="0" w:afterAutospacing="0"/>
                    <w:rPr>
                      <w:rFonts w:hint="default"/>
                      <w:color w:val="000000" w:themeColor="text1"/>
                      <w:lang w:val="en-US" w:eastAsia="zh-CN"/>
                      <w14:textFill>
                        <w14:solidFill>
                          <w14:schemeClr w14:val="tx1"/>
                        </w14:solidFill>
                      </w14:textFill>
                    </w:rPr>
                  </w:pPr>
                  <w:r>
                    <w:rPr>
                      <w:rFonts w:hint="default"/>
                      <w:color w:val="000000" w:themeColor="text1"/>
                      <w14:textFill>
                        <w14:solidFill>
                          <w14:schemeClr w14:val="tx1"/>
                        </w14:solidFill>
                      </w14:textFill>
                    </w:rPr>
                    <w:t>BOD</w:t>
                  </w:r>
                  <w:r>
                    <w:rPr>
                      <w:rFonts w:hint="default"/>
                      <w:color w:val="000000" w:themeColor="text1"/>
                      <w:vertAlign w:val="subscript"/>
                      <w:lang w:val="en-US" w:eastAsia="zh-CN"/>
                      <w14:textFill>
                        <w14:solidFill>
                          <w14:schemeClr w14:val="tx1"/>
                        </w14:solidFill>
                      </w14:textFill>
                    </w:rPr>
                    <w:t>5</w:t>
                  </w:r>
                </w:p>
              </w:tc>
              <w:tc>
                <w:tcPr>
                  <w:tcW w:w="921" w:type="pct"/>
                  <w:tcBorders>
                    <w:tl2br w:val="nil"/>
                    <w:tr2bl w:val="nil"/>
                  </w:tcBorders>
                  <w:shd w:val="clear" w:color="auto" w:fill="auto"/>
                  <w:noWrap w:val="0"/>
                  <w:vAlign w:val="center"/>
                </w:tcPr>
                <w:p w14:paraId="3DC5496B">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160</w:t>
                  </w:r>
                </w:p>
              </w:tc>
              <w:tc>
                <w:tcPr>
                  <w:tcW w:w="1051" w:type="pct"/>
                  <w:tcBorders>
                    <w:tl2br w:val="nil"/>
                    <w:tr2bl w:val="nil"/>
                  </w:tcBorders>
                  <w:noWrap w:val="0"/>
                  <w:vAlign w:val="center"/>
                </w:tcPr>
                <w:p w14:paraId="466F91E5">
                  <w:pPr>
                    <w:pStyle w:val="46"/>
                    <w:keepNext w:val="0"/>
                    <w:keepLines w:val="0"/>
                    <w:suppressLineNumbers w:val="0"/>
                    <w:bidi w:val="0"/>
                    <w:spacing w:before="0" w:beforeAutospacing="0" w:after="0" w:afterAutospacing="0"/>
                    <w:rPr>
                      <w:rFonts w:hint="default"/>
                      <w:color w:val="000000" w:themeColor="text1"/>
                      <w:lang w:val="en-US" w:eastAsia="zh-CN"/>
                      <w14:textFill>
                        <w14:solidFill>
                          <w14:schemeClr w14:val="tx1"/>
                        </w14:solidFill>
                      </w14:textFill>
                    </w:rPr>
                  </w:pPr>
                  <w:r>
                    <w:rPr>
                      <w:rFonts w:hint="default"/>
                      <w:color w:val="000000" w:themeColor="text1"/>
                      <w14:textFill>
                        <w14:solidFill>
                          <w14:schemeClr w14:val="tx1"/>
                        </w14:solidFill>
                      </w14:textFill>
                    </w:rPr>
                    <w:t>30</w:t>
                  </w:r>
                  <w:r>
                    <w:rPr>
                      <w:rFonts w:hint="default"/>
                      <w:color w:val="000000" w:themeColor="text1"/>
                      <w:lang w:val="en-US" w:eastAsia="zh-CN"/>
                      <w14:textFill>
                        <w14:solidFill>
                          <w14:schemeClr w14:val="tx1"/>
                        </w14:solidFill>
                      </w14:textFill>
                    </w:rPr>
                    <w:t>0</w:t>
                  </w:r>
                </w:p>
              </w:tc>
              <w:tc>
                <w:tcPr>
                  <w:tcW w:w="912" w:type="pct"/>
                  <w:tcBorders>
                    <w:tl2br w:val="nil"/>
                    <w:tr2bl w:val="nil"/>
                  </w:tcBorders>
                  <w:shd w:val="clear" w:color="auto" w:fill="auto"/>
                  <w:noWrap w:val="0"/>
                  <w:vAlign w:val="center"/>
                </w:tcPr>
                <w:p w14:paraId="7371F6E6">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160</w:t>
                  </w:r>
                </w:p>
              </w:tc>
              <w:tc>
                <w:tcPr>
                  <w:tcW w:w="1141" w:type="pct"/>
                  <w:tcBorders>
                    <w:tl2br w:val="nil"/>
                    <w:tr2bl w:val="nil"/>
                  </w:tcBorders>
                  <w:noWrap w:val="0"/>
                  <w:vAlign w:val="center"/>
                </w:tcPr>
                <w:p w14:paraId="69163795">
                  <w:pPr>
                    <w:pStyle w:val="46"/>
                    <w:keepNext w:val="0"/>
                    <w:keepLines w:val="0"/>
                    <w:suppressLineNumbers w:val="0"/>
                    <w:bidi w:val="0"/>
                    <w:spacing w:before="0" w:beforeAutospacing="0" w:after="0" w:afterAutospacing="0"/>
                    <w:rPr>
                      <w:rFonts w:hint="default"/>
                      <w:color w:val="000000" w:themeColor="text1"/>
                      <w14:textFill>
                        <w14:solidFill>
                          <w14:schemeClr w14:val="tx1"/>
                        </w14:solidFill>
                      </w14:textFill>
                    </w:rPr>
                  </w:pPr>
                  <w:r>
                    <w:rPr>
                      <w:color w:val="000000" w:themeColor="text1"/>
                      <w14:textFill>
                        <w14:solidFill>
                          <w14:schemeClr w14:val="tx1"/>
                        </w14:solidFill>
                      </w14:textFill>
                    </w:rPr>
                    <w:t>10</w:t>
                  </w:r>
                </w:p>
              </w:tc>
            </w:tr>
            <w:tr w14:paraId="40AA0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973" w:type="pct"/>
                  <w:tcBorders>
                    <w:tl2br w:val="nil"/>
                    <w:tr2bl w:val="nil"/>
                  </w:tcBorders>
                  <w:noWrap w:val="0"/>
                  <w:vAlign w:val="center"/>
                </w:tcPr>
                <w:p w14:paraId="0505248E">
                  <w:pPr>
                    <w:pStyle w:val="46"/>
                    <w:keepNext w:val="0"/>
                    <w:keepLines w:val="0"/>
                    <w:suppressLineNumbers w:val="0"/>
                    <w:bidi w:val="0"/>
                    <w:spacing w:before="0" w:beforeAutospacing="0" w:after="0" w:afterAutospacing="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NH</w:t>
                  </w:r>
                  <w:r>
                    <w:rPr>
                      <w:rFonts w:hint="default"/>
                      <w:color w:val="000000" w:themeColor="text1"/>
                      <w:vertAlign w:val="subscript"/>
                      <w14:textFill>
                        <w14:solidFill>
                          <w14:schemeClr w14:val="tx1"/>
                        </w14:solidFill>
                      </w14:textFill>
                    </w:rPr>
                    <w:t>3</w:t>
                  </w:r>
                  <w:r>
                    <w:rPr>
                      <w:rFonts w:hint="default"/>
                      <w:color w:val="000000" w:themeColor="text1"/>
                      <w14:textFill>
                        <w14:solidFill>
                          <w14:schemeClr w14:val="tx1"/>
                        </w14:solidFill>
                      </w14:textFill>
                    </w:rPr>
                    <w:t>-N</w:t>
                  </w:r>
                </w:p>
              </w:tc>
              <w:tc>
                <w:tcPr>
                  <w:tcW w:w="921" w:type="pct"/>
                  <w:tcBorders>
                    <w:tl2br w:val="nil"/>
                    <w:tr2bl w:val="nil"/>
                  </w:tcBorders>
                  <w:shd w:val="clear" w:color="auto" w:fill="auto"/>
                  <w:noWrap w:val="0"/>
                  <w:vAlign w:val="center"/>
                </w:tcPr>
                <w:p w14:paraId="45CA6468">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25</w:t>
                  </w:r>
                </w:p>
              </w:tc>
              <w:tc>
                <w:tcPr>
                  <w:tcW w:w="1051" w:type="pct"/>
                  <w:tcBorders>
                    <w:tl2br w:val="nil"/>
                    <w:tr2bl w:val="nil"/>
                  </w:tcBorders>
                  <w:noWrap w:val="0"/>
                  <w:vAlign w:val="center"/>
                </w:tcPr>
                <w:p w14:paraId="1408BA52">
                  <w:pPr>
                    <w:pStyle w:val="46"/>
                    <w:keepNext w:val="0"/>
                    <w:keepLines w:val="0"/>
                    <w:suppressLineNumbers w:val="0"/>
                    <w:bidi w:val="0"/>
                    <w:spacing w:before="0" w:beforeAutospacing="0" w:after="0" w:afterAutospacing="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w:t>
                  </w:r>
                </w:p>
              </w:tc>
              <w:tc>
                <w:tcPr>
                  <w:tcW w:w="912" w:type="pct"/>
                  <w:tcBorders>
                    <w:tl2br w:val="nil"/>
                    <w:tr2bl w:val="nil"/>
                  </w:tcBorders>
                  <w:shd w:val="clear" w:color="auto" w:fill="auto"/>
                  <w:noWrap w:val="0"/>
                  <w:vAlign w:val="center"/>
                </w:tcPr>
                <w:p w14:paraId="18E0ED58">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25</w:t>
                  </w:r>
                </w:p>
              </w:tc>
              <w:tc>
                <w:tcPr>
                  <w:tcW w:w="1141" w:type="pct"/>
                  <w:tcBorders>
                    <w:tl2br w:val="nil"/>
                    <w:tr2bl w:val="nil"/>
                  </w:tcBorders>
                  <w:noWrap w:val="0"/>
                  <w:vAlign w:val="center"/>
                </w:tcPr>
                <w:p w14:paraId="7377F0A3">
                  <w:pPr>
                    <w:pStyle w:val="46"/>
                    <w:keepNext w:val="0"/>
                    <w:keepLines w:val="0"/>
                    <w:suppressLineNumbers w:val="0"/>
                    <w:bidi w:val="0"/>
                    <w:spacing w:before="0" w:beforeAutospacing="0" w:after="0" w:afterAutospacing="0"/>
                    <w:rPr>
                      <w:rFonts w:hint="eastAsia" w:eastAsia="宋体"/>
                      <w:color w:val="000000" w:themeColor="text1"/>
                      <w:lang w:eastAsia="zh-CN"/>
                      <w14:textFill>
                        <w14:solidFill>
                          <w14:schemeClr w14:val="tx1"/>
                        </w14:solidFill>
                      </w14:textFill>
                    </w:rPr>
                  </w:pPr>
                  <w:r>
                    <w:rPr>
                      <w:color w:val="000000" w:themeColor="text1"/>
                      <w14:textFill>
                        <w14:solidFill>
                          <w14:schemeClr w14:val="tx1"/>
                        </w14:solidFill>
                      </w14:textFill>
                    </w:rPr>
                    <w:t>5</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8</w:t>
                  </w:r>
                  <w:r>
                    <w:rPr>
                      <w:rFonts w:hint="eastAsia"/>
                      <w:color w:val="000000" w:themeColor="text1"/>
                      <w:lang w:eastAsia="zh-CN"/>
                      <w14:textFill>
                        <w14:solidFill>
                          <w14:schemeClr w14:val="tx1"/>
                        </w14:solidFill>
                      </w14:textFill>
                    </w:rPr>
                    <w:t>）</w:t>
                  </w:r>
                </w:p>
              </w:tc>
            </w:tr>
            <w:tr w14:paraId="00802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973" w:type="pct"/>
                  <w:tcBorders>
                    <w:tl2br w:val="nil"/>
                    <w:tr2bl w:val="nil"/>
                  </w:tcBorders>
                  <w:noWrap w:val="0"/>
                  <w:vAlign w:val="center"/>
                </w:tcPr>
                <w:p w14:paraId="597A7140">
                  <w:pPr>
                    <w:pStyle w:val="46"/>
                    <w:keepNext w:val="0"/>
                    <w:keepLines w:val="0"/>
                    <w:suppressLineNumbers w:val="0"/>
                    <w:bidi w:val="0"/>
                    <w:spacing w:before="0" w:beforeAutospacing="0" w:after="0" w:afterAutospacing="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SS</w:t>
                  </w:r>
                </w:p>
              </w:tc>
              <w:tc>
                <w:tcPr>
                  <w:tcW w:w="921" w:type="pct"/>
                  <w:tcBorders>
                    <w:tl2br w:val="nil"/>
                    <w:tr2bl w:val="nil"/>
                  </w:tcBorders>
                  <w:shd w:val="clear" w:color="auto" w:fill="auto"/>
                  <w:noWrap w:val="0"/>
                  <w:vAlign w:val="center"/>
                </w:tcPr>
                <w:p w14:paraId="206C3835">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200</w:t>
                  </w:r>
                </w:p>
              </w:tc>
              <w:tc>
                <w:tcPr>
                  <w:tcW w:w="1051" w:type="pct"/>
                  <w:tcBorders>
                    <w:tl2br w:val="nil"/>
                    <w:tr2bl w:val="nil"/>
                  </w:tcBorders>
                  <w:noWrap w:val="0"/>
                  <w:vAlign w:val="center"/>
                </w:tcPr>
                <w:p w14:paraId="1A051BBD">
                  <w:pPr>
                    <w:pStyle w:val="46"/>
                    <w:keepNext w:val="0"/>
                    <w:keepLines w:val="0"/>
                    <w:suppressLineNumbers w:val="0"/>
                    <w:bidi w:val="0"/>
                    <w:spacing w:before="0" w:beforeAutospacing="0" w:after="0" w:afterAutospacing="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400</w:t>
                  </w:r>
                </w:p>
              </w:tc>
              <w:tc>
                <w:tcPr>
                  <w:tcW w:w="912" w:type="pct"/>
                  <w:tcBorders>
                    <w:tl2br w:val="nil"/>
                    <w:tr2bl w:val="nil"/>
                  </w:tcBorders>
                  <w:shd w:val="clear" w:color="auto" w:fill="auto"/>
                  <w:noWrap w:val="0"/>
                  <w:vAlign w:val="center"/>
                </w:tcPr>
                <w:p w14:paraId="2E08E462">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200</w:t>
                  </w:r>
                </w:p>
              </w:tc>
              <w:tc>
                <w:tcPr>
                  <w:tcW w:w="1141" w:type="pct"/>
                  <w:tcBorders>
                    <w:tl2br w:val="nil"/>
                    <w:tr2bl w:val="nil"/>
                  </w:tcBorders>
                  <w:noWrap w:val="0"/>
                  <w:vAlign w:val="center"/>
                </w:tcPr>
                <w:p w14:paraId="31C5BF4C">
                  <w:pPr>
                    <w:pStyle w:val="46"/>
                    <w:keepNext w:val="0"/>
                    <w:keepLines w:val="0"/>
                    <w:suppressLineNumbers w:val="0"/>
                    <w:bidi w:val="0"/>
                    <w:spacing w:before="0" w:beforeAutospacing="0" w:after="0" w:afterAutospacing="0"/>
                    <w:rPr>
                      <w:rFonts w:hint="default"/>
                      <w:color w:val="000000" w:themeColor="text1"/>
                      <w14:textFill>
                        <w14:solidFill>
                          <w14:schemeClr w14:val="tx1"/>
                        </w14:solidFill>
                      </w14:textFill>
                    </w:rPr>
                  </w:pPr>
                  <w:r>
                    <w:rPr>
                      <w:color w:val="000000" w:themeColor="text1"/>
                      <w14:textFill>
                        <w14:solidFill>
                          <w14:schemeClr w14:val="tx1"/>
                        </w14:solidFill>
                      </w14:textFill>
                    </w:rPr>
                    <w:t>10</w:t>
                  </w:r>
                </w:p>
              </w:tc>
            </w:tr>
            <w:tr w14:paraId="6A50B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973" w:type="pct"/>
                  <w:tcBorders>
                    <w:tl2br w:val="nil"/>
                    <w:tr2bl w:val="nil"/>
                  </w:tcBorders>
                  <w:noWrap w:val="0"/>
                  <w:vAlign w:val="center"/>
                </w:tcPr>
                <w:p w14:paraId="4913B187">
                  <w:pPr>
                    <w:pStyle w:val="46"/>
                    <w:keepNext w:val="0"/>
                    <w:keepLines w:val="0"/>
                    <w:suppressLineNumbers w:val="0"/>
                    <w:bidi w:val="0"/>
                    <w:spacing w:before="0" w:beforeAutospacing="0" w:after="0" w:afterAutospacing="0"/>
                    <w:rPr>
                      <w:rFonts w:hint="default" w:eastAsia="宋体"/>
                      <w:color w:val="0000FF"/>
                      <w:lang w:val="en-US" w:eastAsia="zh-CN"/>
                    </w:rPr>
                  </w:pPr>
                  <w:r>
                    <w:rPr>
                      <w:rFonts w:hint="eastAsia"/>
                      <w:color w:val="0000FF"/>
                      <w:lang w:val="en-US" w:eastAsia="zh-CN"/>
                    </w:rPr>
                    <w:t>TP</w:t>
                  </w:r>
                </w:p>
              </w:tc>
              <w:tc>
                <w:tcPr>
                  <w:tcW w:w="921" w:type="pct"/>
                  <w:tcBorders>
                    <w:tl2br w:val="nil"/>
                    <w:tr2bl w:val="nil"/>
                  </w:tcBorders>
                  <w:shd w:val="clear" w:color="auto" w:fill="auto"/>
                  <w:noWrap w:val="0"/>
                  <w:vAlign w:val="center"/>
                </w:tcPr>
                <w:p w14:paraId="74AB310E">
                  <w:pPr>
                    <w:pStyle w:val="46"/>
                    <w:keepNext w:val="0"/>
                    <w:keepLines w:val="0"/>
                    <w:suppressLineNumbers w:val="0"/>
                    <w:bidi w:val="0"/>
                    <w:spacing w:before="0" w:beforeAutospacing="0" w:after="0" w:afterAutospacing="0"/>
                    <w:ind w:left="24" w:leftChars="10" w:right="24" w:rightChars="10" w:firstLine="0" w:firstLineChars="0"/>
                    <w:rPr>
                      <w:rFonts w:hint="default"/>
                      <w:color w:val="0000FF"/>
                      <w:lang w:val="en-US" w:eastAsia="zh-CN"/>
                    </w:rPr>
                  </w:pPr>
                  <w:r>
                    <w:rPr>
                      <w:rFonts w:hint="eastAsia"/>
                      <w:color w:val="0000FF"/>
                      <w:lang w:val="en-US" w:eastAsia="zh-CN"/>
                    </w:rPr>
                    <w:t>3</w:t>
                  </w:r>
                </w:p>
              </w:tc>
              <w:tc>
                <w:tcPr>
                  <w:tcW w:w="1051" w:type="pct"/>
                  <w:tcBorders>
                    <w:tl2br w:val="nil"/>
                    <w:tr2bl w:val="nil"/>
                  </w:tcBorders>
                  <w:noWrap w:val="0"/>
                  <w:vAlign w:val="center"/>
                </w:tcPr>
                <w:p w14:paraId="00C13ABB">
                  <w:pPr>
                    <w:pStyle w:val="46"/>
                    <w:keepNext w:val="0"/>
                    <w:keepLines w:val="0"/>
                    <w:suppressLineNumbers w:val="0"/>
                    <w:bidi w:val="0"/>
                    <w:spacing w:before="0" w:beforeAutospacing="0" w:after="0" w:afterAutospacing="0"/>
                    <w:rPr>
                      <w:rFonts w:hint="eastAsia" w:eastAsia="宋体"/>
                      <w:color w:val="0000FF"/>
                      <w:lang w:val="en-US" w:eastAsia="zh-CN"/>
                    </w:rPr>
                  </w:pPr>
                  <w:r>
                    <w:rPr>
                      <w:rFonts w:hint="eastAsia"/>
                      <w:color w:val="0000FF"/>
                      <w:lang w:val="en-US" w:eastAsia="zh-CN"/>
                    </w:rPr>
                    <w:t>/</w:t>
                  </w:r>
                </w:p>
              </w:tc>
              <w:tc>
                <w:tcPr>
                  <w:tcW w:w="912" w:type="pct"/>
                  <w:tcBorders>
                    <w:tl2br w:val="nil"/>
                    <w:tr2bl w:val="nil"/>
                  </w:tcBorders>
                  <w:shd w:val="clear" w:color="auto" w:fill="auto"/>
                  <w:noWrap w:val="0"/>
                  <w:vAlign w:val="center"/>
                </w:tcPr>
                <w:p w14:paraId="5FFB2168">
                  <w:pPr>
                    <w:pStyle w:val="46"/>
                    <w:keepNext w:val="0"/>
                    <w:keepLines w:val="0"/>
                    <w:suppressLineNumbers w:val="0"/>
                    <w:bidi w:val="0"/>
                    <w:spacing w:before="0" w:beforeAutospacing="0" w:after="0" w:afterAutospacing="0"/>
                    <w:ind w:left="24" w:leftChars="10" w:right="24" w:rightChars="10" w:firstLine="0" w:firstLineChars="0"/>
                    <w:rPr>
                      <w:rFonts w:hint="default"/>
                      <w:color w:val="0000FF"/>
                      <w:lang w:val="en-US" w:eastAsia="zh-CN"/>
                    </w:rPr>
                  </w:pPr>
                  <w:r>
                    <w:rPr>
                      <w:rFonts w:hint="eastAsia"/>
                      <w:color w:val="0000FF"/>
                      <w:lang w:val="en-US" w:eastAsia="zh-CN"/>
                    </w:rPr>
                    <w:t>3</w:t>
                  </w:r>
                </w:p>
              </w:tc>
              <w:tc>
                <w:tcPr>
                  <w:tcW w:w="1141" w:type="pct"/>
                  <w:tcBorders>
                    <w:tl2br w:val="nil"/>
                    <w:tr2bl w:val="nil"/>
                  </w:tcBorders>
                  <w:noWrap w:val="0"/>
                  <w:vAlign w:val="center"/>
                </w:tcPr>
                <w:p w14:paraId="7A94A32F">
                  <w:pPr>
                    <w:pStyle w:val="46"/>
                    <w:keepNext w:val="0"/>
                    <w:keepLines w:val="0"/>
                    <w:suppressLineNumbers w:val="0"/>
                    <w:bidi w:val="0"/>
                    <w:spacing w:before="0" w:beforeAutospacing="0" w:after="0" w:afterAutospacing="0"/>
                    <w:rPr>
                      <w:rFonts w:hint="default" w:eastAsia="宋体"/>
                      <w:color w:val="0000FF"/>
                      <w:lang w:val="en-US" w:eastAsia="zh-CN"/>
                    </w:rPr>
                  </w:pPr>
                  <w:r>
                    <w:rPr>
                      <w:rFonts w:hint="eastAsia"/>
                      <w:color w:val="0000FF"/>
                      <w:lang w:val="en-US" w:eastAsia="zh-CN"/>
                    </w:rPr>
                    <w:t>0.5</w:t>
                  </w:r>
                </w:p>
              </w:tc>
            </w:tr>
            <w:tr w14:paraId="402CC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973" w:type="pct"/>
                  <w:tcBorders>
                    <w:tl2br w:val="nil"/>
                    <w:tr2bl w:val="nil"/>
                  </w:tcBorders>
                  <w:noWrap w:val="0"/>
                  <w:vAlign w:val="center"/>
                </w:tcPr>
                <w:p w14:paraId="5B3894F1">
                  <w:pPr>
                    <w:pStyle w:val="46"/>
                    <w:keepNext w:val="0"/>
                    <w:keepLines w:val="0"/>
                    <w:suppressLineNumbers w:val="0"/>
                    <w:bidi w:val="0"/>
                    <w:spacing w:before="0" w:beforeAutospacing="0" w:after="0" w:afterAutospacing="0"/>
                    <w:rPr>
                      <w:rFonts w:hint="default" w:eastAsia="宋体"/>
                      <w:color w:val="0000FF"/>
                      <w:lang w:val="en-US" w:eastAsia="zh-CN"/>
                    </w:rPr>
                  </w:pPr>
                  <w:r>
                    <w:rPr>
                      <w:rFonts w:hint="eastAsia"/>
                      <w:color w:val="0000FF"/>
                      <w:lang w:val="en-US" w:eastAsia="zh-CN"/>
                    </w:rPr>
                    <w:t>TN</w:t>
                  </w:r>
                </w:p>
              </w:tc>
              <w:tc>
                <w:tcPr>
                  <w:tcW w:w="921" w:type="pct"/>
                  <w:tcBorders>
                    <w:tl2br w:val="nil"/>
                    <w:tr2bl w:val="nil"/>
                  </w:tcBorders>
                  <w:shd w:val="clear" w:color="auto" w:fill="auto"/>
                  <w:noWrap w:val="0"/>
                  <w:vAlign w:val="center"/>
                </w:tcPr>
                <w:p w14:paraId="5595FD3A">
                  <w:pPr>
                    <w:pStyle w:val="46"/>
                    <w:keepNext w:val="0"/>
                    <w:keepLines w:val="0"/>
                    <w:suppressLineNumbers w:val="0"/>
                    <w:bidi w:val="0"/>
                    <w:spacing w:before="0" w:beforeAutospacing="0" w:after="0" w:afterAutospacing="0"/>
                    <w:ind w:left="24" w:leftChars="10" w:right="24" w:rightChars="10" w:firstLine="0" w:firstLineChars="0"/>
                    <w:rPr>
                      <w:rFonts w:hint="default"/>
                      <w:color w:val="0000FF"/>
                      <w:lang w:val="en-US" w:eastAsia="zh-CN"/>
                    </w:rPr>
                  </w:pPr>
                  <w:r>
                    <w:rPr>
                      <w:rFonts w:hint="eastAsia"/>
                      <w:color w:val="0000FF"/>
                      <w:lang w:val="en-US" w:eastAsia="zh-CN"/>
                    </w:rPr>
                    <w:t>70</w:t>
                  </w:r>
                </w:p>
              </w:tc>
              <w:tc>
                <w:tcPr>
                  <w:tcW w:w="1051" w:type="pct"/>
                  <w:tcBorders>
                    <w:tl2br w:val="nil"/>
                    <w:tr2bl w:val="nil"/>
                  </w:tcBorders>
                  <w:noWrap w:val="0"/>
                  <w:vAlign w:val="center"/>
                </w:tcPr>
                <w:p w14:paraId="63125543">
                  <w:pPr>
                    <w:pStyle w:val="46"/>
                    <w:keepNext w:val="0"/>
                    <w:keepLines w:val="0"/>
                    <w:suppressLineNumbers w:val="0"/>
                    <w:bidi w:val="0"/>
                    <w:spacing w:before="0" w:beforeAutospacing="0" w:after="0" w:afterAutospacing="0"/>
                    <w:rPr>
                      <w:rFonts w:hint="eastAsia" w:eastAsia="宋体"/>
                      <w:color w:val="0000FF"/>
                      <w:lang w:val="en-US" w:eastAsia="zh-CN"/>
                    </w:rPr>
                  </w:pPr>
                  <w:r>
                    <w:rPr>
                      <w:rFonts w:hint="eastAsia"/>
                      <w:color w:val="0000FF"/>
                      <w:lang w:val="en-US" w:eastAsia="zh-CN"/>
                    </w:rPr>
                    <w:t>/</w:t>
                  </w:r>
                </w:p>
              </w:tc>
              <w:tc>
                <w:tcPr>
                  <w:tcW w:w="912" w:type="pct"/>
                  <w:tcBorders>
                    <w:tl2br w:val="nil"/>
                    <w:tr2bl w:val="nil"/>
                  </w:tcBorders>
                  <w:shd w:val="clear" w:color="auto" w:fill="auto"/>
                  <w:noWrap w:val="0"/>
                  <w:vAlign w:val="center"/>
                </w:tcPr>
                <w:p w14:paraId="174A7D43">
                  <w:pPr>
                    <w:pStyle w:val="46"/>
                    <w:keepNext w:val="0"/>
                    <w:keepLines w:val="0"/>
                    <w:suppressLineNumbers w:val="0"/>
                    <w:bidi w:val="0"/>
                    <w:spacing w:before="0" w:beforeAutospacing="0" w:after="0" w:afterAutospacing="0"/>
                    <w:ind w:left="24" w:leftChars="10" w:right="24" w:rightChars="10" w:firstLine="0" w:firstLineChars="0"/>
                    <w:rPr>
                      <w:rFonts w:hint="default"/>
                      <w:color w:val="0000FF"/>
                      <w:lang w:val="en-US" w:eastAsia="zh-CN"/>
                    </w:rPr>
                  </w:pPr>
                  <w:r>
                    <w:rPr>
                      <w:rFonts w:hint="eastAsia"/>
                      <w:color w:val="0000FF"/>
                      <w:lang w:val="en-US" w:eastAsia="zh-CN"/>
                    </w:rPr>
                    <w:t>70</w:t>
                  </w:r>
                </w:p>
              </w:tc>
              <w:tc>
                <w:tcPr>
                  <w:tcW w:w="1141" w:type="pct"/>
                  <w:tcBorders>
                    <w:tl2br w:val="nil"/>
                    <w:tr2bl w:val="nil"/>
                  </w:tcBorders>
                  <w:noWrap w:val="0"/>
                  <w:vAlign w:val="center"/>
                </w:tcPr>
                <w:p w14:paraId="0A930390">
                  <w:pPr>
                    <w:pStyle w:val="46"/>
                    <w:keepNext w:val="0"/>
                    <w:keepLines w:val="0"/>
                    <w:suppressLineNumbers w:val="0"/>
                    <w:bidi w:val="0"/>
                    <w:spacing w:before="0" w:beforeAutospacing="0" w:after="0" w:afterAutospacing="0"/>
                    <w:rPr>
                      <w:rFonts w:hint="default" w:eastAsia="宋体"/>
                      <w:color w:val="0000FF"/>
                      <w:lang w:val="en-US" w:eastAsia="zh-CN"/>
                    </w:rPr>
                  </w:pPr>
                  <w:r>
                    <w:rPr>
                      <w:rFonts w:hint="eastAsia"/>
                      <w:color w:val="0000FF"/>
                      <w:lang w:val="en-US" w:eastAsia="zh-CN"/>
                    </w:rPr>
                    <w:t>15</w:t>
                  </w:r>
                </w:p>
              </w:tc>
            </w:tr>
          </w:tbl>
          <w:p w14:paraId="4AF8E6BD">
            <w:pPr>
              <w:keepNext w:val="0"/>
              <w:keepLines w:val="0"/>
              <w:suppressLineNumbers w:val="0"/>
              <w:bidi w:val="0"/>
              <w:spacing w:before="0" w:beforeAutospacing="0" w:after="0" w:afterAutospacing="0"/>
              <w:ind w:left="0" w:right="0"/>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3、噪声</w:t>
            </w:r>
          </w:p>
          <w:p w14:paraId="7BCED7F7">
            <w:pPr>
              <w:keepNext w:val="0"/>
              <w:keepLines w:val="0"/>
              <w:suppressLineNumbers w:val="0"/>
              <w:spacing w:before="0" w:beforeAutospacing="0" w:after="0" w:afterAutospacing="0"/>
              <w:ind w:left="0" w:right="0" w:firstLine="48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根据《关于印发淮南市中心城区声环境功能区划分方案的通知》淮府办秘〔2021〕49号中淮南市中心城区声环境功能区划</w:t>
            </w:r>
            <w:r>
              <w:rPr>
                <w:rFonts w:hint="eastAsia"/>
                <w:color w:val="000000" w:themeColor="text1"/>
                <w:highlight w:val="none"/>
                <w:lang w:val="en-US" w:eastAsia="zh-CN"/>
                <w14:textFill>
                  <w14:solidFill>
                    <w14:schemeClr w14:val="tx1"/>
                  </w14:solidFill>
                </w14:textFill>
              </w:rPr>
              <w:t>图（附图10），</w:t>
            </w:r>
            <w:r>
              <w:rPr>
                <w:rFonts w:hint="eastAsia"/>
                <w:color w:val="000000" w:themeColor="text1"/>
                <w:lang w:val="en-US" w:eastAsia="zh-CN"/>
                <w14:textFill>
                  <w14:solidFill>
                    <w14:schemeClr w14:val="tx1"/>
                  </w14:solidFill>
                </w14:textFill>
              </w:rPr>
              <w:t>项目所在区为3类声功能区。项目临西侧厂界为经五路，临北侧厂界为滁新高速，东侧及南侧为园区其他厂房。</w:t>
            </w:r>
          </w:p>
          <w:p w14:paraId="40A91C1F">
            <w:pPr>
              <w:keepNext w:val="0"/>
              <w:keepLines w:val="0"/>
              <w:suppressLineNumbers w:val="0"/>
              <w:spacing w:before="0" w:beforeAutospacing="0" w:after="0" w:afterAutospacing="0"/>
              <w:ind w:left="0" w:right="0" w:firstLine="480"/>
              <w:rPr>
                <w:rFonts w:hint="default"/>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运营期</w:t>
            </w:r>
            <w:r>
              <w:rPr>
                <w:rFonts w:hint="eastAsia"/>
                <w:color w:val="000000" w:themeColor="text1"/>
                <w:highlight w:val="none"/>
                <w:lang w:val="en-US" w:eastAsia="zh-CN"/>
                <w14:textFill>
                  <w14:solidFill>
                    <w14:schemeClr w14:val="tx1"/>
                  </w14:solidFill>
                </w14:textFill>
              </w:rPr>
              <w:t>西、北侧</w:t>
            </w:r>
            <w:r>
              <w:rPr>
                <w:rFonts w:hint="eastAsia"/>
                <w:color w:val="000000" w:themeColor="text1"/>
                <w:highlight w:val="none"/>
                <w14:textFill>
                  <w14:solidFill>
                    <w14:schemeClr w14:val="tx1"/>
                  </w14:solidFill>
                </w14:textFill>
              </w:rPr>
              <w:t>厂界噪声排放执行《工业企业厂界环境噪声排放标准》（GB12348-2008）中</w:t>
            </w:r>
            <w:r>
              <w:rPr>
                <w:rFonts w:hint="eastAsia"/>
                <w:color w:val="000000" w:themeColor="text1"/>
                <w:highlight w:val="none"/>
                <w:lang w:val="en-US" w:eastAsia="zh-CN"/>
                <w14:textFill>
                  <w14:solidFill>
                    <w14:schemeClr w14:val="tx1"/>
                  </w14:solidFill>
                </w14:textFill>
              </w:rPr>
              <w:t>4</w:t>
            </w:r>
            <w:r>
              <w:rPr>
                <w:rFonts w:hint="eastAsia"/>
                <w:color w:val="000000" w:themeColor="text1"/>
                <w:highlight w:val="none"/>
                <w14:textFill>
                  <w14:solidFill>
                    <w14:schemeClr w14:val="tx1"/>
                  </w14:solidFill>
                </w14:textFill>
              </w:rPr>
              <w:t>类标准</w:t>
            </w:r>
            <w:r>
              <w:rPr>
                <w:rFonts w:hint="eastAsia"/>
                <w:color w:val="000000" w:themeColor="text1"/>
                <w:highlight w:val="none"/>
                <w:lang w:eastAsia="zh-CN"/>
                <w14:textFill>
                  <w14:solidFill>
                    <w14:schemeClr w14:val="tx1"/>
                  </w14:solidFill>
                </w14:textFill>
              </w:rPr>
              <w:t>，</w:t>
            </w:r>
            <w:r>
              <w:rPr>
                <w:rFonts w:hint="eastAsia"/>
                <w:color w:val="000000" w:themeColor="text1"/>
                <w:highlight w:val="none"/>
                <w:lang w:val="en-US" w:eastAsia="zh-CN"/>
                <w14:textFill>
                  <w14:solidFill>
                    <w14:schemeClr w14:val="tx1"/>
                  </w14:solidFill>
                </w14:textFill>
              </w:rPr>
              <w:t>东、南侧厂界</w:t>
            </w:r>
            <w:r>
              <w:rPr>
                <w:rFonts w:hint="eastAsia"/>
                <w:color w:val="000000" w:themeColor="text1"/>
                <w:highlight w:val="none"/>
                <w14:textFill>
                  <w14:solidFill>
                    <w14:schemeClr w14:val="tx1"/>
                  </w14:solidFill>
                </w14:textFill>
              </w:rPr>
              <w:t>噪声排放执行《工业企业厂界环境噪声排放标准》（GB12348-2008）中</w:t>
            </w:r>
            <w:r>
              <w:rPr>
                <w:rFonts w:hint="eastAsia"/>
                <w:color w:val="000000" w:themeColor="text1"/>
                <w:highlight w:val="none"/>
                <w:lang w:val="en-US" w:eastAsia="zh-CN"/>
                <w14:textFill>
                  <w14:solidFill>
                    <w14:schemeClr w14:val="tx1"/>
                  </w14:solidFill>
                </w14:textFill>
              </w:rPr>
              <w:t>3</w:t>
            </w:r>
            <w:r>
              <w:rPr>
                <w:rFonts w:hint="eastAsia"/>
                <w:color w:val="000000" w:themeColor="text1"/>
                <w:highlight w:val="none"/>
                <w14:textFill>
                  <w14:solidFill>
                    <w14:schemeClr w14:val="tx1"/>
                  </w14:solidFill>
                </w14:textFill>
              </w:rPr>
              <w:t>类标准，具体标准见下表：</w:t>
            </w:r>
          </w:p>
          <w:p w14:paraId="112B73F3">
            <w:pPr>
              <w:pStyle w:val="39"/>
              <w:keepNext w:val="0"/>
              <w:keepLines w:val="0"/>
              <w:suppressLineNumbers w:val="0"/>
              <w:bidi w:val="0"/>
              <w:spacing w:before="0" w:beforeAutospacing="0" w:after="0" w:afterAutospacing="0"/>
              <w:ind w:left="0" w:right="0"/>
              <w:rPr>
                <w:rFonts w:hint="eastAsia"/>
                <w:color w:val="000000" w:themeColor="text1"/>
                <w14:textFill>
                  <w14:solidFill>
                    <w14:schemeClr w14:val="tx1"/>
                  </w14:solidFill>
                </w14:textFill>
              </w:rPr>
            </w:pPr>
          </w:p>
          <w:p w14:paraId="03EA3919">
            <w:pPr>
              <w:pStyle w:val="39"/>
              <w:keepNext w:val="0"/>
              <w:keepLines w:val="0"/>
              <w:suppressLineNumbers w:val="0"/>
              <w:bidi w:val="0"/>
              <w:spacing w:before="0" w:beforeAutospacing="0" w:after="0" w:afterAutospacing="0"/>
              <w:ind w:left="0" w:right="0"/>
              <w:rPr>
                <w:rFonts w:hint="eastAsia"/>
                <w:color w:val="000000" w:themeColor="text1"/>
                <w:lang w:eastAsia="zh-CN"/>
                <w14:textFill>
                  <w14:solidFill>
                    <w14:schemeClr w14:val="tx1"/>
                  </w14:solidFill>
                </w14:textFill>
              </w:rPr>
            </w:pPr>
            <w:r>
              <w:rPr>
                <w:rFonts w:hint="eastAsia"/>
                <w:color w:val="000000" w:themeColor="text1"/>
                <w14:textFill>
                  <w14:solidFill>
                    <w14:schemeClr w14:val="tx1"/>
                  </w14:solidFill>
                </w14:textFill>
              </w:rPr>
              <w:t>表3-</w:t>
            </w:r>
            <w:r>
              <w:rPr>
                <w:rFonts w:hint="eastAsia"/>
                <w:color w:val="000000" w:themeColor="text1"/>
                <w:lang w:val="en-US" w:eastAsia="zh-CN"/>
                <w14:textFill>
                  <w14:solidFill>
                    <w14:schemeClr w14:val="tx1"/>
                  </w14:solidFill>
                </w14:textFill>
              </w:rPr>
              <w:t xml:space="preserve">6  </w:t>
            </w:r>
            <w:r>
              <w:rPr>
                <w:rFonts w:hint="eastAsia"/>
                <w:color w:val="000000" w:themeColor="text1"/>
                <w14:textFill>
                  <w14:solidFill>
                    <w14:schemeClr w14:val="tx1"/>
                  </w14:solidFill>
                </w14:textFill>
              </w:rPr>
              <w:t>厂界噪声排放标准</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单位：dB(A)</w:t>
            </w:r>
            <w:r>
              <w:rPr>
                <w:rFonts w:hint="eastAsia"/>
                <w:color w:val="000000" w:themeColor="text1"/>
                <w:lang w:eastAsia="zh-CN"/>
                <w14:textFill>
                  <w14:solidFill>
                    <w14:schemeClr w14:val="tx1"/>
                  </w14:solidFill>
                </w14:textFill>
              </w:rPr>
              <w:t>）</w:t>
            </w:r>
          </w:p>
          <w:tbl>
            <w:tblPr>
              <w:tblStyle w:val="19"/>
              <w:tblW w:w="4989"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0" w:type="dxa"/>
                <w:bottom w:w="0" w:type="dxa"/>
                <w:right w:w="0" w:type="dxa"/>
              </w:tblCellMar>
            </w:tblPr>
            <w:tblGrid>
              <w:gridCol w:w="1601"/>
              <w:gridCol w:w="5565"/>
              <w:gridCol w:w="549"/>
              <w:gridCol w:w="703"/>
            </w:tblGrid>
            <w:tr w14:paraId="41515E9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950" w:type="pct"/>
                  <w:vAlign w:val="center"/>
                </w:tcPr>
                <w:p w14:paraId="747702D1">
                  <w:pPr>
                    <w:pStyle w:val="27"/>
                    <w:keepNext w:val="0"/>
                    <w:keepLines w:val="0"/>
                    <w:suppressLineNumbers w:val="0"/>
                    <w:bidi w:val="0"/>
                    <w:spacing w:before="0" w:beforeAutospacing="0" w:after="0" w:afterAutospacing="0"/>
                    <w:ind w:left="0" w:right="0"/>
                    <w:rPr>
                      <w:rFonts w:hint="eastAsia"/>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厂界</w:t>
                  </w:r>
                </w:p>
              </w:tc>
              <w:tc>
                <w:tcPr>
                  <w:tcW w:w="3305" w:type="pct"/>
                  <w:vAlign w:val="center"/>
                </w:tcPr>
                <w:p w14:paraId="2AB4A200">
                  <w:pPr>
                    <w:pStyle w:val="27"/>
                    <w:keepNext w:val="0"/>
                    <w:keepLines w:val="0"/>
                    <w:suppressLineNumbers w:val="0"/>
                    <w:bidi w:val="0"/>
                    <w:spacing w:before="0" w:beforeAutospacing="0" w:after="0" w:afterAutospacing="0"/>
                    <w:ind w:left="0" w:right="0"/>
                    <w:rPr>
                      <w:rFonts w:hint="default"/>
                      <w:b/>
                      <w:bCs/>
                      <w:color w:val="000000" w:themeColor="text1"/>
                      <w14:textFill>
                        <w14:solidFill>
                          <w14:schemeClr w14:val="tx1"/>
                        </w14:solidFill>
                      </w14:textFill>
                    </w:rPr>
                  </w:pPr>
                  <w:r>
                    <w:rPr>
                      <w:rFonts w:hint="eastAsia"/>
                      <w:b/>
                      <w:bCs/>
                      <w:color w:val="000000" w:themeColor="text1"/>
                      <w:lang w:val="en-US" w:eastAsia="zh-CN"/>
                      <w14:textFill>
                        <w14:solidFill>
                          <w14:schemeClr w14:val="tx1"/>
                        </w14:solidFill>
                      </w14:textFill>
                    </w:rPr>
                    <w:t>执行标准</w:t>
                  </w:r>
                </w:p>
              </w:tc>
              <w:tc>
                <w:tcPr>
                  <w:tcW w:w="326" w:type="pct"/>
                  <w:vAlign w:val="center"/>
                </w:tcPr>
                <w:p w14:paraId="7C8583AF">
                  <w:pPr>
                    <w:pStyle w:val="27"/>
                    <w:keepNext w:val="0"/>
                    <w:keepLines w:val="0"/>
                    <w:suppressLineNumbers w:val="0"/>
                    <w:bidi w:val="0"/>
                    <w:spacing w:before="0" w:beforeAutospacing="0" w:after="0" w:afterAutospacing="0"/>
                    <w:ind w:left="0" w:right="0"/>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昼间</w:t>
                  </w:r>
                </w:p>
              </w:tc>
              <w:tc>
                <w:tcPr>
                  <w:tcW w:w="417" w:type="pct"/>
                  <w:vAlign w:val="center"/>
                </w:tcPr>
                <w:p w14:paraId="6BF20CCC">
                  <w:pPr>
                    <w:pStyle w:val="27"/>
                    <w:keepNext w:val="0"/>
                    <w:keepLines w:val="0"/>
                    <w:suppressLineNumbers w:val="0"/>
                    <w:bidi w:val="0"/>
                    <w:spacing w:before="0" w:beforeAutospacing="0" w:after="0" w:afterAutospacing="0"/>
                    <w:ind w:left="0" w:right="0"/>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夜间</w:t>
                  </w:r>
                </w:p>
              </w:tc>
            </w:tr>
            <w:tr w14:paraId="570A836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950" w:type="pct"/>
                  <w:vAlign w:val="center"/>
                </w:tcPr>
                <w:p w14:paraId="2D7B9D05">
                  <w:pPr>
                    <w:pStyle w:val="27"/>
                    <w:keepNext w:val="0"/>
                    <w:keepLines w:val="0"/>
                    <w:suppressLineNumbers w:val="0"/>
                    <w:bidi w:val="0"/>
                    <w:spacing w:before="0" w:beforeAutospacing="0" w:after="0" w:afterAutospacing="0"/>
                    <w:ind w:left="0" w:right="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运营期东、南厂界</w:t>
                  </w:r>
                </w:p>
              </w:tc>
              <w:tc>
                <w:tcPr>
                  <w:tcW w:w="3305" w:type="pct"/>
                  <w:vAlign w:val="center"/>
                </w:tcPr>
                <w:p w14:paraId="57307E82">
                  <w:pPr>
                    <w:pStyle w:val="27"/>
                    <w:keepNext w:val="0"/>
                    <w:keepLines w:val="0"/>
                    <w:suppressLineNumbers w:val="0"/>
                    <w:bidi w:val="0"/>
                    <w:spacing w:before="0" w:beforeAutospacing="0" w:after="0" w:afterAutospacing="0"/>
                    <w:ind w:left="0" w:right="0"/>
                    <w:rPr>
                      <w:rFonts w:hint="default"/>
                      <w:b w:val="0"/>
                      <w:bCs w:val="0"/>
                      <w:color w:val="000000" w:themeColor="text1"/>
                      <w14:textFill>
                        <w14:solidFill>
                          <w14:schemeClr w14:val="tx1"/>
                        </w14:solidFill>
                      </w14:textFill>
                    </w:rPr>
                  </w:pPr>
                  <w:r>
                    <w:rPr>
                      <w:rFonts w:hint="eastAsia"/>
                      <w:b w:val="0"/>
                      <w:bCs w:val="0"/>
                      <w:color w:val="000000" w:themeColor="text1"/>
                      <w14:textFill>
                        <w14:solidFill>
                          <w14:schemeClr w14:val="tx1"/>
                        </w14:solidFill>
                      </w14:textFill>
                    </w:rPr>
                    <w:t>《工业企业厂界环境噪声排放标准》</w:t>
                  </w:r>
                  <w:r>
                    <w:rPr>
                      <w:rFonts w:hint="eastAsia"/>
                      <w:b w:val="0"/>
                      <w:bCs w:val="0"/>
                      <w:color w:val="000000" w:themeColor="text1"/>
                      <w:highlight w:val="none"/>
                      <w14:textFill>
                        <w14:solidFill>
                          <w14:schemeClr w14:val="tx1"/>
                        </w14:solidFill>
                      </w14:textFill>
                    </w:rPr>
                    <w:t>（GB12348-2008）</w:t>
                  </w:r>
                  <w:r>
                    <w:rPr>
                      <w:rFonts w:hint="eastAsia"/>
                      <w:b w:val="0"/>
                      <w:bCs w:val="0"/>
                      <w:color w:val="000000" w:themeColor="text1"/>
                      <w14:textFill>
                        <w14:solidFill>
                          <w14:schemeClr w14:val="tx1"/>
                        </w14:solidFill>
                      </w14:textFill>
                    </w:rPr>
                    <w:t>3类</w:t>
                  </w:r>
                </w:p>
              </w:tc>
              <w:tc>
                <w:tcPr>
                  <w:tcW w:w="326" w:type="pct"/>
                  <w:vAlign w:val="center"/>
                </w:tcPr>
                <w:p w14:paraId="0181A18C">
                  <w:pPr>
                    <w:pStyle w:val="27"/>
                    <w:keepNext w:val="0"/>
                    <w:keepLines w:val="0"/>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65</w:t>
                  </w:r>
                </w:p>
              </w:tc>
              <w:tc>
                <w:tcPr>
                  <w:tcW w:w="417" w:type="pct"/>
                  <w:vAlign w:val="center"/>
                </w:tcPr>
                <w:p w14:paraId="64AA6AA8">
                  <w:pPr>
                    <w:pStyle w:val="27"/>
                    <w:keepNext w:val="0"/>
                    <w:keepLines w:val="0"/>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55</w:t>
                  </w:r>
                </w:p>
              </w:tc>
            </w:tr>
            <w:tr w14:paraId="3613696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397" w:hRule="atLeast"/>
                <w:jc w:val="center"/>
              </w:trPr>
              <w:tc>
                <w:tcPr>
                  <w:tcW w:w="950" w:type="pct"/>
                  <w:vAlign w:val="center"/>
                </w:tcPr>
                <w:p w14:paraId="52032910">
                  <w:pPr>
                    <w:pStyle w:val="27"/>
                    <w:keepNext w:val="0"/>
                    <w:keepLines w:val="0"/>
                    <w:suppressLineNumbers w:val="0"/>
                    <w:bidi w:val="0"/>
                    <w:spacing w:before="0" w:beforeAutospacing="0" w:after="0" w:afterAutospacing="0"/>
                    <w:ind w:left="0" w:right="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运营期西、北厂界</w:t>
                  </w:r>
                </w:p>
              </w:tc>
              <w:tc>
                <w:tcPr>
                  <w:tcW w:w="3305" w:type="pct"/>
                  <w:vAlign w:val="center"/>
                </w:tcPr>
                <w:p w14:paraId="3F3E5DD1">
                  <w:pPr>
                    <w:pStyle w:val="27"/>
                    <w:keepNext w:val="0"/>
                    <w:keepLines w:val="0"/>
                    <w:suppressLineNumbers w:val="0"/>
                    <w:bidi w:val="0"/>
                    <w:spacing w:before="0" w:beforeAutospacing="0" w:after="0" w:afterAutospacing="0"/>
                    <w:ind w:left="0" w:right="0"/>
                    <w:rPr>
                      <w:rFonts w:hint="default"/>
                      <w:b w:val="0"/>
                      <w:bCs w:val="0"/>
                      <w:color w:val="000000" w:themeColor="text1"/>
                      <w:lang w:val="en-US" w:eastAsia="zh-CN"/>
                      <w14:textFill>
                        <w14:solidFill>
                          <w14:schemeClr w14:val="tx1"/>
                        </w14:solidFill>
                      </w14:textFill>
                    </w:rPr>
                  </w:pPr>
                  <w:r>
                    <w:rPr>
                      <w:rFonts w:hint="eastAsia"/>
                      <w:b w:val="0"/>
                      <w:bCs w:val="0"/>
                      <w:color w:val="000000" w:themeColor="text1"/>
                      <w14:textFill>
                        <w14:solidFill>
                          <w14:schemeClr w14:val="tx1"/>
                        </w14:solidFill>
                      </w14:textFill>
                    </w:rPr>
                    <w:t>《工业企业厂界环境噪声排放标准》</w:t>
                  </w:r>
                  <w:r>
                    <w:rPr>
                      <w:rFonts w:hint="eastAsia"/>
                      <w:b w:val="0"/>
                      <w:bCs w:val="0"/>
                      <w:color w:val="000000" w:themeColor="text1"/>
                      <w:highlight w:val="none"/>
                      <w14:textFill>
                        <w14:solidFill>
                          <w14:schemeClr w14:val="tx1"/>
                        </w14:solidFill>
                      </w14:textFill>
                    </w:rPr>
                    <w:t>（GB12348-2008）</w:t>
                  </w:r>
                  <w:r>
                    <w:rPr>
                      <w:rFonts w:hint="eastAsia"/>
                      <w:b w:val="0"/>
                      <w:bCs w:val="0"/>
                      <w:color w:val="000000" w:themeColor="text1"/>
                      <w:lang w:val="en-US" w:eastAsia="zh-CN"/>
                      <w14:textFill>
                        <w14:solidFill>
                          <w14:schemeClr w14:val="tx1"/>
                        </w14:solidFill>
                      </w14:textFill>
                    </w:rPr>
                    <w:t>4类</w:t>
                  </w:r>
                </w:p>
              </w:tc>
              <w:tc>
                <w:tcPr>
                  <w:tcW w:w="326" w:type="pct"/>
                  <w:vAlign w:val="center"/>
                </w:tcPr>
                <w:p w14:paraId="48C5587C">
                  <w:pPr>
                    <w:pStyle w:val="27"/>
                    <w:keepNext w:val="0"/>
                    <w:keepLines w:val="0"/>
                    <w:suppressLineNumbers w:val="0"/>
                    <w:bidi w:val="0"/>
                    <w:spacing w:before="0" w:beforeAutospacing="0" w:after="0" w:afterAutospacing="0"/>
                    <w:ind w:left="0" w:right="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70</w:t>
                  </w:r>
                </w:p>
              </w:tc>
              <w:tc>
                <w:tcPr>
                  <w:tcW w:w="417" w:type="pct"/>
                  <w:vAlign w:val="center"/>
                </w:tcPr>
                <w:p w14:paraId="66BE803E">
                  <w:pPr>
                    <w:pStyle w:val="27"/>
                    <w:keepNext w:val="0"/>
                    <w:keepLines w:val="0"/>
                    <w:suppressLineNumbers w:val="0"/>
                    <w:bidi w:val="0"/>
                    <w:spacing w:before="0" w:beforeAutospacing="0" w:after="0" w:afterAutospacing="0"/>
                    <w:ind w:left="0" w:right="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55</w:t>
                  </w:r>
                </w:p>
              </w:tc>
            </w:tr>
          </w:tbl>
          <w:p w14:paraId="3470DAD7">
            <w:pPr>
              <w:keepNext w:val="0"/>
              <w:keepLines w:val="0"/>
              <w:suppressLineNumbers w:val="0"/>
              <w:bidi w:val="0"/>
              <w:spacing w:before="0" w:beforeAutospacing="0" w:after="0" w:afterAutospacing="0"/>
              <w:ind w:left="0" w:right="0"/>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4、固体废物</w:t>
            </w:r>
          </w:p>
          <w:p w14:paraId="1FABD930">
            <w:pPr>
              <w:keepNext w:val="0"/>
              <w:keepLines w:val="0"/>
              <w:suppressLineNumbers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highlight w:val="none"/>
                <w14:textFill>
                  <w14:solidFill>
                    <w14:schemeClr w14:val="tx1"/>
                  </w14:solidFill>
                </w14:textFill>
              </w:rPr>
              <w:t>一般工业固废</w:t>
            </w:r>
            <w:r>
              <w:rPr>
                <w:rFonts w:hint="eastAsia"/>
                <w:color w:val="000000" w:themeColor="text1"/>
                <w:highlight w:val="none"/>
                <w:lang w:val="en-US" w:eastAsia="zh-CN"/>
                <w14:textFill>
                  <w14:solidFill>
                    <w14:schemeClr w14:val="tx1"/>
                  </w14:solidFill>
                </w14:textFill>
              </w:rPr>
              <w:t>参照</w:t>
            </w:r>
            <w:r>
              <w:rPr>
                <w:rFonts w:hint="eastAsia"/>
                <w:color w:val="000000" w:themeColor="text1"/>
                <w:highlight w:val="none"/>
                <w14:textFill>
                  <w14:solidFill>
                    <w14:schemeClr w14:val="tx1"/>
                  </w14:solidFill>
                </w14:textFill>
              </w:rPr>
              <w:t>执行《一般工业固体废物贮存和填埋污染控制标准》（GB18599－2020）的相关要求；危险废物贮存及处置执行《危险废物贮存污染控制标准》（GB18597-2023）</w:t>
            </w:r>
            <w:r>
              <w:rPr>
                <w:rFonts w:hint="eastAsia"/>
                <w:color w:val="000000" w:themeColor="text1"/>
                <w:highlight w:val="none"/>
                <w:lang w:eastAsia="zh-CN"/>
                <w14:textFill>
                  <w14:solidFill>
                    <w14:schemeClr w14:val="tx1"/>
                  </w14:solidFill>
                </w14:textFill>
              </w:rPr>
              <w:t>。</w:t>
            </w:r>
          </w:p>
        </w:tc>
      </w:tr>
      <w:tr w14:paraId="217F5EB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269" w:hRule="atLeast"/>
          <w:jc w:val="center"/>
        </w:trPr>
        <w:tc>
          <w:tcPr>
            <w:tcW w:w="619" w:type="dxa"/>
            <w:tcBorders>
              <w:tl2br w:val="nil"/>
              <w:tr2bl w:val="nil"/>
            </w:tcBorders>
            <w:shd w:val="clear" w:color="auto" w:fill="auto"/>
            <w:vAlign w:val="center"/>
          </w:tcPr>
          <w:p w14:paraId="23401BCF">
            <w:pPr>
              <w:keepNext w:val="0"/>
              <w:keepLines w:val="0"/>
              <w:suppressLineNumbers w:val="0"/>
              <w:spacing w:before="0" w:beforeAutospacing="0" w:after="0" w:afterAutospacing="0"/>
              <w:ind w:left="0" w:right="0" w:firstLine="0" w:firstLineChars="0"/>
              <w:jc w:val="center"/>
              <w:rPr>
                <w:rFonts w:hint="default"/>
                <w:color w:val="000000" w:themeColor="text1"/>
                <w:szCs w:val="21"/>
                <w:highlight w:val="none"/>
                <w14:textFill>
                  <w14:solidFill>
                    <w14:schemeClr w14:val="tx1"/>
                  </w14:solidFill>
                </w14:textFill>
              </w:rPr>
            </w:pPr>
            <w:r>
              <w:rPr>
                <w:rFonts w:hint="default"/>
                <w:color w:val="000000" w:themeColor="text1"/>
                <w:szCs w:val="21"/>
                <w:highlight w:val="none"/>
                <w14:textFill>
                  <w14:solidFill>
                    <w14:schemeClr w14:val="tx1"/>
                  </w14:solidFill>
                </w14:textFill>
              </w:rPr>
              <w:t>总量控制指标</w:t>
            </w:r>
          </w:p>
        </w:tc>
        <w:tc>
          <w:tcPr>
            <w:tcW w:w="8669" w:type="dxa"/>
            <w:tcBorders>
              <w:tl2br w:val="nil"/>
              <w:tr2bl w:val="nil"/>
            </w:tcBorders>
            <w:shd w:val="clear" w:color="auto" w:fill="auto"/>
          </w:tcPr>
          <w:p w14:paraId="45EFAAD0">
            <w:pPr>
              <w:keepNext w:val="0"/>
              <w:keepLines w:val="0"/>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参照《</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十</w:t>
            </w:r>
            <w:r>
              <w:rPr>
                <w:rFonts w:hint="eastAsia"/>
                <w:color w:val="000000" w:themeColor="text1"/>
                <w:lang w:val="en-US" w:eastAsia="zh-CN"/>
                <w14:textFill>
                  <w14:solidFill>
                    <w14:schemeClr w14:val="tx1"/>
                  </w14:solidFill>
                </w14:textFill>
              </w:rPr>
              <w:t>四</w:t>
            </w:r>
            <w:r>
              <w:rPr>
                <w:rFonts w:hint="eastAsia"/>
                <w:color w:val="000000" w:themeColor="text1"/>
                <w14:textFill>
                  <w14:solidFill>
                    <w14:schemeClr w14:val="tx1"/>
                  </w14:solidFill>
                </w14:textFill>
              </w:rPr>
              <w:t>五</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主要污染物总量控制规划编制技术指南》及安徽省环保厅《关于进一步加强建设项目新增大气污染物总量指标管理工作的通知》（皖环发〔2017〕19号），提出的总量控制因子为：COD、</w:t>
            </w:r>
            <w:r>
              <w:rPr>
                <w:rFonts w:hint="eastAsia"/>
                <w:color w:val="000000" w:themeColor="text1"/>
                <w:lang w:val="en-US" w:eastAsia="zh-CN"/>
                <w14:textFill>
                  <w14:solidFill>
                    <w14:schemeClr w14:val="tx1"/>
                  </w14:solidFill>
                </w14:textFill>
              </w:rPr>
              <w:t>NH</w:t>
            </w:r>
            <w:r>
              <w:rPr>
                <w:rFonts w:hint="eastAsia"/>
                <w:color w:val="000000" w:themeColor="text1"/>
                <w:vertAlign w:val="subscript"/>
                <w:lang w:val="en-US" w:eastAsia="zh-CN"/>
                <w14:textFill>
                  <w14:solidFill>
                    <w14:schemeClr w14:val="tx1"/>
                  </w14:solidFill>
                </w14:textFill>
              </w:rPr>
              <w:t>3</w:t>
            </w:r>
            <w:r>
              <w:rPr>
                <w:rFonts w:hint="eastAsia"/>
                <w:color w:val="000000" w:themeColor="text1"/>
                <w:lang w:val="en-US" w:eastAsia="zh-CN"/>
                <w14:textFill>
                  <w14:solidFill>
                    <w14:schemeClr w14:val="tx1"/>
                  </w14:solidFill>
                </w14:textFill>
              </w:rPr>
              <w:t>-N</w:t>
            </w:r>
            <w:r>
              <w:rPr>
                <w:rFonts w:hint="eastAsia"/>
                <w:color w:val="000000" w:themeColor="text1"/>
                <w14:textFill>
                  <w14:solidFill>
                    <w14:schemeClr w14:val="tx1"/>
                  </w14:solidFill>
                </w14:textFill>
              </w:rPr>
              <w:t>、氮氧化物、VOCs。</w:t>
            </w:r>
          </w:p>
          <w:p w14:paraId="6B243B54">
            <w:pPr>
              <w:keepNext w:val="0"/>
              <w:keepLines w:val="0"/>
              <w:suppressLineNumbers w:val="0"/>
              <w:spacing w:before="0" w:beforeAutospacing="0" w:after="0" w:afterAutospacing="0"/>
              <w:ind w:left="0" w:right="0" w:firstLine="480"/>
              <w:rPr>
                <w:rFonts w:hint="default"/>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1、水污染物总量控制指标：</w:t>
            </w:r>
          </w:p>
          <w:p w14:paraId="0E4D63E3">
            <w:pPr>
              <w:keepNext w:val="0"/>
              <w:keepLines w:val="0"/>
              <w:suppressLineNumbers w:val="0"/>
              <w:shd w:val="clear"/>
              <w:spacing w:before="0" w:beforeAutospacing="0" w:after="0" w:afterAutospacing="0"/>
              <w:ind w:left="0" w:right="0" w:firstLine="480"/>
              <w:rPr>
                <w:rFonts w:hint="eastAsia" w:ascii="Times New Roman" w:hAnsi="Times New Roman" w:eastAsia="宋体" w:cs="Times New Roman"/>
                <w:color w:val="000000" w:themeColor="text1"/>
                <w:kern w:val="0"/>
                <w:sz w:val="24"/>
                <w:lang w:eastAsia="zh-CN"/>
                <w14:textFill>
                  <w14:solidFill>
                    <w14:schemeClr w14:val="tx1"/>
                  </w14:solidFill>
                </w14:textFill>
              </w:rPr>
            </w:pPr>
            <w:r>
              <w:rPr>
                <w:rFonts w:hint="default" w:ascii="Times New Roman" w:hAnsi="Times New Roman" w:cs="Times New Roman"/>
                <w:color w:val="000000" w:themeColor="text1"/>
                <w:kern w:val="0"/>
                <w:sz w:val="24"/>
                <w14:textFill>
                  <w14:solidFill>
                    <w14:schemeClr w14:val="tx1"/>
                  </w14:solidFill>
                </w14:textFill>
              </w:rPr>
              <w:t>本项目产生的污水</w:t>
            </w:r>
            <w:r>
              <w:rPr>
                <w:rFonts w:hint="eastAsia" w:cs="Times New Roman"/>
                <w:color w:val="000000" w:themeColor="text1"/>
                <w:kern w:val="0"/>
                <w:sz w:val="24"/>
                <w:lang w:eastAsia="zh-CN"/>
                <w14:textFill>
                  <w14:solidFill>
                    <w14:schemeClr w14:val="tx1"/>
                  </w14:solidFill>
                </w14:textFill>
              </w:rPr>
              <w:t>排入</w:t>
            </w:r>
            <w:r>
              <w:rPr>
                <w:rFonts w:hint="eastAsia" w:cs="Times New Roman"/>
                <w:bCs/>
                <w:color w:val="000000" w:themeColor="text1"/>
                <w:kern w:val="0"/>
                <w:sz w:val="24"/>
                <w:lang w:val="en-US" w:eastAsia="zh-CN"/>
                <w14:textFill>
                  <w14:solidFill>
                    <w14:schemeClr w14:val="tx1"/>
                  </w14:solidFill>
                </w14:textFill>
              </w:rPr>
              <w:t>八公山污水处理厂</w:t>
            </w:r>
            <w:r>
              <w:rPr>
                <w:rFonts w:hint="eastAsia" w:cs="Times New Roman"/>
                <w:bCs/>
                <w:color w:val="000000" w:themeColor="text1"/>
                <w:kern w:val="0"/>
                <w:sz w:val="24"/>
                <w:lang w:eastAsia="zh-CN"/>
                <w14:textFill>
                  <w14:solidFill>
                    <w14:schemeClr w14:val="tx1"/>
                  </w14:solidFill>
                </w14:textFill>
              </w:rPr>
              <w:t>集中处置</w:t>
            </w:r>
            <w:r>
              <w:rPr>
                <w:rFonts w:hint="default" w:ascii="Times New Roman" w:hAnsi="Times New Roman" w:cs="Times New Roman"/>
                <w:color w:val="000000" w:themeColor="text1"/>
                <w:kern w:val="0"/>
                <w:sz w:val="24"/>
                <w14:textFill>
                  <w14:solidFill>
                    <w14:schemeClr w14:val="tx1"/>
                  </w14:solidFill>
                </w14:textFill>
              </w:rPr>
              <w:t>，</w:t>
            </w:r>
            <w:r>
              <w:rPr>
                <w:rFonts w:hint="default"/>
                <w:color w:val="000000" w:themeColor="text1"/>
                <w:sz w:val="24"/>
                <w14:textFill>
                  <w14:solidFill>
                    <w14:schemeClr w14:val="tx1"/>
                  </w14:solidFill>
                </w14:textFill>
              </w:rPr>
              <w:t>水污染物总量控制因子排放指标在污水处理厂内部平衡，企业不再另行申请</w:t>
            </w:r>
            <w:r>
              <w:rPr>
                <w:rFonts w:hint="eastAsia"/>
                <w:color w:val="000000" w:themeColor="text1"/>
                <w:sz w:val="24"/>
                <w:lang w:eastAsia="zh-CN"/>
                <w14:textFill>
                  <w14:solidFill>
                    <w14:schemeClr w14:val="tx1"/>
                  </w14:solidFill>
                </w14:textFill>
              </w:rPr>
              <w:t>。</w:t>
            </w:r>
          </w:p>
          <w:p w14:paraId="3283D5A5">
            <w:pPr>
              <w:keepNext w:val="0"/>
              <w:keepLines w:val="0"/>
              <w:suppressLineNumbers w:val="0"/>
              <w:shd w:val="clear"/>
              <w:spacing w:before="0" w:beforeAutospacing="0" w:after="0" w:afterAutospacing="0"/>
              <w:ind w:left="0" w:right="0" w:firstLine="480"/>
              <w:rPr>
                <w:rFonts w:hint="default"/>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2、大气污染物总量控制指标：</w:t>
            </w:r>
          </w:p>
          <w:p w14:paraId="4E6FA3F7">
            <w:pPr>
              <w:keepNext w:val="0"/>
              <w:keepLines w:val="0"/>
              <w:suppressLineNumbers w:val="0"/>
              <w:bidi w:val="0"/>
              <w:spacing w:before="0" w:beforeAutospacing="0" w:after="0" w:afterAutospacing="0"/>
              <w:ind w:left="0" w:right="0"/>
              <w:rPr>
                <w:rFonts w:hint="eastAsia"/>
                <w:color w:val="0000FF"/>
                <w:lang w:val="en-US" w:eastAsia="zh-CN"/>
              </w:rPr>
            </w:pPr>
            <w:r>
              <w:rPr>
                <w:rFonts w:hint="eastAsia"/>
                <w:color w:val="000000" w:themeColor="text1"/>
                <w:lang w:val="en-US" w:eastAsia="zh-CN"/>
                <w14:textFill>
                  <w14:solidFill>
                    <w14:schemeClr w14:val="tx1"/>
                  </w14:solidFill>
                </w14:textFill>
              </w:rPr>
              <w:t>本项目生产过程中废气污染物主要</w:t>
            </w:r>
            <w:r>
              <w:rPr>
                <w:rFonts w:hint="eastAsia"/>
                <w:color w:val="000000" w:themeColor="text1"/>
                <w:highlight w:val="none"/>
                <w:lang w:val="en-US" w:eastAsia="zh-CN"/>
                <w14:textFill>
                  <w14:solidFill>
                    <w14:schemeClr w14:val="tx1"/>
                  </w14:solidFill>
                </w14:textFill>
              </w:rPr>
              <w:t>为颗粒物、臭气浓度，</w:t>
            </w:r>
            <w:r>
              <w:rPr>
                <w:rFonts w:hint="eastAsia"/>
                <w:color w:val="000000" w:themeColor="text1"/>
                <w:lang w:val="en-US" w:eastAsia="zh-CN"/>
                <w14:textFill>
                  <w14:solidFill>
                    <w14:schemeClr w14:val="tx1"/>
                  </w14:solidFill>
                </w14:textFill>
              </w:rPr>
              <w:t>有</w:t>
            </w:r>
            <w:r>
              <w:rPr>
                <w:rFonts w:hint="eastAsia"/>
                <w:color w:val="0000FF"/>
                <w:lang w:val="en-US" w:eastAsia="zh-CN"/>
              </w:rPr>
              <w:t>组织颗粒物排放量</w:t>
            </w:r>
            <w:r>
              <w:rPr>
                <w:rFonts w:hint="eastAsia"/>
                <w:color w:val="0000FF"/>
                <w:highlight w:val="none"/>
                <w:lang w:val="en-US" w:eastAsia="zh-CN"/>
              </w:rPr>
              <w:t>为0.003t/a，</w:t>
            </w:r>
            <w:r>
              <w:rPr>
                <w:rFonts w:hint="eastAsia"/>
                <w:color w:val="0000FF"/>
                <w:lang w:val="en-US" w:eastAsia="zh-CN"/>
              </w:rPr>
              <w:t>需进行倍量替代</w:t>
            </w:r>
            <w:commentRangeStart w:id="37"/>
            <w:commentRangeStart w:id="38"/>
            <w:r>
              <w:rPr>
                <w:rFonts w:hint="eastAsia"/>
                <w:color w:val="0000FF"/>
                <w:lang w:val="en-US" w:eastAsia="zh-CN"/>
              </w:rPr>
              <w:t>。</w:t>
            </w:r>
            <w:commentRangeEnd w:id="37"/>
            <w:r>
              <w:rPr>
                <w:rFonts w:hint="default"/>
                <w:color w:val="0000FF"/>
              </w:rPr>
              <w:commentReference w:id="37"/>
            </w:r>
            <w:commentRangeEnd w:id="38"/>
            <w:r>
              <w:rPr>
                <w:rFonts w:hint="default"/>
              </w:rPr>
              <w:commentReference w:id="38"/>
            </w:r>
          </w:p>
          <w:p w14:paraId="2EF697AA">
            <w:pPr>
              <w:keepNext w:val="0"/>
              <w:keepLines w:val="0"/>
              <w:suppressLineNumbers w:val="0"/>
              <w:bidi w:val="0"/>
              <w:spacing w:before="0" w:beforeAutospacing="0" w:after="0" w:afterAutospacing="0"/>
              <w:ind w:left="0" w:right="0"/>
              <w:rPr>
                <w:rFonts w:hint="eastAsia"/>
                <w:color w:val="0000FF"/>
                <w:lang w:val="en-US" w:eastAsia="zh-CN"/>
              </w:rPr>
            </w:pPr>
          </w:p>
          <w:p w14:paraId="27E01EA7">
            <w:pPr>
              <w:keepNext w:val="0"/>
              <w:keepLines w:val="0"/>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p>
          <w:p w14:paraId="4259B6EE">
            <w:pPr>
              <w:keepNext w:val="0"/>
              <w:keepLines w:val="0"/>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p>
          <w:p w14:paraId="22F23BF8">
            <w:pPr>
              <w:keepNext w:val="0"/>
              <w:keepLines w:val="0"/>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p>
          <w:p w14:paraId="48DC7311">
            <w:pPr>
              <w:keepNext w:val="0"/>
              <w:keepLines w:val="0"/>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p>
          <w:p w14:paraId="0CE39444">
            <w:pPr>
              <w:keepNext w:val="0"/>
              <w:keepLines w:val="0"/>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p>
          <w:p w14:paraId="7619DD36">
            <w:pPr>
              <w:keepNext w:val="0"/>
              <w:keepLines w:val="0"/>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p>
          <w:p w14:paraId="7EEAADA5">
            <w:pPr>
              <w:keepNext w:val="0"/>
              <w:keepLines w:val="0"/>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p>
          <w:p w14:paraId="5B69A716">
            <w:pPr>
              <w:keepNext w:val="0"/>
              <w:keepLines w:val="0"/>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p>
          <w:p w14:paraId="36FECC51">
            <w:pPr>
              <w:keepNext w:val="0"/>
              <w:keepLines w:val="0"/>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p>
          <w:p w14:paraId="288D5E99">
            <w:pPr>
              <w:keepNext w:val="0"/>
              <w:keepLines w:val="0"/>
              <w:suppressLineNumbers w:val="0"/>
              <w:bidi w:val="0"/>
              <w:spacing w:before="0" w:beforeAutospacing="0" w:after="0" w:afterAutospacing="0"/>
              <w:ind w:left="0" w:leftChars="0" w:right="0" w:firstLine="0" w:firstLineChars="0"/>
              <w:rPr>
                <w:rFonts w:hint="eastAsia"/>
                <w:color w:val="000000" w:themeColor="text1"/>
                <w:lang w:val="en-US" w:eastAsia="zh-CN"/>
                <w14:textFill>
                  <w14:solidFill>
                    <w14:schemeClr w14:val="tx1"/>
                  </w14:solidFill>
                </w14:textFill>
              </w:rPr>
            </w:pPr>
          </w:p>
        </w:tc>
      </w:tr>
    </w:tbl>
    <w:p w14:paraId="5712D4EE">
      <w:pPr>
        <w:jc w:val="center"/>
        <w:rPr>
          <w:rStyle w:val="35"/>
          <w:color w:val="auto"/>
        </w:rPr>
      </w:pPr>
      <w:r>
        <w:rPr>
          <w:color w:val="auto"/>
          <w:highlight w:val="none"/>
        </w:rPr>
        <w:br w:type="page"/>
      </w:r>
      <w:bookmarkStart w:id="9" w:name="_Toc27217"/>
      <w:r>
        <w:rPr>
          <w:rStyle w:val="35"/>
          <w:rFonts w:hint="eastAsia"/>
          <w:color w:val="auto"/>
        </w:rPr>
        <w:t>四</w:t>
      </w:r>
      <w:r>
        <w:rPr>
          <w:rStyle w:val="35"/>
          <w:color w:val="auto"/>
        </w:rPr>
        <w:t>、</w:t>
      </w:r>
      <w:r>
        <w:rPr>
          <w:rStyle w:val="35"/>
          <w:rFonts w:hint="eastAsia"/>
          <w:color w:val="auto"/>
        </w:rPr>
        <w:t>主要环境影响和保护措施</w:t>
      </w:r>
    </w:p>
    <w:bookmarkEnd w:id="9"/>
    <w:tbl>
      <w:tblPr>
        <w:tblStyle w:val="19"/>
        <w:tblW w:w="5094"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464"/>
        <w:gridCol w:w="8999"/>
      </w:tblGrid>
      <w:tr w14:paraId="66239A4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Ex>
        <w:trPr>
          <w:trHeight w:val="90" w:hRule="atLeast"/>
          <w:jc w:val="center"/>
        </w:trPr>
        <w:tc>
          <w:tcPr>
            <w:tcW w:w="245" w:type="pct"/>
            <w:tcBorders>
              <w:tl2br w:val="nil"/>
              <w:tr2bl w:val="nil"/>
            </w:tcBorders>
            <w:vAlign w:val="center"/>
          </w:tcPr>
          <w:p w14:paraId="17182B72">
            <w:pPr>
              <w:keepNext w:val="0"/>
              <w:keepLines w:val="0"/>
              <w:suppressLineNumbers w:val="0"/>
              <w:spacing w:before="0" w:beforeAutospacing="0" w:after="156" w:afterLines="50" w:afterAutospacing="0"/>
              <w:ind w:left="0" w:right="0" w:firstLine="0" w:firstLineChars="0"/>
              <w:jc w:val="center"/>
              <w:rPr>
                <w:rFonts w:hint="default"/>
                <w:color w:val="000000" w:themeColor="text1"/>
                <w:sz w:val="28"/>
                <w:szCs w:val="28"/>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施工期环境保护措施</w:t>
            </w:r>
          </w:p>
        </w:tc>
        <w:tc>
          <w:tcPr>
            <w:tcW w:w="4754" w:type="pct"/>
            <w:tcBorders>
              <w:tl2br w:val="nil"/>
              <w:tr2bl w:val="nil"/>
            </w:tcBorders>
            <w:vAlign w:val="center"/>
          </w:tcPr>
          <w:p w14:paraId="524F32F0">
            <w:pPr>
              <w:keepNext w:val="0"/>
              <w:keepLines w:val="0"/>
              <w:suppressLineNumbers w:val="0"/>
              <w:bidi w:val="0"/>
              <w:spacing w:before="0" w:beforeAutospacing="0" w:after="0" w:afterAutospacing="0"/>
              <w:ind w:left="0" w:right="0"/>
              <w:rPr>
                <w:rFonts w:hint="default"/>
                <w:b/>
                <w:bCs/>
                <w:color w:val="000000" w:themeColor="text1"/>
                <w14:textFill>
                  <w14:solidFill>
                    <w14:schemeClr w14:val="tx1"/>
                  </w14:solidFill>
                </w14:textFill>
              </w:rPr>
            </w:pPr>
            <w:r>
              <w:rPr>
                <w:rFonts w:hint="default"/>
                <w:b/>
                <w:bCs/>
                <w:color w:val="000000" w:themeColor="text1"/>
                <w14:textFill>
                  <w14:solidFill>
                    <w14:schemeClr w14:val="tx1"/>
                  </w14:solidFill>
                </w14:textFill>
              </w:rPr>
              <w:t>施工期环境影响简要分析：</w:t>
            </w:r>
          </w:p>
          <w:p w14:paraId="6D233836">
            <w:pPr>
              <w:keepNext w:val="0"/>
              <w:keepLines w:val="0"/>
              <w:suppressLineNumbers w:val="0"/>
              <w:bidi w:val="0"/>
              <w:spacing w:before="0" w:beforeAutospacing="0" w:after="0" w:afterAutospacing="0"/>
              <w:ind w:left="0" w:right="0"/>
              <w:rPr>
                <w:rFonts w:hint="eastAsia"/>
                <w:color w:val="000000" w:themeColor="text1"/>
                <w:lang w:val="en-US" w:eastAsia="zh-CN"/>
                <w14:textFill>
                  <w14:solidFill>
                    <w14:schemeClr w14:val="tx1"/>
                  </w14:solidFill>
                </w14:textFill>
              </w:rPr>
            </w:pPr>
            <w:r>
              <w:rPr>
                <w:rFonts w:hint="eastAsia"/>
                <w:color w:val="000000" w:themeColor="text1"/>
                <w14:textFill>
                  <w14:solidFill>
                    <w14:schemeClr w14:val="tx1"/>
                  </w14:solidFill>
                </w14:textFill>
              </w:rPr>
              <w:t>本项目</w:t>
            </w:r>
            <w:r>
              <w:rPr>
                <w:rFonts w:hint="eastAsia"/>
                <w:color w:val="000000" w:themeColor="text1"/>
                <w:lang w:val="en-US" w:eastAsia="zh-CN"/>
                <w14:textFill>
                  <w14:solidFill>
                    <w14:schemeClr w14:val="tx1"/>
                  </w14:solidFill>
                </w14:textFill>
              </w:rPr>
              <w:t>租赁</w:t>
            </w:r>
            <w:r>
              <w:rPr>
                <w:rFonts w:hint="eastAsia"/>
                <w:color w:val="auto"/>
                <w:lang w:val="en-US" w:eastAsia="zh-CN"/>
              </w:rPr>
              <w:t>淮南市祥瑞木业有限责任公司现有空置</w:t>
            </w:r>
            <w:r>
              <w:rPr>
                <w:rFonts w:hint="eastAsia"/>
                <w:color w:val="000000" w:themeColor="text1"/>
                <w:lang w:val="en-US" w:eastAsia="zh-CN"/>
                <w14:textFill>
                  <w14:solidFill>
                    <w14:schemeClr w14:val="tx1"/>
                  </w14:solidFill>
                </w14:textFill>
              </w:rPr>
              <w:t>厂房内</w:t>
            </w:r>
            <w:r>
              <w:rPr>
                <w:rFonts w:hint="eastAsia" w:eastAsiaTheme="minorEastAsia"/>
                <w:color w:val="000000" w:themeColor="text1"/>
                <w:szCs w:val="21"/>
                <w:lang w:val="en-US" w:eastAsia="zh-CN"/>
                <w14:textFill>
                  <w14:solidFill>
                    <w14:schemeClr w14:val="tx1"/>
                  </w14:solidFill>
                </w14:textFill>
              </w:rPr>
              <w:t>进行生产</w:t>
            </w: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厂房均已建设完成，</w:t>
            </w:r>
            <w:r>
              <w:rPr>
                <w:rFonts w:hint="eastAsia"/>
                <w:color w:val="000000" w:themeColor="text1"/>
                <w14:textFill>
                  <w14:solidFill>
                    <w14:schemeClr w14:val="tx1"/>
                  </w14:solidFill>
                </w14:textFill>
              </w:rPr>
              <w:t>施工期仅进行简单装修及设备的安装，施工期工程量很小，</w:t>
            </w:r>
            <w:r>
              <w:rPr>
                <w:rFonts w:hint="eastAsia"/>
                <w:color w:val="000000" w:themeColor="text1"/>
                <w:lang w:val="en-US" w:eastAsia="zh-CN"/>
                <w14:textFill>
                  <w14:solidFill>
                    <w14:schemeClr w14:val="tx1"/>
                  </w14:solidFill>
                </w14:textFill>
              </w:rPr>
              <w:t>施工期环境保护措施如下：</w:t>
            </w:r>
          </w:p>
          <w:p w14:paraId="3091B4B2">
            <w:pPr>
              <w:keepNext w:val="0"/>
              <w:keepLines w:val="0"/>
              <w:suppressLineNumbers w:val="0"/>
              <w:spacing w:before="0" w:beforeAutospacing="0" w:after="0" w:afterAutospacing="0" w:line="360" w:lineRule="auto"/>
              <w:ind w:left="0" w:right="0" w:firstLine="480" w:firstLineChars="200"/>
              <w:rPr>
                <w:rFonts w:hint="default"/>
                <w:b w:val="0"/>
                <w:bCs w:val="0"/>
                <w:color w:val="auto"/>
                <w:sz w:val="24"/>
              </w:rPr>
            </w:pPr>
            <w:r>
              <w:rPr>
                <w:rFonts w:hint="default"/>
                <w:color w:val="auto"/>
                <w:sz w:val="24"/>
              </w:rPr>
              <w:t>施工期废气主要为扬尘</w:t>
            </w:r>
            <w:r>
              <w:rPr>
                <w:rFonts w:hint="eastAsia"/>
                <w:color w:val="auto"/>
                <w:sz w:val="24"/>
              </w:rPr>
              <w:t>，扬尘</w:t>
            </w:r>
            <w:r>
              <w:rPr>
                <w:rFonts w:hint="default"/>
                <w:color w:val="auto"/>
                <w:sz w:val="24"/>
              </w:rPr>
              <w:t>采取洒水降尘措施并经施工区域四周车间厂房和设备拦挡后，粉尘影响局限于厂区范围内，对外部环境</w:t>
            </w:r>
            <w:r>
              <w:rPr>
                <w:rFonts w:hint="default"/>
                <w:b w:val="0"/>
                <w:bCs w:val="0"/>
                <w:color w:val="auto"/>
                <w:sz w:val="24"/>
              </w:rPr>
              <w:t>影响较小</w:t>
            </w:r>
            <w:r>
              <w:rPr>
                <w:rFonts w:hint="default"/>
                <w:color w:val="auto"/>
                <w:sz w:val="24"/>
              </w:rPr>
              <w:t>。施工</w:t>
            </w:r>
            <w:r>
              <w:rPr>
                <w:rFonts w:hint="eastAsia"/>
                <w:color w:val="auto"/>
                <w:sz w:val="24"/>
              </w:rPr>
              <w:t>期</w:t>
            </w:r>
            <w:r>
              <w:rPr>
                <w:rFonts w:hint="default"/>
                <w:color w:val="auto"/>
                <w:sz w:val="24"/>
              </w:rPr>
              <w:t>噪声主要为吊运噪声、车辆噪声、安装设备碰撞噪声，间断性产生，采取避开午休时间施工、夜间施工等措施，</w:t>
            </w:r>
            <w:r>
              <w:rPr>
                <w:rFonts w:hint="default"/>
                <w:b w:val="0"/>
                <w:bCs w:val="0"/>
                <w:color w:val="auto"/>
                <w:sz w:val="24"/>
              </w:rPr>
              <w:t>经车间厂房和设备等阻隔后，对周边环境影响较小。</w:t>
            </w:r>
            <w:r>
              <w:rPr>
                <w:rFonts w:hint="eastAsia"/>
                <w:b w:val="0"/>
                <w:bCs w:val="0"/>
                <w:color w:val="auto"/>
                <w:sz w:val="24"/>
              </w:rPr>
              <w:t>对于施工期产生的少量</w:t>
            </w:r>
            <w:r>
              <w:rPr>
                <w:rFonts w:hint="default"/>
                <w:b w:val="0"/>
                <w:bCs w:val="0"/>
                <w:color w:val="auto"/>
                <w:sz w:val="24"/>
              </w:rPr>
              <w:t>固废，收集后，外售给物资部门。</w:t>
            </w:r>
          </w:p>
          <w:p w14:paraId="213DBF1F">
            <w:pPr>
              <w:keepNext w:val="0"/>
              <w:keepLines w:val="0"/>
              <w:widowControl/>
              <w:suppressLineNumbers w:val="0"/>
              <w:spacing w:before="0" w:beforeAutospacing="0" w:after="0" w:afterAutospacing="0"/>
              <w:ind w:left="0" w:right="0" w:firstLine="480"/>
              <w:rPr>
                <w:rFonts w:hint="default"/>
                <w:color w:val="000000" w:themeColor="text1"/>
                <w:highlight w:val="none"/>
                <w14:textFill>
                  <w14:solidFill>
                    <w14:schemeClr w14:val="tx1"/>
                  </w14:solidFill>
                </w14:textFill>
              </w:rPr>
            </w:pPr>
            <w:r>
              <w:rPr>
                <w:rFonts w:hint="default"/>
                <w:b w:val="0"/>
                <w:bCs w:val="0"/>
                <w:color w:val="auto"/>
                <w:sz w:val="24"/>
              </w:rPr>
              <w:t>综上，项目施工期较短，采取相应治理措施后，施工期对周边环境的影响可接受，且</w:t>
            </w:r>
            <w:r>
              <w:rPr>
                <w:rFonts w:hint="eastAsia"/>
                <w:b w:val="0"/>
                <w:bCs w:val="0"/>
                <w:color w:val="auto"/>
                <w:sz w:val="24"/>
                <w:lang w:eastAsia="zh-CN"/>
              </w:rPr>
              <w:t>对周边环境的影响</w:t>
            </w:r>
            <w:r>
              <w:rPr>
                <w:rFonts w:hint="default"/>
                <w:b w:val="0"/>
                <w:bCs w:val="0"/>
                <w:color w:val="auto"/>
                <w:sz w:val="24"/>
              </w:rPr>
              <w:t>随施工期结束而结束</w:t>
            </w:r>
            <w:r>
              <w:rPr>
                <w:rFonts w:hint="eastAsia" w:cs="Calibri"/>
                <w:b w:val="0"/>
                <w:bCs w:val="0"/>
                <w:color w:val="000000"/>
                <w:sz w:val="24"/>
              </w:rPr>
              <w:t>。</w:t>
            </w:r>
          </w:p>
        </w:tc>
      </w:tr>
      <w:tr w14:paraId="0A58AFD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105" w:hRule="atLeast"/>
          <w:jc w:val="center"/>
        </w:trPr>
        <w:tc>
          <w:tcPr>
            <w:tcW w:w="245" w:type="pct"/>
            <w:tcBorders>
              <w:tl2br w:val="nil"/>
              <w:tr2bl w:val="nil"/>
            </w:tcBorders>
            <w:vAlign w:val="center"/>
          </w:tcPr>
          <w:p w14:paraId="7390A0C9">
            <w:pPr>
              <w:keepNext w:val="0"/>
              <w:keepLines w:val="0"/>
              <w:suppressLineNumbers w:val="0"/>
              <w:spacing w:before="0" w:beforeAutospacing="0" w:after="312" w:afterLines="100" w:afterAutospacing="0"/>
              <w:ind w:left="0" w:right="0" w:firstLine="0" w:firstLineChars="0"/>
              <w:jc w:val="center"/>
              <w:rPr>
                <w:rFonts w:hint="default"/>
                <w:color w:val="000000" w:themeColor="text1"/>
                <w:sz w:val="28"/>
                <w:szCs w:val="28"/>
                <w:highlight w:val="none"/>
                <w14:textFill>
                  <w14:solidFill>
                    <w14:schemeClr w14:val="tx1"/>
                  </w14:solidFill>
                </w14:textFill>
              </w:rPr>
            </w:pPr>
            <w:r>
              <w:rPr>
                <w:rFonts w:hint="eastAsia" w:ascii="宋体"/>
                <w:color w:val="000000" w:themeColor="text1"/>
                <w:highlight w:val="none"/>
                <w14:textFill>
                  <w14:solidFill>
                    <w14:schemeClr w14:val="tx1"/>
                  </w14:solidFill>
                </w14:textFill>
              </w:rPr>
              <w:t>运营期环境影响和保护措施</w:t>
            </w:r>
          </w:p>
        </w:tc>
        <w:tc>
          <w:tcPr>
            <w:tcW w:w="4754" w:type="pct"/>
            <w:tcBorders>
              <w:tl2br w:val="nil"/>
              <w:tr2bl w:val="nil"/>
            </w:tcBorders>
          </w:tcPr>
          <w:p w14:paraId="0F848AA9">
            <w:pPr>
              <w:keepNext w:val="0"/>
              <w:keepLines w:val="0"/>
              <w:suppressLineNumbers w:val="0"/>
              <w:spacing w:before="0" w:beforeAutospacing="0" w:after="0" w:afterAutospacing="0"/>
              <w:ind w:left="0" w:right="0" w:firstLine="480"/>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本项目运营期产生的污染物主要是在生产过程中产生的</w:t>
            </w:r>
            <w:r>
              <w:rPr>
                <w:rFonts w:hint="eastAsia"/>
                <w:color w:val="000000" w:themeColor="text1"/>
                <w:highlight w:val="none"/>
                <w:lang w:val="en-US" w:eastAsia="zh-CN"/>
                <w14:textFill>
                  <w14:solidFill>
                    <w14:schemeClr w14:val="tx1"/>
                  </w14:solidFill>
                </w14:textFill>
              </w:rPr>
              <w:t>废气、废水、</w:t>
            </w:r>
            <w:r>
              <w:rPr>
                <w:rFonts w:hint="eastAsia"/>
                <w:color w:val="000000" w:themeColor="text1"/>
                <w:highlight w:val="none"/>
                <w14:textFill>
                  <w14:solidFill>
                    <w14:schemeClr w14:val="tx1"/>
                  </w14:solidFill>
                </w14:textFill>
              </w:rPr>
              <w:t>噪声</w:t>
            </w:r>
            <w:r>
              <w:rPr>
                <w:rFonts w:hint="eastAsia"/>
                <w:color w:val="000000" w:themeColor="text1"/>
                <w:highlight w:val="none"/>
                <w:lang w:eastAsia="zh-CN"/>
                <w14:textFill>
                  <w14:solidFill>
                    <w14:schemeClr w14:val="tx1"/>
                  </w14:solidFill>
                </w14:textFill>
              </w:rPr>
              <w:t>、</w:t>
            </w:r>
            <w:r>
              <w:rPr>
                <w:rFonts w:hint="eastAsia"/>
                <w:color w:val="000000" w:themeColor="text1"/>
                <w:highlight w:val="none"/>
                <w:lang w:val="en-US" w:eastAsia="zh-CN"/>
                <w14:textFill>
                  <w14:solidFill>
                    <w14:schemeClr w14:val="tx1"/>
                  </w14:solidFill>
                </w14:textFill>
              </w:rPr>
              <w:t>固体废物</w:t>
            </w:r>
            <w:r>
              <w:rPr>
                <w:rFonts w:hint="eastAsia"/>
                <w:color w:val="000000" w:themeColor="text1"/>
                <w:highlight w:val="none"/>
                <w14:textFill>
                  <w14:solidFill>
                    <w14:schemeClr w14:val="tx1"/>
                  </w14:solidFill>
                </w14:textFill>
              </w:rPr>
              <w:t>。</w:t>
            </w:r>
          </w:p>
          <w:p w14:paraId="766CD28A">
            <w:pPr>
              <w:keepNext w:val="0"/>
              <w:keepLines w:val="0"/>
              <w:numPr>
                <w:ilvl w:val="0"/>
                <w:numId w:val="7"/>
              </w:numPr>
              <w:suppressLineNumbers w:val="0"/>
              <w:spacing w:before="0" w:beforeAutospacing="0" w:after="0" w:afterAutospacing="0"/>
              <w:ind w:left="0" w:right="0" w:firstLine="482"/>
              <w:rPr>
                <w:rFonts w:hint="eastAsia"/>
                <w:b/>
                <w:bCs w:val="0"/>
                <w:color w:val="000000" w:themeColor="text1"/>
                <w:sz w:val="24"/>
                <w:szCs w:val="24"/>
                <w:lang w:val="en-US" w:eastAsia="zh-CN"/>
                <w14:textFill>
                  <w14:solidFill>
                    <w14:schemeClr w14:val="tx1"/>
                  </w14:solidFill>
                </w14:textFill>
              </w:rPr>
            </w:pPr>
            <w:r>
              <w:rPr>
                <w:rFonts w:hint="eastAsia"/>
                <w:b/>
                <w:bCs w:val="0"/>
                <w:color w:val="000000" w:themeColor="text1"/>
                <w:sz w:val="24"/>
                <w:szCs w:val="24"/>
                <w:lang w:val="en-US" w:eastAsia="zh-CN"/>
                <w14:textFill>
                  <w14:solidFill>
                    <w14:schemeClr w14:val="tx1"/>
                  </w14:solidFill>
                </w14:textFill>
              </w:rPr>
              <w:t>废气</w:t>
            </w:r>
          </w:p>
          <w:p w14:paraId="3B1252FF">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本项目</w:t>
            </w:r>
            <w:r>
              <w:rPr>
                <w:rFonts w:hint="eastAsia"/>
              </w:rPr>
              <w:t>营运期排放废气主要</w:t>
            </w:r>
            <w:r>
              <w:rPr>
                <w:rFonts w:hint="eastAsia"/>
                <w:lang w:val="en-US" w:eastAsia="zh-CN"/>
              </w:rPr>
              <w:t>为角磨切割粉尘、剪切粉尘、打包粉尘及恶臭气体。</w:t>
            </w:r>
          </w:p>
          <w:p w14:paraId="1422CD14">
            <w:pPr>
              <w:keepNext w:val="0"/>
              <w:keepLines w:val="0"/>
              <w:suppressLineNumbers w:val="0"/>
              <w:bidi w:val="0"/>
              <w:spacing w:before="0" w:beforeAutospacing="0" w:after="0" w:afterAutospacing="0"/>
              <w:ind w:left="0" w:right="0"/>
              <w:jc w:val="both"/>
              <w:rPr>
                <w:rFonts w:hint="default"/>
              </w:rPr>
            </w:pPr>
            <w:r>
              <w:rPr>
                <w:rFonts w:hint="eastAsia"/>
              </w:rPr>
              <w:t>本项目</w:t>
            </w:r>
            <w:r>
              <w:rPr>
                <w:rFonts w:hint="eastAsia"/>
                <w:lang w:val="en-US" w:eastAsia="zh-CN"/>
              </w:rPr>
              <w:t>有组织</w:t>
            </w:r>
            <w:r>
              <w:rPr>
                <w:rFonts w:hint="eastAsia"/>
              </w:rPr>
              <w:t>废气产排情况见表4-</w:t>
            </w:r>
            <w:r>
              <w:rPr>
                <w:rFonts w:hint="default"/>
              </w:rPr>
              <w:t>1</w:t>
            </w:r>
            <w:r>
              <w:rPr>
                <w:rFonts w:hint="eastAsia"/>
              </w:rPr>
              <w:t>。</w:t>
            </w:r>
          </w:p>
          <w:p w14:paraId="1D76A793">
            <w:pPr>
              <w:keepNext w:val="0"/>
              <w:keepLines w:val="0"/>
              <w:suppressLineNumbers w:val="0"/>
              <w:bidi w:val="0"/>
              <w:spacing w:before="0" w:beforeAutospacing="0" w:after="0" w:afterAutospacing="0"/>
              <w:ind w:left="0" w:right="0"/>
              <w:jc w:val="both"/>
              <w:rPr>
                <w:rFonts w:hint="default"/>
              </w:rPr>
            </w:pPr>
            <w:r>
              <w:rPr>
                <w:rFonts w:hint="eastAsia"/>
              </w:rPr>
              <w:t>本项目大气污染物无组织排放信息汇总见表4-</w:t>
            </w:r>
            <w:r>
              <w:rPr>
                <w:rFonts w:hint="eastAsia"/>
                <w:lang w:val="en-US" w:eastAsia="zh-CN"/>
              </w:rPr>
              <w:t>2</w:t>
            </w:r>
            <w:r>
              <w:rPr>
                <w:rFonts w:hint="eastAsia"/>
              </w:rPr>
              <w:t>。</w:t>
            </w:r>
          </w:p>
          <w:p w14:paraId="56D61C69">
            <w:pPr>
              <w:keepNext w:val="0"/>
              <w:keepLines w:val="0"/>
              <w:suppressLineNumbers w:val="0"/>
              <w:bidi w:val="0"/>
              <w:spacing w:before="0" w:beforeAutospacing="0" w:after="0" w:afterAutospacing="0"/>
              <w:ind w:left="0" w:right="0"/>
              <w:jc w:val="both"/>
              <w:rPr>
                <w:rFonts w:hint="eastAsia"/>
                <w:lang w:val="en-US" w:eastAsia="zh-CN"/>
              </w:rPr>
            </w:pPr>
            <w:r>
              <w:rPr>
                <w:rFonts w:hint="eastAsia"/>
              </w:rPr>
              <w:t>本项目</w:t>
            </w:r>
            <w:r>
              <w:rPr>
                <w:rFonts w:hint="default"/>
              </w:rPr>
              <w:t>有组织废气排放口基本信息一览表</w:t>
            </w:r>
            <w:r>
              <w:rPr>
                <w:rFonts w:hint="eastAsia"/>
                <w:lang w:val="en-US" w:eastAsia="zh-CN"/>
              </w:rPr>
              <w:t>见4-3。</w:t>
            </w:r>
          </w:p>
          <w:p w14:paraId="157B41AA">
            <w:pPr>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w:t>
            </w:r>
            <w:r>
              <w:rPr>
                <w:rFonts w:hint="eastAsia"/>
              </w:rPr>
              <w:t>无</w:t>
            </w:r>
            <w:r>
              <w:rPr>
                <w:rFonts w:hint="default"/>
              </w:rPr>
              <w:t>组织废气排放基本信息一览表</w:t>
            </w:r>
            <w:r>
              <w:rPr>
                <w:rFonts w:hint="eastAsia"/>
                <w:lang w:val="en-US" w:eastAsia="zh-CN"/>
              </w:rPr>
              <w:t>见4-4。</w:t>
            </w:r>
          </w:p>
          <w:p w14:paraId="68BC3494">
            <w:pPr>
              <w:keepNext w:val="0"/>
              <w:keepLines w:val="0"/>
              <w:suppressLineNumbers w:val="0"/>
              <w:bidi w:val="0"/>
              <w:spacing w:before="0" w:beforeAutospacing="0" w:after="0" w:afterAutospacing="0"/>
              <w:ind w:left="0" w:right="0"/>
              <w:jc w:val="both"/>
              <w:rPr>
                <w:rFonts w:hint="eastAsia" w:eastAsia="宋体"/>
                <w:lang w:val="en-US" w:eastAsia="zh-CN"/>
              </w:rPr>
            </w:pPr>
            <w:r>
              <w:rPr>
                <w:rFonts w:hint="eastAsia" w:eastAsia="宋体"/>
                <w:lang w:val="en-US" w:eastAsia="zh-CN"/>
              </w:rPr>
              <w:t>本项目废气例行监测要求汇总见表4-5。</w:t>
            </w:r>
          </w:p>
          <w:p w14:paraId="16E28E75">
            <w:pPr>
              <w:pStyle w:val="39"/>
              <w:keepNext w:val="0"/>
              <w:keepLines w:val="0"/>
              <w:suppressLineNumbers w:val="0"/>
              <w:bidi w:val="0"/>
              <w:spacing w:before="0" w:beforeAutospacing="0" w:after="0" w:afterAutospacing="0"/>
              <w:ind w:left="0" w:right="0"/>
              <w:jc w:val="center"/>
              <w:rPr>
                <w:rFonts w:hint="eastAsia"/>
                <w:color w:val="0000FF"/>
                <w:lang w:eastAsia="zh-CN"/>
              </w:rPr>
            </w:pPr>
            <w:r>
              <w:rPr>
                <w:rFonts w:hint="eastAsia"/>
                <w:color w:val="0000FF"/>
              </w:rPr>
              <w:t>表4-</w:t>
            </w:r>
            <w:r>
              <w:rPr>
                <w:rFonts w:hint="default"/>
                <w:color w:val="0000FF"/>
              </w:rPr>
              <w:t>1</w:t>
            </w:r>
            <w:r>
              <w:rPr>
                <w:rFonts w:hint="eastAsia"/>
                <w:color w:val="0000FF"/>
                <w:lang w:eastAsia="zh-CN"/>
              </w:rPr>
              <w:t xml:space="preserve">  </w:t>
            </w:r>
            <w:r>
              <w:rPr>
                <w:rFonts w:hint="eastAsia"/>
                <w:color w:val="0000FF"/>
              </w:rPr>
              <w:t>项目废气产排污节点、污染物产排及污染治理设施信息表</w:t>
            </w:r>
            <w:r>
              <w:rPr>
                <w:rFonts w:hint="eastAsia"/>
                <w:color w:val="0000FF"/>
                <w:lang w:eastAsia="zh-CN"/>
              </w:rPr>
              <w:t>（</w:t>
            </w:r>
            <w:r>
              <w:rPr>
                <w:rFonts w:hint="eastAsia"/>
                <w:color w:val="0000FF"/>
                <w:lang w:val="en-US" w:eastAsia="zh-CN"/>
              </w:rPr>
              <w:t>有组织</w:t>
            </w:r>
            <w:r>
              <w:rPr>
                <w:rFonts w:hint="eastAsia"/>
                <w:color w:val="0000FF"/>
                <w:lang w:eastAsia="zh-CN"/>
              </w:rPr>
              <w:t>）</w:t>
            </w:r>
          </w:p>
          <w:tbl>
            <w:tblPr>
              <w:tblStyle w:val="1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0" w:type="dxa"/>
                <w:bottom w:w="0" w:type="dxa"/>
                <w:right w:w="0" w:type="dxa"/>
              </w:tblCellMar>
            </w:tblPr>
            <w:tblGrid>
              <w:gridCol w:w="335"/>
              <w:gridCol w:w="285"/>
              <w:gridCol w:w="636"/>
              <w:gridCol w:w="636"/>
              <w:gridCol w:w="367"/>
              <w:gridCol w:w="598"/>
              <w:gridCol w:w="552"/>
              <w:gridCol w:w="452"/>
              <w:gridCol w:w="475"/>
              <w:gridCol w:w="336"/>
              <w:gridCol w:w="433"/>
              <w:gridCol w:w="433"/>
              <w:gridCol w:w="428"/>
              <w:gridCol w:w="429"/>
              <w:gridCol w:w="336"/>
              <w:gridCol w:w="452"/>
              <w:gridCol w:w="507"/>
              <w:gridCol w:w="571"/>
              <w:gridCol w:w="513"/>
            </w:tblGrid>
            <w:tr w14:paraId="4D40E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35" w:type="dxa"/>
                  <w:vMerge w:val="restart"/>
                  <w:shd w:val="clear" w:color="auto" w:fill="auto"/>
                  <w:vAlign w:val="center"/>
                </w:tcPr>
                <w:p w14:paraId="7A8ECB48">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排放方式</w:t>
                  </w:r>
                </w:p>
              </w:tc>
              <w:tc>
                <w:tcPr>
                  <w:tcW w:w="285" w:type="dxa"/>
                  <w:vMerge w:val="restart"/>
                  <w:shd w:val="clear" w:color="auto" w:fill="auto"/>
                  <w:vAlign w:val="center"/>
                </w:tcPr>
                <w:p w14:paraId="218B9288">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排气筒</w:t>
                  </w:r>
                </w:p>
              </w:tc>
              <w:tc>
                <w:tcPr>
                  <w:tcW w:w="636" w:type="dxa"/>
                  <w:vMerge w:val="restart"/>
                  <w:shd w:val="clear" w:color="auto" w:fill="auto"/>
                  <w:vAlign w:val="center"/>
                </w:tcPr>
                <w:p w14:paraId="496C5B29">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生产线</w:t>
                  </w:r>
                </w:p>
              </w:tc>
              <w:tc>
                <w:tcPr>
                  <w:tcW w:w="636" w:type="dxa"/>
                  <w:vMerge w:val="restart"/>
                  <w:shd w:val="clear" w:color="auto" w:fill="auto"/>
                  <w:vAlign w:val="center"/>
                </w:tcPr>
                <w:p w14:paraId="5F1D9762">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产污工序</w:t>
                  </w:r>
                </w:p>
              </w:tc>
              <w:tc>
                <w:tcPr>
                  <w:tcW w:w="367" w:type="dxa"/>
                  <w:vMerge w:val="restart"/>
                  <w:shd w:val="clear" w:color="auto" w:fill="auto"/>
                  <w:vAlign w:val="center"/>
                </w:tcPr>
                <w:p w14:paraId="29F9D102">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污染物</w:t>
                  </w:r>
                </w:p>
              </w:tc>
              <w:tc>
                <w:tcPr>
                  <w:tcW w:w="1602" w:type="dxa"/>
                  <w:gridSpan w:val="3"/>
                  <w:shd w:val="clear" w:color="auto" w:fill="auto"/>
                  <w:vAlign w:val="center"/>
                </w:tcPr>
                <w:p w14:paraId="1C132C4D">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产生源强</w:t>
                  </w:r>
                </w:p>
              </w:tc>
              <w:tc>
                <w:tcPr>
                  <w:tcW w:w="475" w:type="dxa"/>
                  <w:vMerge w:val="restart"/>
                  <w:shd w:val="clear" w:color="auto" w:fill="auto"/>
                  <w:vAlign w:val="center"/>
                </w:tcPr>
                <w:p w14:paraId="45DC24E4">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风量</w:t>
                  </w:r>
                  <w:r>
                    <w:rPr>
                      <w:rFonts w:hint="default"/>
                      <w:b/>
                      <w:bCs/>
                      <w:color w:val="0000FF"/>
                      <w:lang w:val="en-US" w:eastAsia="zh-CN"/>
                    </w:rPr>
                    <w:t>m³/h</w:t>
                  </w:r>
                </w:p>
              </w:tc>
              <w:tc>
                <w:tcPr>
                  <w:tcW w:w="336" w:type="dxa"/>
                  <w:vMerge w:val="restart"/>
                  <w:shd w:val="clear" w:color="auto" w:fill="auto"/>
                  <w:vAlign w:val="center"/>
                </w:tcPr>
                <w:p w14:paraId="7412892A">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治理措施</w:t>
                  </w:r>
                </w:p>
              </w:tc>
              <w:tc>
                <w:tcPr>
                  <w:tcW w:w="433" w:type="dxa"/>
                  <w:vMerge w:val="restart"/>
                  <w:shd w:val="clear" w:color="auto" w:fill="auto"/>
                  <w:vAlign w:val="center"/>
                </w:tcPr>
                <w:p w14:paraId="5C781551">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收集效率</w:t>
                  </w:r>
                  <w:r>
                    <w:rPr>
                      <w:rFonts w:hint="default"/>
                      <w:b/>
                      <w:bCs/>
                      <w:color w:val="0000FF"/>
                      <w:lang w:val="en-US" w:eastAsia="zh-CN"/>
                    </w:rPr>
                    <w:t>%</w:t>
                  </w:r>
                </w:p>
              </w:tc>
              <w:tc>
                <w:tcPr>
                  <w:tcW w:w="433" w:type="dxa"/>
                  <w:vMerge w:val="restart"/>
                  <w:shd w:val="clear" w:color="auto" w:fill="auto"/>
                  <w:vAlign w:val="center"/>
                </w:tcPr>
                <w:p w14:paraId="755F20B0">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处理效率</w:t>
                  </w:r>
                  <w:r>
                    <w:rPr>
                      <w:rFonts w:hint="default"/>
                      <w:b/>
                      <w:bCs/>
                      <w:color w:val="0000FF"/>
                      <w:lang w:val="en-US" w:eastAsia="zh-CN"/>
                    </w:rPr>
                    <w:t>%</w:t>
                  </w:r>
                </w:p>
              </w:tc>
              <w:tc>
                <w:tcPr>
                  <w:tcW w:w="428" w:type="dxa"/>
                  <w:vMerge w:val="restart"/>
                  <w:shd w:val="clear" w:color="auto" w:fill="auto"/>
                  <w:vAlign w:val="center"/>
                </w:tcPr>
                <w:p w14:paraId="2D3565E1">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年工作时间</w:t>
                  </w:r>
                  <w:r>
                    <w:rPr>
                      <w:rFonts w:hint="default"/>
                      <w:b/>
                      <w:bCs/>
                      <w:color w:val="0000FF"/>
                      <w:lang w:val="en-US" w:eastAsia="zh-CN"/>
                    </w:rPr>
                    <w:t>h</w:t>
                  </w:r>
                </w:p>
              </w:tc>
              <w:tc>
                <w:tcPr>
                  <w:tcW w:w="429" w:type="dxa"/>
                  <w:vMerge w:val="restart"/>
                  <w:shd w:val="clear" w:color="auto" w:fill="auto"/>
                  <w:vAlign w:val="center"/>
                </w:tcPr>
                <w:p w14:paraId="75AF3D16">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是否为可行性技术</w:t>
                  </w:r>
                </w:p>
              </w:tc>
              <w:tc>
                <w:tcPr>
                  <w:tcW w:w="1866" w:type="dxa"/>
                  <w:gridSpan w:val="4"/>
                  <w:shd w:val="clear" w:color="auto" w:fill="auto"/>
                  <w:vAlign w:val="center"/>
                </w:tcPr>
                <w:p w14:paraId="6B47A529">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排放源强</w:t>
                  </w:r>
                </w:p>
              </w:tc>
              <w:tc>
                <w:tcPr>
                  <w:tcW w:w="513" w:type="dxa"/>
                  <w:vMerge w:val="restart"/>
                  <w:shd w:val="clear" w:color="auto" w:fill="auto"/>
                  <w:vAlign w:val="center"/>
                </w:tcPr>
                <w:p w14:paraId="308FF5AA">
                  <w:pPr>
                    <w:pStyle w:val="40"/>
                    <w:keepNext w:val="0"/>
                    <w:keepLines w:val="0"/>
                    <w:suppressLineNumbers w:val="0"/>
                    <w:bidi w:val="0"/>
                    <w:spacing w:before="0" w:beforeAutospacing="0" w:after="0" w:afterAutospacing="0"/>
                    <w:rPr>
                      <w:rFonts w:hint="eastAsia"/>
                      <w:color w:val="0000FF"/>
                    </w:rPr>
                  </w:pPr>
                  <w:r>
                    <w:rPr>
                      <w:rFonts w:hint="eastAsia"/>
                      <w:b/>
                      <w:bCs/>
                      <w:color w:val="0000FF"/>
                      <w:lang w:val="en-US" w:eastAsia="zh-CN"/>
                    </w:rPr>
                    <w:t>排放限值</w:t>
                  </w:r>
                  <w:r>
                    <w:rPr>
                      <w:rFonts w:hint="default"/>
                      <w:b/>
                      <w:bCs/>
                      <w:color w:val="0000FF"/>
                      <w:lang w:val="en-US" w:eastAsia="zh-CN"/>
                    </w:rPr>
                    <w:t>mg/m³</w:t>
                  </w:r>
                </w:p>
              </w:tc>
            </w:tr>
            <w:tr w14:paraId="3DCFA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35" w:type="dxa"/>
                  <w:vMerge w:val="continue"/>
                  <w:shd w:val="clear" w:color="auto" w:fill="auto"/>
                  <w:vAlign w:val="center"/>
                </w:tcPr>
                <w:p w14:paraId="58FFB858">
                  <w:pPr>
                    <w:pStyle w:val="40"/>
                    <w:keepNext w:val="0"/>
                    <w:keepLines w:val="0"/>
                    <w:suppressLineNumbers w:val="0"/>
                    <w:bidi w:val="0"/>
                    <w:spacing w:before="0" w:beforeAutospacing="0" w:after="0" w:afterAutospacing="0"/>
                    <w:rPr>
                      <w:rFonts w:hint="eastAsia"/>
                      <w:b/>
                      <w:bCs/>
                      <w:color w:val="0000FF"/>
                    </w:rPr>
                  </w:pPr>
                </w:p>
              </w:tc>
              <w:tc>
                <w:tcPr>
                  <w:tcW w:w="285" w:type="dxa"/>
                  <w:vMerge w:val="continue"/>
                  <w:shd w:val="clear" w:color="auto" w:fill="auto"/>
                  <w:vAlign w:val="center"/>
                </w:tcPr>
                <w:p w14:paraId="4FD4C8E4">
                  <w:pPr>
                    <w:pStyle w:val="40"/>
                    <w:keepNext w:val="0"/>
                    <w:keepLines w:val="0"/>
                    <w:suppressLineNumbers w:val="0"/>
                    <w:bidi w:val="0"/>
                    <w:spacing w:before="0" w:beforeAutospacing="0" w:after="0" w:afterAutospacing="0"/>
                    <w:rPr>
                      <w:rFonts w:hint="eastAsia"/>
                      <w:b/>
                      <w:bCs/>
                      <w:color w:val="0000FF"/>
                    </w:rPr>
                  </w:pPr>
                </w:p>
              </w:tc>
              <w:tc>
                <w:tcPr>
                  <w:tcW w:w="636" w:type="dxa"/>
                  <w:vMerge w:val="continue"/>
                  <w:shd w:val="clear" w:color="auto" w:fill="auto"/>
                  <w:vAlign w:val="center"/>
                </w:tcPr>
                <w:p w14:paraId="6FC820C2">
                  <w:pPr>
                    <w:pStyle w:val="40"/>
                    <w:keepNext w:val="0"/>
                    <w:keepLines w:val="0"/>
                    <w:suppressLineNumbers w:val="0"/>
                    <w:bidi w:val="0"/>
                    <w:spacing w:before="0" w:beforeAutospacing="0" w:after="0" w:afterAutospacing="0"/>
                    <w:rPr>
                      <w:rFonts w:hint="eastAsia"/>
                      <w:b/>
                      <w:bCs/>
                      <w:color w:val="0000FF"/>
                    </w:rPr>
                  </w:pPr>
                </w:p>
              </w:tc>
              <w:tc>
                <w:tcPr>
                  <w:tcW w:w="636" w:type="dxa"/>
                  <w:vMerge w:val="continue"/>
                  <w:shd w:val="clear" w:color="auto" w:fill="auto"/>
                  <w:vAlign w:val="center"/>
                </w:tcPr>
                <w:p w14:paraId="1106F623">
                  <w:pPr>
                    <w:pStyle w:val="40"/>
                    <w:keepNext w:val="0"/>
                    <w:keepLines w:val="0"/>
                    <w:suppressLineNumbers w:val="0"/>
                    <w:bidi w:val="0"/>
                    <w:spacing w:before="0" w:beforeAutospacing="0" w:after="0" w:afterAutospacing="0"/>
                    <w:rPr>
                      <w:rFonts w:hint="eastAsia"/>
                      <w:b/>
                      <w:bCs/>
                      <w:color w:val="0000FF"/>
                    </w:rPr>
                  </w:pPr>
                </w:p>
              </w:tc>
              <w:tc>
                <w:tcPr>
                  <w:tcW w:w="367" w:type="dxa"/>
                  <w:vMerge w:val="continue"/>
                  <w:shd w:val="clear" w:color="auto" w:fill="auto"/>
                  <w:vAlign w:val="center"/>
                </w:tcPr>
                <w:p w14:paraId="05E64965">
                  <w:pPr>
                    <w:pStyle w:val="40"/>
                    <w:keepNext w:val="0"/>
                    <w:keepLines w:val="0"/>
                    <w:suppressLineNumbers w:val="0"/>
                    <w:bidi w:val="0"/>
                    <w:spacing w:before="0" w:beforeAutospacing="0" w:after="0" w:afterAutospacing="0"/>
                    <w:rPr>
                      <w:rFonts w:hint="eastAsia"/>
                      <w:b/>
                      <w:bCs/>
                      <w:color w:val="0000FF"/>
                    </w:rPr>
                  </w:pPr>
                </w:p>
              </w:tc>
              <w:tc>
                <w:tcPr>
                  <w:tcW w:w="598" w:type="dxa"/>
                  <w:shd w:val="clear" w:color="auto" w:fill="auto"/>
                  <w:vAlign w:val="center"/>
                </w:tcPr>
                <w:p w14:paraId="3EA4A7F7">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产生浓度</w:t>
                  </w:r>
                  <w:r>
                    <w:rPr>
                      <w:rFonts w:hint="default"/>
                      <w:b/>
                      <w:bCs/>
                      <w:color w:val="0000FF"/>
                      <w:lang w:val="en-US" w:eastAsia="zh-CN"/>
                    </w:rPr>
                    <w:t>mg/m³</w:t>
                  </w:r>
                </w:p>
              </w:tc>
              <w:tc>
                <w:tcPr>
                  <w:tcW w:w="552" w:type="dxa"/>
                  <w:shd w:val="clear" w:color="auto" w:fill="auto"/>
                  <w:vAlign w:val="center"/>
                </w:tcPr>
                <w:p w14:paraId="657E4DC0">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产生速率</w:t>
                  </w:r>
                  <w:r>
                    <w:rPr>
                      <w:rFonts w:hint="default"/>
                      <w:b/>
                      <w:bCs/>
                      <w:color w:val="0000FF"/>
                      <w:lang w:val="en-US" w:eastAsia="zh-CN"/>
                    </w:rPr>
                    <w:t>kg/h</w:t>
                  </w:r>
                </w:p>
              </w:tc>
              <w:tc>
                <w:tcPr>
                  <w:tcW w:w="452" w:type="dxa"/>
                  <w:shd w:val="clear" w:color="auto" w:fill="auto"/>
                  <w:vAlign w:val="center"/>
                </w:tcPr>
                <w:p w14:paraId="1C5DF468">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产生量</w:t>
                  </w:r>
                  <w:r>
                    <w:rPr>
                      <w:rFonts w:hint="default"/>
                      <w:b/>
                      <w:bCs/>
                      <w:color w:val="0000FF"/>
                      <w:lang w:val="en-US" w:eastAsia="zh-CN"/>
                    </w:rPr>
                    <w:t>t/a</w:t>
                  </w:r>
                </w:p>
              </w:tc>
              <w:tc>
                <w:tcPr>
                  <w:tcW w:w="475" w:type="dxa"/>
                  <w:vMerge w:val="continue"/>
                  <w:shd w:val="clear" w:color="auto" w:fill="auto"/>
                  <w:vAlign w:val="center"/>
                </w:tcPr>
                <w:p w14:paraId="0A4DB8E6">
                  <w:pPr>
                    <w:pStyle w:val="40"/>
                    <w:keepNext w:val="0"/>
                    <w:keepLines w:val="0"/>
                    <w:suppressLineNumbers w:val="0"/>
                    <w:bidi w:val="0"/>
                    <w:spacing w:before="0" w:beforeAutospacing="0" w:after="0" w:afterAutospacing="0"/>
                    <w:rPr>
                      <w:rFonts w:hint="eastAsia"/>
                      <w:b/>
                      <w:bCs/>
                      <w:color w:val="0000FF"/>
                    </w:rPr>
                  </w:pPr>
                </w:p>
              </w:tc>
              <w:tc>
                <w:tcPr>
                  <w:tcW w:w="336" w:type="dxa"/>
                  <w:vMerge w:val="continue"/>
                  <w:shd w:val="clear" w:color="auto" w:fill="auto"/>
                  <w:vAlign w:val="center"/>
                </w:tcPr>
                <w:p w14:paraId="7B692404">
                  <w:pPr>
                    <w:pStyle w:val="40"/>
                    <w:keepNext w:val="0"/>
                    <w:keepLines w:val="0"/>
                    <w:suppressLineNumbers w:val="0"/>
                    <w:bidi w:val="0"/>
                    <w:spacing w:before="0" w:beforeAutospacing="0" w:after="0" w:afterAutospacing="0"/>
                    <w:rPr>
                      <w:rFonts w:hint="eastAsia"/>
                      <w:b/>
                      <w:bCs/>
                      <w:color w:val="0000FF"/>
                    </w:rPr>
                  </w:pPr>
                </w:p>
              </w:tc>
              <w:tc>
                <w:tcPr>
                  <w:tcW w:w="433" w:type="dxa"/>
                  <w:vMerge w:val="continue"/>
                  <w:shd w:val="clear" w:color="auto" w:fill="auto"/>
                  <w:vAlign w:val="center"/>
                </w:tcPr>
                <w:p w14:paraId="73A03421">
                  <w:pPr>
                    <w:pStyle w:val="40"/>
                    <w:keepNext w:val="0"/>
                    <w:keepLines w:val="0"/>
                    <w:suppressLineNumbers w:val="0"/>
                    <w:bidi w:val="0"/>
                    <w:spacing w:before="0" w:beforeAutospacing="0" w:after="0" w:afterAutospacing="0"/>
                    <w:rPr>
                      <w:rFonts w:hint="eastAsia"/>
                      <w:b/>
                      <w:bCs/>
                      <w:color w:val="0000FF"/>
                    </w:rPr>
                  </w:pPr>
                </w:p>
              </w:tc>
              <w:tc>
                <w:tcPr>
                  <w:tcW w:w="433" w:type="dxa"/>
                  <w:vMerge w:val="continue"/>
                  <w:shd w:val="clear" w:color="auto" w:fill="auto"/>
                  <w:vAlign w:val="center"/>
                </w:tcPr>
                <w:p w14:paraId="29F43BA7">
                  <w:pPr>
                    <w:pStyle w:val="40"/>
                    <w:keepNext w:val="0"/>
                    <w:keepLines w:val="0"/>
                    <w:suppressLineNumbers w:val="0"/>
                    <w:bidi w:val="0"/>
                    <w:spacing w:before="0" w:beforeAutospacing="0" w:after="0" w:afterAutospacing="0"/>
                    <w:rPr>
                      <w:rFonts w:hint="eastAsia"/>
                      <w:b/>
                      <w:bCs/>
                      <w:color w:val="0000FF"/>
                    </w:rPr>
                  </w:pPr>
                </w:p>
              </w:tc>
              <w:tc>
                <w:tcPr>
                  <w:tcW w:w="428" w:type="dxa"/>
                  <w:vMerge w:val="continue"/>
                  <w:shd w:val="clear" w:color="auto" w:fill="auto"/>
                  <w:vAlign w:val="center"/>
                </w:tcPr>
                <w:p w14:paraId="58A35ECC">
                  <w:pPr>
                    <w:pStyle w:val="40"/>
                    <w:keepNext w:val="0"/>
                    <w:keepLines w:val="0"/>
                    <w:suppressLineNumbers w:val="0"/>
                    <w:bidi w:val="0"/>
                    <w:spacing w:before="0" w:beforeAutospacing="0" w:after="0" w:afterAutospacing="0"/>
                    <w:rPr>
                      <w:rFonts w:hint="eastAsia"/>
                      <w:b/>
                      <w:bCs/>
                      <w:color w:val="0000FF"/>
                    </w:rPr>
                  </w:pPr>
                </w:p>
              </w:tc>
              <w:tc>
                <w:tcPr>
                  <w:tcW w:w="429" w:type="dxa"/>
                  <w:vMerge w:val="continue"/>
                  <w:shd w:val="clear" w:color="auto" w:fill="auto"/>
                  <w:vAlign w:val="center"/>
                </w:tcPr>
                <w:p w14:paraId="3BCEA0E5">
                  <w:pPr>
                    <w:pStyle w:val="40"/>
                    <w:keepNext w:val="0"/>
                    <w:keepLines w:val="0"/>
                    <w:suppressLineNumbers w:val="0"/>
                    <w:bidi w:val="0"/>
                    <w:spacing w:before="0" w:beforeAutospacing="0" w:after="0" w:afterAutospacing="0"/>
                    <w:rPr>
                      <w:rFonts w:hint="eastAsia"/>
                      <w:b/>
                      <w:bCs/>
                      <w:color w:val="0000FF"/>
                    </w:rPr>
                  </w:pPr>
                </w:p>
              </w:tc>
              <w:tc>
                <w:tcPr>
                  <w:tcW w:w="336" w:type="dxa"/>
                  <w:shd w:val="clear" w:color="auto" w:fill="auto"/>
                  <w:vAlign w:val="center"/>
                </w:tcPr>
                <w:p w14:paraId="607B2AA5">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污染物</w:t>
                  </w:r>
                </w:p>
              </w:tc>
              <w:tc>
                <w:tcPr>
                  <w:tcW w:w="452" w:type="dxa"/>
                  <w:shd w:val="clear" w:color="auto" w:fill="auto"/>
                  <w:vAlign w:val="center"/>
                </w:tcPr>
                <w:p w14:paraId="45A1C5BF">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排放量</w:t>
                  </w:r>
                  <w:r>
                    <w:rPr>
                      <w:rFonts w:hint="default"/>
                      <w:b/>
                      <w:bCs/>
                      <w:color w:val="0000FF"/>
                      <w:lang w:val="en-US" w:eastAsia="zh-CN"/>
                    </w:rPr>
                    <w:t>t/a</w:t>
                  </w:r>
                </w:p>
              </w:tc>
              <w:tc>
                <w:tcPr>
                  <w:tcW w:w="507" w:type="dxa"/>
                  <w:shd w:val="clear" w:color="auto" w:fill="auto"/>
                  <w:vAlign w:val="center"/>
                </w:tcPr>
                <w:p w14:paraId="5458D1CB">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排放速率</w:t>
                  </w:r>
                  <w:r>
                    <w:rPr>
                      <w:rFonts w:hint="default"/>
                      <w:b/>
                      <w:bCs/>
                      <w:color w:val="0000FF"/>
                      <w:lang w:val="en-US" w:eastAsia="zh-CN"/>
                    </w:rPr>
                    <w:t>kg/h</w:t>
                  </w:r>
                </w:p>
              </w:tc>
              <w:tc>
                <w:tcPr>
                  <w:tcW w:w="571" w:type="dxa"/>
                  <w:shd w:val="clear" w:color="auto" w:fill="auto"/>
                  <w:vAlign w:val="center"/>
                </w:tcPr>
                <w:p w14:paraId="561C4B25">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排放浓度</w:t>
                  </w:r>
                  <w:r>
                    <w:rPr>
                      <w:rFonts w:hint="default"/>
                      <w:b/>
                      <w:bCs/>
                      <w:color w:val="0000FF"/>
                      <w:lang w:val="en-US" w:eastAsia="zh-CN"/>
                    </w:rPr>
                    <w:t>mg/m³</w:t>
                  </w:r>
                </w:p>
              </w:tc>
              <w:tc>
                <w:tcPr>
                  <w:tcW w:w="513" w:type="dxa"/>
                  <w:vMerge w:val="continue"/>
                  <w:shd w:val="clear" w:color="auto" w:fill="auto"/>
                  <w:vAlign w:val="center"/>
                </w:tcPr>
                <w:p w14:paraId="03F8B7A8">
                  <w:pPr>
                    <w:pStyle w:val="40"/>
                    <w:keepNext w:val="0"/>
                    <w:keepLines w:val="0"/>
                    <w:suppressLineNumbers w:val="0"/>
                    <w:bidi w:val="0"/>
                    <w:spacing w:before="0" w:beforeAutospacing="0" w:after="0" w:afterAutospacing="0"/>
                    <w:rPr>
                      <w:rFonts w:hint="eastAsia"/>
                      <w:color w:val="0000FF"/>
                    </w:rPr>
                  </w:pPr>
                </w:p>
              </w:tc>
            </w:tr>
            <w:tr w14:paraId="4888E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35" w:type="dxa"/>
                  <w:vMerge w:val="restart"/>
                  <w:shd w:val="clear" w:color="auto" w:fill="auto"/>
                  <w:vAlign w:val="center"/>
                </w:tcPr>
                <w:p w14:paraId="7A09AF6E">
                  <w:pPr>
                    <w:pStyle w:val="40"/>
                    <w:keepNext w:val="0"/>
                    <w:keepLines w:val="0"/>
                    <w:suppressLineNumbers w:val="0"/>
                    <w:bidi w:val="0"/>
                    <w:spacing w:before="0" w:beforeAutospacing="0" w:after="0" w:afterAutospacing="0"/>
                    <w:rPr>
                      <w:rFonts w:hint="eastAsia"/>
                      <w:color w:val="0000FF"/>
                    </w:rPr>
                  </w:pPr>
                  <w:r>
                    <w:rPr>
                      <w:rFonts w:hint="eastAsia"/>
                      <w:color w:val="0000FF"/>
                      <w:lang w:val="en-US" w:eastAsia="zh-CN"/>
                    </w:rPr>
                    <w:t>有组织</w:t>
                  </w:r>
                </w:p>
              </w:tc>
              <w:tc>
                <w:tcPr>
                  <w:tcW w:w="285" w:type="dxa"/>
                  <w:vMerge w:val="restart"/>
                  <w:shd w:val="clear" w:color="auto" w:fill="auto"/>
                  <w:vAlign w:val="center"/>
                </w:tcPr>
                <w:p w14:paraId="04A44B57">
                  <w:pPr>
                    <w:pStyle w:val="40"/>
                    <w:keepNext w:val="0"/>
                    <w:keepLines w:val="0"/>
                    <w:suppressLineNumbers w:val="0"/>
                    <w:bidi w:val="0"/>
                    <w:spacing w:before="0" w:beforeAutospacing="0" w:after="0" w:afterAutospacing="0"/>
                    <w:rPr>
                      <w:rFonts w:hint="default"/>
                      <w:color w:val="0000FF"/>
                    </w:rPr>
                  </w:pPr>
                  <w:r>
                    <w:rPr>
                      <w:rFonts w:hint="default"/>
                      <w:color w:val="0000FF"/>
                      <w:lang w:val="en-US" w:eastAsia="zh-CN"/>
                    </w:rPr>
                    <w:t>DA001</w:t>
                  </w:r>
                </w:p>
              </w:tc>
              <w:tc>
                <w:tcPr>
                  <w:tcW w:w="636" w:type="dxa"/>
                  <w:vMerge w:val="restart"/>
                  <w:shd w:val="clear" w:color="auto" w:fill="auto"/>
                  <w:vAlign w:val="center"/>
                </w:tcPr>
                <w:p w14:paraId="4D212EA9">
                  <w:pPr>
                    <w:pStyle w:val="40"/>
                    <w:keepNext w:val="0"/>
                    <w:keepLines w:val="0"/>
                    <w:suppressLineNumbers w:val="0"/>
                    <w:bidi w:val="0"/>
                    <w:spacing w:before="0" w:beforeAutospacing="0" w:after="0" w:afterAutospacing="0"/>
                    <w:rPr>
                      <w:rFonts w:hint="default"/>
                      <w:color w:val="0000FF"/>
                      <w:lang w:val="en-US"/>
                    </w:rPr>
                  </w:pPr>
                  <w:r>
                    <w:rPr>
                      <w:rFonts w:hint="eastAsia"/>
                      <w:color w:val="0000FF"/>
                      <w:lang w:val="en-US" w:eastAsia="zh-CN"/>
                    </w:rPr>
                    <w:t>电动自行车拆解</w:t>
                  </w:r>
                </w:p>
              </w:tc>
              <w:tc>
                <w:tcPr>
                  <w:tcW w:w="636" w:type="dxa"/>
                  <w:shd w:val="clear" w:color="auto" w:fill="auto"/>
                  <w:vAlign w:val="center"/>
                </w:tcPr>
                <w:p w14:paraId="4BCC1FBC">
                  <w:pPr>
                    <w:pStyle w:val="40"/>
                    <w:keepNext w:val="0"/>
                    <w:keepLines w:val="0"/>
                    <w:suppressLineNumbers w:val="0"/>
                    <w:bidi w:val="0"/>
                    <w:spacing w:before="0" w:beforeAutospacing="0" w:after="0" w:afterAutospacing="0"/>
                    <w:rPr>
                      <w:rFonts w:hint="default" w:eastAsia="宋体"/>
                      <w:color w:val="0000FF"/>
                      <w:lang w:val="en-US" w:eastAsia="zh-CN"/>
                    </w:rPr>
                  </w:pPr>
                  <w:r>
                    <w:rPr>
                      <w:rFonts w:hint="eastAsia"/>
                      <w:color w:val="0000FF"/>
                      <w:lang w:val="en-US" w:eastAsia="zh-CN"/>
                    </w:rPr>
                    <w:t>角磨切割</w:t>
                  </w:r>
                </w:p>
              </w:tc>
              <w:tc>
                <w:tcPr>
                  <w:tcW w:w="367" w:type="dxa"/>
                  <w:vMerge w:val="restart"/>
                  <w:shd w:val="clear" w:color="auto" w:fill="auto"/>
                  <w:vAlign w:val="center"/>
                </w:tcPr>
                <w:p w14:paraId="0CA5329F">
                  <w:pPr>
                    <w:pStyle w:val="40"/>
                    <w:keepNext w:val="0"/>
                    <w:keepLines w:val="0"/>
                    <w:suppressLineNumbers w:val="0"/>
                    <w:bidi w:val="0"/>
                    <w:spacing w:before="0" w:beforeAutospacing="0" w:after="0" w:afterAutospacing="0"/>
                    <w:rPr>
                      <w:rFonts w:hint="eastAsia"/>
                      <w:color w:val="0000FF"/>
                    </w:rPr>
                  </w:pPr>
                  <w:r>
                    <w:rPr>
                      <w:rFonts w:hint="eastAsia"/>
                      <w:color w:val="0000FF"/>
                      <w:lang w:val="en-US" w:eastAsia="zh-CN"/>
                    </w:rPr>
                    <w:t>颗粒物</w:t>
                  </w:r>
                </w:p>
              </w:tc>
              <w:tc>
                <w:tcPr>
                  <w:tcW w:w="598" w:type="dxa"/>
                  <w:shd w:val="clear" w:color="auto" w:fill="auto"/>
                  <w:vAlign w:val="center"/>
                </w:tcPr>
                <w:p w14:paraId="6E212D87">
                  <w:pPr>
                    <w:pStyle w:val="40"/>
                    <w:keepNext w:val="0"/>
                    <w:keepLines w:val="0"/>
                    <w:suppressLineNumbers w:val="0"/>
                    <w:bidi w:val="0"/>
                    <w:spacing w:before="0" w:beforeAutospacing="0" w:after="0" w:afterAutospacing="0"/>
                    <w:rPr>
                      <w:rFonts w:hint="default" w:eastAsia="宋体"/>
                      <w:color w:val="0000FF"/>
                      <w:lang w:val="en-US" w:eastAsia="zh-CN"/>
                    </w:rPr>
                  </w:pPr>
                  <w:r>
                    <w:rPr>
                      <w:rFonts w:hint="eastAsia"/>
                      <w:color w:val="0000FF"/>
                      <w:lang w:val="en-US" w:eastAsia="zh-CN"/>
                    </w:rPr>
                    <w:t>0.67</w:t>
                  </w:r>
                </w:p>
              </w:tc>
              <w:tc>
                <w:tcPr>
                  <w:tcW w:w="552" w:type="dxa"/>
                  <w:shd w:val="clear" w:color="auto" w:fill="auto"/>
                  <w:vAlign w:val="center"/>
                </w:tcPr>
                <w:p w14:paraId="3DB89A74">
                  <w:pPr>
                    <w:pStyle w:val="40"/>
                    <w:keepNext w:val="0"/>
                    <w:keepLines w:val="0"/>
                    <w:suppressLineNumbers w:val="0"/>
                    <w:bidi w:val="0"/>
                    <w:spacing w:before="0" w:beforeAutospacing="0" w:after="0" w:afterAutospacing="0"/>
                    <w:rPr>
                      <w:rFonts w:hint="default" w:eastAsia="宋体"/>
                      <w:color w:val="0000FF"/>
                      <w:lang w:val="en-US" w:eastAsia="zh-CN"/>
                    </w:rPr>
                  </w:pPr>
                  <w:r>
                    <w:rPr>
                      <w:rFonts w:hint="eastAsia"/>
                      <w:color w:val="0000FF"/>
                      <w:lang w:val="en-US" w:eastAsia="zh-CN"/>
                    </w:rPr>
                    <w:t>0.014</w:t>
                  </w:r>
                </w:p>
              </w:tc>
              <w:tc>
                <w:tcPr>
                  <w:tcW w:w="452" w:type="dxa"/>
                  <w:shd w:val="clear" w:color="auto" w:fill="auto"/>
                  <w:vAlign w:val="center"/>
                </w:tcPr>
                <w:p w14:paraId="798A1DA5">
                  <w:pPr>
                    <w:pStyle w:val="40"/>
                    <w:keepNext w:val="0"/>
                    <w:keepLines w:val="0"/>
                    <w:suppressLineNumbers w:val="0"/>
                    <w:bidi w:val="0"/>
                    <w:spacing w:before="0" w:beforeAutospacing="0" w:after="0" w:afterAutospacing="0"/>
                    <w:rPr>
                      <w:rFonts w:hint="default" w:eastAsia="宋体"/>
                      <w:color w:val="0000FF"/>
                      <w:lang w:val="en-US" w:eastAsia="zh-CN"/>
                    </w:rPr>
                  </w:pPr>
                  <w:r>
                    <w:rPr>
                      <w:rFonts w:hint="eastAsia"/>
                      <w:color w:val="0000FF"/>
                      <w:lang w:val="en-US" w:eastAsia="zh-CN"/>
                    </w:rPr>
                    <w:t>0.005</w:t>
                  </w:r>
                </w:p>
              </w:tc>
              <w:tc>
                <w:tcPr>
                  <w:tcW w:w="475" w:type="dxa"/>
                  <w:vMerge w:val="restart"/>
                  <w:shd w:val="clear" w:color="auto" w:fill="auto"/>
                  <w:vAlign w:val="center"/>
                </w:tcPr>
                <w:p w14:paraId="69B0EA83">
                  <w:pPr>
                    <w:pStyle w:val="40"/>
                    <w:keepNext w:val="0"/>
                    <w:keepLines w:val="0"/>
                    <w:suppressLineNumbers w:val="0"/>
                    <w:bidi w:val="0"/>
                    <w:spacing w:before="0" w:beforeAutospacing="0" w:after="0" w:afterAutospacing="0"/>
                    <w:rPr>
                      <w:rFonts w:hint="default"/>
                      <w:color w:val="0000FF"/>
                      <w:lang w:val="en-US"/>
                    </w:rPr>
                  </w:pPr>
                  <w:r>
                    <w:rPr>
                      <w:rFonts w:hint="eastAsia"/>
                      <w:color w:val="0000FF"/>
                      <w:lang w:val="en-US" w:eastAsia="zh-CN"/>
                    </w:rPr>
                    <w:t>21000</w:t>
                  </w:r>
                </w:p>
              </w:tc>
              <w:tc>
                <w:tcPr>
                  <w:tcW w:w="336" w:type="dxa"/>
                  <w:vMerge w:val="restart"/>
                  <w:shd w:val="clear" w:color="auto" w:fill="auto"/>
                  <w:vAlign w:val="center"/>
                </w:tcPr>
                <w:p w14:paraId="2F01BB1B">
                  <w:pPr>
                    <w:pStyle w:val="40"/>
                    <w:keepNext w:val="0"/>
                    <w:keepLines w:val="0"/>
                    <w:suppressLineNumbers w:val="0"/>
                    <w:bidi w:val="0"/>
                    <w:spacing w:before="0" w:beforeAutospacing="0" w:after="0" w:afterAutospacing="0"/>
                    <w:rPr>
                      <w:rFonts w:hint="eastAsia"/>
                      <w:color w:val="0000FF"/>
                    </w:rPr>
                  </w:pPr>
                  <w:r>
                    <w:rPr>
                      <w:rFonts w:hint="eastAsia"/>
                      <w:color w:val="0000FF"/>
                      <w:lang w:val="en-US" w:eastAsia="zh-CN"/>
                    </w:rPr>
                    <w:t>袋式除尘器</w:t>
                  </w:r>
                </w:p>
              </w:tc>
              <w:tc>
                <w:tcPr>
                  <w:tcW w:w="433" w:type="dxa"/>
                  <w:vMerge w:val="restart"/>
                  <w:shd w:val="clear" w:color="auto" w:fill="auto"/>
                  <w:vAlign w:val="center"/>
                </w:tcPr>
                <w:p w14:paraId="30B39CAA">
                  <w:pPr>
                    <w:pStyle w:val="40"/>
                    <w:keepNext w:val="0"/>
                    <w:keepLines w:val="0"/>
                    <w:suppressLineNumbers w:val="0"/>
                    <w:bidi w:val="0"/>
                    <w:spacing w:before="0" w:beforeAutospacing="0" w:after="0" w:afterAutospacing="0"/>
                    <w:rPr>
                      <w:rFonts w:hint="default"/>
                      <w:color w:val="0000FF"/>
                    </w:rPr>
                  </w:pPr>
                  <w:r>
                    <w:rPr>
                      <w:rFonts w:hint="default"/>
                      <w:color w:val="0000FF"/>
                      <w:lang w:val="en-US" w:eastAsia="zh-CN"/>
                    </w:rPr>
                    <w:t>85</w:t>
                  </w:r>
                </w:p>
              </w:tc>
              <w:tc>
                <w:tcPr>
                  <w:tcW w:w="433" w:type="dxa"/>
                  <w:vMerge w:val="restart"/>
                  <w:shd w:val="clear" w:color="auto" w:fill="auto"/>
                  <w:vAlign w:val="center"/>
                </w:tcPr>
                <w:p w14:paraId="5D35E046">
                  <w:pPr>
                    <w:pStyle w:val="40"/>
                    <w:keepNext w:val="0"/>
                    <w:keepLines w:val="0"/>
                    <w:suppressLineNumbers w:val="0"/>
                    <w:bidi w:val="0"/>
                    <w:spacing w:before="0" w:beforeAutospacing="0" w:after="0" w:afterAutospacing="0"/>
                    <w:rPr>
                      <w:rFonts w:hint="default"/>
                      <w:color w:val="0000FF"/>
                    </w:rPr>
                  </w:pPr>
                  <w:r>
                    <w:rPr>
                      <w:rFonts w:hint="default"/>
                      <w:color w:val="0000FF"/>
                      <w:lang w:val="en-US" w:eastAsia="zh-CN"/>
                    </w:rPr>
                    <w:t>9</w:t>
                  </w:r>
                  <w:r>
                    <w:rPr>
                      <w:rFonts w:hint="eastAsia"/>
                      <w:color w:val="0000FF"/>
                      <w:lang w:val="en-US" w:eastAsia="zh-CN"/>
                    </w:rPr>
                    <w:t>5</w:t>
                  </w:r>
                </w:p>
              </w:tc>
              <w:tc>
                <w:tcPr>
                  <w:tcW w:w="428" w:type="dxa"/>
                  <w:shd w:val="clear" w:color="auto" w:fill="auto"/>
                  <w:vAlign w:val="center"/>
                </w:tcPr>
                <w:p w14:paraId="68E5B915">
                  <w:pPr>
                    <w:pStyle w:val="40"/>
                    <w:keepNext w:val="0"/>
                    <w:keepLines w:val="0"/>
                    <w:suppressLineNumbers w:val="0"/>
                    <w:bidi w:val="0"/>
                    <w:spacing w:before="0" w:beforeAutospacing="0" w:after="0" w:afterAutospacing="0"/>
                    <w:rPr>
                      <w:rFonts w:hint="default"/>
                      <w:color w:val="0000FF"/>
                      <w:lang w:val="en-US"/>
                    </w:rPr>
                  </w:pPr>
                  <w:r>
                    <w:rPr>
                      <w:rFonts w:hint="eastAsia"/>
                      <w:color w:val="0000FF"/>
                      <w:lang w:val="en-US" w:eastAsia="zh-CN"/>
                    </w:rPr>
                    <w:t>350</w:t>
                  </w:r>
                </w:p>
              </w:tc>
              <w:tc>
                <w:tcPr>
                  <w:tcW w:w="429" w:type="dxa"/>
                  <w:vMerge w:val="restart"/>
                  <w:shd w:val="clear" w:color="auto" w:fill="auto"/>
                  <w:vAlign w:val="center"/>
                </w:tcPr>
                <w:p w14:paraId="241D57B2">
                  <w:pPr>
                    <w:pStyle w:val="40"/>
                    <w:keepNext w:val="0"/>
                    <w:keepLines w:val="0"/>
                    <w:suppressLineNumbers w:val="0"/>
                    <w:bidi w:val="0"/>
                    <w:spacing w:before="0" w:beforeAutospacing="0" w:after="0" w:afterAutospacing="0"/>
                    <w:rPr>
                      <w:rFonts w:hint="eastAsia"/>
                      <w:color w:val="0000FF"/>
                    </w:rPr>
                  </w:pPr>
                  <w:r>
                    <w:rPr>
                      <w:rFonts w:hint="eastAsia"/>
                      <w:color w:val="0000FF"/>
                      <w:lang w:val="en-US" w:eastAsia="zh-CN"/>
                    </w:rPr>
                    <w:t>是</w:t>
                  </w:r>
                </w:p>
              </w:tc>
              <w:tc>
                <w:tcPr>
                  <w:tcW w:w="336" w:type="dxa"/>
                  <w:vMerge w:val="restart"/>
                  <w:shd w:val="clear" w:color="auto" w:fill="auto"/>
                  <w:vAlign w:val="center"/>
                </w:tcPr>
                <w:p w14:paraId="07C31393">
                  <w:pPr>
                    <w:pStyle w:val="40"/>
                    <w:keepNext w:val="0"/>
                    <w:keepLines w:val="0"/>
                    <w:suppressLineNumbers w:val="0"/>
                    <w:bidi w:val="0"/>
                    <w:spacing w:before="0" w:beforeAutospacing="0" w:after="0" w:afterAutospacing="0"/>
                    <w:rPr>
                      <w:rFonts w:hint="eastAsia"/>
                      <w:color w:val="0000FF"/>
                    </w:rPr>
                  </w:pPr>
                  <w:r>
                    <w:rPr>
                      <w:rFonts w:hint="eastAsia"/>
                      <w:color w:val="0000FF"/>
                      <w:lang w:val="en-US" w:eastAsia="zh-CN"/>
                    </w:rPr>
                    <w:t>颗粒物</w:t>
                  </w:r>
                </w:p>
              </w:tc>
              <w:tc>
                <w:tcPr>
                  <w:tcW w:w="452" w:type="dxa"/>
                  <w:vMerge w:val="restart"/>
                  <w:shd w:val="clear" w:color="auto" w:fill="auto"/>
                  <w:vAlign w:val="center"/>
                </w:tcPr>
                <w:p w14:paraId="5402D44B">
                  <w:pPr>
                    <w:pStyle w:val="40"/>
                    <w:keepNext w:val="0"/>
                    <w:keepLines w:val="0"/>
                    <w:suppressLineNumbers w:val="0"/>
                    <w:bidi w:val="0"/>
                    <w:spacing w:before="0" w:beforeAutospacing="0" w:after="0" w:afterAutospacing="0"/>
                    <w:rPr>
                      <w:rFonts w:hint="default"/>
                      <w:color w:val="0000FF"/>
                      <w:lang w:val="en-US"/>
                    </w:rPr>
                  </w:pPr>
                  <w:r>
                    <w:rPr>
                      <w:rFonts w:hint="default"/>
                      <w:color w:val="0000FF"/>
                      <w:lang w:val="en-US" w:eastAsia="zh-CN"/>
                    </w:rPr>
                    <w:t>0.</w:t>
                  </w:r>
                  <w:r>
                    <w:rPr>
                      <w:rFonts w:hint="eastAsia"/>
                      <w:color w:val="0000FF"/>
                      <w:lang w:val="en-US" w:eastAsia="zh-CN"/>
                    </w:rPr>
                    <w:t>003</w:t>
                  </w:r>
                </w:p>
              </w:tc>
              <w:tc>
                <w:tcPr>
                  <w:tcW w:w="507" w:type="dxa"/>
                  <w:vMerge w:val="restart"/>
                  <w:shd w:val="clear" w:color="auto" w:fill="auto"/>
                  <w:vAlign w:val="center"/>
                </w:tcPr>
                <w:p w14:paraId="44FFCBD6">
                  <w:pPr>
                    <w:pStyle w:val="40"/>
                    <w:keepNext w:val="0"/>
                    <w:keepLines w:val="0"/>
                    <w:suppressLineNumbers w:val="0"/>
                    <w:bidi w:val="0"/>
                    <w:spacing w:before="0" w:beforeAutospacing="0" w:after="0" w:afterAutospacing="0"/>
                    <w:rPr>
                      <w:rFonts w:hint="default"/>
                      <w:color w:val="0000FF"/>
                      <w:lang w:val="en-US"/>
                    </w:rPr>
                  </w:pPr>
                  <w:r>
                    <w:rPr>
                      <w:rFonts w:hint="default"/>
                      <w:color w:val="0000FF"/>
                      <w:lang w:val="en-US" w:eastAsia="zh-CN"/>
                    </w:rPr>
                    <w:t>0.</w:t>
                  </w:r>
                  <w:r>
                    <w:rPr>
                      <w:rFonts w:hint="eastAsia"/>
                      <w:color w:val="0000FF"/>
                      <w:lang w:val="en-US" w:eastAsia="zh-CN"/>
                    </w:rPr>
                    <w:t>008</w:t>
                  </w:r>
                </w:p>
              </w:tc>
              <w:tc>
                <w:tcPr>
                  <w:tcW w:w="571" w:type="dxa"/>
                  <w:vMerge w:val="restart"/>
                  <w:shd w:val="clear" w:color="auto" w:fill="auto"/>
                  <w:vAlign w:val="center"/>
                </w:tcPr>
                <w:p w14:paraId="6B9A522A">
                  <w:pPr>
                    <w:pStyle w:val="40"/>
                    <w:keepNext w:val="0"/>
                    <w:keepLines w:val="0"/>
                    <w:suppressLineNumbers w:val="0"/>
                    <w:bidi w:val="0"/>
                    <w:spacing w:before="0" w:beforeAutospacing="0" w:after="0" w:afterAutospacing="0"/>
                    <w:rPr>
                      <w:rFonts w:hint="default"/>
                      <w:color w:val="0000FF"/>
                      <w:lang w:val="en-US"/>
                    </w:rPr>
                  </w:pPr>
                  <w:r>
                    <w:rPr>
                      <w:rFonts w:hint="eastAsia"/>
                      <w:color w:val="0000FF"/>
                      <w:lang w:val="en-US" w:eastAsia="zh-CN"/>
                    </w:rPr>
                    <w:t>0.38</w:t>
                  </w:r>
                </w:p>
              </w:tc>
              <w:tc>
                <w:tcPr>
                  <w:tcW w:w="513" w:type="dxa"/>
                  <w:vMerge w:val="restart"/>
                  <w:shd w:val="clear" w:color="auto" w:fill="auto"/>
                  <w:noWrap/>
                  <w:vAlign w:val="center"/>
                </w:tcPr>
                <w:p w14:paraId="7E79DC07">
                  <w:pPr>
                    <w:pStyle w:val="40"/>
                    <w:keepNext w:val="0"/>
                    <w:keepLines w:val="0"/>
                    <w:suppressLineNumbers w:val="0"/>
                    <w:bidi w:val="0"/>
                    <w:spacing w:before="0" w:beforeAutospacing="0" w:after="0" w:afterAutospacing="0"/>
                    <w:rPr>
                      <w:rFonts w:hint="default"/>
                      <w:color w:val="0000FF"/>
                      <w:lang w:val="en-US"/>
                    </w:rPr>
                  </w:pPr>
                  <w:r>
                    <w:rPr>
                      <w:rFonts w:hint="eastAsia"/>
                      <w:color w:val="0000FF"/>
                      <w:lang w:val="en-US" w:eastAsia="zh-CN"/>
                    </w:rPr>
                    <w:t>120</w:t>
                  </w:r>
                </w:p>
              </w:tc>
            </w:tr>
            <w:tr w14:paraId="2DD95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35" w:type="dxa"/>
                  <w:vMerge w:val="continue"/>
                  <w:shd w:val="clear" w:color="auto" w:fill="auto"/>
                  <w:vAlign w:val="center"/>
                </w:tcPr>
                <w:p w14:paraId="3394131E">
                  <w:pPr>
                    <w:pStyle w:val="40"/>
                    <w:keepNext w:val="0"/>
                    <w:keepLines w:val="0"/>
                    <w:suppressLineNumbers w:val="0"/>
                    <w:bidi w:val="0"/>
                    <w:spacing w:before="0" w:beforeAutospacing="0" w:after="0" w:afterAutospacing="0"/>
                    <w:rPr>
                      <w:rFonts w:hint="eastAsia"/>
                      <w:color w:val="0000FF"/>
                      <w:lang w:val="en-US" w:eastAsia="zh-CN"/>
                    </w:rPr>
                  </w:pPr>
                </w:p>
              </w:tc>
              <w:tc>
                <w:tcPr>
                  <w:tcW w:w="285" w:type="dxa"/>
                  <w:vMerge w:val="continue"/>
                  <w:shd w:val="clear" w:color="auto" w:fill="auto"/>
                  <w:vAlign w:val="center"/>
                </w:tcPr>
                <w:p w14:paraId="3E7B2782">
                  <w:pPr>
                    <w:pStyle w:val="40"/>
                    <w:keepNext w:val="0"/>
                    <w:keepLines w:val="0"/>
                    <w:suppressLineNumbers w:val="0"/>
                    <w:bidi w:val="0"/>
                    <w:spacing w:before="0" w:beforeAutospacing="0" w:after="0" w:afterAutospacing="0"/>
                    <w:rPr>
                      <w:rFonts w:hint="default"/>
                      <w:color w:val="0000FF"/>
                      <w:lang w:val="en-US" w:eastAsia="zh-CN"/>
                    </w:rPr>
                  </w:pPr>
                </w:p>
              </w:tc>
              <w:tc>
                <w:tcPr>
                  <w:tcW w:w="636" w:type="dxa"/>
                  <w:vMerge w:val="continue"/>
                  <w:shd w:val="clear" w:color="auto" w:fill="auto"/>
                  <w:vAlign w:val="center"/>
                </w:tcPr>
                <w:p w14:paraId="548786C5">
                  <w:pPr>
                    <w:pStyle w:val="40"/>
                    <w:keepNext w:val="0"/>
                    <w:keepLines w:val="0"/>
                    <w:suppressLineNumbers w:val="0"/>
                    <w:bidi w:val="0"/>
                    <w:spacing w:before="0" w:beforeAutospacing="0" w:after="0" w:afterAutospacing="0"/>
                    <w:rPr>
                      <w:rFonts w:hint="eastAsia"/>
                      <w:color w:val="0000FF"/>
                      <w:lang w:val="en-US" w:eastAsia="zh-CN"/>
                    </w:rPr>
                  </w:pPr>
                </w:p>
              </w:tc>
              <w:tc>
                <w:tcPr>
                  <w:tcW w:w="636" w:type="dxa"/>
                  <w:shd w:val="clear" w:color="auto" w:fill="auto"/>
                  <w:vAlign w:val="center"/>
                </w:tcPr>
                <w:p w14:paraId="131748DA">
                  <w:pPr>
                    <w:pStyle w:val="40"/>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剪切</w:t>
                  </w:r>
                </w:p>
              </w:tc>
              <w:tc>
                <w:tcPr>
                  <w:tcW w:w="367" w:type="dxa"/>
                  <w:vMerge w:val="continue"/>
                  <w:shd w:val="clear" w:color="auto" w:fill="auto"/>
                  <w:vAlign w:val="center"/>
                </w:tcPr>
                <w:p w14:paraId="2837E1EF">
                  <w:pPr>
                    <w:pStyle w:val="40"/>
                    <w:keepNext w:val="0"/>
                    <w:keepLines w:val="0"/>
                    <w:suppressLineNumbers w:val="0"/>
                    <w:bidi w:val="0"/>
                    <w:spacing w:before="0" w:beforeAutospacing="0" w:after="0" w:afterAutospacing="0"/>
                    <w:rPr>
                      <w:rFonts w:hint="eastAsia"/>
                      <w:color w:val="0000FF"/>
                      <w:lang w:val="en-US" w:eastAsia="zh-CN"/>
                    </w:rPr>
                  </w:pPr>
                </w:p>
              </w:tc>
              <w:tc>
                <w:tcPr>
                  <w:tcW w:w="598" w:type="dxa"/>
                  <w:shd w:val="clear" w:color="auto" w:fill="auto"/>
                  <w:vAlign w:val="center"/>
                </w:tcPr>
                <w:p w14:paraId="16342F4E">
                  <w:pPr>
                    <w:pStyle w:val="40"/>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2.57</w:t>
                  </w:r>
                </w:p>
              </w:tc>
              <w:tc>
                <w:tcPr>
                  <w:tcW w:w="552" w:type="dxa"/>
                  <w:shd w:val="clear" w:color="auto" w:fill="auto"/>
                  <w:vAlign w:val="center"/>
                </w:tcPr>
                <w:p w14:paraId="7B5CBFD9">
                  <w:pPr>
                    <w:pStyle w:val="40"/>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0.054</w:t>
                  </w:r>
                </w:p>
              </w:tc>
              <w:tc>
                <w:tcPr>
                  <w:tcW w:w="452" w:type="dxa"/>
                  <w:shd w:val="clear" w:color="auto" w:fill="auto"/>
                  <w:vAlign w:val="center"/>
                </w:tcPr>
                <w:p w14:paraId="132D3339">
                  <w:pPr>
                    <w:pStyle w:val="40"/>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0.019</w:t>
                  </w:r>
                </w:p>
              </w:tc>
              <w:tc>
                <w:tcPr>
                  <w:tcW w:w="475" w:type="dxa"/>
                  <w:vMerge w:val="continue"/>
                  <w:shd w:val="clear" w:color="auto" w:fill="auto"/>
                  <w:vAlign w:val="center"/>
                </w:tcPr>
                <w:p w14:paraId="5EB9540B">
                  <w:pPr>
                    <w:pStyle w:val="40"/>
                    <w:keepNext w:val="0"/>
                    <w:keepLines w:val="0"/>
                    <w:suppressLineNumbers w:val="0"/>
                    <w:bidi w:val="0"/>
                    <w:spacing w:before="0" w:beforeAutospacing="0" w:after="0" w:afterAutospacing="0"/>
                    <w:rPr>
                      <w:rFonts w:hint="default"/>
                      <w:color w:val="0000FF"/>
                      <w:lang w:val="en-US" w:eastAsia="zh-CN"/>
                    </w:rPr>
                  </w:pPr>
                </w:p>
              </w:tc>
              <w:tc>
                <w:tcPr>
                  <w:tcW w:w="336" w:type="dxa"/>
                  <w:vMerge w:val="continue"/>
                  <w:shd w:val="clear" w:color="auto" w:fill="auto"/>
                  <w:vAlign w:val="center"/>
                </w:tcPr>
                <w:p w14:paraId="0C9409B0">
                  <w:pPr>
                    <w:pStyle w:val="40"/>
                    <w:keepNext w:val="0"/>
                    <w:keepLines w:val="0"/>
                    <w:suppressLineNumbers w:val="0"/>
                    <w:bidi w:val="0"/>
                    <w:spacing w:before="0" w:beforeAutospacing="0" w:after="0" w:afterAutospacing="0"/>
                    <w:rPr>
                      <w:rFonts w:hint="eastAsia"/>
                      <w:color w:val="0000FF"/>
                      <w:lang w:val="en-US" w:eastAsia="zh-CN"/>
                    </w:rPr>
                  </w:pPr>
                </w:p>
              </w:tc>
              <w:tc>
                <w:tcPr>
                  <w:tcW w:w="433" w:type="dxa"/>
                  <w:vMerge w:val="continue"/>
                  <w:shd w:val="clear" w:color="auto" w:fill="auto"/>
                  <w:vAlign w:val="center"/>
                </w:tcPr>
                <w:p w14:paraId="175289A8">
                  <w:pPr>
                    <w:pStyle w:val="40"/>
                    <w:keepNext w:val="0"/>
                    <w:keepLines w:val="0"/>
                    <w:suppressLineNumbers w:val="0"/>
                    <w:bidi w:val="0"/>
                    <w:spacing w:before="0" w:beforeAutospacing="0" w:after="0" w:afterAutospacing="0"/>
                    <w:rPr>
                      <w:rFonts w:hint="default"/>
                      <w:color w:val="0000FF"/>
                      <w:lang w:val="en-US" w:eastAsia="zh-CN"/>
                    </w:rPr>
                  </w:pPr>
                </w:p>
              </w:tc>
              <w:tc>
                <w:tcPr>
                  <w:tcW w:w="433" w:type="dxa"/>
                  <w:vMerge w:val="continue"/>
                  <w:shd w:val="clear" w:color="auto" w:fill="auto"/>
                  <w:vAlign w:val="center"/>
                </w:tcPr>
                <w:p w14:paraId="5AA6C51D">
                  <w:pPr>
                    <w:pStyle w:val="40"/>
                    <w:keepNext w:val="0"/>
                    <w:keepLines w:val="0"/>
                    <w:suppressLineNumbers w:val="0"/>
                    <w:bidi w:val="0"/>
                    <w:spacing w:before="0" w:beforeAutospacing="0" w:after="0" w:afterAutospacing="0"/>
                    <w:rPr>
                      <w:rFonts w:hint="default"/>
                      <w:color w:val="0000FF"/>
                      <w:lang w:val="en-US" w:eastAsia="zh-CN"/>
                    </w:rPr>
                  </w:pPr>
                </w:p>
              </w:tc>
              <w:tc>
                <w:tcPr>
                  <w:tcW w:w="428" w:type="dxa"/>
                  <w:shd w:val="clear" w:color="auto" w:fill="auto"/>
                  <w:vAlign w:val="center"/>
                </w:tcPr>
                <w:p w14:paraId="39099BE2">
                  <w:pPr>
                    <w:pStyle w:val="40"/>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350</w:t>
                  </w:r>
                </w:p>
              </w:tc>
              <w:tc>
                <w:tcPr>
                  <w:tcW w:w="429" w:type="dxa"/>
                  <w:vMerge w:val="continue"/>
                  <w:shd w:val="clear" w:color="auto" w:fill="auto"/>
                  <w:vAlign w:val="center"/>
                </w:tcPr>
                <w:p w14:paraId="3A048764">
                  <w:pPr>
                    <w:pStyle w:val="40"/>
                    <w:keepNext w:val="0"/>
                    <w:keepLines w:val="0"/>
                    <w:suppressLineNumbers w:val="0"/>
                    <w:bidi w:val="0"/>
                    <w:spacing w:before="0" w:beforeAutospacing="0" w:after="0" w:afterAutospacing="0"/>
                    <w:rPr>
                      <w:rFonts w:hint="default"/>
                      <w:color w:val="0000FF"/>
                      <w:lang w:val="en-US" w:eastAsia="zh-CN"/>
                    </w:rPr>
                  </w:pPr>
                </w:p>
              </w:tc>
              <w:tc>
                <w:tcPr>
                  <w:tcW w:w="336" w:type="dxa"/>
                  <w:vMerge w:val="continue"/>
                  <w:shd w:val="clear" w:color="auto" w:fill="auto"/>
                  <w:vAlign w:val="center"/>
                </w:tcPr>
                <w:p w14:paraId="382684F9">
                  <w:pPr>
                    <w:pStyle w:val="40"/>
                    <w:keepNext w:val="0"/>
                    <w:keepLines w:val="0"/>
                    <w:suppressLineNumbers w:val="0"/>
                    <w:bidi w:val="0"/>
                    <w:spacing w:before="0" w:beforeAutospacing="0" w:after="0" w:afterAutospacing="0"/>
                    <w:rPr>
                      <w:rFonts w:hint="eastAsia"/>
                      <w:color w:val="0000FF"/>
                      <w:lang w:val="en-US" w:eastAsia="zh-CN"/>
                    </w:rPr>
                  </w:pPr>
                </w:p>
              </w:tc>
              <w:tc>
                <w:tcPr>
                  <w:tcW w:w="452" w:type="dxa"/>
                  <w:vMerge w:val="continue"/>
                  <w:shd w:val="clear" w:color="auto" w:fill="auto"/>
                  <w:vAlign w:val="center"/>
                </w:tcPr>
                <w:p w14:paraId="4F121804">
                  <w:pPr>
                    <w:pStyle w:val="40"/>
                    <w:keepNext w:val="0"/>
                    <w:keepLines w:val="0"/>
                    <w:suppressLineNumbers w:val="0"/>
                    <w:bidi w:val="0"/>
                    <w:spacing w:before="0" w:beforeAutospacing="0" w:after="0" w:afterAutospacing="0"/>
                    <w:rPr>
                      <w:rFonts w:hint="default"/>
                      <w:color w:val="0000FF"/>
                      <w:lang w:val="en-US" w:eastAsia="zh-CN"/>
                    </w:rPr>
                  </w:pPr>
                </w:p>
              </w:tc>
              <w:tc>
                <w:tcPr>
                  <w:tcW w:w="507" w:type="dxa"/>
                  <w:vMerge w:val="continue"/>
                  <w:shd w:val="clear" w:color="auto" w:fill="auto"/>
                  <w:vAlign w:val="center"/>
                </w:tcPr>
                <w:p w14:paraId="674462B1">
                  <w:pPr>
                    <w:pStyle w:val="40"/>
                    <w:keepNext w:val="0"/>
                    <w:keepLines w:val="0"/>
                    <w:suppressLineNumbers w:val="0"/>
                    <w:bidi w:val="0"/>
                    <w:spacing w:before="0" w:beforeAutospacing="0" w:after="0" w:afterAutospacing="0"/>
                    <w:rPr>
                      <w:rFonts w:hint="default"/>
                      <w:color w:val="0000FF"/>
                      <w:lang w:val="en-US" w:eastAsia="zh-CN"/>
                    </w:rPr>
                  </w:pPr>
                </w:p>
              </w:tc>
              <w:tc>
                <w:tcPr>
                  <w:tcW w:w="571" w:type="dxa"/>
                  <w:vMerge w:val="continue"/>
                  <w:shd w:val="clear" w:color="auto" w:fill="auto"/>
                  <w:vAlign w:val="center"/>
                </w:tcPr>
                <w:p w14:paraId="556FD5FB">
                  <w:pPr>
                    <w:pStyle w:val="40"/>
                    <w:keepNext w:val="0"/>
                    <w:keepLines w:val="0"/>
                    <w:suppressLineNumbers w:val="0"/>
                    <w:bidi w:val="0"/>
                    <w:spacing w:before="0" w:beforeAutospacing="0" w:after="0" w:afterAutospacing="0"/>
                    <w:rPr>
                      <w:rFonts w:hint="default"/>
                      <w:color w:val="0000FF"/>
                      <w:lang w:val="en-US" w:eastAsia="zh-CN"/>
                    </w:rPr>
                  </w:pPr>
                </w:p>
              </w:tc>
              <w:tc>
                <w:tcPr>
                  <w:tcW w:w="513" w:type="dxa"/>
                  <w:vMerge w:val="continue"/>
                  <w:shd w:val="clear" w:color="auto" w:fill="auto"/>
                  <w:noWrap/>
                  <w:vAlign w:val="center"/>
                </w:tcPr>
                <w:p w14:paraId="60F49BBF">
                  <w:pPr>
                    <w:pStyle w:val="40"/>
                    <w:keepNext w:val="0"/>
                    <w:keepLines w:val="0"/>
                    <w:suppressLineNumbers w:val="0"/>
                    <w:bidi w:val="0"/>
                    <w:spacing w:before="0" w:beforeAutospacing="0" w:after="0" w:afterAutospacing="0"/>
                    <w:rPr>
                      <w:rFonts w:hint="eastAsia"/>
                      <w:color w:val="0000FF"/>
                      <w:lang w:val="en-US" w:eastAsia="zh-CN"/>
                    </w:rPr>
                  </w:pPr>
                </w:p>
              </w:tc>
            </w:tr>
            <w:tr w14:paraId="4F01F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35" w:type="dxa"/>
                  <w:vMerge w:val="continue"/>
                  <w:shd w:val="clear" w:color="auto" w:fill="auto"/>
                  <w:vAlign w:val="center"/>
                </w:tcPr>
                <w:p w14:paraId="6568726A">
                  <w:pPr>
                    <w:pStyle w:val="40"/>
                    <w:keepNext w:val="0"/>
                    <w:keepLines w:val="0"/>
                    <w:suppressLineNumbers w:val="0"/>
                    <w:bidi w:val="0"/>
                    <w:spacing w:before="0" w:beforeAutospacing="0" w:after="0" w:afterAutospacing="0"/>
                    <w:rPr>
                      <w:rFonts w:hint="eastAsia"/>
                      <w:color w:val="0000FF"/>
                      <w:lang w:val="en-US" w:eastAsia="zh-CN"/>
                    </w:rPr>
                  </w:pPr>
                </w:p>
              </w:tc>
              <w:tc>
                <w:tcPr>
                  <w:tcW w:w="285" w:type="dxa"/>
                  <w:vMerge w:val="continue"/>
                  <w:shd w:val="clear" w:color="auto" w:fill="auto"/>
                  <w:vAlign w:val="center"/>
                </w:tcPr>
                <w:p w14:paraId="4F538BC2">
                  <w:pPr>
                    <w:pStyle w:val="40"/>
                    <w:keepNext w:val="0"/>
                    <w:keepLines w:val="0"/>
                    <w:suppressLineNumbers w:val="0"/>
                    <w:bidi w:val="0"/>
                    <w:spacing w:before="0" w:beforeAutospacing="0" w:after="0" w:afterAutospacing="0"/>
                    <w:rPr>
                      <w:rFonts w:hint="default"/>
                      <w:color w:val="0000FF"/>
                      <w:lang w:val="en-US" w:eastAsia="zh-CN"/>
                    </w:rPr>
                  </w:pPr>
                </w:p>
              </w:tc>
              <w:tc>
                <w:tcPr>
                  <w:tcW w:w="636" w:type="dxa"/>
                  <w:vMerge w:val="continue"/>
                  <w:shd w:val="clear" w:color="auto" w:fill="auto"/>
                  <w:vAlign w:val="center"/>
                </w:tcPr>
                <w:p w14:paraId="0A3D0944">
                  <w:pPr>
                    <w:pStyle w:val="40"/>
                    <w:keepNext w:val="0"/>
                    <w:keepLines w:val="0"/>
                    <w:suppressLineNumbers w:val="0"/>
                    <w:bidi w:val="0"/>
                    <w:spacing w:before="0" w:beforeAutospacing="0" w:after="0" w:afterAutospacing="0"/>
                    <w:rPr>
                      <w:rFonts w:hint="eastAsia"/>
                      <w:color w:val="0000FF"/>
                      <w:lang w:val="en-US" w:eastAsia="zh-CN"/>
                    </w:rPr>
                  </w:pPr>
                </w:p>
              </w:tc>
              <w:tc>
                <w:tcPr>
                  <w:tcW w:w="636" w:type="dxa"/>
                  <w:shd w:val="clear" w:color="auto" w:fill="auto"/>
                  <w:vAlign w:val="center"/>
                </w:tcPr>
                <w:p w14:paraId="64128361">
                  <w:pPr>
                    <w:pStyle w:val="40"/>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打包</w:t>
                  </w:r>
                </w:p>
              </w:tc>
              <w:tc>
                <w:tcPr>
                  <w:tcW w:w="367" w:type="dxa"/>
                  <w:vMerge w:val="continue"/>
                  <w:shd w:val="clear" w:color="auto" w:fill="auto"/>
                  <w:vAlign w:val="center"/>
                </w:tcPr>
                <w:p w14:paraId="278D98C3">
                  <w:pPr>
                    <w:pStyle w:val="40"/>
                    <w:keepNext w:val="0"/>
                    <w:keepLines w:val="0"/>
                    <w:suppressLineNumbers w:val="0"/>
                    <w:bidi w:val="0"/>
                    <w:spacing w:before="0" w:beforeAutospacing="0" w:after="0" w:afterAutospacing="0"/>
                    <w:rPr>
                      <w:rFonts w:hint="eastAsia"/>
                      <w:color w:val="0000FF"/>
                      <w:lang w:val="en-US" w:eastAsia="zh-CN"/>
                    </w:rPr>
                  </w:pPr>
                </w:p>
              </w:tc>
              <w:tc>
                <w:tcPr>
                  <w:tcW w:w="598" w:type="dxa"/>
                  <w:shd w:val="clear" w:color="auto" w:fill="auto"/>
                  <w:vAlign w:val="center"/>
                </w:tcPr>
                <w:p w14:paraId="3DD4DD64">
                  <w:pPr>
                    <w:pStyle w:val="40"/>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1.05</w:t>
                  </w:r>
                </w:p>
              </w:tc>
              <w:tc>
                <w:tcPr>
                  <w:tcW w:w="552" w:type="dxa"/>
                  <w:shd w:val="clear" w:color="auto" w:fill="auto"/>
                  <w:vAlign w:val="center"/>
                </w:tcPr>
                <w:p w14:paraId="77261F2D">
                  <w:pPr>
                    <w:pStyle w:val="40"/>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0.022</w:t>
                  </w:r>
                </w:p>
              </w:tc>
              <w:tc>
                <w:tcPr>
                  <w:tcW w:w="452" w:type="dxa"/>
                  <w:shd w:val="clear" w:color="auto" w:fill="auto"/>
                  <w:vAlign w:val="center"/>
                </w:tcPr>
                <w:p w14:paraId="6FA8405C">
                  <w:pPr>
                    <w:pStyle w:val="40"/>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0.039</w:t>
                  </w:r>
                </w:p>
              </w:tc>
              <w:tc>
                <w:tcPr>
                  <w:tcW w:w="475" w:type="dxa"/>
                  <w:vMerge w:val="continue"/>
                  <w:shd w:val="clear" w:color="auto" w:fill="auto"/>
                  <w:vAlign w:val="center"/>
                </w:tcPr>
                <w:p w14:paraId="7D621927">
                  <w:pPr>
                    <w:pStyle w:val="40"/>
                    <w:keepNext w:val="0"/>
                    <w:keepLines w:val="0"/>
                    <w:suppressLineNumbers w:val="0"/>
                    <w:bidi w:val="0"/>
                    <w:spacing w:before="0" w:beforeAutospacing="0" w:after="0" w:afterAutospacing="0"/>
                    <w:rPr>
                      <w:rFonts w:hint="default"/>
                      <w:color w:val="0000FF"/>
                      <w:lang w:val="en-US" w:eastAsia="zh-CN"/>
                    </w:rPr>
                  </w:pPr>
                </w:p>
              </w:tc>
              <w:tc>
                <w:tcPr>
                  <w:tcW w:w="336" w:type="dxa"/>
                  <w:vMerge w:val="continue"/>
                  <w:shd w:val="clear" w:color="auto" w:fill="auto"/>
                  <w:vAlign w:val="center"/>
                </w:tcPr>
                <w:p w14:paraId="72D4A659">
                  <w:pPr>
                    <w:pStyle w:val="40"/>
                    <w:keepNext w:val="0"/>
                    <w:keepLines w:val="0"/>
                    <w:suppressLineNumbers w:val="0"/>
                    <w:bidi w:val="0"/>
                    <w:spacing w:before="0" w:beforeAutospacing="0" w:after="0" w:afterAutospacing="0"/>
                    <w:rPr>
                      <w:rFonts w:hint="eastAsia"/>
                      <w:color w:val="0000FF"/>
                      <w:lang w:val="en-US" w:eastAsia="zh-CN"/>
                    </w:rPr>
                  </w:pPr>
                </w:p>
              </w:tc>
              <w:tc>
                <w:tcPr>
                  <w:tcW w:w="433" w:type="dxa"/>
                  <w:vMerge w:val="continue"/>
                  <w:shd w:val="clear" w:color="auto" w:fill="auto"/>
                  <w:vAlign w:val="center"/>
                </w:tcPr>
                <w:p w14:paraId="708773DF">
                  <w:pPr>
                    <w:pStyle w:val="40"/>
                    <w:keepNext w:val="0"/>
                    <w:keepLines w:val="0"/>
                    <w:suppressLineNumbers w:val="0"/>
                    <w:bidi w:val="0"/>
                    <w:spacing w:before="0" w:beforeAutospacing="0" w:after="0" w:afterAutospacing="0"/>
                    <w:rPr>
                      <w:rFonts w:hint="default"/>
                      <w:color w:val="0000FF"/>
                      <w:lang w:val="en-US" w:eastAsia="zh-CN"/>
                    </w:rPr>
                  </w:pPr>
                </w:p>
              </w:tc>
              <w:tc>
                <w:tcPr>
                  <w:tcW w:w="433" w:type="dxa"/>
                  <w:vMerge w:val="continue"/>
                  <w:shd w:val="clear" w:color="auto" w:fill="auto"/>
                  <w:vAlign w:val="center"/>
                </w:tcPr>
                <w:p w14:paraId="51F7FBF3">
                  <w:pPr>
                    <w:pStyle w:val="40"/>
                    <w:keepNext w:val="0"/>
                    <w:keepLines w:val="0"/>
                    <w:suppressLineNumbers w:val="0"/>
                    <w:bidi w:val="0"/>
                    <w:spacing w:before="0" w:beforeAutospacing="0" w:after="0" w:afterAutospacing="0"/>
                    <w:rPr>
                      <w:rFonts w:hint="default"/>
                      <w:color w:val="0000FF"/>
                      <w:lang w:val="en-US" w:eastAsia="zh-CN"/>
                    </w:rPr>
                  </w:pPr>
                </w:p>
              </w:tc>
              <w:tc>
                <w:tcPr>
                  <w:tcW w:w="428" w:type="dxa"/>
                  <w:shd w:val="clear" w:color="auto" w:fill="auto"/>
                  <w:vAlign w:val="center"/>
                </w:tcPr>
                <w:p w14:paraId="22F96D03">
                  <w:pPr>
                    <w:pStyle w:val="40"/>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1785</w:t>
                  </w:r>
                </w:p>
              </w:tc>
              <w:tc>
                <w:tcPr>
                  <w:tcW w:w="429" w:type="dxa"/>
                  <w:vMerge w:val="continue"/>
                  <w:shd w:val="clear" w:color="auto" w:fill="auto"/>
                  <w:vAlign w:val="center"/>
                </w:tcPr>
                <w:p w14:paraId="24F40CD6">
                  <w:pPr>
                    <w:pStyle w:val="40"/>
                    <w:keepNext w:val="0"/>
                    <w:keepLines w:val="0"/>
                    <w:suppressLineNumbers w:val="0"/>
                    <w:bidi w:val="0"/>
                    <w:spacing w:before="0" w:beforeAutospacing="0" w:after="0" w:afterAutospacing="0"/>
                    <w:rPr>
                      <w:rFonts w:hint="eastAsia"/>
                      <w:color w:val="0000FF"/>
                      <w:lang w:val="en-US" w:eastAsia="zh-CN"/>
                    </w:rPr>
                  </w:pPr>
                </w:p>
              </w:tc>
              <w:tc>
                <w:tcPr>
                  <w:tcW w:w="336" w:type="dxa"/>
                  <w:vMerge w:val="continue"/>
                  <w:shd w:val="clear" w:color="auto" w:fill="auto"/>
                  <w:vAlign w:val="center"/>
                </w:tcPr>
                <w:p w14:paraId="550C444E">
                  <w:pPr>
                    <w:pStyle w:val="40"/>
                    <w:keepNext w:val="0"/>
                    <w:keepLines w:val="0"/>
                    <w:suppressLineNumbers w:val="0"/>
                    <w:bidi w:val="0"/>
                    <w:spacing w:before="0" w:beforeAutospacing="0" w:after="0" w:afterAutospacing="0"/>
                    <w:rPr>
                      <w:rFonts w:hint="eastAsia"/>
                      <w:color w:val="0000FF"/>
                      <w:lang w:val="en-US" w:eastAsia="zh-CN"/>
                    </w:rPr>
                  </w:pPr>
                </w:p>
              </w:tc>
              <w:tc>
                <w:tcPr>
                  <w:tcW w:w="452" w:type="dxa"/>
                  <w:vMerge w:val="continue"/>
                  <w:shd w:val="clear" w:color="auto" w:fill="auto"/>
                  <w:vAlign w:val="center"/>
                </w:tcPr>
                <w:p w14:paraId="18BA621C">
                  <w:pPr>
                    <w:pStyle w:val="40"/>
                    <w:keepNext w:val="0"/>
                    <w:keepLines w:val="0"/>
                    <w:suppressLineNumbers w:val="0"/>
                    <w:bidi w:val="0"/>
                    <w:spacing w:before="0" w:beforeAutospacing="0" w:after="0" w:afterAutospacing="0"/>
                    <w:rPr>
                      <w:rFonts w:hint="default"/>
                      <w:color w:val="0000FF"/>
                      <w:lang w:val="en-US" w:eastAsia="zh-CN"/>
                    </w:rPr>
                  </w:pPr>
                </w:p>
              </w:tc>
              <w:tc>
                <w:tcPr>
                  <w:tcW w:w="507" w:type="dxa"/>
                  <w:vMerge w:val="continue"/>
                  <w:shd w:val="clear" w:color="auto" w:fill="auto"/>
                  <w:vAlign w:val="center"/>
                </w:tcPr>
                <w:p w14:paraId="7FE754EB">
                  <w:pPr>
                    <w:pStyle w:val="40"/>
                    <w:keepNext w:val="0"/>
                    <w:keepLines w:val="0"/>
                    <w:suppressLineNumbers w:val="0"/>
                    <w:bidi w:val="0"/>
                    <w:spacing w:before="0" w:beforeAutospacing="0" w:after="0" w:afterAutospacing="0"/>
                    <w:rPr>
                      <w:rFonts w:hint="default"/>
                      <w:color w:val="0000FF"/>
                      <w:lang w:val="en-US" w:eastAsia="zh-CN"/>
                    </w:rPr>
                  </w:pPr>
                </w:p>
              </w:tc>
              <w:tc>
                <w:tcPr>
                  <w:tcW w:w="571" w:type="dxa"/>
                  <w:vMerge w:val="continue"/>
                  <w:shd w:val="clear" w:color="auto" w:fill="auto"/>
                  <w:vAlign w:val="center"/>
                </w:tcPr>
                <w:p w14:paraId="47B2FC6B">
                  <w:pPr>
                    <w:pStyle w:val="40"/>
                    <w:keepNext w:val="0"/>
                    <w:keepLines w:val="0"/>
                    <w:suppressLineNumbers w:val="0"/>
                    <w:bidi w:val="0"/>
                    <w:spacing w:before="0" w:beforeAutospacing="0" w:after="0" w:afterAutospacing="0"/>
                    <w:rPr>
                      <w:rFonts w:hint="default"/>
                      <w:color w:val="0000FF"/>
                      <w:lang w:val="en-US" w:eastAsia="zh-CN"/>
                    </w:rPr>
                  </w:pPr>
                </w:p>
              </w:tc>
              <w:tc>
                <w:tcPr>
                  <w:tcW w:w="513" w:type="dxa"/>
                  <w:vMerge w:val="continue"/>
                  <w:shd w:val="clear" w:color="auto" w:fill="auto"/>
                  <w:noWrap/>
                  <w:vAlign w:val="center"/>
                </w:tcPr>
                <w:p w14:paraId="5E8075B4">
                  <w:pPr>
                    <w:pStyle w:val="40"/>
                    <w:keepNext w:val="0"/>
                    <w:keepLines w:val="0"/>
                    <w:suppressLineNumbers w:val="0"/>
                    <w:bidi w:val="0"/>
                    <w:spacing w:before="0" w:beforeAutospacing="0" w:after="0" w:afterAutospacing="0"/>
                    <w:rPr>
                      <w:rFonts w:hint="eastAsia"/>
                      <w:color w:val="0000FF"/>
                      <w:lang w:val="en-US" w:eastAsia="zh-CN"/>
                    </w:rPr>
                  </w:pPr>
                </w:p>
              </w:tc>
            </w:tr>
          </w:tbl>
          <w:p w14:paraId="640CD028">
            <w:pPr>
              <w:pStyle w:val="39"/>
              <w:keepNext w:val="0"/>
              <w:keepLines w:val="0"/>
              <w:suppressLineNumbers w:val="0"/>
              <w:bidi w:val="0"/>
              <w:spacing w:before="0" w:beforeAutospacing="0" w:after="0" w:afterAutospacing="0"/>
              <w:ind w:left="0" w:right="0"/>
              <w:jc w:val="center"/>
              <w:rPr>
                <w:rFonts w:hint="eastAsia"/>
                <w:color w:val="0000FF"/>
                <w:lang w:eastAsia="zh-CN"/>
              </w:rPr>
            </w:pPr>
            <w:r>
              <w:rPr>
                <w:rFonts w:hint="default"/>
                <w:color w:val="0000FF"/>
              </w:rPr>
              <w:t>表</w:t>
            </w:r>
            <w:r>
              <w:rPr>
                <w:rFonts w:hint="eastAsia"/>
                <w:color w:val="0000FF"/>
                <w:lang w:val="en-US" w:eastAsia="zh-CN"/>
              </w:rPr>
              <w:t>4-2</w:t>
            </w:r>
            <w:r>
              <w:rPr>
                <w:rFonts w:hint="default"/>
                <w:color w:val="0000FF"/>
              </w:rPr>
              <w:t xml:space="preserve">  </w:t>
            </w:r>
            <w:r>
              <w:rPr>
                <w:rFonts w:hint="eastAsia"/>
                <w:color w:val="0000FF"/>
                <w:lang w:val="en-US" w:eastAsia="zh-CN"/>
              </w:rPr>
              <w:t>项目</w:t>
            </w:r>
            <w:r>
              <w:rPr>
                <w:rFonts w:hint="default"/>
                <w:color w:val="0000FF"/>
              </w:rPr>
              <w:t>废气污染物产排情况一览表</w:t>
            </w:r>
            <w:r>
              <w:rPr>
                <w:rFonts w:hint="eastAsia"/>
                <w:color w:val="0000FF"/>
                <w:lang w:eastAsia="zh-CN"/>
              </w:rPr>
              <w:t>（</w:t>
            </w:r>
            <w:r>
              <w:rPr>
                <w:rFonts w:hint="eastAsia"/>
                <w:color w:val="0000FF"/>
                <w:lang w:val="en-US" w:eastAsia="zh-CN"/>
              </w:rPr>
              <w:t>无组织</w:t>
            </w:r>
            <w:r>
              <w:rPr>
                <w:rFonts w:hint="eastAsia"/>
                <w:color w:val="0000FF"/>
                <w:lang w:eastAsia="zh-CN"/>
              </w:rPr>
              <w:t>）</w:t>
            </w:r>
          </w:p>
          <w:tbl>
            <w:tblPr>
              <w:tblStyle w:val="1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0" w:type="dxa"/>
                <w:bottom w:w="0" w:type="dxa"/>
                <w:right w:w="0" w:type="dxa"/>
              </w:tblCellMar>
            </w:tblPr>
            <w:tblGrid>
              <w:gridCol w:w="577"/>
              <w:gridCol w:w="750"/>
              <w:gridCol w:w="990"/>
              <w:gridCol w:w="1140"/>
              <w:gridCol w:w="870"/>
              <w:gridCol w:w="885"/>
              <w:gridCol w:w="840"/>
              <w:gridCol w:w="645"/>
              <w:gridCol w:w="540"/>
              <w:gridCol w:w="600"/>
              <w:gridCol w:w="933"/>
            </w:tblGrid>
            <w:tr w14:paraId="638C5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312" w:hRule="atLeast"/>
                <w:jc w:val="center"/>
              </w:trPr>
              <w:tc>
                <w:tcPr>
                  <w:tcW w:w="577" w:type="dxa"/>
                  <w:vMerge w:val="restart"/>
                  <w:shd w:val="clear" w:color="auto" w:fill="auto"/>
                  <w:vAlign w:val="center"/>
                </w:tcPr>
                <w:p w14:paraId="046E1AF4">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排放方式</w:t>
                  </w:r>
                </w:p>
              </w:tc>
              <w:tc>
                <w:tcPr>
                  <w:tcW w:w="750" w:type="dxa"/>
                  <w:vMerge w:val="restart"/>
                  <w:shd w:val="clear" w:color="auto" w:fill="auto"/>
                  <w:vAlign w:val="center"/>
                </w:tcPr>
                <w:p w14:paraId="189D3A01">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污染源</w:t>
                  </w:r>
                </w:p>
              </w:tc>
              <w:tc>
                <w:tcPr>
                  <w:tcW w:w="990" w:type="dxa"/>
                  <w:vMerge w:val="restart"/>
                  <w:shd w:val="clear" w:color="auto" w:fill="auto"/>
                  <w:vAlign w:val="center"/>
                </w:tcPr>
                <w:p w14:paraId="7DD11E4E">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产污工序</w:t>
                  </w:r>
                </w:p>
              </w:tc>
              <w:tc>
                <w:tcPr>
                  <w:tcW w:w="1140" w:type="dxa"/>
                  <w:vMerge w:val="restart"/>
                  <w:shd w:val="clear" w:color="auto" w:fill="auto"/>
                  <w:vAlign w:val="center"/>
                </w:tcPr>
                <w:p w14:paraId="40E4353A">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污染物</w:t>
                  </w:r>
                </w:p>
              </w:tc>
              <w:tc>
                <w:tcPr>
                  <w:tcW w:w="870" w:type="dxa"/>
                  <w:vMerge w:val="restart"/>
                  <w:shd w:val="clear" w:color="auto" w:fill="auto"/>
                  <w:vAlign w:val="center"/>
                </w:tcPr>
                <w:p w14:paraId="58D51AE7">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产生量t/a</w:t>
                  </w:r>
                </w:p>
              </w:tc>
              <w:tc>
                <w:tcPr>
                  <w:tcW w:w="885" w:type="dxa"/>
                  <w:vMerge w:val="restart"/>
                  <w:shd w:val="clear" w:color="auto" w:fill="auto"/>
                  <w:vAlign w:val="center"/>
                </w:tcPr>
                <w:p w14:paraId="7131B54E">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产生速率kg/h</w:t>
                  </w:r>
                </w:p>
              </w:tc>
              <w:tc>
                <w:tcPr>
                  <w:tcW w:w="840" w:type="dxa"/>
                  <w:vMerge w:val="restart"/>
                  <w:shd w:val="clear" w:color="auto" w:fill="auto"/>
                  <w:vAlign w:val="center"/>
                </w:tcPr>
                <w:p w14:paraId="4D2BC3E9">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年工作小时数h</w:t>
                  </w:r>
                </w:p>
              </w:tc>
              <w:tc>
                <w:tcPr>
                  <w:tcW w:w="645" w:type="dxa"/>
                  <w:vMerge w:val="restart"/>
                  <w:shd w:val="clear" w:color="auto" w:fill="auto"/>
                  <w:vAlign w:val="center"/>
                </w:tcPr>
                <w:p w14:paraId="283D6763">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面源长度</w:t>
                  </w:r>
                  <w:r>
                    <w:rPr>
                      <w:rFonts w:hint="default"/>
                      <w:b/>
                      <w:bCs/>
                      <w:color w:val="0000FF"/>
                      <w:lang w:val="en-US" w:eastAsia="zh-CN"/>
                    </w:rPr>
                    <w:t>m</w:t>
                  </w:r>
                </w:p>
              </w:tc>
              <w:tc>
                <w:tcPr>
                  <w:tcW w:w="540" w:type="dxa"/>
                  <w:vMerge w:val="restart"/>
                  <w:shd w:val="clear" w:color="auto" w:fill="auto"/>
                  <w:vAlign w:val="center"/>
                </w:tcPr>
                <w:p w14:paraId="4B29DE86">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面源宽度</w:t>
                  </w:r>
                  <w:r>
                    <w:rPr>
                      <w:rFonts w:hint="default"/>
                      <w:b/>
                      <w:bCs/>
                      <w:color w:val="0000FF"/>
                      <w:lang w:val="en-US" w:eastAsia="zh-CN"/>
                    </w:rPr>
                    <w:t>m</w:t>
                  </w:r>
                </w:p>
              </w:tc>
              <w:tc>
                <w:tcPr>
                  <w:tcW w:w="600" w:type="dxa"/>
                  <w:vMerge w:val="restart"/>
                  <w:shd w:val="clear" w:color="auto" w:fill="auto"/>
                  <w:vAlign w:val="center"/>
                </w:tcPr>
                <w:p w14:paraId="117889AB">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面源高度</w:t>
                  </w:r>
                  <w:r>
                    <w:rPr>
                      <w:rFonts w:hint="default"/>
                      <w:b/>
                      <w:bCs/>
                      <w:color w:val="0000FF"/>
                      <w:lang w:val="en-US" w:eastAsia="zh-CN"/>
                    </w:rPr>
                    <w:t>m</w:t>
                  </w:r>
                </w:p>
              </w:tc>
              <w:tc>
                <w:tcPr>
                  <w:tcW w:w="933" w:type="dxa"/>
                  <w:vMerge w:val="restart"/>
                  <w:shd w:val="clear" w:color="auto" w:fill="auto"/>
                  <w:vAlign w:val="center"/>
                </w:tcPr>
                <w:p w14:paraId="243DC5E0">
                  <w:pPr>
                    <w:pStyle w:val="40"/>
                    <w:keepNext w:val="0"/>
                    <w:keepLines w:val="0"/>
                    <w:suppressLineNumbers w:val="0"/>
                    <w:bidi w:val="0"/>
                    <w:spacing w:before="0" w:beforeAutospacing="0" w:after="0" w:afterAutospacing="0"/>
                    <w:rPr>
                      <w:rFonts w:hint="eastAsia"/>
                      <w:b/>
                      <w:bCs/>
                      <w:color w:val="0000FF"/>
                    </w:rPr>
                  </w:pPr>
                  <w:r>
                    <w:rPr>
                      <w:rFonts w:hint="eastAsia"/>
                      <w:b/>
                      <w:bCs/>
                      <w:color w:val="0000FF"/>
                      <w:lang w:val="en-US" w:eastAsia="zh-CN"/>
                    </w:rPr>
                    <w:t>执行标准</w:t>
                  </w:r>
                  <w:r>
                    <w:rPr>
                      <w:rFonts w:hint="default"/>
                      <w:b/>
                      <w:bCs/>
                      <w:color w:val="0000FF"/>
                      <w:lang w:val="en-US" w:eastAsia="zh-CN"/>
                    </w:rPr>
                    <w:t>mg/m</w:t>
                  </w:r>
                  <w:r>
                    <w:rPr>
                      <w:rFonts w:hint="eastAsia"/>
                      <w:b/>
                      <w:bCs/>
                      <w:color w:val="0000FF"/>
                      <w:lang w:val="en-US" w:eastAsia="zh-CN"/>
                    </w:rPr>
                    <w:t>³</w:t>
                  </w:r>
                </w:p>
              </w:tc>
            </w:tr>
            <w:tr w14:paraId="35C82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312" w:hRule="atLeast"/>
                <w:jc w:val="center"/>
              </w:trPr>
              <w:tc>
                <w:tcPr>
                  <w:tcW w:w="577" w:type="dxa"/>
                  <w:vMerge w:val="continue"/>
                  <w:shd w:val="clear" w:color="auto" w:fill="auto"/>
                  <w:vAlign w:val="center"/>
                </w:tcPr>
                <w:p w14:paraId="2D80FFE5">
                  <w:pPr>
                    <w:pStyle w:val="40"/>
                    <w:keepNext w:val="0"/>
                    <w:keepLines w:val="0"/>
                    <w:suppressLineNumbers w:val="0"/>
                    <w:bidi w:val="0"/>
                    <w:spacing w:before="0" w:beforeAutospacing="0" w:after="0" w:afterAutospacing="0"/>
                    <w:rPr>
                      <w:rFonts w:hint="eastAsia"/>
                      <w:color w:val="0000FF"/>
                    </w:rPr>
                  </w:pPr>
                </w:p>
              </w:tc>
              <w:tc>
                <w:tcPr>
                  <w:tcW w:w="750" w:type="dxa"/>
                  <w:vMerge w:val="continue"/>
                  <w:shd w:val="clear" w:color="auto" w:fill="auto"/>
                  <w:vAlign w:val="center"/>
                </w:tcPr>
                <w:p w14:paraId="76067774">
                  <w:pPr>
                    <w:pStyle w:val="40"/>
                    <w:keepNext w:val="0"/>
                    <w:keepLines w:val="0"/>
                    <w:suppressLineNumbers w:val="0"/>
                    <w:bidi w:val="0"/>
                    <w:spacing w:before="0" w:beforeAutospacing="0" w:after="0" w:afterAutospacing="0"/>
                    <w:rPr>
                      <w:rFonts w:hint="eastAsia"/>
                      <w:color w:val="0000FF"/>
                    </w:rPr>
                  </w:pPr>
                </w:p>
              </w:tc>
              <w:tc>
                <w:tcPr>
                  <w:tcW w:w="990" w:type="dxa"/>
                  <w:vMerge w:val="continue"/>
                  <w:shd w:val="clear" w:color="auto" w:fill="auto"/>
                  <w:vAlign w:val="center"/>
                </w:tcPr>
                <w:p w14:paraId="76148739">
                  <w:pPr>
                    <w:pStyle w:val="40"/>
                    <w:keepNext w:val="0"/>
                    <w:keepLines w:val="0"/>
                    <w:suppressLineNumbers w:val="0"/>
                    <w:bidi w:val="0"/>
                    <w:spacing w:before="0" w:beforeAutospacing="0" w:after="0" w:afterAutospacing="0"/>
                    <w:rPr>
                      <w:rFonts w:hint="eastAsia"/>
                      <w:color w:val="0000FF"/>
                    </w:rPr>
                  </w:pPr>
                </w:p>
              </w:tc>
              <w:tc>
                <w:tcPr>
                  <w:tcW w:w="1140" w:type="dxa"/>
                  <w:vMerge w:val="continue"/>
                  <w:shd w:val="clear" w:color="auto" w:fill="auto"/>
                  <w:vAlign w:val="center"/>
                </w:tcPr>
                <w:p w14:paraId="1017AFD7">
                  <w:pPr>
                    <w:pStyle w:val="40"/>
                    <w:keepNext w:val="0"/>
                    <w:keepLines w:val="0"/>
                    <w:suppressLineNumbers w:val="0"/>
                    <w:bidi w:val="0"/>
                    <w:spacing w:before="0" w:beforeAutospacing="0" w:after="0" w:afterAutospacing="0"/>
                    <w:rPr>
                      <w:rFonts w:hint="eastAsia"/>
                      <w:color w:val="0000FF"/>
                    </w:rPr>
                  </w:pPr>
                </w:p>
              </w:tc>
              <w:tc>
                <w:tcPr>
                  <w:tcW w:w="870" w:type="dxa"/>
                  <w:vMerge w:val="continue"/>
                  <w:shd w:val="clear" w:color="auto" w:fill="auto"/>
                  <w:vAlign w:val="center"/>
                </w:tcPr>
                <w:p w14:paraId="27F26CE7">
                  <w:pPr>
                    <w:pStyle w:val="40"/>
                    <w:keepNext w:val="0"/>
                    <w:keepLines w:val="0"/>
                    <w:suppressLineNumbers w:val="0"/>
                    <w:bidi w:val="0"/>
                    <w:spacing w:before="0" w:beforeAutospacing="0" w:after="0" w:afterAutospacing="0"/>
                    <w:rPr>
                      <w:rFonts w:hint="eastAsia"/>
                      <w:color w:val="0000FF"/>
                    </w:rPr>
                  </w:pPr>
                </w:p>
              </w:tc>
              <w:tc>
                <w:tcPr>
                  <w:tcW w:w="885" w:type="dxa"/>
                  <w:vMerge w:val="continue"/>
                  <w:shd w:val="clear" w:color="auto" w:fill="auto"/>
                  <w:vAlign w:val="center"/>
                </w:tcPr>
                <w:p w14:paraId="07200E94">
                  <w:pPr>
                    <w:pStyle w:val="40"/>
                    <w:keepNext w:val="0"/>
                    <w:keepLines w:val="0"/>
                    <w:suppressLineNumbers w:val="0"/>
                    <w:bidi w:val="0"/>
                    <w:spacing w:before="0" w:beforeAutospacing="0" w:after="0" w:afterAutospacing="0"/>
                    <w:rPr>
                      <w:rFonts w:hint="eastAsia"/>
                      <w:color w:val="0000FF"/>
                    </w:rPr>
                  </w:pPr>
                </w:p>
              </w:tc>
              <w:tc>
                <w:tcPr>
                  <w:tcW w:w="840" w:type="dxa"/>
                  <w:vMerge w:val="continue"/>
                  <w:shd w:val="clear" w:color="auto" w:fill="auto"/>
                  <w:vAlign w:val="center"/>
                </w:tcPr>
                <w:p w14:paraId="69CBAFF4">
                  <w:pPr>
                    <w:pStyle w:val="40"/>
                    <w:keepNext w:val="0"/>
                    <w:keepLines w:val="0"/>
                    <w:suppressLineNumbers w:val="0"/>
                    <w:bidi w:val="0"/>
                    <w:spacing w:before="0" w:beforeAutospacing="0" w:after="0" w:afterAutospacing="0"/>
                    <w:rPr>
                      <w:rFonts w:hint="eastAsia"/>
                      <w:color w:val="0000FF"/>
                    </w:rPr>
                  </w:pPr>
                </w:p>
              </w:tc>
              <w:tc>
                <w:tcPr>
                  <w:tcW w:w="645" w:type="dxa"/>
                  <w:vMerge w:val="continue"/>
                  <w:shd w:val="clear" w:color="auto" w:fill="auto"/>
                  <w:vAlign w:val="center"/>
                </w:tcPr>
                <w:p w14:paraId="27298C33">
                  <w:pPr>
                    <w:pStyle w:val="40"/>
                    <w:keepNext w:val="0"/>
                    <w:keepLines w:val="0"/>
                    <w:suppressLineNumbers w:val="0"/>
                    <w:bidi w:val="0"/>
                    <w:spacing w:before="0" w:beforeAutospacing="0" w:after="0" w:afterAutospacing="0"/>
                    <w:rPr>
                      <w:rFonts w:hint="eastAsia"/>
                      <w:color w:val="0000FF"/>
                    </w:rPr>
                  </w:pPr>
                </w:p>
              </w:tc>
              <w:tc>
                <w:tcPr>
                  <w:tcW w:w="540" w:type="dxa"/>
                  <w:vMerge w:val="continue"/>
                  <w:shd w:val="clear" w:color="auto" w:fill="auto"/>
                  <w:vAlign w:val="center"/>
                </w:tcPr>
                <w:p w14:paraId="71D02A98">
                  <w:pPr>
                    <w:pStyle w:val="40"/>
                    <w:keepNext w:val="0"/>
                    <w:keepLines w:val="0"/>
                    <w:suppressLineNumbers w:val="0"/>
                    <w:bidi w:val="0"/>
                    <w:spacing w:before="0" w:beforeAutospacing="0" w:after="0" w:afterAutospacing="0"/>
                    <w:rPr>
                      <w:rFonts w:hint="eastAsia"/>
                      <w:color w:val="0000FF"/>
                    </w:rPr>
                  </w:pPr>
                </w:p>
              </w:tc>
              <w:tc>
                <w:tcPr>
                  <w:tcW w:w="600" w:type="dxa"/>
                  <w:vMerge w:val="continue"/>
                  <w:shd w:val="clear" w:color="auto" w:fill="auto"/>
                  <w:vAlign w:val="center"/>
                </w:tcPr>
                <w:p w14:paraId="2266F8C9">
                  <w:pPr>
                    <w:pStyle w:val="40"/>
                    <w:keepNext w:val="0"/>
                    <w:keepLines w:val="0"/>
                    <w:suppressLineNumbers w:val="0"/>
                    <w:bidi w:val="0"/>
                    <w:spacing w:before="0" w:beforeAutospacing="0" w:after="0" w:afterAutospacing="0"/>
                    <w:rPr>
                      <w:rFonts w:hint="eastAsia"/>
                      <w:color w:val="0000FF"/>
                    </w:rPr>
                  </w:pPr>
                </w:p>
              </w:tc>
              <w:tc>
                <w:tcPr>
                  <w:tcW w:w="933" w:type="dxa"/>
                  <w:vMerge w:val="continue"/>
                  <w:shd w:val="clear" w:color="auto" w:fill="auto"/>
                  <w:vAlign w:val="center"/>
                </w:tcPr>
                <w:p w14:paraId="1ACB785D">
                  <w:pPr>
                    <w:pStyle w:val="40"/>
                    <w:keepNext w:val="0"/>
                    <w:keepLines w:val="0"/>
                    <w:suppressLineNumbers w:val="0"/>
                    <w:bidi w:val="0"/>
                    <w:spacing w:before="0" w:beforeAutospacing="0" w:after="0" w:afterAutospacing="0"/>
                    <w:rPr>
                      <w:rFonts w:hint="eastAsia"/>
                      <w:color w:val="0000FF"/>
                    </w:rPr>
                  </w:pPr>
                </w:p>
              </w:tc>
            </w:tr>
            <w:tr w14:paraId="622C7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204" w:hRule="atLeast"/>
                <w:jc w:val="center"/>
              </w:trPr>
              <w:tc>
                <w:tcPr>
                  <w:tcW w:w="577" w:type="dxa"/>
                  <w:vMerge w:val="restart"/>
                  <w:shd w:val="clear" w:color="auto" w:fill="auto"/>
                  <w:vAlign w:val="center"/>
                </w:tcPr>
                <w:p w14:paraId="2E6FBD93">
                  <w:pPr>
                    <w:pStyle w:val="40"/>
                    <w:keepNext w:val="0"/>
                    <w:keepLines w:val="0"/>
                    <w:suppressLineNumbers w:val="0"/>
                    <w:bidi w:val="0"/>
                    <w:spacing w:before="0" w:beforeAutospacing="0" w:after="0" w:afterAutospacing="0"/>
                    <w:rPr>
                      <w:rFonts w:hint="eastAsia"/>
                      <w:color w:val="0000FF"/>
                    </w:rPr>
                  </w:pPr>
                  <w:r>
                    <w:rPr>
                      <w:rFonts w:hint="eastAsia"/>
                      <w:color w:val="0000FF"/>
                      <w:lang w:val="en-US" w:eastAsia="zh-CN"/>
                    </w:rPr>
                    <w:t>无组织</w:t>
                  </w:r>
                </w:p>
              </w:tc>
              <w:tc>
                <w:tcPr>
                  <w:tcW w:w="750" w:type="dxa"/>
                  <w:vMerge w:val="restart"/>
                  <w:shd w:val="clear" w:color="auto" w:fill="auto"/>
                  <w:vAlign w:val="center"/>
                </w:tcPr>
                <w:p w14:paraId="545FAFA6">
                  <w:pPr>
                    <w:pStyle w:val="40"/>
                    <w:keepNext w:val="0"/>
                    <w:keepLines w:val="0"/>
                    <w:suppressLineNumbers w:val="0"/>
                    <w:bidi w:val="0"/>
                    <w:spacing w:before="0" w:beforeAutospacing="0" w:after="0" w:afterAutospacing="0"/>
                    <w:rPr>
                      <w:rFonts w:hint="default" w:eastAsia="宋体"/>
                      <w:color w:val="0000FF"/>
                      <w:lang w:val="en-US" w:eastAsia="zh-CN"/>
                    </w:rPr>
                  </w:pPr>
                  <w:r>
                    <w:rPr>
                      <w:rFonts w:hint="eastAsia"/>
                      <w:color w:val="0000FF"/>
                      <w:lang w:val="en-US" w:eastAsia="zh-CN"/>
                    </w:rPr>
                    <w:t>拆解车间</w:t>
                  </w:r>
                </w:p>
              </w:tc>
              <w:tc>
                <w:tcPr>
                  <w:tcW w:w="990" w:type="dxa"/>
                  <w:vMerge w:val="restart"/>
                  <w:shd w:val="clear" w:color="auto" w:fill="auto"/>
                  <w:vAlign w:val="center"/>
                </w:tcPr>
                <w:p w14:paraId="0F71FB34">
                  <w:pPr>
                    <w:pStyle w:val="40"/>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废钢铁件角磨、切割、剪切、打包；污水处理</w:t>
                  </w:r>
                </w:p>
              </w:tc>
              <w:tc>
                <w:tcPr>
                  <w:tcW w:w="1140" w:type="dxa"/>
                  <w:shd w:val="clear" w:color="auto" w:fill="auto"/>
                  <w:vAlign w:val="center"/>
                </w:tcPr>
                <w:p w14:paraId="77688672">
                  <w:pPr>
                    <w:pStyle w:val="40"/>
                    <w:keepNext w:val="0"/>
                    <w:keepLines w:val="0"/>
                    <w:suppressLineNumbers w:val="0"/>
                    <w:bidi w:val="0"/>
                    <w:spacing w:before="0" w:beforeAutospacing="0" w:after="0" w:afterAutospacing="0"/>
                    <w:rPr>
                      <w:rFonts w:hint="eastAsia" w:eastAsia="宋体"/>
                      <w:color w:val="0000FF"/>
                      <w:lang w:val="en-US" w:eastAsia="zh-CN"/>
                    </w:rPr>
                  </w:pPr>
                  <w:r>
                    <w:rPr>
                      <w:rFonts w:hint="eastAsia"/>
                      <w:color w:val="0000FF"/>
                      <w:lang w:val="en-US" w:eastAsia="zh-CN"/>
                    </w:rPr>
                    <w:t>颗粒物</w:t>
                  </w:r>
                </w:p>
              </w:tc>
              <w:tc>
                <w:tcPr>
                  <w:tcW w:w="870" w:type="dxa"/>
                  <w:shd w:val="clear" w:color="auto" w:fill="auto"/>
                  <w:vAlign w:val="center"/>
                </w:tcPr>
                <w:p w14:paraId="195193BD">
                  <w:pPr>
                    <w:pStyle w:val="40"/>
                    <w:keepNext w:val="0"/>
                    <w:keepLines w:val="0"/>
                    <w:suppressLineNumbers w:val="0"/>
                    <w:bidi w:val="0"/>
                    <w:spacing w:before="0" w:beforeAutospacing="0" w:after="0" w:afterAutospacing="0"/>
                    <w:rPr>
                      <w:rFonts w:hint="default" w:eastAsia="宋体"/>
                      <w:color w:val="0000FF"/>
                      <w:lang w:val="en-US" w:eastAsia="zh-CN"/>
                    </w:rPr>
                  </w:pPr>
                  <w:r>
                    <w:rPr>
                      <w:rFonts w:hint="eastAsia"/>
                      <w:color w:val="0000FF"/>
                      <w:lang w:val="en-US" w:eastAsia="zh-CN"/>
                    </w:rPr>
                    <w:t>0.009</w:t>
                  </w:r>
                </w:p>
              </w:tc>
              <w:tc>
                <w:tcPr>
                  <w:tcW w:w="885" w:type="dxa"/>
                  <w:shd w:val="clear" w:color="auto" w:fill="auto"/>
                  <w:vAlign w:val="center"/>
                </w:tcPr>
                <w:p w14:paraId="2B40FF48">
                  <w:pPr>
                    <w:pStyle w:val="40"/>
                    <w:keepNext w:val="0"/>
                    <w:keepLines w:val="0"/>
                    <w:suppressLineNumbers w:val="0"/>
                    <w:bidi w:val="0"/>
                    <w:spacing w:before="0" w:beforeAutospacing="0" w:after="0" w:afterAutospacing="0"/>
                    <w:rPr>
                      <w:rFonts w:hint="default" w:eastAsia="宋体"/>
                      <w:color w:val="0000FF"/>
                      <w:lang w:val="en-US" w:eastAsia="zh-CN"/>
                    </w:rPr>
                  </w:pPr>
                  <w:r>
                    <w:rPr>
                      <w:rFonts w:hint="eastAsia"/>
                      <w:color w:val="0000FF"/>
                      <w:lang w:val="en-US" w:eastAsia="zh-CN"/>
                    </w:rPr>
                    <w:t>0.026</w:t>
                  </w:r>
                </w:p>
              </w:tc>
              <w:tc>
                <w:tcPr>
                  <w:tcW w:w="840" w:type="dxa"/>
                  <w:shd w:val="clear" w:color="auto" w:fill="auto"/>
                  <w:vAlign w:val="center"/>
                </w:tcPr>
                <w:p w14:paraId="79F974FF">
                  <w:pPr>
                    <w:pStyle w:val="40"/>
                    <w:keepNext w:val="0"/>
                    <w:keepLines w:val="0"/>
                    <w:suppressLineNumbers w:val="0"/>
                    <w:bidi w:val="0"/>
                    <w:spacing w:before="0" w:beforeAutospacing="0" w:after="0" w:afterAutospacing="0"/>
                    <w:rPr>
                      <w:rFonts w:hint="default"/>
                      <w:color w:val="0000FF"/>
                      <w:lang w:val="en-US"/>
                    </w:rPr>
                  </w:pPr>
                  <w:r>
                    <w:rPr>
                      <w:rFonts w:hint="eastAsia"/>
                      <w:color w:val="0000FF"/>
                      <w:lang w:val="en-US" w:eastAsia="zh-CN"/>
                    </w:rPr>
                    <w:t>350</w:t>
                  </w:r>
                </w:p>
              </w:tc>
              <w:tc>
                <w:tcPr>
                  <w:tcW w:w="645" w:type="dxa"/>
                  <w:vMerge w:val="restart"/>
                  <w:shd w:val="clear" w:color="auto" w:fill="auto"/>
                  <w:vAlign w:val="center"/>
                </w:tcPr>
                <w:p w14:paraId="7907F383">
                  <w:pPr>
                    <w:pStyle w:val="40"/>
                    <w:keepNext w:val="0"/>
                    <w:keepLines w:val="0"/>
                    <w:suppressLineNumbers w:val="0"/>
                    <w:bidi w:val="0"/>
                    <w:spacing w:before="0" w:beforeAutospacing="0" w:after="0" w:afterAutospacing="0"/>
                    <w:rPr>
                      <w:rFonts w:hint="default"/>
                      <w:color w:val="0000FF"/>
                      <w:lang w:val="en-US"/>
                    </w:rPr>
                  </w:pPr>
                  <w:r>
                    <w:rPr>
                      <w:rFonts w:hint="eastAsia"/>
                      <w:color w:val="0000FF"/>
                      <w:lang w:val="en-US" w:eastAsia="zh-CN"/>
                    </w:rPr>
                    <w:t>42</w:t>
                  </w:r>
                </w:p>
              </w:tc>
              <w:tc>
                <w:tcPr>
                  <w:tcW w:w="540" w:type="dxa"/>
                  <w:vMerge w:val="restart"/>
                  <w:shd w:val="clear" w:color="auto" w:fill="auto"/>
                  <w:vAlign w:val="center"/>
                </w:tcPr>
                <w:p w14:paraId="1E639EFC">
                  <w:pPr>
                    <w:pStyle w:val="40"/>
                    <w:keepNext w:val="0"/>
                    <w:keepLines w:val="0"/>
                    <w:suppressLineNumbers w:val="0"/>
                    <w:bidi w:val="0"/>
                    <w:spacing w:before="0" w:beforeAutospacing="0" w:after="0" w:afterAutospacing="0"/>
                    <w:rPr>
                      <w:rFonts w:hint="default"/>
                      <w:color w:val="0000FF"/>
                      <w:lang w:val="en-US"/>
                    </w:rPr>
                  </w:pPr>
                  <w:r>
                    <w:rPr>
                      <w:rFonts w:hint="eastAsia"/>
                      <w:color w:val="0000FF"/>
                      <w:lang w:val="en-US" w:eastAsia="zh-CN"/>
                    </w:rPr>
                    <w:t>22</w:t>
                  </w:r>
                </w:p>
              </w:tc>
              <w:tc>
                <w:tcPr>
                  <w:tcW w:w="600" w:type="dxa"/>
                  <w:vMerge w:val="restart"/>
                  <w:shd w:val="clear" w:color="auto" w:fill="auto"/>
                  <w:vAlign w:val="center"/>
                </w:tcPr>
                <w:p w14:paraId="4E8AC2E6">
                  <w:pPr>
                    <w:pStyle w:val="40"/>
                    <w:keepNext w:val="0"/>
                    <w:keepLines w:val="0"/>
                    <w:suppressLineNumbers w:val="0"/>
                    <w:bidi w:val="0"/>
                    <w:spacing w:before="0" w:beforeAutospacing="0" w:after="0" w:afterAutospacing="0"/>
                    <w:rPr>
                      <w:rFonts w:hint="default"/>
                      <w:color w:val="0000FF"/>
                      <w:lang w:val="en-US"/>
                    </w:rPr>
                  </w:pPr>
                  <w:r>
                    <w:rPr>
                      <w:rFonts w:hint="eastAsia"/>
                      <w:color w:val="0000FF"/>
                      <w:lang w:val="en-US" w:eastAsia="zh-CN"/>
                    </w:rPr>
                    <w:t>8</w:t>
                  </w:r>
                </w:p>
              </w:tc>
              <w:tc>
                <w:tcPr>
                  <w:tcW w:w="933" w:type="dxa"/>
                  <w:shd w:val="clear" w:color="auto" w:fill="auto"/>
                  <w:vAlign w:val="center"/>
                </w:tcPr>
                <w:p w14:paraId="00226F61">
                  <w:pPr>
                    <w:pStyle w:val="40"/>
                    <w:keepNext w:val="0"/>
                    <w:keepLines w:val="0"/>
                    <w:suppressLineNumbers w:val="0"/>
                    <w:bidi w:val="0"/>
                    <w:spacing w:before="0" w:beforeAutospacing="0" w:after="0" w:afterAutospacing="0"/>
                    <w:rPr>
                      <w:rFonts w:hint="default"/>
                      <w:color w:val="0000FF"/>
                      <w:lang w:val="en-US"/>
                    </w:rPr>
                  </w:pPr>
                  <w:r>
                    <w:rPr>
                      <w:rFonts w:hint="eastAsia"/>
                      <w:color w:val="0000FF"/>
                      <w:lang w:val="en-US" w:eastAsia="zh-CN"/>
                    </w:rPr>
                    <w:t>1</w:t>
                  </w:r>
                </w:p>
              </w:tc>
            </w:tr>
            <w:tr w14:paraId="405D0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4" w:hRule="atLeast"/>
                <w:jc w:val="center"/>
              </w:trPr>
              <w:tc>
                <w:tcPr>
                  <w:tcW w:w="577" w:type="dxa"/>
                  <w:vMerge w:val="continue"/>
                  <w:shd w:val="clear" w:color="auto" w:fill="auto"/>
                  <w:vAlign w:val="center"/>
                </w:tcPr>
                <w:p w14:paraId="7DA2B915">
                  <w:pPr>
                    <w:pStyle w:val="40"/>
                    <w:keepNext w:val="0"/>
                    <w:keepLines w:val="0"/>
                    <w:suppressLineNumbers w:val="0"/>
                    <w:bidi w:val="0"/>
                    <w:spacing w:before="0" w:beforeAutospacing="0" w:after="0" w:afterAutospacing="0"/>
                    <w:rPr>
                      <w:rFonts w:hint="default"/>
                      <w:color w:val="0000FF"/>
                    </w:rPr>
                  </w:pPr>
                </w:p>
              </w:tc>
              <w:tc>
                <w:tcPr>
                  <w:tcW w:w="750" w:type="dxa"/>
                  <w:vMerge w:val="continue"/>
                  <w:shd w:val="clear" w:color="auto" w:fill="auto"/>
                  <w:vAlign w:val="center"/>
                </w:tcPr>
                <w:p w14:paraId="1008B6AD">
                  <w:pPr>
                    <w:pStyle w:val="40"/>
                    <w:keepNext w:val="0"/>
                    <w:keepLines w:val="0"/>
                    <w:suppressLineNumbers w:val="0"/>
                    <w:bidi w:val="0"/>
                    <w:spacing w:before="0" w:beforeAutospacing="0" w:after="0" w:afterAutospacing="0"/>
                    <w:rPr>
                      <w:rFonts w:hint="default"/>
                      <w:color w:val="0000FF"/>
                    </w:rPr>
                  </w:pPr>
                </w:p>
              </w:tc>
              <w:tc>
                <w:tcPr>
                  <w:tcW w:w="990" w:type="dxa"/>
                  <w:vMerge w:val="continue"/>
                  <w:shd w:val="clear" w:color="auto" w:fill="auto"/>
                  <w:vAlign w:val="center"/>
                </w:tcPr>
                <w:p w14:paraId="7771285C">
                  <w:pPr>
                    <w:pStyle w:val="40"/>
                    <w:keepNext w:val="0"/>
                    <w:keepLines w:val="0"/>
                    <w:suppressLineNumbers w:val="0"/>
                    <w:bidi w:val="0"/>
                    <w:spacing w:before="0" w:beforeAutospacing="0" w:after="0" w:afterAutospacing="0"/>
                    <w:rPr>
                      <w:rFonts w:hint="default"/>
                      <w:color w:val="0000FF"/>
                    </w:rPr>
                  </w:pPr>
                </w:p>
              </w:tc>
              <w:tc>
                <w:tcPr>
                  <w:tcW w:w="1140" w:type="dxa"/>
                  <w:shd w:val="clear" w:color="auto" w:fill="auto"/>
                  <w:vAlign w:val="center"/>
                </w:tcPr>
                <w:p w14:paraId="648BC63C">
                  <w:pPr>
                    <w:pStyle w:val="40"/>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color w:val="0000FF"/>
                      <w:spacing w:val="-2"/>
                      <w:kern w:val="2"/>
                      <w:sz w:val="21"/>
                      <w:szCs w:val="18"/>
                      <w:lang w:val="en-US" w:eastAsia="zh-CN" w:bidi="ar-SA"/>
                    </w:rPr>
                  </w:pPr>
                  <w:r>
                    <w:rPr>
                      <w:rFonts w:hint="eastAsia"/>
                      <w:color w:val="0000FF"/>
                      <w:lang w:val="en-US" w:eastAsia="zh-CN"/>
                    </w:rPr>
                    <w:t>臭气浓度</w:t>
                  </w:r>
                </w:p>
              </w:tc>
              <w:tc>
                <w:tcPr>
                  <w:tcW w:w="870" w:type="dxa"/>
                  <w:shd w:val="clear" w:color="auto" w:fill="auto"/>
                  <w:vAlign w:val="center"/>
                </w:tcPr>
                <w:p w14:paraId="14F49875">
                  <w:pPr>
                    <w:pStyle w:val="40"/>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color w:val="0000FF"/>
                      <w:spacing w:val="-2"/>
                      <w:kern w:val="2"/>
                      <w:sz w:val="21"/>
                      <w:szCs w:val="18"/>
                      <w:lang w:val="en-US" w:eastAsia="zh-CN" w:bidi="ar-SA"/>
                    </w:rPr>
                  </w:pPr>
                  <w:r>
                    <w:rPr>
                      <w:rFonts w:hint="eastAsia"/>
                      <w:color w:val="0000FF"/>
                      <w:lang w:val="en-US" w:eastAsia="zh-CN"/>
                    </w:rPr>
                    <w:t>少量</w:t>
                  </w:r>
                </w:p>
              </w:tc>
              <w:tc>
                <w:tcPr>
                  <w:tcW w:w="885" w:type="dxa"/>
                  <w:shd w:val="clear" w:color="auto" w:fill="auto"/>
                  <w:vAlign w:val="center"/>
                </w:tcPr>
                <w:p w14:paraId="1EC5BF2C">
                  <w:pPr>
                    <w:pStyle w:val="40"/>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color w:val="0000FF"/>
                      <w:spacing w:val="-2"/>
                      <w:kern w:val="2"/>
                      <w:sz w:val="21"/>
                      <w:szCs w:val="18"/>
                      <w:lang w:val="en-US" w:eastAsia="zh-CN" w:bidi="ar-SA"/>
                    </w:rPr>
                  </w:pPr>
                  <w:r>
                    <w:rPr>
                      <w:rFonts w:hint="eastAsia"/>
                      <w:color w:val="0000FF"/>
                      <w:lang w:val="en-US" w:eastAsia="zh-CN"/>
                    </w:rPr>
                    <w:t>少量</w:t>
                  </w:r>
                </w:p>
              </w:tc>
              <w:tc>
                <w:tcPr>
                  <w:tcW w:w="840" w:type="dxa"/>
                  <w:shd w:val="clear" w:color="auto" w:fill="auto"/>
                  <w:vAlign w:val="center"/>
                </w:tcPr>
                <w:p w14:paraId="72A41F13">
                  <w:pPr>
                    <w:pStyle w:val="40"/>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2800</w:t>
                  </w:r>
                </w:p>
              </w:tc>
              <w:tc>
                <w:tcPr>
                  <w:tcW w:w="645" w:type="dxa"/>
                  <w:vMerge w:val="continue"/>
                  <w:shd w:val="clear" w:color="auto" w:fill="auto"/>
                  <w:vAlign w:val="center"/>
                </w:tcPr>
                <w:p w14:paraId="3492CE4A">
                  <w:pPr>
                    <w:pStyle w:val="40"/>
                    <w:keepNext w:val="0"/>
                    <w:keepLines w:val="0"/>
                    <w:suppressLineNumbers w:val="0"/>
                    <w:bidi w:val="0"/>
                    <w:spacing w:before="0" w:beforeAutospacing="0" w:after="0" w:afterAutospacing="0"/>
                    <w:rPr>
                      <w:rFonts w:hint="eastAsia"/>
                      <w:color w:val="0000FF"/>
                      <w:lang w:val="en-US" w:eastAsia="zh-CN"/>
                    </w:rPr>
                  </w:pPr>
                </w:p>
              </w:tc>
              <w:tc>
                <w:tcPr>
                  <w:tcW w:w="540" w:type="dxa"/>
                  <w:vMerge w:val="continue"/>
                  <w:shd w:val="clear" w:color="auto" w:fill="auto"/>
                  <w:vAlign w:val="center"/>
                </w:tcPr>
                <w:p w14:paraId="17BDBBDF">
                  <w:pPr>
                    <w:pStyle w:val="40"/>
                    <w:keepNext w:val="0"/>
                    <w:keepLines w:val="0"/>
                    <w:suppressLineNumbers w:val="0"/>
                    <w:bidi w:val="0"/>
                    <w:spacing w:before="0" w:beforeAutospacing="0" w:after="0" w:afterAutospacing="0"/>
                    <w:rPr>
                      <w:rFonts w:hint="eastAsia"/>
                      <w:color w:val="0000FF"/>
                      <w:lang w:val="en-US" w:eastAsia="zh-CN"/>
                    </w:rPr>
                  </w:pPr>
                </w:p>
              </w:tc>
              <w:tc>
                <w:tcPr>
                  <w:tcW w:w="600" w:type="dxa"/>
                  <w:vMerge w:val="continue"/>
                  <w:shd w:val="clear" w:color="auto" w:fill="auto"/>
                  <w:vAlign w:val="center"/>
                </w:tcPr>
                <w:p w14:paraId="433B71D8">
                  <w:pPr>
                    <w:pStyle w:val="40"/>
                    <w:keepNext w:val="0"/>
                    <w:keepLines w:val="0"/>
                    <w:suppressLineNumbers w:val="0"/>
                    <w:bidi w:val="0"/>
                    <w:spacing w:before="0" w:beforeAutospacing="0" w:after="0" w:afterAutospacing="0"/>
                    <w:rPr>
                      <w:rFonts w:hint="eastAsia"/>
                      <w:color w:val="0000FF"/>
                      <w:lang w:val="en-US" w:eastAsia="zh-CN"/>
                    </w:rPr>
                  </w:pPr>
                </w:p>
              </w:tc>
              <w:tc>
                <w:tcPr>
                  <w:tcW w:w="933" w:type="dxa"/>
                  <w:shd w:val="clear" w:color="auto" w:fill="auto"/>
                  <w:vAlign w:val="center"/>
                </w:tcPr>
                <w:p w14:paraId="5FA01288">
                  <w:pPr>
                    <w:pStyle w:val="40"/>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20（无量纲）</w:t>
                  </w:r>
                </w:p>
              </w:tc>
            </w:tr>
          </w:tbl>
          <w:p w14:paraId="213FBDB2">
            <w:pPr>
              <w:pStyle w:val="39"/>
              <w:keepNext w:val="0"/>
              <w:keepLines w:val="0"/>
              <w:suppressLineNumbers w:val="0"/>
              <w:bidi w:val="0"/>
              <w:spacing w:before="0" w:beforeAutospacing="0" w:after="0" w:afterAutospacing="0"/>
              <w:ind w:left="0" w:right="0"/>
              <w:jc w:val="center"/>
              <w:rPr>
                <w:rFonts w:hint="default"/>
                <w:color w:val="0000FF"/>
              </w:rPr>
            </w:pPr>
            <w:r>
              <w:rPr>
                <w:rFonts w:hint="default"/>
                <w:color w:val="0000FF"/>
              </w:rPr>
              <w:t>表</w:t>
            </w:r>
            <w:r>
              <w:rPr>
                <w:rFonts w:hint="eastAsia"/>
                <w:color w:val="0000FF"/>
              </w:rPr>
              <w:t>4-</w:t>
            </w:r>
            <w:r>
              <w:rPr>
                <w:rFonts w:hint="eastAsia"/>
                <w:color w:val="0000FF"/>
                <w:lang w:val="en-US" w:eastAsia="zh-CN"/>
              </w:rPr>
              <w:t xml:space="preserve">3  </w:t>
            </w:r>
            <w:r>
              <w:rPr>
                <w:rFonts w:hint="eastAsia"/>
                <w:color w:val="0000FF"/>
              </w:rPr>
              <w:t>本项目</w:t>
            </w:r>
            <w:r>
              <w:rPr>
                <w:rFonts w:hint="default"/>
                <w:color w:val="0000FF"/>
              </w:rPr>
              <w:t>有组织废气排放口基本信息一览表</w:t>
            </w:r>
          </w:p>
          <w:tbl>
            <w:tblPr>
              <w:tblStyle w:val="19"/>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03"/>
              <w:gridCol w:w="537"/>
              <w:gridCol w:w="570"/>
              <w:gridCol w:w="733"/>
              <w:gridCol w:w="739"/>
              <w:gridCol w:w="716"/>
              <w:gridCol w:w="530"/>
              <w:gridCol w:w="728"/>
              <w:gridCol w:w="435"/>
              <w:gridCol w:w="596"/>
              <w:gridCol w:w="1274"/>
              <w:gridCol w:w="739"/>
              <w:gridCol w:w="772"/>
            </w:tblGrid>
            <w:tr w14:paraId="17E0DC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229" w:type="pct"/>
                  <w:vMerge w:val="restart"/>
                  <w:noWrap w:val="0"/>
                  <w:vAlign w:val="center"/>
                </w:tcPr>
                <w:p w14:paraId="75E06B06">
                  <w:pPr>
                    <w:pStyle w:val="40"/>
                    <w:keepNext w:val="0"/>
                    <w:keepLines w:val="0"/>
                    <w:suppressLineNumbers w:val="0"/>
                    <w:bidi w:val="0"/>
                    <w:spacing w:before="0" w:beforeAutospacing="0" w:after="0" w:afterAutospacing="0"/>
                    <w:jc w:val="center"/>
                    <w:rPr>
                      <w:rFonts w:hint="default"/>
                      <w:b/>
                      <w:bCs/>
                      <w:color w:val="0000FF"/>
                      <w:lang w:val="en-US" w:eastAsia="zh-CN"/>
                    </w:rPr>
                  </w:pPr>
                  <w:r>
                    <w:rPr>
                      <w:rFonts w:hint="default"/>
                      <w:b/>
                      <w:bCs/>
                      <w:color w:val="0000FF"/>
                      <w:lang w:val="en-US" w:eastAsia="zh-CN"/>
                    </w:rPr>
                    <w:t>序号</w:t>
                  </w:r>
                </w:p>
              </w:tc>
              <w:tc>
                <w:tcPr>
                  <w:tcW w:w="306" w:type="pct"/>
                  <w:vMerge w:val="restart"/>
                  <w:noWrap w:val="0"/>
                  <w:vAlign w:val="center"/>
                </w:tcPr>
                <w:p w14:paraId="21725499">
                  <w:pPr>
                    <w:pStyle w:val="40"/>
                    <w:keepNext w:val="0"/>
                    <w:keepLines w:val="0"/>
                    <w:suppressLineNumbers w:val="0"/>
                    <w:bidi w:val="0"/>
                    <w:spacing w:before="0" w:beforeAutospacing="0" w:after="0" w:afterAutospacing="0"/>
                    <w:jc w:val="center"/>
                    <w:rPr>
                      <w:rFonts w:hint="default"/>
                      <w:b/>
                      <w:bCs/>
                      <w:color w:val="0000FF"/>
                      <w:lang w:val="en-US" w:eastAsia="zh-CN"/>
                    </w:rPr>
                  </w:pPr>
                  <w:r>
                    <w:rPr>
                      <w:rFonts w:hint="default"/>
                      <w:b/>
                      <w:bCs/>
                      <w:color w:val="0000FF"/>
                      <w:lang w:val="en-US" w:eastAsia="zh-CN"/>
                    </w:rPr>
                    <w:t>排放口编号</w:t>
                  </w:r>
                </w:p>
              </w:tc>
              <w:tc>
                <w:tcPr>
                  <w:tcW w:w="324" w:type="pct"/>
                  <w:vMerge w:val="restart"/>
                  <w:noWrap w:val="0"/>
                  <w:vAlign w:val="center"/>
                </w:tcPr>
                <w:p w14:paraId="40E85887">
                  <w:pPr>
                    <w:pStyle w:val="40"/>
                    <w:keepNext w:val="0"/>
                    <w:keepLines w:val="0"/>
                    <w:suppressLineNumbers w:val="0"/>
                    <w:bidi w:val="0"/>
                    <w:spacing w:before="0" w:beforeAutospacing="0" w:after="0" w:afterAutospacing="0"/>
                    <w:jc w:val="center"/>
                    <w:rPr>
                      <w:rFonts w:hint="default"/>
                      <w:b/>
                      <w:bCs/>
                      <w:color w:val="0000FF"/>
                      <w:lang w:val="en-US" w:eastAsia="zh-CN"/>
                    </w:rPr>
                  </w:pPr>
                  <w:r>
                    <w:rPr>
                      <w:rFonts w:hint="default"/>
                      <w:b/>
                      <w:bCs/>
                      <w:color w:val="0000FF"/>
                      <w:lang w:val="en-US" w:eastAsia="zh-CN"/>
                    </w:rPr>
                    <w:t>排放口名称</w:t>
                  </w:r>
                </w:p>
              </w:tc>
              <w:tc>
                <w:tcPr>
                  <w:tcW w:w="417" w:type="pct"/>
                  <w:vMerge w:val="restart"/>
                  <w:noWrap w:val="0"/>
                  <w:vAlign w:val="center"/>
                </w:tcPr>
                <w:p w14:paraId="25251A6E">
                  <w:pPr>
                    <w:pStyle w:val="40"/>
                    <w:keepNext w:val="0"/>
                    <w:keepLines w:val="0"/>
                    <w:suppressLineNumbers w:val="0"/>
                    <w:bidi w:val="0"/>
                    <w:spacing w:before="0" w:beforeAutospacing="0" w:after="0" w:afterAutospacing="0"/>
                    <w:jc w:val="center"/>
                    <w:rPr>
                      <w:rFonts w:hint="default"/>
                      <w:b/>
                      <w:bCs/>
                      <w:color w:val="0000FF"/>
                      <w:lang w:val="en-US" w:eastAsia="zh-CN"/>
                    </w:rPr>
                  </w:pPr>
                  <w:r>
                    <w:rPr>
                      <w:rFonts w:hint="default"/>
                      <w:b/>
                      <w:bCs/>
                      <w:color w:val="0000FF"/>
                      <w:lang w:val="en-US" w:eastAsia="zh-CN"/>
                    </w:rPr>
                    <w:t>污染物种类</w:t>
                  </w:r>
                </w:p>
              </w:tc>
              <w:tc>
                <w:tcPr>
                  <w:tcW w:w="829" w:type="pct"/>
                  <w:gridSpan w:val="2"/>
                  <w:noWrap w:val="0"/>
                  <w:vAlign w:val="center"/>
                </w:tcPr>
                <w:p w14:paraId="5DB383CF">
                  <w:pPr>
                    <w:pStyle w:val="40"/>
                    <w:keepNext w:val="0"/>
                    <w:keepLines w:val="0"/>
                    <w:suppressLineNumbers w:val="0"/>
                    <w:bidi w:val="0"/>
                    <w:spacing w:before="0" w:beforeAutospacing="0" w:after="0" w:afterAutospacing="0"/>
                    <w:jc w:val="center"/>
                    <w:rPr>
                      <w:rFonts w:hint="default"/>
                      <w:b/>
                      <w:bCs/>
                      <w:color w:val="0000FF"/>
                      <w:lang w:val="en-US" w:eastAsia="zh-CN"/>
                    </w:rPr>
                  </w:pPr>
                  <w:r>
                    <w:rPr>
                      <w:rFonts w:hint="default"/>
                      <w:b/>
                      <w:bCs/>
                      <w:color w:val="0000FF"/>
                      <w:lang w:val="en-US" w:eastAsia="zh-CN"/>
                    </w:rPr>
                    <w:t>排放口地理坐标</w:t>
                  </w:r>
                </w:p>
              </w:tc>
              <w:tc>
                <w:tcPr>
                  <w:tcW w:w="302" w:type="pct"/>
                  <w:vMerge w:val="restart"/>
                  <w:noWrap w:val="0"/>
                  <w:vAlign w:val="center"/>
                </w:tcPr>
                <w:p w14:paraId="3C50FE09">
                  <w:pPr>
                    <w:pStyle w:val="40"/>
                    <w:keepNext w:val="0"/>
                    <w:keepLines w:val="0"/>
                    <w:suppressLineNumbers w:val="0"/>
                    <w:bidi w:val="0"/>
                    <w:spacing w:before="0" w:beforeAutospacing="0" w:after="0" w:afterAutospacing="0"/>
                    <w:jc w:val="center"/>
                    <w:rPr>
                      <w:rFonts w:hint="default"/>
                      <w:b/>
                      <w:bCs/>
                      <w:color w:val="0000FF"/>
                      <w:lang w:val="en-US" w:eastAsia="zh-CN"/>
                    </w:rPr>
                  </w:pPr>
                  <w:r>
                    <w:rPr>
                      <w:rFonts w:hint="default"/>
                      <w:b/>
                      <w:bCs/>
                      <w:color w:val="0000FF"/>
                      <w:lang w:val="en-US" w:eastAsia="zh-CN"/>
                    </w:rPr>
                    <w:t>排气筒高度（m）</w:t>
                  </w:r>
                </w:p>
              </w:tc>
              <w:tc>
                <w:tcPr>
                  <w:tcW w:w="414" w:type="pct"/>
                  <w:vMerge w:val="restart"/>
                  <w:noWrap w:val="0"/>
                  <w:vAlign w:val="center"/>
                </w:tcPr>
                <w:p w14:paraId="09C710CC">
                  <w:pPr>
                    <w:pStyle w:val="40"/>
                    <w:keepNext w:val="0"/>
                    <w:keepLines w:val="0"/>
                    <w:suppressLineNumbers w:val="0"/>
                    <w:bidi w:val="0"/>
                    <w:spacing w:before="0" w:beforeAutospacing="0" w:after="0" w:afterAutospacing="0"/>
                    <w:jc w:val="center"/>
                    <w:rPr>
                      <w:rFonts w:hint="default"/>
                      <w:b/>
                      <w:bCs/>
                      <w:color w:val="0000FF"/>
                      <w:lang w:val="en-US" w:eastAsia="zh-CN"/>
                    </w:rPr>
                  </w:pPr>
                  <w:r>
                    <w:rPr>
                      <w:rFonts w:hint="default"/>
                      <w:b/>
                      <w:bCs/>
                      <w:color w:val="0000FF"/>
                      <w:lang w:val="en-US" w:eastAsia="zh-CN"/>
                    </w:rPr>
                    <w:t>排气筒出口内径（m）</w:t>
                  </w:r>
                </w:p>
              </w:tc>
              <w:tc>
                <w:tcPr>
                  <w:tcW w:w="247" w:type="pct"/>
                  <w:vMerge w:val="restart"/>
                  <w:noWrap w:val="0"/>
                  <w:vAlign w:val="center"/>
                </w:tcPr>
                <w:p w14:paraId="5C082513">
                  <w:pPr>
                    <w:pStyle w:val="40"/>
                    <w:keepNext w:val="0"/>
                    <w:keepLines w:val="0"/>
                    <w:suppressLineNumbers w:val="0"/>
                    <w:bidi w:val="0"/>
                    <w:spacing w:before="0" w:beforeAutospacing="0" w:after="0" w:afterAutospacing="0"/>
                    <w:jc w:val="center"/>
                    <w:rPr>
                      <w:rFonts w:hint="default"/>
                      <w:b/>
                      <w:bCs/>
                      <w:color w:val="0000FF"/>
                      <w:lang w:val="en-US" w:eastAsia="zh-CN"/>
                    </w:rPr>
                  </w:pPr>
                  <w:r>
                    <w:rPr>
                      <w:rFonts w:hint="default"/>
                      <w:b/>
                      <w:bCs/>
                      <w:color w:val="0000FF"/>
                      <w:lang w:val="en-US" w:eastAsia="zh-CN"/>
                    </w:rPr>
                    <w:t>排气温度（℃）</w:t>
                  </w:r>
                </w:p>
              </w:tc>
              <w:tc>
                <w:tcPr>
                  <w:tcW w:w="339" w:type="pct"/>
                  <w:vMerge w:val="restart"/>
                  <w:noWrap w:val="0"/>
                  <w:vAlign w:val="center"/>
                </w:tcPr>
                <w:p w14:paraId="0E511388">
                  <w:pPr>
                    <w:pStyle w:val="40"/>
                    <w:keepNext w:val="0"/>
                    <w:keepLines w:val="0"/>
                    <w:suppressLineNumbers w:val="0"/>
                    <w:bidi w:val="0"/>
                    <w:spacing w:before="0" w:beforeAutospacing="0" w:after="0" w:afterAutospacing="0"/>
                    <w:jc w:val="center"/>
                    <w:rPr>
                      <w:rFonts w:hint="default"/>
                      <w:b/>
                      <w:bCs/>
                      <w:color w:val="0000FF"/>
                      <w:lang w:val="en-US" w:eastAsia="zh-CN"/>
                    </w:rPr>
                  </w:pPr>
                  <w:r>
                    <w:rPr>
                      <w:rFonts w:hint="default"/>
                      <w:b/>
                      <w:bCs/>
                      <w:color w:val="0000FF"/>
                      <w:lang w:val="en-US" w:eastAsia="zh-CN"/>
                    </w:rPr>
                    <w:t>排放口类型</w:t>
                  </w:r>
                </w:p>
              </w:tc>
              <w:tc>
                <w:tcPr>
                  <w:tcW w:w="726" w:type="pct"/>
                  <w:vMerge w:val="restart"/>
                  <w:noWrap w:val="0"/>
                  <w:vAlign w:val="center"/>
                </w:tcPr>
                <w:p w14:paraId="1768B2D0">
                  <w:pPr>
                    <w:pStyle w:val="40"/>
                    <w:keepNext w:val="0"/>
                    <w:keepLines w:val="0"/>
                    <w:suppressLineNumbers w:val="0"/>
                    <w:bidi w:val="0"/>
                    <w:spacing w:before="0" w:beforeAutospacing="0" w:after="0" w:afterAutospacing="0"/>
                    <w:jc w:val="center"/>
                    <w:rPr>
                      <w:rFonts w:hint="default"/>
                      <w:b/>
                      <w:bCs/>
                      <w:color w:val="0000FF"/>
                      <w:lang w:val="en-US" w:eastAsia="zh-CN"/>
                    </w:rPr>
                  </w:pPr>
                  <w:r>
                    <w:rPr>
                      <w:rFonts w:hint="default"/>
                      <w:b/>
                      <w:bCs/>
                      <w:color w:val="0000FF"/>
                      <w:lang w:val="en-US" w:eastAsia="zh-CN"/>
                    </w:rPr>
                    <w:t>执行标准</w:t>
                  </w:r>
                </w:p>
              </w:tc>
              <w:tc>
                <w:tcPr>
                  <w:tcW w:w="861" w:type="pct"/>
                  <w:gridSpan w:val="2"/>
                  <w:noWrap w:val="0"/>
                  <w:vAlign w:val="center"/>
                </w:tcPr>
                <w:p w14:paraId="25F8423A">
                  <w:pPr>
                    <w:pStyle w:val="40"/>
                    <w:keepNext w:val="0"/>
                    <w:keepLines w:val="0"/>
                    <w:suppressLineNumbers w:val="0"/>
                    <w:bidi w:val="0"/>
                    <w:spacing w:before="0" w:beforeAutospacing="0" w:after="0" w:afterAutospacing="0"/>
                    <w:jc w:val="center"/>
                    <w:rPr>
                      <w:rFonts w:hint="default"/>
                      <w:b/>
                      <w:bCs/>
                      <w:color w:val="0000FF"/>
                      <w:lang w:val="en-US" w:eastAsia="zh-CN"/>
                    </w:rPr>
                  </w:pPr>
                  <w:r>
                    <w:rPr>
                      <w:rFonts w:hint="default"/>
                      <w:b/>
                      <w:bCs/>
                      <w:color w:val="0000FF"/>
                      <w:lang w:val="en-US" w:eastAsia="zh-CN"/>
                    </w:rPr>
                    <w:t>限值</w:t>
                  </w:r>
                </w:p>
              </w:tc>
            </w:tr>
            <w:tr w14:paraId="20F6D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blHeader/>
                <w:jc w:val="center"/>
              </w:trPr>
              <w:tc>
                <w:tcPr>
                  <w:tcW w:w="229" w:type="pct"/>
                  <w:vMerge w:val="continue"/>
                  <w:noWrap w:val="0"/>
                  <w:vAlign w:val="center"/>
                </w:tcPr>
                <w:p w14:paraId="5D7CE02F">
                  <w:pPr>
                    <w:pStyle w:val="40"/>
                    <w:keepNext w:val="0"/>
                    <w:keepLines w:val="0"/>
                    <w:suppressLineNumbers w:val="0"/>
                    <w:bidi w:val="0"/>
                    <w:spacing w:before="0" w:beforeAutospacing="0" w:after="0" w:afterAutospacing="0"/>
                    <w:jc w:val="center"/>
                    <w:rPr>
                      <w:rFonts w:hint="default"/>
                      <w:b/>
                      <w:bCs/>
                      <w:color w:val="0000FF"/>
                      <w:lang w:val="en-US" w:eastAsia="zh-CN"/>
                    </w:rPr>
                  </w:pPr>
                </w:p>
              </w:tc>
              <w:tc>
                <w:tcPr>
                  <w:tcW w:w="306" w:type="pct"/>
                  <w:vMerge w:val="continue"/>
                  <w:noWrap w:val="0"/>
                  <w:vAlign w:val="center"/>
                </w:tcPr>
                <w:p w14:paraId="2F6F4615">
                  <w:pPr>
                    <w:pStyle w:val="40"/>
                    <w:keepNext w:val="0"/>
                    <w:keepLines w:val="0"/>
                    <w:suppressLineNumbers w:val="0"/>
                    <w:bidi w:val="0"/>
                    <w:spacing w:before="0" w:beforeAutospacing="0" w:after="0" w:afterAutospacing="0"/>
                    <w:jc w:val="center"/>
                    <w:rPr>
                      <w:rFonts w:hint="default"/>
                      <w:b/>
                      <w:bCs/>
                      <w:color w:val="0000FF"/>
                      <w:lang w:val="en-US" w:eastAsia="zh-CN"/>
                    </w:rPr>
                  </w:pPr>
                </w:p>
              </w:tc>
              <w:tc>
                <w:tcPr>
                  <w:tcW w:w="324" w:type="pct"/>
                  <w:vMerge w:val="continue"/>
                  <w:noWrap w:val="0"/>
                  <w:vAlign w:val="center"/>
                </w:tcPr>
                <w:p w14:paraId="2D384D0F">
                  <w:pPr>
                    <w:pStyle w:val="40"/>
                    <w:keepNext w:val="0"/>
                    <w:keepLines w:val="0"/>
                    <w:suppressLineNumbers w:val="0"/>
                    <w:bidi w:val="0"/>
                    <w:spacing w:before="0" w:beforeAutospacing="0" w:after="0" w:afterAutospacing="0"/>
                    <w:jc w:val="center"/>
                    <w:rPr>
                      <w:rFonts w:hint="default"/>
                      <w:b/>
                      <w:bCs/>
                      <w:color w:val="0000FF"/>
                      <w:lang w:val="en-US" w:eastAsia="zh-CN"/>
                    </w:rPr>
                  </w:pPr>
                </w:p>
              </w:tc>
              <w:tc>
                <w:tcPr>
                  <w:tcW w:w="417" w:type="pct"/>
                  <w:vMerge w:val="continue"/>
                  <w:noWrap w:val="0"/>
                  <w:vAlign w:val="center"/>
                </w:tcPr>
                <w:p w14:paraId="0CCCCBA0">
                  <w:pPr>
                    <w:pStyle w:val="40"/>
                    <w:keepNext w:val="0"/>
                    <w:keepLines w:val="0"/>
                    <w:suppressLineNumbers w:val="0"/>
                    <w:bidi w:val="0"/>
                    <w:spacing w:before="0" w:beforeAutospacing="0" w:after="0" w:afterAutospacing="0"/>
                    <w:jc w:val="center"/>
                    <w:rPr>
                      <w:rFonts w:hint="default"/>
                      <w:b/>
                      <w:bCs/>
                      <w:color w:val="0000FF"/>
                      <w:lang w:val="en-US" w:eastAsia="zh-CN"/>
                    </w:rPr>
                  </w:pPr>
                </w:p>
              </w:tc>
              <w:tc>
                <w:tcPr>
                  <w:tcW w:w="421" w:type="pct"/>
                  <w:noWrap w:val="0"/>
                  <w:vAlign w:val="center"/>
                </w:tcPr>
                <w:p w14:paraId="1F96260E">
                  <w:pPr>
                    <w:pStyle w:val="40"/>
                    <w:keepNext w:val="0"/>
                    <w:keepLines w:val="0"/>
                    <w:suppressLineNumbers w:val="0"/>
                    <w:bidi w:val="0"/>
                    <w:spacing w:before="0" w:beforeAutospacing="0" w:after="0" w:afterAutospacing="0"/>
                    <w:jc w:val="center"/>
                    <w:rPr>
                      <w:rFonts w:hint="default"/>
                      <w:b/>
                      <w:bCs/>
                      <w:color w:val="0000FF"/>
                      <w:lang w:val="en-US" w:eastAsia="zh-CN"/>
                    </w:rPr>
                  </w:pPr>
                  <w:r>
                    <w:rPr>
                      <w:rFonts w:hint="default"/>
                      <w:b/>
                      <w:bCs/>
                      <w:color w:val="0000FF"/>
                      <w:lang w:val="en-US" w:eastAsia="zh-CN"/>
                    </w:rPr>
                    <w:t>经度</w:t>
                  </w:r>
                </w:p>
              </w:tc>
              <w:tc>
                <w:tcPr>
                  <w:tcW w:w="408" w:type="pct"/>
                  <w:noWrap w:val="0"/>
                  <w:vAlign w:val="center"/>
                </w:tcPr>
                <w:p w14:paraId="7B4DA7E8">
                  <w:pPr>
                    <w:pStyle w:val="40"/>
                    <w:keepNext w:val="0"/>
                    <w:keepLines w:val="0"/>
                    <w:suppressLineNumbers w:val="0"/>
                    <w:bidi w:val="0"/>
                    <w:spacing w:before="0" w:beforeAutospacing="0" w:after="0" w:afterAutospacing="0"/>
                    <w:jc w:val="center"/>
                    <w:rPr>
                      <w:rFonts w:hint="default"/>
                      <w:b/>
                      <w:bCs/>
                      <w:color w:val="0000FF"/>
                      <w:lang w:val="en-US" w:eastAsia="zh-CN"/>
                    </w:rPr>
                  </w:pPr>
                  <w:r>
                    <w:rPr>
                      <w:rFonts w:hint="default"/>
                      <w:b/>
                      <w:bCs/>
                      <w:color w:val="0000FF"/>
                      <w:lang w:val="en-US" w:eastAsia="zh-CN"/>
                    </w:rPr>
                    <w:t>纬度</w:t>
                  </w:r>
                </w:p>
              </w:tc>
              <w:tc>
                <w:tcPr>
                  <w:tcW w:w="302" w:type="pct"/>
                  <w:vMerge w:val="continue"/>
                  <w:noWrap w:val="0"/>
                  <w:vAlign w:val="center"/>
                </w:tcPr>
                <w:p w14:paraId="16CB3580">
                  <w:pPr>
                    <w:pStyle w:val="40"/>
                    <w:keepNext w:val="0"/>
                    <w:keepLines w:val="0"/>
                    <w:suppressLineNumbers w:val="0"/>
                    <w:bidi w:val="0"/>
                    <w:spacing w:before="0" w:beforeAutospacing="0" w:after="0" w:afterAutospacing="0"/>
                    <w:jc w:val="center"/>
                    <w:rPr>
                      <w:rFonts w:hint="default"/>
                      <w:b/>
                      <w:bCs/>
                      <w:color w:val="0000FF"/>
                      <w:lang w:val="en-US" w:eastAsia="zh-CN"/>
                    </w:rPr>
                  </w:pPr>
                </w:p>
              </w:tc>
              <w:tc>
                <w:tcPr>
                  <w:tcW w:w="414" w:type="pct"/>
                  <w:vMerge w:val="continue"/>
                  <w:noWrap w:val="0"/>
                  <w:vAlign w:val="center"/>
                </w:tcPr>
                <w:p w14:paraId="00691771">
                  <w:pPr>
                    <w:pStyle w:val="40"/>
                    <w:keepNext w:val="0"/>
                    <w:keepLines w:val="0"/>
                    <w:suppressLineNumbers w:val="0"/>
                    <w:bidi w:val="0"/>
                    <w:spacing w:before="0" w:beforeAutospacing="0" w:after="0" w:afterAutospacing="0"/>
                    <w:jc w:val="center"/>
                    <w:rPr>
                      <w:rFonts w:hint="default"/>
                      <w:b/>
                      <w:bCs/>
                      <w:color w:val="0000FF"/>
                      <w:lang w:val="en-US" w:eastAsia="zh-CN"/>
                    </w:rPr>
                  </w:pPr>
                </w:p>
              </w:tc>
              <w:tc>
                <w:tcPr>
                  <w:tcW w:w="247" w:type="pct"/>
                  <w:vMerge w:val="continue"/>
                  <w:noWrap w:val="0"/>
                  <w:vAlign w:val="center"/>
                </w:tcPr>
                <w:p w14:paraId="77F5239B">
                  <w:pPr>
                    <w:pStyle w:val="40"/>
                    <w:keepNext w:val="0"/>
                    <w:keepLines w:val="0"/>
                    <w:suppressLineNumbers w:val="0"/>
                    <w:bidi w:val="0"/>
                    <w:spacing w:before="0" w:beforeAutospacing="0" w:after="0" w:afterAutospacing="0"/>
                    <w:jc w:val="center"/>
                    <w:rPr>
                      <w:rFonts w:hint="default"/>
                      <w:b/>
                      <w:bCs/>
                      <w:color w:val="0000FF"/>
                      <w:lang w:val="en-US" w:eastAsia="zh-CN"/>
                    </w:rPr>
                  </w:pPr>
                </w:p>
              </w:tc>
              <w:tc>
                <w:tcPr>
                  <w:tcW w:w="339" w:type="pct"/>
                  <w:vMerge w:val="continue"/>
                  <w:noWrap w:val="0"/>
                  <w:vAlign w:val="center"/>
                </w:tcPr>
                <w:p w14:paraId="52034167">
                  <w:pPr>
                    <w:pStyle w:val="40"/>
                    <w:keepNext w:val="0"/>
                    <w:keepLines w:val="0"/>
                    <w:suppressLineNumbers w:val="0"/>
                    <w:bidi w:val="0"/>
                    <w:spacing w:before="0" w:beforeAutospacing="0" w:after="0" w:afterAutospacing="0"/>
                    <w:jc w:val="center"/>
                    <w:rPr>
                      <w:rFonts w:hint="default"/>
                      <w:b/>
                      <w:bCs/>
                      <w:color w:val="0000FF"/>
                      <w:lang w:val="en-US" w:eastAsia="zh-CN"/>
                    </w:rPr>
                  </w:pPr>
                </w:p>
              </w:tc>
              <w:tc>
                <w:tcPr>
                  <w:tcW w:w="726" w:type="pct"/>
                  <w:vMerge w:val="continue"/>
                  <w:noWrap w:val="0"/>
                  <w:vAlign w:val="center"/>
                </w:tcPr>
                <w:p w14:paraId="48F936FA">
                  <w:pPr>
                    <w:pStyle w:val="40"/>
                    <w:keepNext w:val="0"/>
                    <w:keepLines w:val="0"/>
                    <w:suppressLineNumbers w:val="0"/>
                    <w:bidi w:val="0"/>
                    <w:spacing w:before="0" w:beforeAutospacing="0" w:after="0" w:afterAutospacing="0"/>
                    <w:jc w:val="center"/>
                    <w:rPr>
                      <w:rFonts w:hint="default"/>
                      <w:b/>
                      <w:bCs/>
                      <w:color w:val="0000FF"/>
                      <w:lang w:val="en-US" w:eastAsia="zh-CN"/>
                    </w:rPr>
                  </w:pPr>
                </w:p>
              </w:tc>
              <w:tc>
                <w:tcPr>
                  <w:tcW w:w="421" w:type="pct"/>
                  <w:noWrap w:val="0"/>
                  <w:vAlign w:val="center"/>
                </w:tcPr>
                <w:p w14:paraId="384A928D">
                  <w:pPr>
                    <w:pStyle w:val="40"/>
                    <w:keepNext w:val="0"/>
                    <w:keepLines w:val="0"/>
                    <w:suppressLineNumbers w:val="0"/>
                    <w:bidi w:val="0"/>
                    <w:spacing w:before="0" w:beforeAutospacing="0" w:after="0" w:afterAutospacing="0"/>
                    <w:jc w:val="center"/>
                    <w:rPr>
                      <w:rFonts w:hint="default"/>
                      <w:b/>
                      <w:bCs/>
                      <w:color w:val="0000FF"/>
                      <w:lang w:val="en-US" w:eastAsia="zh-CN"/>
                    </w:rPr>
                  </w:pPr>
                  <w:r>
                    <w:rPr>
                      <w:rFonts w:hint="eastAsia"/>
                      <w:b/>
                      <w:bCs/>
                      <w:color w:val="0000FF"/>
                      <w:lang w:val="en-US" w:eastAsia="zh-CN"/>
                    </w:rPr>
                    <w:t>浓度</w:t>
                  </w:r>
                  <w:r>
                    <w:rPr>
                      <w:rFonts w:hint="default"/>
                      <w:b/>
                      <w:bCs/>
                      <w:color w:val="0000FF"/>
                      <w:lang w:val="en-US" w:eastAsia="zh-CN"/>
                    </w:rPr>
                    <w:t>mg/m³</w:t>
                  </w:r>
                </w:p>
              </w:tc>
              <w:tc>
                <w:tcPr>
                  <w:tcW w:w="440" w:type="pct"/>
                  <w:noWrap w:val="0"/>
                  <w:vAlign w:val="center"/>
                </w:tcPr>
                <w:p w14:paraId="1B072EFC">
                  <w:pPr>
                    <w:pStyle w:val="40"/>
                    <w:keepNext w:val="0"/>
                    <w:keepLines w:val="0"/>
                    <w:suppressLineNumbers w:val="0"/>
                    <w:bidi w:val="0"/>
                    <w:spacing w:before="0" w:beforeAutospacing="0" w:after="0" w:afterAutospacing="0"/>
                    <w:jc w:val="center"/>
                    <w:rPr>
                      <w:rFonts w:hint="default"/>
                      <w:b/>
                      <w:bCs/>
                      <w:color w:val="0000FF"/>
                      <w:lang w:val="en-US" w:eastAsia="zh-CN"/>
                    </w:rPr>
                  </w:pPr>
                  <w:r>
                    <w:rPr>
                      <w:rFonts w:hint="eastAsia"/>
                      <w:b/>
                      <w:bCs/>
                      <w:color w:val="0000FF"/>
                      <w:lang w:val="en-US" w:eastAsia="zh-CN"/>
                    </w:rPr>
                    <w:t>速率kg/h</w:t>
                  </w:r>
                </w:p>
              </w:tc>
            </w:tr>
            <w:tr w14:paraId="26E27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tblHeader/>
                <w:jc w:val="center"/>
              </w:trPr>
              <w:tc>
                <w:tcPr>
                  <w:tcW w:w="229" w:type="pct"/>
                  <w:noWrap w:val="0"/>
                  <w:vAlign w:val="center"/>
                </w:tcPr>
                <w:p w14:paraId="61DF3302">
                  <w:pPr>
                    <w:pStyle w:val="46"/>
                    <w:keepNext w:val="0"/>
                    <w:keepLines w:val="0"/>
                    <w:suppressLineNumbers w:val="0"/>
                    <w:bidi w:val="0"/>
                    <w:spacing w:before="0" w:beforeAutospacing="0" w:after="0" w:afterAutospacing="0"/>
                    <w:jc w:val="center"/>
                    <w:rPr>
                      <w:rFonts w:hint="default"/>
                      <w:color w:val="0000FF"/>
                      <w:lang w:val="en-US" w:eastAsia="zh-CN"/>
                    </w:rPr>
                  </w:pPr>
                  <w:r>
                    <w:rPr>
                      <w:rFonts w:hint="eastAsia"/>
                      <w:color w:val="0000FF"/>
                      <w:lang w:val="en-US" w:eastAsia="zh-CN"/>
                    </w:rPr>
                    <w:t>1</w:t>
                  </w:r>
                </w:p>
              </w:tc>
              <w:tc>
                <w:tcPr>
                  <w:tcW w:w="306" w:type="pct"/>
                  <w:noWrap w:val="0"/>
                  <w:vAlign w:val="center"/>
                </w:tcPr>
                <w:p w14:paraId="0C012238">
                  <w:pPr>
                    <w:pStyle w:val="46"/>
                    <w:keepNext w:val="0"/>
                    <w:keepLines w:val="0"/>
                    <w:suppressLineNumbers w:val="0"/>
                    <w:bidi w:val="0"/>
                    <w:spacing w:before="0" w:beforeAutospacing="0" w:after="0" w:afterAutospacing="0"/>
                    <w:jc w:val="center"/>
                    <w:rPr>
                      <w:rFonts w:hint="default"/>
                      <w:color w:val="0000FF"/>
                      <w:lang w:val="en-US" w:eastAsia="zh-CN"/>
                    </w:rPr>
                  </w:pPr>
                  <w:r>
                    <w:rPr>
                      <w:rFonts w:hint="eastAsia"/>
                      <w:color w:val="0000FF"/>
                      <w:lang w:val="en-US" w:eastAsia="zh-CN"/>
                    </w:rPr>
                    <w:t>DA001</w:t>
                  </w:r>
                </w:p>
              </w:tc>
              <w:tc>
                <w:tcPr>
                  <w:tcW w:w="324" w:type="pct"/>
                  <w:noWrap w:val="0"/>
                  <w:vAlign w:val="center"/>
                </w:tcPr>
                <w:p w14:paraId="5757C2C8">
                  <w:pPr>
                    <w:pStyle w:val="46"/>
                    <w:keepNext w:val="0"/>
                    <w:keepLines w:val="0"/>
                    <w:suppressLineNumbers w:val="0"/>
                    <w:bidi w:val="0"/>
                    <w:spacing w:before="0" w:beforeAutospacing="0" w:after="0" w:afterAutospacing="0"/>
                    <w:jc w:val="center"/>
                    <w:rPr>
                      <w:rFonts w:hint="default"/>
                      <w:color w:val="0000FF"/>
                      <w:lang w:val="en-US" w:eastAsia="zh-CN"/>
                    </w:rPr>
                  </w:pPr>
                  <w:r>
                    <w:rPr>
                      <w:rFonts w:hint="eastAsia"/>
                      <w:color w:val="0000FF"/>
                      <w:lang w:val="en-US" w:eastAsia="zh-CN"/>
                    </w:rPr>
                    <w:t>1#排气筒</w:t>
                  </w:r>
                </w:p>
              </w:tc>
              <w:tc>
                <w:tcPr>
                  <w:tcW w:w="417" w:type="pct"/>
                  <w:noWrap w:val="0"/>
                  <w:vAlign w:val="center"/>
                </w:tcPr>
                <w:p w14:paraId="0C7632A1">
                  <w:pPr>
                    <w:pStyle w:val="46"/>
                    <w:keepNext w:val="0"/>
                    <w:keepLines w:val="0"/>
                    <w:suppressLineNumbers w:val="0"/>
                    <w:bidi w:val="0"/>
                    <w:spacing w:before="0" w:beforeAutospacing="0" w:after="0" w:afterAutospacing="0"/>
                    <w:ind w:left="0" w:leftChars="0" w:right="0" w:rightChars="0" w:firstLine="0" w:firstLineChars="0"/>
                    <w:jc w:val="center"/>
                    <w:rPr>
                      <w:rFonts w:hint="default"/>
                      <w:color w:val="0000FF"/>
                      <w:lang w:val="en-US" w:eastAsia="zh-CN"/>
                    </w:rPr>
                  </w:pPr>
                  <w:r>
                    <w:rPr>
                      <w:rFonts w:hint="eastAsia"/>
                      <w:color w:val="0000FF"/>
                      <w:lang w:val="en-US" w:eastAsia="zh-CN"/>
                    </w:rPr>
                    <w:t>颗粒物</w:t>
                  </w:r>
                </w:p>
              </w:tc>
              <w:tc>
                <w:tcPr>
                  <w:tcW w:w="421" w:type="pct"/>
                  <w:noWrap w:val="0"/>
                  <w:vAlign w:val="center"/>
                </w:tcPr>
                <w:p w14:paraId="349731A4">
                  <w:pPr>
                    <w:pStyle w:val="46"/>
                    <w:keepNext w:val="0"/>
                    <w:keepLines w:val="0"/>
                    <w:suppressLineNumbers w:val="0"/>
                    <w:bidi w:val="0"/>
                    <w:spacing w:before="0" w:beforeAutospacing="0" w:after="0" w:afterAutospacing="0"/>
                    <w:jc w:val="center"/>
                    <w:rPr>
                      <w:rFonts w:hint="default"/>
                      <w:color w:val="0000FF"/>
                      <w:lang w:val="en-US" w:eastAsia="zh-CN"/>
                    </w:rPr>
                  </w:pPr>
                  <w:r>
                    <w:rPr>
                      <w:rFonts w:hint="default"/>
                      <w:color w:val="0000FF"/>
                      <w:lang w:val="en-US" w:eastAsia="zh-CN"/>
                    </w:rPr>
                    <w:t>116.8915453</w:t>
                  </w:r>
                </w:p>
              </w:tc>
              <w:tc>
                <w:tcPr>
                  <w:tcW w:w="408" w:type="pct"/>
                  <w:noWrap w:val="0"/>
                  <w:vAlign w:val="center"/>
                </w:tcPr>
                <w:p w14:paraId="517169A1">
                  <w:pPr>
                    <w:pStyle w:val="46"/>
                    <w:keepNext w:val="0"/>
                    <w:keepLines w:val="0"/>
                    <w:suppressLineNumbers w:val="0"/>
                    <w:bidi w:val="0"/>
                    <w:spacing w:before="0" w:beforeAutospacing="0" w:after="0" w:afterAutospacing="0"/>
                    <w:jc w:val="center"/>
                    <w:rPr>
                      <w:rFonts w:hint="default"/>
                      <w:color w:val="0000FF"/>
                      <w:lang w:val="en-US" w:eastAsia="zh-CN"/>
                    </w:rPr>
                  </w:pPr>
                  <w:r>
                    <w:rPr>
                      <w:rFonts w:hint="default"/>
                      <w:color w:val="0000FF"/>
                      <w:lang w:val="en-US" w:eastAsia="zh-CN"/>
                    </w:rPr>
                    <w:t>32.562960</w:t>
                  </w:r>
                </w:p>
              </w:tc>
              <w:tc>
                <w:tcPr>
                  <w:tcW w:w="302" w:type="pct"/>
                  <w:noWrap w:val="0"/>
                  <w:vAlign w:val="center"/>
                </w:tcPr>
                <w:p w14:paraId="60DC3FFD">
                  <w:pPr>
                    <w:pStyle w:val="46"/>
                    <w:keepNext w:val="0"/>
                    <w:keepLines w:val="0"/>
                    <w:suppressLineNumbers w:val="0"/>
                    <w:bidi w:val="0"/>
                    <w:spacing w:before="0" w:beforeAutospacing="0" w:after="0" w:afterAutospacing="0"/>
                    <w:jc w:val="center"/>
                    <w:rPr>
                      <w:rFonts w:hint="default"/>
                      <w:color w:val="0000FF"/>
                      <w:lang w:val="en-US" w:eastAsia="zh-CN"/>
                    </w:rPr>
                  </w:pPr>
                  <w:r>
                    <w:rPr>
                      <w:rFonts w:hint="eastAsia"/>
                      <w:color w:val="0000FF"/>
                      <w:lang w:val="en-US" w:eastAsia="zh-CN"/>
                    </w:rPr>
                    <w:t>15</w:t>
                  </w:r>
                </w:p>
              </w:tc>
              <w:tc>
                <w:tcPr>
                  <w:tcW w:w="414" w:type="pct"/>
                  <w:noWrap w:val="0"/>
                  <w:vAlign w:val="center"/>
                </w:tcPr>
                <w:p w14:paraId="7D8F0BAC">
                  <w:pPr>
                    <w:pStyle w:val="46"/>
                    <w:keepNext w:val="0"/>
                    <w:keepLines w:val="0"/>
                    <w:suppressLineNumbers w:val="0"/>
                    <w:bidi w:val="0"/>
                    <w:spacing w:before="0" w:beforeAutospacing="0" w:after="0" w:afterAutospacing="0"/>
                    <w:jc w:val="center"/>
                    <w:rPr>
                      <w:rFonts w:hint="default"/>
                      <w:color w:val="0000FF"/>
                      <w:lang w:val="en-US" w:eastAsia="zh-CN"/>
                    </w:rPr>
                  </w:pPr>
                  <w:r>
                    <w:rPr>
                      <w:rFonts w:hint="eastAsia"/>
                      <w:color w:val="0000FF"/>
                      <w:lang w:val="en-US" w:eastAsia="zh-CN"/>
                    </w:rPr>
                    <w:t>0.7</w:t>
                  </w:r>
                </w:p>
              </w:tc>
              <w:tc>
                <w:tcPr>
                  <w:tcW w:w="247" w:type="pct"/>
                  <w:noWrap w:val="0"/>
                  <w:vAlign w:val="center"/>
                </w:tcPr>
                <w:p w14:paraId="729A01B8">
                  <w:pPr>
                    <w:pStyle w:val="46"/>
                    <w:keepNext w:val="0"/>
                    <w:keepLines w:val="0"/>
                    <w:suppressLineNumbers w:val="0"/>
                    <w:bidi w:val="0"/>
                    <w:spacing w:before="0" w:beforeAutospacing="0" w:after="0" w:afterAutospacing="0"/>
                    <w:jc w:val="center"/>
                    <w:rPr>
                      <w:rFonts w:hint="default"/>
                      <w:color w:val="0000FF"/>
                      <w:lang w:val="en-US" w:eastAsia="zh-CN"/>
                    </w:rPr>
                  </w:pPr>
                  <w:r>
                    <w:rPr>
                      <w:rFonts w:hint="eastAsia"/>
                      <w:color w:val="0000FF"/>
                      <w:lang w:val="en-US" w:eastAsia="zh-CN"/>
                    </w:rPr>
                    <w:t>常温</w:t>
                  </w:r>
                </w:p>
              </w:tc>
              <w:tc>
                <w:tcPr>
                  <w:tcW w:w="339" w:type="pct"/>
                  <w:noWrap w:val="0"/>
                  <w:vAlign w:val="center"/>
                </w:tcPr>
                <w:p w14:paraId="4A4E80F9">
                  <w:pPr>
                    <w:pStyle w:val="46"/>
                    <w:keepNext w:val="0"/>
                    <w:keepLines w:val="0"/>
                    <w:suppressLineNumbers w:val="0"/>
                    <w:bidi w:val="0"/>
                    <w:spacing w:before="0" w:beforeAutospacing="0" w:after="0" w:afterAutospacing="0"/>
                    <w:jc w:val="center"/>
                    <w:rPr>
                      <w:rFonts w:hint="default"/>
                      <w:color w:val="0000FF"/>
                      <w:lang w:val="en-US" w:eastAsia="zh-CN"/>
                    </w:rPr>
                  </w:pPr>
                  <w:r>
                    <w:rPr>
                      <w:rFonts w:hint="default"/>
                      <w:color w:val="0000FF"/>
                      <w:lang w:val="en-US" w:eastAsia="zh-CN"/>
                    </w:rPr>
                    <w:t>一般排口</w:t>
                  </w:r>
                </w:p>
              </w:tc>
              <w:tc>
                <w:tcPr>
                  <w:tcW w:w="726" w:type="pct"/>
                  <w:shd w:val="clear" w:color="auto" w:fill="auto"/>
                  <w:noWrap w:val="0"/>
                  <w:vAlign w:val="center"/>
                </w:tcPr>
                <w:p w14:paraId="3BD99379">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color w:val="0000FF"/>
                      <w:kern w:val="2"/>
                      <w:sz w:val="21"/>
                      <w:szCs w:val="24"/>
                      <w:lang w:val="en-US" w:eastAsia="zh-CN" w:bidi="ar-SA"/>
                    </w:rPr>
                  </w:pPr>
                  <w:r>
                    <w:rPr>
                      <w:rFonts w:hint="eastAsia" w:ascii="Times New Roman" w:hAnsi="Times New Roman" w:eastAsia="宋体" w:cs="Times New Roman"/>
                      <w:color w:val="0000FF"/>
                      <w:lang w:val="en-US" w:eastAsia="zh-CN"/>
                    </w:rPr>
                    <w:t>GB16297-1996</w:t>
                  </w:r>
                </w:p>
              </w:tc>
              <w:tc>
                <w:tcPr>
                  <w:tcW w:w="421" w:type="pct"/>
                  <w:noWrap w:val="0"/>
                  <w:vAlign w:val="center"/>
                </w:tcPr>
                <w:p w14:paraId="64AEE25C">
                  <w:pPr>
                    <w:pStyle w:val="46"/>
                    <w:keepNext w:val="0"/>
                    <w:keepLines w:val="0"/>
                    <w:suppressLineNumbers w:val="0"/>
                    <w:bidi w:val="0"/>
                    <w:spacing w:before="0" w:beforeAutospacing="0" w:after="0" w:afterAutospacing="0"/>
                    <w:jc w:val="center"/>
                    <w:rPr>
                      <w:rFonts w:hint="default"/>
                      <w:color w:val="0000FF"/>
                      <w:lang w:val="en-US" w:eastAsia="zh-CN"/>
                    </w:rPr>
                  </w:pPr>
                  <w:r>
                    <w:rPr>
                      <w:rFonts w:hint="eastAsia"/>
                      <w:color w:val="0000FF"/>
                      <w:lang w:val="en-US" w:eastAsia="zh-CN"/>
                    </w:rPr>
                    <w:t>120</w:t>
                  </w:r>
                </w:p>
              </w:tc>
              <w:tc>
                <w:tcPr>
                  <w:tcW w:w="440" w:type="pct"/>
                  <w:noWrap w:val="0"/>
                  <w:vAlign w:val="center"/>
                </w:tcPr>
                <w:p w14:paraId="52DF6877">
                  <w:pPr>
                    <w:pStyle w:val="46"/>
                    <w:keepNext w:val="0"/>
                    <w:keepLines w:val="0"/>
                    <w:suppressLineNumbers w:val="0"/>
                    <w:bidi w:val="0"/>
                    <w:spacing w:before="0" w:beforeAutospacing="0" w:after="0" w:afterAutospacing="0"/>
                    <w:jc w:val="center"/>
                    <w:rPr>
                      <w:rFonts w:hint="default"/>
                      <w:color w:val="0000FF"/>
                      <w:lang w:val="en-US" w:eastAsia="zh-CN"/>
                    </w:rPr>
                  </w:pPr>
                  <w:r>
                    <w:rPr>
                      <w:rFonts w:hint="eastAsia"/>
                      <w:color w:val="0000FF"/>
                      <w:lang w:val="en-US" w:eastAsia="zh-CN"/>
                    </w:rPr>
                    <w:t>3.5</w:t>
                  </w:r>
                </w:p>
              </w:tc>
            </w:tr>
            <w:tr w14:paraId="07F5A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4" w:hRule="atLeast"/>
                <w:tblHeader/>
                <w:jc w:val="center"/>
              </w:trPr>
              <w:tc>
                <w:tcPr>
                  <w:tcW w:w="5000" w:type="pct"/>
                  <w:gridSpan w:val="13"/>
                  <w:noWrap w:val="0"/>
                  <w:vAlign w:val="center"/>
                </w:tcPr>
                <w:p w14:paraId="6C7FA1C7">
                  <w:pPr>
                    <w:pStyle w:val="46"/>
                    <w:keepNext w:val="0"/>
                    <w:keepLines w:val="0"/>
                    <w:suppressLineNumbers w:val="0"/>
                    <w:bidi w:val="0"/>
                    <w:spacing w:before="0" w:beforeAutospacing="0" w:after="0" w:afterAutospacing="0"/>
                    <w:jc w:val="left"/>
                    <w:rPr>
                      <w:rFonts w:hint="eastAsia"/>
                      <w:color w:val="0000FF"/>
                      <w:lang w:val="en-US" w:eastAsia="zh-CN"/>
                    </w:rPr>
                  </w:pPr>
                  <w:r>
                    <w:rPr>
                      <w:rFonts w:hint="eastAsia"/>
                      <w:b/>
                      <w:bCs/>
                      <w:color w:val="0000FF"/>
                      <w:sz w:val="18"/>
                      <w:szCs w:val="18"/>
                      <w:lang w:val="en-US" w:eastAsia="zh-CN"/>
                    </w:rPr>
                    <w:t>注：</w:t>
                  </w:r>
                  <w:r>
                    <w:rPr>
                      <w:b/>
                      <w:bCs/>
                      <w:color w:val="0000FF"/>
                      <w:sz w:val="18"/>
                      <w:szCs w:val="18"/>
                    </w:rPr>
                    <w:t>根据</w:t>
                  </w:r>
                  <w:r>
                    <w:rPr>
                      <w:rFonts w:hint="eastAsia"/>
                      <w:b/>
                      <w:bCs/>
                      <w:color w:val="0000FF"/>
                      <w:sz w:val="18"/>
                      <w:szCs w:val="18"/>
                      <w:lang w:val="en-US" w:eastAsia="zh-CN"/>
                    </w:rPr>
                    <w:t>《排污许可证申请与核发技术规范 陶瓷砖瓦工业》（HJ954-2018），项目无主要排放口</w:t>
                  </w:r>
                </w:p>
              </w:tc>
            </w:tr>
          </w:tbl>
          <w:p w14:paraId="7F32D8E7">
            <w:pPr>
              <w:pStyle w:val="39"/>
              <w:keepNext w:val="0"/>
              <w:keepLines w:val="0"/>
              <w:suppressLineNumbers w:val="0"/>
              <w:bidi w:val="0"/>
              <w:spacing w:before="0" w:beforeAutospacing="0" w:after="0" w:afterAutospacing="0"/>
              <w:ind w:left="0" w:right="0"/>
              <w:jc w:val="center"/>
              <w:rPr>
                <w:rFonts w:hint="default"/>
                <w:color w:val="0000FF"/>
              </w:rPr>
            </w:pPr>
            <w:r>
              <w:rPr>
                <w:rFonts w:hint="default"/>
                <w:color w:val="0000FF"/>
              </w:rPr>
              <w:t>表</w:t>
            </w:r>
            <w:r>
              <w:rPr>
                <w:rFonts w:hint="eastAsia"/>
                <w:color w:val="0000FF"/>
              </w:rPr>
              <w:t>4-</w:t>
            </w:r>
            <w:r>
              <w:rPr>
                <w:rFonts w:hint="eastAsia"/>
                <w:color w:val="0000FF"/>
                <w:lang w:val="en-US" w:eastAsia="zh-CN"/>
              </w:rPr>
              <w:t xml:space="preserve">4  </w:t>
            </w:r>
            <w:r>
              <w:rPr>
                <w:rFonts w:hint="eastAsia"/>
                <w:color w:val="0000FF"/>
              </w:rPr>
              <w:t>本项目无</w:t>
            </w:r>
            <w:r>
              <w:rPr>
                <w:rFonts w:hint="default"/>
                <w:color w:val="0000FF"/>
              </w:rPr>
              <w:t>组织废气排放基本信息一览表</w:t>
            </w:r>
          </w:p>
          <w:tbl>
            <w:tblPr>
              <w:tblStyle w:val="1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4"/>
              <w:gridCol w:w="1122"/>
              <w:gridCol w:w="622"/>
              <w:gridCol w:w="922"/>
              <w:gridCol w:w="3264"/>
              <w:gridCol w:w="1097"/>
              <w:gridCol w:w="1439"/>
            </w:tblGrid>
            <w:tr w14:paraId="131C1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blHeader/>
                <w:jc w:val="center"/>
              </w:trPr>
              <w:tc>
                <w:tcPr>
                  <w:tcW w:w="304" w:type="dxa"/>
                  <w:vMerge w:val="restart"/>
                  <w:noWrap w:val="0"/>
                  <w:vAlign w:val="center"/>
                </w:tcPr>
                <w:p w14:paraId="65AE3DEB">
                  <w:pPr>
                    <w:pStyle w:val="46"/>
                    <w:keepNext w:val="0"/>
                    <w:keepLines w:val="0"/>
                    <w:suppressLineNumbers w:val="0"/>
                    <w:bidi w:val="0"/>
                    <w:spacing w:before="0" w:beforeAutospacing="0" w:after="0" w:afterAutospacing="0"/>
                    <w:rPr>
                      <w:b/>
                      <w:bCs/>
                      <w:color w:val="0000FF"/>
                      <w:lang w:val="en-US" w:eastAsia="zh-CN"/>
                    </w:rPr>
                  </w:pPr>
                  <w:r>
                    <w:rPr>
                      <w:b/>
                      <w:bCs/>
                      <w:color w:val="0000FF"/>
                      <w:lang w:val="en-US" w:eastAsia="zh-CN"/>
                    </w:rPr>
                    <w:t>序号</w:t>
                  </w:r>
                </w:p>
              </w:tc>
              <w:tc>
                <w:tcPr>
                  <w:tcW w:w="1122" w:type="dxa"/>
                  <w:vMerge w:val="restart"/>
                  <w:noWrap w:val="0"/>
                  <w:vAlign w:val="center"/>
                </w:tcPr>
                <w:p w14:paraId="7ED36D3E">
                  <w:pPr>
                    <w:pStyle w:val="46"/>
                    <w:keepNext w:val="0"/>
                    <w:keepLines w:val="0"/>
                    <w:suppressLineNumbers w:val="0"/>
                    <w:bidi w:val="0"/>
                    <w:spacing w:before="0" w:beforeAutospacing="0" w:after="0" w:afterAutospacing="0"/>
                    <w:rPr>
                      <w:b/>
                      <w:bCs/>
                      <w:color w:val="0000FF"/>
                      <w:lang w:val="en-US" w:eastAsia="zh-CN"/>
                    </w:rPr>
                  </w:pPr>
                  <w:r>
                    <w:rPr>
                      <w:b/>
                      <w:bCs/>
                      <w:color w:val="0000FF"/>
                      <w:lang w:val="en-US" w:eastAsia="zh-CN"/>
                    </w:rPr>
                    <w:t>生产设施编号/无组织排放编号</w:t>
                  </w:r>
                </w:p>
              </w:tc>
              <w:tc>
                <w:tcPr>
                  <w:tcW w:w="622" w:type="dxa"/>
                  <w:vMerge w:val="restart"/>
                  <w:noWrap w:val="0"/>
                  <w:vAlign w:val="center"/>
                </w:tcPr>
                <w:p w14:paraId="7623F2CA">
                  <w:pPr>
                    <w:pStyle w:val="46"/>
                    <w:keepNext w:val="0"/>
                    <w:keepLines w:val="0"/>
                    <w:suppressLineNumbers w:val="0"/>
                    <w:bidi w:val="0"/>
                    <w:spacing w:before="0" w:beforeAutospacing="0" w:after="0" w:afterAutospacing="0"/>
                    <w:rPr>
                      <w:b/>
                      <w:bCs/>
                      <w:color w:val="0000FF"/>
                      <w:lang w:val="en-US" w:eastAsia="zh-CN"/>
                    </w:rPr>
                  </w:pPr>
                  <w:r>
                    <w:rPr>
                      <w:b/>
                      <w:bCs/>
                      <w:color w:val="0000FF"/>
                      <w:lang w:val="en-US" w:eastAsia="zh-CN"/>
                    </w:rPr>
                    <w:t>产污环节</w:t>
                  </w:r>
                </w:p>
              </w:tc>
              <w:tc>
                <w:tcPr>
                  <w:tcW w:w="922" w:type="dxa"/>
                  <w:vMerge w:val="restart"/>
                  <w:noWrap w:val="0"/>
                  <w:vAlign w:val="center"/>
                </w:tcPr>
                <w:p w14:paraId="78F7D1A2">
                  <w:pPr>
                    <w:pStyle w:val="46"/>
                    <w:keepNext w:val="0"/>
                    <w:keepLines w:val="0"/>
                    <w:suppressLineNumbers w:val="0"/>
                    <w:bidi w:val="0"/>
                    <w:spacing w:before="0" w:beforeAutospacing="0" w:after="0" w:afterAutospacing="0"/>
                    <w:rPr>
                      <w:b/>
                      <w:bCs/>
                      <w:color w:val="0000FF"/>
                      <w:lang w:val="en-US" w:eastAsia="zh-CN"/>
                    </w:rPr>
                  </w:pPr>
                  <w:r>
                    <w:rPr>
                      <w:b/>
                      <w:bCs/>
                      <w:color w:val="0000FF"/>
                      <w:lang w:val="en-US" w:eastAsia="zh-CN"/>
                    </w:rPr>
                    <w:t>污染物种类</w:t>
                  </w:r>
                </w:p>
              </w:tc>
              <w:tc>
                <w:tcPr>
                  <w:tcW w:w="3264" w:type="dxa"/>
                  <w:vMerge w:val="restart"/>
                  <w:noWrap w:val="0"/>
                  <w:vAlign w:val="center"/>
                </w:tcPr>
                <w:p w14:paraId="6651291C">
                  <w:pPr>
                    <w:pStyle w:val="46"/>
                    <w:keepNext w:val="0"/>
                    <w:keepLines w:val="0"/>
                    <w:suppressLineNumbers w:val="0"/>
                    <w:bidi w:val="0"/>
                    <w:spacing w:before="0" w:beforeAutospacing="0" w:after="0" w:afterAutospacing="0"/>
                    <w:rPr>
                      <w:b/>
                      <w:bCs/>
                      <w:color w:val="0000FF"/>
                      <w:lang w:val="en-US" w:eastAsia="zh-CN"/>
                    </w:rPr>
                  </w:pPr>
                  <w:r>
                    <w:rPr>
                      <w:b/>
                      <w:bCs/>
                      <w:color w:val="0000FF"/>
                      <w:lang w:val="en-US" w:eastAsia="zh-CN"/>
                    </w:rPr>
                    <w:t>主要污染防治措施</w:t>
                  </w:r>
                </w:p>
              </w:tc>
              <w:tc>
                <w:tcPr>
                  <w:tcW w:w="2536" w:type="dxa"/>
                  <w:gridSpan w:val="2"/>
                  <w:noWrap w:val="0"/>
                  <w:vAlign w:val="center"/>
                </w:tcPr>
                <w:p w14:paraId="58F51A91">
                  <w:pPr>
                    <w:pStyle w:val="46"/>
                    <w:keepNext w:val="0"/>
                    <w:keepLines w:val="0"/>
                    <w:suppressLineNumbers w:val="0"/>
                    <w:bidi w:val="0"/>
                    <w:spacing w:before="0" w:beforeAutospacing="0" w:after="0" w:afterAutospacing="0"/>
                    <w:rPr>
                      <w:b/>
                      <w:bCs/>
                      <w:color w:val="0000FF"/>
                      <w:lang w:val="en-US" w:eastAsia="zh-CN"/>
                    </w:rPr>
                  </w:pPr>
                  <w:r>
                    <w:rPr>
                      <w:b/>
                      <w:bCs/>
                      <w:color w:val="0000FF"/>
                      <w:lang w:val="en-US" w:eastAsia="zh-CN"/>
                    </w:rPr>
                    <w:t>国家或地方污染物排放标准</w:t>
                  </w:r>
                </w:p>
              </w:tc>
            </w:tr>
            <w:tr w14:paraId="60D2B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blHeader/>
                <w:jc w:val="center"/>
              </w:trPr>
              <w:tc>
                <w:tcPr>
                  <w:tcW w:w="304" w:type="dxa"/>
                  <w:vMerge w:val="continue"/>
                  <w:noWrap w:val="0"/>
                  <w:vAlign w:val="center"/>
                </w:tcPr>
                <w:p w14:paraId="56AC3E06">
                  <w:pPr>
                    <w:pStyle w:val="46"/>
                    <w:keepNext w:val="0"/>
                    <w:keepLines w:val="0"/>
                    <w:suppressLineNumbers w:val="0"/>
                    <w:bidi w:val="0"/>
                    <w:spacing w:before="0" w:beforeAutospacing="0" w:after="0" w:afterAutospacing="0"/>
                    <w:rPr>
                      <w:b/>
                      <w:bCs/>
                      <w:color w:val="0000FF"/>
                      <w:lang w:val="en-US" w:eastAsia="zh-CN"/>
                    </w:rPr>
                  </w:pPr>
                </w:p>
              </w:tc>
              <w:tc>
                <w:tcPr>
                  <w:tcW w:w="1122" w:type="dxa"/>
                  <w:vMerge w:val="continue"/>
                  <w:noWrap w:val="0"/>
                  <w:vAlign w:val="center"/>
                </w:tcPr>
                <w:p w14:paraId="6BA67A8E">
                  <w:pPr>
                    <w:pStyle w:val="46"/>
                    <w:keepNext w:val="0"/>
                    <w:keepLines w:val="0"/>
                    <w:suppressLineNumbers w:val="0"/>
                    <w:bidi w:val="0"/>
                    <w:spacing w:before="0" w:beforeAutospacing="0" w:after="0" w:afterAutospacing="0"/>
                    <w:rPr>
                      <w:b/>
                      <w:bCs/>
                      <w:color w:val="0000FF"/>
                      <w:lang w:val="en-US" w:eastAsia="zh-CN"/>
                    </w:rPr>
                  </w:pPr>
                </w:p>
              </w:tc>
              <w:tc>
                <w:tcPr>
                  <w:tcW w:w="622" w:type="dxa"/>
                  <w:vMerge w:val="continue"/>
                  <w:noWrap w:val="0"/>
                  <w:vAlign w:val="center"/>
                </w:tcPr>
                <w:p w14:paraId="6D13CEBA">
                  <w:pPr>
                    <w:pStyle w:val="46"/>
                    <w:keepNext w:val="0"/>
                    <w:keepLines w:val="0"/>
                    <w:suppressLineNumbers w:val="0"/>
                    <w:bidi w:val="0"/>
                    <w:spacing w:before="0" w:beforeAutospacing="0" w:after="0" w:afterAutospacing="0"/>
                    <w:rPr>
                      <w:b/>
                      <w:bCs/>
                      <w:color w:val="0000FF"/>
                      <w:lang w:val="en-US" w:eastAsia="zh-CN"/>
                    </w:rPr>
                  </w:pPr>
                </w:p>
              </w:tc>
              <w:tc>
                <w:tcPr>
                  <w:tcW w:w="922" w:type="dxa"/>
                  <w:vMerge w:val="continue"/>
                  <w:noWrap w:val="0"/>
                  <w:vAlign w:val="center"/>
                </w:tcPr>
                <w:p w14:paraId="55EDD2DC">
                  <w:pPr>
                    <w:pStyle w:val="46"/>
                    <w:keepNext w:val="0"/>
                    <w:keepLines w:val="0"/>
                    <w:suppressLineNumbers w:val="0"/>
                    <w:bidi w:val="0"/>
                    <w:spacing w:before="0" w:beforeAutospacing="0" w:after="0" w:afterAutospacing="0"/>
                    <w:rPr>
                      <w:b/>
                      <w:bCs/>
                      <w:color w:val="0000FF"/>
                      <w:lang w:val="en-US" w:eastAsia="zh-CN"/>
                    </w:rPr>
                  </w:pPr>
                </w:p>
              </w:tc>
              <w:tc>
                <w:tcPr>
                  <w:tcW w:w="3264" w:type="dxa"/>
                  <w:vMerge w:val="continue"/>
                  <w:noWrap w:val="0"/>
                  <w:vAlign w:val="center"/>
                </w:tcPr>
                <w:p w14:paraId="533661E0">
                  <w:pPr>
                    <w:pStyle w:val="46"/>
                    <w:keepNext w:val="0"/>
                    <w:keepLines w:val="0"/>
                    <w:suppressLineNumbers w:val="0"/>
                    <w:bidi w:val="0"/>
                    <w:spacing w:before="0" w:beforeAutospacing="0" w:after="0" w:afterAutospacing="0"/>
                    <w:rPr>
                      <w:b/>
                      <w:bCs/>
                      <w:color w:val="0000FF"/>
                      <w:lang w:val="en-US" w:eastAsia="zh-CN"/>
                    </w:rPr>
                  </w:pPr>
                </w:p>
              </w:tc>
              <w:tc>
                <w:tcPr>
                  <w:tcW w:w="1097" w:type="dxa"/>
                  <w:noWrap w:val="0"/>
                  <w:vAlign w:val="center"/>
                </w:tcPr>
                <w:p w14:paraId="0915F1A4">
                  <w:pPr>
                    <w:pStyle w:val="46"/>
                    <w:keepNext w:val="0"/>
                    <w:keepLines w:val="0"/>
                    <w:suppressLineNumbers w:val="0"/>
                    <w:bidi w:val="0"/>
                    <w:spacing w:before="0" w:beforeAutospacing="0" w:after="0" w:afterAutospacing="0"/>
                    <w:rPr>
                      <w:b/>
                      <w:bCs/>
                      <w:color w:val="0000FF"/>
                      <w:lang w:val="en-US" w:eastAsia="zh-CN"/>
                    </w:rPr>
                  </w:pPr>
                  <w:r>
                    <w:rPr>
                      <w:b/>
                      <w:bCs/>
                      <w:color w:val="0000FF"/>
                      <w:lang w:val="en-US" w:eastAsia="zh-CN"/>
                    </w:rPr>
                    <w:t>名称</w:t>
                  </w:r>
                </w:p>
              </w:tc>
              <w:tc>
                <w:tcPr>
                  <w:tcW w:w="1439" w:type="dxa"/>
                  <w:noWrap w:val="0"/>
                  <w:vAlign w:val="center"/>
                </w:tcPr>
                <w:p w14:paraId="2F61E29D">
                  <w:pPr>
                    <w:pStyle w:val="46"/>
                    <w:keepNext w:val="0"/>
                    <w:keepLines w:val="0"/>
                    <w:suppressLineNumbers w:val="0"/>
                    <w:bidi w:val="0"/>
                    <w:spacing w:before="0" w:beforeAutospacing="0" w:after="0" w:afterAutospacing="0"/>
                    <w:rPr>
                      <w:b/>
                      <w:bCs/>
                      <w:color w:val="0000FF"/>
                      <w:lang w:val="en-US" w:eastAsia="zh-CN"/>
                    </w:rPr>
                  </w:pPr>
                  <w:r>
                    <w:rPr>
                      <w:b/>
                      <w:bCs/>
                      <w:color w:val="0000FF"/>
                      <w:lang w:val="en-US" w:eastAsia="zh-CN"/>
                    </w:rPr>
                    <w:t>浓度限值</w:t>
                  </w:r>
                  <w:r>
                    <w:rPr>
                      <w:rFonts w:hint="eastAsia"/>
                      <w:b/>
                      <w:bCs/>
                      <w:color w:val="0000FF"/>
                      <w:lang w:val="en-US" w:eastAsia="zh-CN"/>
                    </w:rPr>
                    <w:t>（</w:t>
                  </w:r>
                  <w:r>
                    <w:rPr>
                      <w:b/>
                      <w:bCs/>
                      <w:color w:val="0000FF"/>
                      <w:lang w:val="en-US" w:eastAsia="zh-CN"/>
                    </w:rPr>
                    <w:t>mg/N</w:t>
                  </w:r>
                  <w:r>
                    <w:rPr>
                      <w:rFonts w:hint="eastAsia"/>
                      <w:b/>
                      <w:bCs/>
                      <w:color w:val="0000FF"/>
                      <w:lang w:val="en-US" w:eastAsia="zh-CN"/>
                    </w:rPr>
                    <w:t>m³）</w:t>
                  </w:r>
                </w:p>
              </w:tc>
            </w:tr>
            <w:tr w14:paraId="3CB77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blHeader/>
                <w:jc w:val="center"/>
              </w:trPr>
              <w:tc>
                <w:tcPr>
                  <w:tcW w:w="304" w:type="dxa"/>
                  <w:noWrap w:val="0"/>
                  <w:vAlign w:val="center"/>
                </w:tcPr>
                <w:p w14:paraId="0A398D5E">
                  <w:pPr>
                    <w:pStyle w:val="46"/>
                    <w:keepNext w:val="0"/>
                    <w:keepLines w:val="0"/>
                    <w:suppressLineNumbers w:val="0"/>
                    <w:bidi w:val="0"/>
                    <w:spacing w:before="0" w:beforeAutospacing="0" w:after="0" w:afterAutospacing="0"/>
                    <w:rPr>
                      <w:color w:val="0000FF"/>
                      <w:lang w:val="en-US" w:eastAsia="zh-CN"/>
                    </w:rPr>
                  </w:pPr>
                  <w:r>
                    <w:rPr>
                      <w:color w:val="0000FF"/>
                      <w:lang w:val="en-US" w:eastAsia="zh-CN"/>
                    </w:rPr>
                    <w:t>1</w:t>
                  </w:r>
                </w:p>
              </w:tc>
              <w:tc>
                <w:tcPr>
                  <w:tcW w:w="1122" w:type="dxa"/>
                  <w:vMerge w:val="restart"/>
                  <w:noWrap w:val="0"/>
                  <w:vAlign w:val="center"/>
                </w:tcPr>
                <w:p w14:paraId="681C00A1">
                  <w:pPr>
                    <w:pStyle w:val="46"/>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厂区内</w:t>
                  </w:r>
                </w:p>
              </w:tc>
              <w:tc>
                <w:tcPr>
                  <w:tcW w:w="622" w:type="dxa"/>
                  <w:vMerge w:val="restart"/>
                  <w:noWrap w:val="0"/>
                  <w:vAlign w:val="center"/>
                </w:tcPr>
                <w:p w14:paraId="4030FF4B">
                  <w:pPr>
                    <w:pStyle w:val="46"/>
                    <w:keepNext w:val="0"/>
                    <w:keepLines w:val="0"/>
                    <w:suppressLineNumbers w:val="0"/>
                    <w:bidi w:val="0"/>
                    <w:spacing w:before="0" w:beforeAutospacing="0" w:after="0" w:afterAutospacing="0"/>
                    <w:rPr>
                      <w:color w:val="0000FF"/>
                      <w:lang w:val="en-US" w:eastAsia="zh-CN"/>
                    </w:rPr>
                  </w:pPr>
                  <w:r>
                    <w:rPr>
                      <w:color w:val="0000FF"/>
                      <w:lang w:val="en-US" w:eastAsia="zh-CN"/>
                    </w:rPr>
                    <w:t>废气未被收集</w:t>
                  </w:r>
                </w:p>
              </w:tc>
              <w:tc>
                <w:tcPr>
                  <w:tcW w:w="922" w:type="dxa"/>
                  <w:noWrap w:val="0"/>
                  <w:vAlign w:val="center"/>
                </w:tcPr>
                <w:p w14:paraId="34B8FC74">
                  <w:pPr>
                    <w:pStyle w:val="46"/>
                    <w:keepNext w:val="0"/>
                    <w:keepLines w:val="0"/>
                    <w:suppressLineNumbers w:val="0"/>
                    <w:bidi w:val="0"/>
                    <w:spacing w:before="0" w:beforeAutospacing="0" w:after="0" w:afterAutospacing="0"/>
                    <w:ind w:left="24" w:leftChars="10" w:right="24" w:rightChars="10" w:firstLine="0" w:firstLineChars="0"/>
                    <w:rPr>
                      <w:rFonts w:hint="default"/>
                      <w:color w:val="0000FF"/>
                      <w:lang w:val="en-US" w:eastAsia="zh-CN"/>
                    </w:rPr>
                  </w:pPr>
                  <w:r>
                    <w:rPr>
                      <w:rFonts w:hint="eastAsia"/>
                      <w:color w:val="0000FF"/>
                      <w:lang w:val="en-US" w:eastAsia="zh-CN"/>
                    </w:rPr>
                    <w:t>颗粒物</w:t>
                  </w:r>
                </w:p>
              </w:tc>
              <w:tc>
                <w:tcPr>
                  <w:tcW w:w="3264" w:type="dxa"/>
                  <w:noWrap w:val="0"/>
                  <w:vAlign w:val="center"/>
                </w:tcPr>
                <w:p w14:paraId="01827439">
                  <w:pPr>
                    <w:pStyle w:val="40"/>
                    <w:keepNext w:val="0"/>
                    <w:keepLines w:val="0"/>
                    <w:suppressLineNumbers w:val="0"/>
                    <w:bidi w:val="0"/>
                    <w:spacing w:before="0" w:beforeAutospacing="0" w:after="0" w:afterAutospacing="0"/>
                    <w:jc w:val="center"/>
                    <w:rPr>
                      <w:rFonts w:hint="default"/>
                      <w:color w:val="0000FF"/>
                      <w:lang w:val="en-US" w:eastAsia="zh-CN"/>
                    </w:rPr>
                  </w:pPr>
                  <w:r>
                    <w:rPr>
                      <w:rFonts w:hint="eastAsia"/>
                      <w:color w:val="0000FF"/>
                      <w:lang w:val="en-US" w:eastAsia="zh-CN"/>
                    </w:rPr>
                    <w:t>加强收集效率</w:t>
                  </w:r>
                </w:p>
              </w:tc>
              <w:tc>
                <w:tcPr>
                  <w:tcW w:w="1097" w:type="dxa"/>
                  <w:noWrap w:val="0"/>
                  <w:vAlign w:val="center"/>
                </w:tcPr>
                <w:p w14:paraId="76AE796B">
                  <w:pPr>
                    <w:pStyle w:val="46"/>
                    <w:keepNext w:val="0"/>
                    <w:keepLines w:val="0"/>
                    <w:suppressLineNumbers w:val="0"/>
                    <w:bidi w:val="0"/>
                    <w:spacing w:before="0" w:beforeAutospacing="0" w:after="0" w:afterAutospacing="0"/>
                    <w:ind w:left="24" w:leftChars="10" w:right="24" w:rightChars="10" w:firstLine="0" w:firstLineChars="0"/>
                    <w:rPr>
                      <w:rFonts w:hint="eastAsia"/>
                      <w:color w:val="0000FF"/>
                      <w:lang w:val="en-US" w:eastAsia="zh-CN"/>
                    </w:rPr>
                  </w:pPr>
                  <w:r>
                    <w:rPr>
                      <w:rFonts w:hint="eastAsia" w:ascii="Times New Roman" w:hAnsi="Times New Roman" w:eastAsia="宋体" w:cs="Times New Roman"/>
                      <w:color w:val="0000FF"/>
                      <w:lang w:val="en-US" w:eastAsia="zh-CN"/>
                    </w:rPr>
                    <w:t>GB16297-1996</w:t>
                  </w:r>
                </w:p>
              </w:tc>
              <w:tc>
                <w:tcPr>
                  <w:tcW w:w="1439" w:type="dxa"/>
                  <w:noWrap w:val="0"/>
                  <w:vAlign w:val="center"/>
                </w:tcPr>
                <w:p w14:paraId="6175944E">
                  <w:pPr>
                    <w:pStyle w:val="46"/>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1.0</w:t>
                  </w:r>
                </w:p>
              </w:tc>
            </w:tr>
            <w:tr w14:paraId="4B58F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2" w:hRule="atLeast"/>
                <w:tblHeader/>
                <w:jc w:val="center"/>
              </w:trPr>
              <w:tc>
                <w:tcPr>
                  <w:tcW w:w="304" w:type="dxa"/>
                  <w:noWrap w:val="0"/>
                  <w:vAlign w:val="center"/>
                </w:tcPr>
                <w:p w14:paraId="3CB219E1">
                  <w:pPr>
                    <w:pStyle w:val="46"/>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2</w:t>
                  </w:r>
                </w:p>
              </w:tc>
              <w:tc>
                <w:tcPr>
                  <w:tcW w:w="1122" w:type="dxa"/>
                  <w:vMerge w:val="continue"/>
                  <w:noWrap w:val="0"/>
                  <w:vAlign w:val="center"/>
                </w:tcPr>
                <w:p w14:paraId="03136946">
                  <w:pPr>
                    <w:pStyle w:val="46"/>
                    <w:keepNext w:val="0"/>
                    <w:keepLines w:val="0"/>
                    <w:suppressLineNumbers w:val="0"/>
                    <w:bidi w:val="0"/>
                    <w:spacing w:before="0" w:beforeAutospacing="0" w:after="0" w:afterAutospacing="0"/>
                    <w:rPr>
                      <w:rFonts w:hint="eastAsia"/>
                      <w:color w:val="0000FF"/>
                      <w:lang w:val="en-US" w:eastAsia="zh-CN"/>
                    </w:rPr>
                  </w:pPr>
                </w:p>
              </w:tc>
              <w:tc>
                <w:tcPr>
                  <w:tcW w:w="622" w:type="dxa"/>
                  <w:vMerge w:val="continue"/>
                  <w:noWrap w:val="0"/>
                  <w:vAlign w:val="center"/>
                </w:tcPr>
                <w:p w14:paraId="7963A43B">
                  <w:pPr>
                    <w:pStyle w:val="46"/>
                    <w:keepNext w:val="0"/>
                    <w:keepLines w:val="0"/>
                    <w:suppressLineNumbers w:val="0"/>
                    <w:bidi w:val="0"/>
                    <w:spacing w:before="0" w:beforeAutospacing="0" w:after="0" w:afterAutospacing="0"/>
                    <w:rPr>
                      <w:color w:val="0000FF"/>
                      <w:lang w:val="en-US" w:eastAsia="zh-CN"/>
                    </w:rPr>
                  </w:pPr>
                </w:p>
              </w:tc>
              <w:tc>
                <w:tcPr>
                  <w:tcW w:w="922" w:type="dxa"/>
                  <w:noWrap w:val="0"/>
                  <w:vAlign w:val="center"/>
                </w:tcPr>
                <w:p w14:paraId="026AF172">
                  <w:pPr>
                    <w:pStyle w:val="46"/>
                    <w:keepNext w:val="0"/>
                    <w:keepLines w:val="0"/>
                    <w:suppressLineNumbers w:val="0"/>
                    <w:bidi w:val="0"/>
                    <w:spacing w:before="0" w:beforeAutospacing="0" w:after="0" w:afterAutospacing="0"/>
                    <w:ind w:left="24" w:leftChars="10" w:right="24" w:rightChars="10" w:firstLine="0" w:firstLineChars="0"/>
                    <w:rPr>
                      <w:rFonts w:hint="default"/>
                      <w:color w:val="0000FF"/>
                      <w:lang w:val="en-US" w:eastAsia="zh-CN"/>
                    </w:rPr>
                  </w:pPr>
                  <w:r>
                    <w:rPr>
                      <w:rFonts w:hint="eastAsia"/>
                      <w:color w:val="0000FF"/>
                      <w:lang w:val="en-US" w:eastAsia="zh-CN"/>
                    </w:rPr>
                    <w:t>臭气浓度</w:t>
                  </w:r>
                </w:p>
              </w:tc>
              <w:tc>
                <w:tcPr>
                  <w:tcW w:w="3264" w:type="dxa"/>
                  <w:noWrap w:val="0"/>
                  <w:vAlign w:val="center"/>
                </w:tcPr>
                <w:p w14:paraId="67FEDF6C">
                  <w:pPr>
                    <w:pStyle w:val="40"/>
                    <w:keepNext w:val="0"/>
                    <w:keepLines w:val="0"/>
                    <w:suppressLineNumbers w:val="0"/>
                    <w:bidi w:val="0"/>
                    <w:spacing w:before="0" w:beforeAutospacing="0" w:after="0" w:afterAutospacing="0"/>
                    <w:jc w:val="center"/>
                    <w:rPr>
                      <w:rFonts w:hint="default"/>
                      <w:color w:val="0000FF"/>
                      <w:lang w:val="en-US" w:eastAsia="zh-CN"/>
                    </w:rPr>
                  </w:pPr>
                  <w:r>
                    <w:rPr>
                      <w:rFonts w:hint="eastAsia" w:cs="Times New Roman"/>
                      <w:color w:val="0000FF"/>
                      <w:lang w:val="en-US" w:eastAsia="zh-CN"/>
                    </w:rPr>
                    <w:t>污泥脱水后及时清运，加强车间通风</w:t>
                  </w:r>
                </w:p>
              </w:tc>
              <w:tc>
                <w:tcPr>
                  <w:tcW w:w="1097" w:type="dxa"/>
                  <w:noWrap w:val="0"/>
                  <w:vAlign w:val="center"/>
                </w:tcPr>
                <w:p w14:paraId="26830360">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color w:val="0000FF"/>
                      <w:lang w:val="en-US" w:eastAsia="zh-CN"/>
                    </w:rPr>
                  </w:pPr>
                  <w:r>
                    <w:rPr>
                      <w:rFonts w:hint="eastAsia"/>
                      <w:color w:val="0000FF"/>
                      <w:lang w:val="en-US" w:eastAsia="zh-CN"/>
                    </w:rPr>
                    <w:t>GB14554-93</w:t>
                  </w:r>
                </w:p>
              </w:tc>
              <w:tc>
                <w:tcPr>
                  <w:tcW w:w="1439" w:type="dxa"/>
                  <w:noWrap w:val="0"/>
                  <w:vAlign w:val="center"/>
                </w:tcPr>
                <w:p w14:paraId="27923E56">
                  <w:pPr>
                    <w:pStyle w:val="46"/>
                    <w:keepNext w:val="0"/>
                    <w:keepLines w:val="0"/>
                    <w:suppressLineNumbers w:val="0"/>
                    <w:bidi w:val="0"/>
                    <w:spacing w:before="0" w:beforeAutospacing="0" w:after="0" w:afterAutospacing="0"/>
                    <w:rPr>
                      <w:rFonts w:hint="default"/>
                      <w:color w:val="0000FF"/>
                      <w:lang w:val="en-US" w:eastAsia="zh-CN"/>
                    </w:rPr>
                  </w:pPr>
                  <w:r>
                    <w:rPr>
                      <w:rFonts w:hint="eastAsia"/>
                      <w:color w:val="0000FF"/>
                      <w:lang w:val="en-US" w:eastAsia="zh-CN"/>
                    </w:rPr>
                    <w:t>20（无量纲）</w:t>
                  </w:r>
                </w:p>
              </w:tc>
            </w:tr>
          </w:tbl>
          <w:p w14:paraId="4F20AF06">
            <w:pPr>
              <w:pStyle w:val="39"/>
              <w:keepNext w:val="0"/>
              <w:keepLines w:val="0"/>
              <w:suppressLineNumbers w:val="0"/>
              <w:bidi w:val="0"/>
              <w:spacing w:before="0" w:beforeAutospacing="0" w:after="0" w:afterAutospacing="0"/>
              <w:ind w:left="0" w:right="0"/>
              <w:jc w:val="center"/>
              <w:rPr>
                <w:rFonts w:hint="default"/>
                <w:color w:val="0000FF"/>
                <w:lang w:val="en-US" w:eastAsia="zh-CN"/>
              </w:rPr>
            </w:pPr>
            <w:r>
              <w:rPr>
                <w:rFonts w:hint="eastAsia"/>
                <w:color w:val="0000FF"/>
              </w:rPr>
              <w:t>表</w:t>
            </w:r>
            <w:r>
              <w:rPr>
                <w:rFonts w:hint="default"/>
                <w:color w:val="0000FF"/>
              </w:rPr>
              <w:t>4-</w:t>
            </w:r>
            <w:r>
              <w:rPr>
                <w:rFonts w:hint="eastAsia"/>
                <w:color w:val="0000FF"/>
                <w:lang w:val="en-US" w:eastAsia="zh-CN"/>
              </w:rPr>
              <w:t xml:space="preserve">5  </w:t>
            </w:r>
            <w:r>
              <w:rPr>
                <w:rFonts w:hint="eastAsia"/>
                <w:color w:val="0000FF"/>
              </w:rPr>
              <w:t>大气污染源监测计划</w:t>
            </w:r>
          </w:p>
          <w:tbl>
            <w:tblPr>
              <w:tblStyle w:val="19"/>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82"/>
              <w:gridCol w:w="2104"/>
              <w:gridCol w:w="1643"/>
              <w:gridCol w:w="1341"/>
              <w:gridCol w:w="1488"/>
              <w:gridCol w:w="1611"/>
            </w:tblGrid>
            <w:tr w14:paraId="17EDB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3" w:hRule="atLeast"/>
                <w:jc w:val="center"/>
              </w:trPr>
              <w:tc>
                <w:tcPr>
                  <w:tcW w:w="331" w:type="pct"/>
                  <w:noWrap/>
                  <w:vAlign w:val="center"/>
                </w:tcPr>
                <w:p w14:paraId="74F0B372">
                  <w:pPr>
                    <w:pStyle w:val="61"/>
                    <w:keepNext w:val="0"/>
                    <w:keepLines w:val="0"/>
                    <w:suppressLineNumbers w:val="0"/>
                    <w:bidi w:val="0"/>
                    <w:spacing w:before="0" w:beforeAutospacing="0" w:after="0" w:afterAutospacing="0"/>
                    <w:ind w:left="0" w:right="0"/>
                    <w:rPr>
                      <w:rFonts w:hint="default"/>
                      <w:b/>
                      <w:bCs/>
                      <w:color w:val="0000FF"/>
                    </w:rPr>
                  </w:pPr>
                  <w:r>
                    <w:rPr>
                      <w:rFonts w:hint="default"/>
                      <w:b/>
                      <w:bCs/>
                      <w:color w:val="0000FF"/>
                    </w:rPr>
                    <w:t>监测类别</w:t>
                  </w:r>
                </w:p>
              </w:tc>
              <w:tc>
                <w:tcPr>
                  <w:tcW w:w="1199" w:type="pct"/>
                  <w:noWrap/>
                  <w:vAlign w:val="center"/>
                </w:tcPr>
                <w:p w14:paraId="280D6926">
                  <w:pPr>
                    <w:pStyle w:val="61"/>
                    <w:keepNext w:val="0"/>
                    <w:keepLines w:val="0"/>
                    <w:suppressLineNumbers w:val="0"/>
                    <w:bidi w:val="0"/>
                    <w:spacing w:before="0" w:beforeAutospacing="0" w:after="0" w:afterAutospacing="0"/>
                    <w:ind w:left="0" w:right="0"/>
                    <w:rPr>
                      <w:rFonts w:hint="default"/>
                      <w:b/>
                      <w:bCs/>
                      <w:color w:val="0000FF"/>
                    </w:rPr>
                  </w:pPr>
                  <w:r>
                    <w:rPr>
                      <w:rFonts w:hint="default"/>
                      <w:b/>
                      <w:bCs/>
                      <w:color w:val="0000FF"/>
                    </w:rPr>
                    <w:t>监测位置</w:t>
                  </w:r>
                  <w:r>
                    <w:rPr>
                      <w:rFonts w:hint="eastAsia"/>
                      <w:b/>
                      <w:bCs/>
                      <w:color w:val="0000FF"/>
                    </w:rPr>
                    <w:t>（</w:t>
                  </w:r>
                  <w:r>
                    <w:rPr>
                      <w:rFonts w:hint="default"/>
                      <w:b/>
                      <w:bCs/>
                      <w:color w:val="0000FF"/>
                    </w:rPr>
                    <w:t>或监测布点</w:t>
                  </w:r>
                  <w:r>
                    <w:rPr>
                      <w:rFonts w:hint="eastAsia"/>
                      <w:b/>
                      <w:bCs/>
                      <w:color w:val="0000FF"/>
                    </w:rPr>
                    <w:t>）</w:t>
                  </w:r>
                </w:p>
              </w:tc>
              <w:tc>
                <w:tcPr>
                  <w:tcW w:w="936" w:type="pct"/>
                  <w:noWrap/>
                  <w:vAlign w:val="center"/>
                </w:tcPr>
                <w:p w14:paraId="6E59ACC3">
                  <w:pPr>
                    <w:pStyle w:val="61"/>
                    <w:keepNext w:val="0"/>
                    <w:keepLines w:val="0"/>
                    <w:suppressLineNumbers w:val="0"/>
                    <w:bidi w:val="0"/>
                    <w:spacing w:before="0" w:beforeAutospacing="0" w:after="0" w:afterAutospacing="0"/>
                    <w:ind w:left="0" w:right="0"/>
                    <w:rPr>
                      <w:rFonts w:hint="default"/>
                      <w:b/>
                      <w:bCs/>
                      <w:color w:val="0000FF"/>
                    </w:rPr>
                  </w:pPr>
                  <w:r>
                    <w:rPr>
                      <w:rFonts w:hint="default"/>
                      <w:b/>
                      <w:bCs/>
                      <w:color w:val="0000FF"/>
                    </w:rPr>
                    <w:t>监测项目</w:t>
                  </w:r>
                </w:p>
              </w:tc>
              <w:tc>
                <w:tcPr>
                  <w:tcW w:w="764" w:type="pct"/>
                  <w:noWrap/>
                  <w:vAlign w:val="center"/>
                </w:tcPr>
                <w:p w14:paraId="5419AC99">
                  <w:pPr>
                    <w:pStyle w:val="61"/>
                    <w:keepNext w:val="0"/>
                    <w:keepLines w:val="0"/>
                    <w:suppressLineNumbers w:val="0"/>
                    <w:bidi w:val="0"/>
                    <w:spacing w:before="0" w:beforeAutospacing="0" w:after="0" w:afterAutospacing="0"/>
                    <w:ind w:left="0" w:right="0"/>
                    <w:rPr>
                      <w:rFonts w:hint="default"/>
                      <w:b/>
                      <w:bCs/>
                      <w:color w:val="0000FF"/>
                    </w:rPr>
                  </w:pPr>
                  <w:r>
                    <w:rPr>
                      <w:rFonts w:hint="default"/>
                      <w:b/>
                      <w:bCs/>
                      <w:color w:val="0000FF"/>
                    </w:rPr>
                    <w:t>监测频率</w:t>
                  </w:r>
                </w:p>
              </w:tc>
              <w:tc>
                <w:tcPr>
                  <w:tcW w:w="848" w:type="pct"/>
                  <w:noWrap/>
                  <w:vAlign w:val="center"/>
                </w:tcPr>
                <w:p w14:paraId="5BD10C20">
                  <w:pPr>
                    <w:pStyle w:val="61"/>
                    <w:keepNext w:val="0"/>
                    <w:keepLines w:val="0"/>
                    <w:suppressLineNumbers w:val="0"/>
                    <w:bidi w:val="0"/>
                    <w:spacing w:before="0" w:beforeAutospacing="0" w:after="0" w:afterAutospacing="0"/>
                    <w:ind w:left="0" w:right="0"/>
                    <w:rPr>
                      <w:rFonts w:hint="default"/>
                      <w:b/>
                      <w:bCs/>
                      <w:color w:val="0000FF"/>
                    </w:rPr>
                  </w:pPr>
                  <w:r>
                    <w:rPr>
                      <w:rFonts w:hint="eastAsia"/>
                      <w:b/>
                      <w:bCs/>
                      <w:color w:val="0000FF"/>
                    </w:rPr>
                    <w:t>监测依据</w:t>
                  </w:r>
                </w:p>
              </w:tc>
              <w:tc>
                <w:tcPr>
                  <w:tcW w:w="918" w:type="pct"/>
                  <w:noWrap/>
                  <w:vAlign w:val="center"/>
                </w:tcPr>
                <w:p w14:paraId="071845E0">
                  <w:pPr>
                    <w:pStyle w:val="61"/>
                    <w:keepNext w:val="0"/>
                    <w:keepLines w:val="0"/>
                    <w:suppressLineNumbers w:val="0"/>
                    <w:bidi w:val="0"/>
                    <w:spacing w:before="0" w:beforeAutospacing="0" w:after="0" w:afterAutospacing="0"/>
                    <w:ind w:left="0" w:right="0"/>
                    <w:rPr>
                      <w:rFonts w:hint="default"/>
                      <w:b/>
                      <w:bCs/>
                      <w:color w:val="0000FF"/>
                    </w:rPr>
                  </w:pPr>
                  <w:r>
                    <w:rPr>
                      <w:rFonts w:hint="default"/>
                      <w:b/>
                      <w:bCs/>
                      <w:color w:val="0000FF"/>
                    </w:rPr>
                    <w:t>执行排放标准</w:t>
                  </w:r>
                </w:p>
              </w:tc>
            </w:tr>
            <w:tr w14:paraId="1B10B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3" w:hRule="atLeast"/>
                <w:jc w:val="center"/>
              </w:trPr>
              <w:tc>
                <w:tcPr>
                  <w:tcW w:w="331" w:type="pct"/>
                  <w:vMerge w:val="restart"/>
                  <w:noWrap/>
                  <w:vAlign w:val="center"/>
                </w:tcPr>
                <w:p w14:paraId="28399412">
                  <w:pPr>
                    <w:pStyle w:val="61"/>
                    <w:keepNext w:val="0"/>
                    <w:keepLines w:val="0"/>
                    <w:suppressLineNumbers w:val="0"/>
                    <w:bidi w:val="0"/>
                    <w:spacing w:before="0" w:beforeAutospacing="0" w:after="0" w:afterAutospacing="0"/>
                    <w:ind w:left="0" w:right="0"/>
                    <w:rPr>
                      <w:rFonts w:hint="default"/>
                      <w:color w:val="0000FF"/>
                    </w:rPr>
                  </w:pPr>
                  <w:r>
                    <w:rPr>
                      <w:rFonts w:hint="eastAsia"/>
                      <w:color w:val="0000FF"/>
                    </w:rPr>
                    <w:t>废气</w:t>
                  </w:r>
                </w:p>
              </w:tc>
              <w:tc>
                <w:tcPr>
                  <w:tcW w:w="1199" w:type="pct"/>
                  <w:noWrap/>
                  <w:vAlign w:val="center"/>
                </w:tcPr>
                <w:p w14:paraId="21E8C45D">
                  <w:pPr>
                    <w:pStyle w:val="61"/>
                    <w:keepNext w:val="0"/>
                    <w:keepLines w:val="0"/>
                    <w:suppressLineNumbers w:val="0"/>
                    <w:bidi w:val="0"/>
                    <w:spacing w:before="0" w:beforeAutospacing="0" w:after="0" w:afterAutospacing="0"/>
                    <w:ind w:left="0" w:right="0"/>
                    <w:rPr>
                      <w:rFonts w:hint="default" w:eastAsia="宋体"/>
                      <w:b/>
                      <w:bCs/>
                      <w:color w:val="0000FF"/>
                      <w:lang w:val="en-US" w:eastAsia="zh-CN"/>
                    </w:rPr>
                  </w:pPr>
                  <w:r>
                    <w:rPr>
                      <w:rFonts w:hint="eastAsia"/>
                      <w:b w:val="0"/>
                      <w:bCs w:val="0"/>
                      <w:color w:val="0000FF"/>
                      <w:lang w:val="en-US" w:eastAsia="zh-CN"/>
                    </w:rPr>
                    <w:t>DA001</w:t>
                  </w:r>
                </w:p>
              </w:tc>
              <w:tc>
                <w:tcPr>
                  <w:tcW w:w="936" w:type="pct"/>
                  <w:shd w:val="clear" w:color="auto" w:fill="auto"/>
                  <w:noWrap/>
                  <w:vAlign w:val="center"/>
                </w:tcPr>
                <w:p w14:paraId="5F53DC79">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color w:val="0000FF"/>
                      <w:kern w:val="2"/>
                      <w:sz w:val="21"/>
                      <w:szCs w:val="24"/>
                      <w:lang w:val="en-US" w:eastAsia="zh-CN" w:bidi="ar-SA"/>
                    </w:rPr>
                  </w:pPr>
                  <w:r>
                    <w:rPr>
                      <w:rFonts w:hint="eastAsia"/>
                      <w:color w:val="0000FF"/>
                      <w:lang w:val="en-US" w:eastAsia="zh-CN"/>
                    </w:rPr>
                    <w:t>颗粒物</w:t>
                  </w:r>
                </w:p>
              </w:tc>
              <w:tc>
                <w:tcPr>
                  <w:tcW w:w="764" w:type="pct"/>
                  <w:shd w:val="clear" w:color="auto" w:fill="auto"/>
                  <w:noWrap/>
                  <w:vAlign w:val="center"/>
                </w:tcPr>
                <w:p w14:paraId="7931ABC9">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color w:val="0000FF"/>
                      <w:kern w:val="2"/>
                      <w:sz w:val="21"/>
                      <w:szCs w:val="24"/>
                      <w:lang w:val="en-US" w:eastAsia="zh-CN" w:bidi="ar-SA"/>
                    </w:rPr>
                  </w:pPr>
                  <w:r>
                    <w:rPr>
                      <w:rFonts w:hint="eastAsia"/>
                      <w:color w:val="0000FF"/>
                    </w:rPr>
                    <w:t>1</w:t>
                  </w:r>
                  <w:r>
                    <w:rPr>
                      <w:rFonts w:hint="default"/>
                      <w:color w:val="0000FF"/>
                    </w:rPr>
                    <w:t>次</w:t>
                  </w:r>
                  <w:r>
                    <w:rPr>
                      <w:rFonts w:hint="eastAsia"/>
                      <w:color w:val="0000FF"/>
                    </w:rPr>
                    <w:t>/</w:t>
                  </w:r>
                  <w:r>
                    <w:rPr>
                      <w:rFonts w:hint="eastAsia"/>
                      <w:color w:val="0000FF"/>
                      <w:lang w:val="en-US" w:eastAsia="zh-CN"/>
                    </w:rPr>
                    <w:t>年</w:t>
                  </w:r>
                </w:p>
              </w:tc>
              <w:tc>
                <w:tcPr>
                  <w:tcW w:w="848" w:type="pct"/>
                  <w:vMerge w:val="restart"/>
                  <w:noWrap/>
                  <w:vAlign w:val="center"/>
                </w:tcPr>
                <w:p w14:paraId="4AADF1BA">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color w:val="0000FF"/>
                      <w:kern w:val="2"/>
                      <w:sz w:val="21"/>
                      <w:szCs w:val="24"/>
                      <w:lang w:val="en-US" w:eastAsia="zh-CN" w:bidi="ar-SA"/>
                    </w:rPr>
                  </w:pPr>
                  <w:r>
                    <w:rPr>
                      <w:rFonts w:hint="eastAsia"/>
                      <w:color w:val="0000FF"/>
                      <w:lang w:val="en-US" w:eastAsia="zh-CN"/>
                    </w:rPr>
                    <w:t>HJ1034-2019</w:t>
                  </w:r>
                </w:p>
              </w:tc>
              <w:tc>
                <w:tcPr>
                  <w:tcW w:w="918" w:type="pct"/>
                  <w:vMerge w:val="restart"/>
                  <w:noWrap/>
                  <w:vAlign w:val="center"/>
                </w:tcPr>
                <w:p w14:paraId="55A1E05A">
                  <w:pPr>
                    <w:pStyle w:val="61"/>
                    <w:keepNext w:val="0"/>
                    <w:keepLines w:val="0"/>
                    <w:suppressLineNumbers w:val="0"/>
                    <w:bidi w:val="0"/>
                    <w:spacing w:before="0" w:beforeAutospacing="0" w:after="0" w:afterAutospacing="0"/>
                    <w:ind w:left="0" w:leftChars="0" w:right="0" w:rightChars="0" w:firstLine="0" w:firstLineChars="0"/>
                    <w:rPr>
                      <w:rFonts w:hint="default"/>
                      <w:color w:val="0000FF"/>
                    </w:rPr>
                  </w:pPr>
                  <w:r>
                    <w:rPr>
                      <w:rFonts w:hint="eastAsia" w:ascii="Times New Roman" w:hAnsi="Times New Roman" w:eastAsia="宋体" w:cs="Times New Roman"/>
                      <w:color w:val="0000FF"/>
                      <w:lang w:val="en-US" w:eastAsia="zh-CN"/>
                    </w:rPr>
                    <w:t>GB16297-1996</w:t>
                  </w:r>
                </w:p>
              </w:tc>
            </w:tr>
            <w:tr w14:paraId="3B025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3" w:hRule="atLeast"/>
                <w:jc w:val="center"/>
              </w:trPr>
              <w:tc>
                <w:tcPr>
                  <w:tcW w:w="331" w:type="pct"/>
                  <w:vMerge w:val="continue"/>
                  <w:noWrap/>
                  <w:vAlign w:val="center"/>
                </w:tcPr>
                <w:p w14:paraId="622D76E9">
                  <w:pPr>
                    <w:pStyle w:val="61"/>
                    <w:keepNext w:val="0"/>
                    <w:keepLines w:val="0"/>
                    <w:suppressLineNumbers w:val="0"/>
                    <w:bidi w:val="0"/>
                    <w:spacing w:before="0" w:beforeAutospacing="0" w:after="0" w:afterAutospacing="0"/>
                    <w:ind w:left="0" w:right="0"/>
                    <w:rPr>
                      <w:rFonts w:hint="default"/>
                      <w:color w:val="0000FF"/>
                    </w:rPr>
                  </w:pPr>
                </w:p>
              </w:tc>
              <w:tc>
                <w:tcPr>
                  <w:tcW w:w="1199" w:type="pct"/>
                  <w:vMerge w:val="restart"/>
                  <w:noWrap/>
                  <w:vAlign w:val="center"/>
                </w:tcPr>
                <w:p w14:paraId="2E70D596">
                  <w:pPr>
                    <w:pStyle w:val="61"/>
                    <w:keepNext w:val="0"/>
                    <w:keepLines w:val="0"/>
                    <w:suppressLineNumbers w:val="0"/>
                    <w:bidi w:val="0"/>
                    <w:spacing w:before="0" w:beforeAutospacing="0" w:after="0" w:afterAutospacing="0"/>
                    <w:ind w:left="0" w:right="0"/>
                    <w:rPr>
                      <w:rFonts w:hint="eastAsia" w:eastAsia="宋体"/>
                      <w:color w:val="0000FF"/>
                      <w:lang w:val="en-US" w:eastAsia="zh-CN"/>
                    </w:rPr>
                  </w:pPr>
                  <w:r>
                    <w:rPr>
                      <w:rFonts w:hint="default"/>
                      <w:color w:val="0000FF"/>
                    </w:rPr>
                    <w:t>无组织废气</w:t>
                  </w:r>
                  <w:r>
                    <w:rPr>
                      <w:rFonts w:hint="eastAsia"/>
                      <w:color w:val="0000FF"/>
                      <w:lang w:eastAsia="zh-CN"/>
                    </w:rPr>
                    <w:t>：</w:t>
                  </w:r>
                </w:p>
                <w:p w14:paraId="6B36CBE2">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厂界</w:t>
                  </w:r>
                </w:p>
              </w:tc>
              <w:tc>
                <w:tcPr>
                  <w:tcW w:w="936" w:type="pct"/>
                  <w:noWrap/>
                  <w:vAlign w:val="center"/>
                </w:tcPr>
                <w:p w14:paraId="0C6532D7">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颗粒物</w:t>
                  </w:r>
                </w:p>
              </w:tc>
              <w:tc>
                <w:tcPr>
                  <w:tcW w:w="764" w:type="pct"/>
                  <w:noWrap/>
                  <w:vAlign w:val="center"/>
                </w:tcPr>
                <w:p w14:paraId="07D7A86B">
                  <w:pPr>
                    <w:pStyle w:val="61"/>
                    <w:keepNext w:val="0"/>
                    <w:keepLines w:val="0"/>
                    <w:suppressLineNumbers w:val="0"/>
                    <w:bidi w:val="0"/>
                    <w:spacing w:before="0" w:beforeAutospacing="0" w:after="0" w:afterAutospacing="0"/>
                    <w:ind w:left="0" w:right="0"/>
                    <w:rPr>
                      <w:rFonts w:hint="eastAsia"/>
                      <w:color w:val="0000FF"/>
                      <w:lang w:val="en-US" w:eastAsia="zh-CN"/>
                    </w:rPr>
                  </w:pPr>
                  <w:r>
                    <w:rPr>
                      <w:rFonts w:hint="eastAsia"/>
                      <w:color w:val="0000FF"/>
                    </w:rPr>
                    <w:t>1</w:t>
                  </w:r>
                  <w:r>
                    <w:rPr>
                      <w:rFonts w:hint="default"/>
                      <w:color w:val="0000FF"/>
                    </w:rPr>
                    <w:t>次</w:t>
                  </w:r>
                  <w:r>
                    <w:rPr>
                      <w:rFonts w:hint="eastAsia"/>
                      <w:color w:val="0000FF"/>
                    </w:rPr>
                    <w:t>/</w:t>
                  </w:r>
                  <w:r>
                    <w:rPr>
                      <w:rFonts w:hint="eastAsia"/>
                      <w:color w:val="0000FF"/>
                      <w:lang w:val="en-US" w:eastAsia="zh-CN"/>
                    </w:rPr>
                    <w:t>年</w:t>
                  </w:r>
                </w:p>
              </w:tc>
              <w:tc>
                <w:tcPr>
                  <w:tcW w:w="848" w:type="pct"/>
                  <w:vMerge w:val="continue"/>
                  <w:noWrap/>
                  <w:vAlign w:val="center"/>
                </w:tcPr>
                <w:p w14:paraId="6AC5FD68">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color w:val="0000FF"/>
                      <w:kern w:val="2"/>
                      <w:sz w:val="21"/>
                      <w:szCs w:val="24"/>
                      <w:lang w:val="en-US" w:eastAsia="zh-CN" w:bidi="ar-SA"/>
                    </w:rPr>
                  </w:pPr>
                </w:p>
              </w:tc>
              <w:tc>
                <w:tcPr>
                  <w:tcW w:w="918" w:type="pct"/>
                  <w:vMerge w:val="continue"/>
                  <w:noWrap/>
                  <w:vAlign w:val="center"/>
                </w:tcPr>
                <w:p w14:paraId="41D9B8CE">
                  <w:pPr>
                    <w:pStyle w:val="61"/>
                    <w:keepNext w:val="0"/>
                    <w:keepLines w:val="0"/>
                    <w:suppressLineNumbers w:val="0"/>
                    <w:bidi w:val="0"/>
                    <w:spacing w:before="0" w:beforeAutospacing="0" w:after="0" w:afterAutospacing="0"/>
                    <w:ind w:left="0" w:leftChars="0" w:right="0" w:rightChars="0" w:firstLine="0" w:firstLineChars="0"/>
                    <w:rPr>
                      <w:rFonts w:hint="default"/>
                      <w:color w:val="0000FF"/>
                    </w:rPr>
                  </w:pPr>
                </w:p>
              </w:tc>
            </w:tr>
            <w:tr w14:paraId="29594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3" w:hRule="atLeast"/>
                <w:jc w:val="center"/>
              </w:trPr>
              <w:tc>
                <w:tcPr>
                  <w:tcW w:w="331" w:type="pct"/>
                  <w:vMerge w:val="continue"/>
                  <w:noWrap/>
                  <w:vAlign w:val="center"/>
                </w:tcPr>
                <w:p w14:paraId="1255CCFC">
                  <w:pPr>
                    <w:pStyle w:val="61"/>
                    <w:keepNext w:val="0"/>
                    <w:keepLines w:val="0"/>
                    <w:suppressLineNumbers w:val="0"/>
                    <w:bidi w:val="0"/>
                    <w:spacing w:before="0" w:beforeAutospacing="0" w:after="0" w:afterAutospacing="0"/>
                    <w:ind w:left="0" w:right="0"/>
                    <w:rPr>
                      <w:rFonts w:hint="eastAsia"/>
                      <w:color w:val="0000FF"/>
                    </w:rPr>
                  </w:pPr>
                </w:p>
              </w:tc>
              <w:tc>
                <w:tcPr>
                  <w:tcW w:w="1199" w:type="pct"/>
                  <w:vMerge w:val="continue"/>
                  <w:noWrap/>
                  <w:vAlign w:val="center"/>
                </w:tcPr>
                <w:p w14:paraId="0046E0E1">
                  <w:pPr>
                    <w:pStyle w:val="61"/>
                    <w:keepNext w:val="0"/>
                    <w:keepLines w:val="0"/>
                    <w:suppressLineNumbers w:val="0"/>
                    <w:bidi w:val="0"/>
                    <w:spacing w:before="0" w:beforeAutospacing="0" w:after="0" w:afterAutospacing="0"/>
                    <w:ind w:left="0" w:right="0"/>
                    <w:rPr>
                      <w:rFonts w:hint="eastAsia"/>
                      <w:color w:val="0000FF"/>
                      <w:lang w:val="en-US" w:eastAsia="zh-CN"/>
                    </w:rPr>
                  </w:pPr>
                </w:p>
              </w:tc>
              <w:tc>
                <w:tcPr>
                  <w:tcW w:w="936" w:type="pct"/>
                  <w:shd w:val="clear" w:color="auto" w:fill="auto"/>
                  <w:noWrap/>
                  <w:vAlign w:val="center"/>
                </w:tcPr>
                <w:p w14:paraId="02B4670D">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color w:val="0000FF"/>
                      <w:kern w:val="2"/>
                      <w:sz w:val="21"/>
                      <w:szCs w:val="24"/>
                      <w:lang w:val="en-US" w:eastAsia="zh-CN" w:bidi="ar-SA"/>
                    </w:rPr>
                  </w:pPr>
                  <w:r>
                    <w:rPr>
                      <w:rFonts w:hint="eastAsia"/>
                      <w:color w:val="0000FF"/>
                      <w:lang w:val="en-US" w:eastAsia="zh-CN"/>
                    </w:rPr>
                    <w:t>臭气浓度</w:t>
                  </w:r>
                </w:p>
              </w:tc>
              <w:tc>
                <w:tcPr>
                  <w:tcW w:w="764" w:type="pct"/>
                  <w:shd w:val="clear" w:color="auto" w:fill="auto"/>
                  <w:noWrap/>
                  <w:vAlign w:val="center"/>
                </w:tcPr>
                <w:p w14:paraId="6C4FE4DD">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color w:val="0000FF"/>
                      <w:kern w:val="2"/>
                      <w:sz w:val="21"/>
                      <w:szCs w:val="24"/>
                      <w:lang w:val="en-US" w:eastAsia="zh-CN" w:bidi="ar-SA"/>
                    </w:rPr>
                  </w:pPr>
                  <w:r>
                    <w:rPr>
                      <w:rFonts w:hint="eastAsia"/>
                      <w:color w:val="0000FF"/>
                    </w:rPr>
                    <w:t>1</w:t>
                  </w:r>
                  <w:r>
                    <w:rPr>
                      <w:rFonts w:hint="default"/>
                      <w:color w:val="0000FF"/>
                    </w:rPr>
                    <w:t>次</w:t>
                  </w:r>
                  <w:r>
                    <w:rPr>
                      <w:rFonts w:hint="eastAsia"/>
                      <w:color w:val="0000FF"/>
                    </w:rPr>
                    <w:t>/</w:t>
                  </w:r>
                  <w:r>
                    <w:rPr>
                      <w:rFonts w:hint="eastAsia"/>
                      <w:color w:val="0000FF"/>
                      <w:lang w:val="en-US" w:eastAsia="zh-CN"/>
                    </w:rPr>
                    <w:t>年</w:t>
                  </w:r>
                </w:p>
              </w:tc>
              <w:tc>
                <w:tcPr>
                  <w:tcW w:w="848" w:type="pct"/>
                  <w:vMerge w:val="continue"/>
                  <w:shd w:val="clear" w:color="auto" w:fill="auto"/>
                  <w:noWrap/>
                  <w:vAlign w:val="center"/>
                </w:tcPr>
                <w:p w14:paraId="4C22481A">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color w:val="0000FF"/>
                      <w:kern w:val="2"/>
                      <w:sz w:val="21"/>
                      <w:szCs w:val="24"/>
                      <w:lang w:val="en-US" w:eastAsia="zh-CN" w:bidi="ar-SA"/>
                    </w:rPr>
                  </w:pPr>
                </w:p>
              </w:tc>
              <w:tc>
                <w:tcPr>
                  <w:tcW w:w="918" w:type="pct"/>
                  <w:shd w:val="clear" w:color="auto" w:fill="auto"/>
                  <w:noWrap/>
                  <w:vAlign w:val="center"/>
                </w:tcPr>
                <w:p w14:paraId="763C3BE2">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color w:val="0000FF"/>
                      <w:kern w:val="2"/>
                      <w:sz w:val="21"/>
                      <w:szCs w:val="24"/>
                      <w:lang w:val="en-US" w:eastAsia="zh-CN" w:bidi="ar-SA"/>
                    </w:rPr>
                  </w:pPr>
                  <w:r>
                    <w:rPr>
                      <w:rFonts w:hint="eastAsia"/>
                      <w:color w:val="0000FF"/>
                      <w:lang w:val="en-US" w:eastAsia="zh-CN"/>
                    </w:rPr>
                    <w:t>GB14554-93</w:t>
                  </w:r>
                </w:p>
              </w:tc>
            </w:tr>
          </w:tbl>
          <w:p w14:paraId="1F9B5C05">
            <w:pPr>
              <w:keepNext w:val="0"/>
              <w:keepLines w:val="0"/>
              <w:suppressLineNumbers w:val="0"/>
              <w:bidi w:val="0"/>
              <w:spacing w:before="0" w:beforeAutospacing="0" w:after="0" w:afterAutospacing="0"/>
              <w:ind w:left="0" w:right="0"/>
              <w:rPr>
                <w:rFonts w:hint="eastAsia"/>
                <w:b/>
                <w:bCs/>
              </w:rPr>
            </w:pPr>
            <w:r>
              <w:rPr>
                <w:rFonts w:hint="eastAsia"/>
                <w:b/>
                <w:bCs/>
                <w:lang w:val="en-US" w:eastAsia="zh-CN"/>
              </w:rPr>
              <w:t>1</w:t>
            </w:r>
            <w:r>
              <w:rPr>
                <w:rFonts w:hint="eastAsia"/>
                <w:b/>
                <w:bCs/>
              </w:rPr>
              <w:t>、废气源强分析、收集处理方式、效率</w:t>
            </w:r>
          </w:p>
          <w:p w14:paraId="4D06A77B">
            <w:pPr>
              <w:keepNext w:val="0"/>
              <w:keepLines w:val="0"/>
              <w:widowControl/>
              <w:suppressLineNumbers w:val="0"/>
              <w:spacing w:before="0" w:beforeAutospacing="0" w:after="0" w:afterAutospacing="0"/>
              <w:ind w:left="0" w:right="0"/>
              <w:jc w:val="left"/>
              <w:rPr>
                <w:rFonts w:hint="eastAsia" w:ascii="Times New Roman" w:hAnsi="Times New Roman" w:eastAsia="宋体" w:cs="Times New Roman"/>
                <w:color w:val="auto"/>
                <w:spacing w:val="-4"/>
                <w:sz w:val="24"/>
                <w:szCs w:val="24"/>
                <w:lang w:val="en-US" w:eastAsia="zh-CN"/>
              </w:rPr>
            </w:pPr>
            <w:r>
              <w:rPr>
                <w:rFonts w:hint="eastAsia"/>
                <w:lang w:val="en-US" w:eastAsia="zh-CN"/>
              </w:rPr>
              <w:t>本项目对废旧电动自行车进行拆解，拆解前首先对进厂废旧电动自行车进行检查登记，对电池破损的电动自行车禁止入场。项目回收的电池主要分为铅蓄电池和锂电池，其中铅酸蓄电池主要是AGM（吸附式玻璃纤维棉）电池，</w:t>
            </w:r>
            <w:r>
              <w:rPr>
                <w:rFonts w:hint="default" w:ascii="宋体" w:hAnsi="宋体" w:eastAsia="宋体" w:cs="宋体"/>
                <w:kern w:val="0"/>
                <w:sz w:val="24"/>
                <w:szCs w:val="24"/>
                <w:lang w:val="en-US" w:eastAsia="zh-CN" w:bidi="ar"/>
              </w:rPr>
              <w:t>通过贫液式设计将电解液储存在玻璃纤维膜及极板内部，保留10%孔隙用于气体传输。这种设计使电解液大部分存在于玻璃纤维膜之中，同时极板内部也吸有一部分电解液</w:t>
            </w:r>
            <w:r>
              <w:rPr>
                <w:rFonts w:hint="eastAsia" w:ascii="宋体" w:hAnsi="宋体" w:eastAsia="宋体" w:cs="宋体"/>
                <w:kern w:val="0"/>
                <w:sz w:val="24"/>
                <w:szCs w:val="24"/>
                <w:lang w:val="en-US" w:eastAsia="zh-CN" w:bidi="ar"/>
              </w:rPr>
              <w:t>，</w:t>
            </w:r>
            <w:r>
              <w:rPr>
                <w:rFonts w:hint="eastAsia"/>
                <w:lang w:val="en-US" w:eastAsia="zh-CN"/>
              </w:rPr>
              <w:t>由于废旧铅酸蓄电池铅基本转化成不可逆硫酸盐化的硫酸铅，即使含有少量的二氧化铅也是被硫酸铅严重腐蚀，被包在硫酸铅晶体中，基本不会挥发产生铅尘废气；锂电池均已预放电，</w:t>
            </w:r>
            <w:r>
              <w:rPr>
                <w:rFonts w:hint="eastAsia" w:ascii="Times New Roman" w:hAnsi="Times New Roman" w:eastAsia="宋体" w:cs="Times New Roman"/>
                <w:color w:val="auto"/>
                <w:spacing w:val="-4"/>
                <w:sz w:val="24"/>
                <w:szCs w:val="24"/>
                <w:lang w:val="en-US" w:eastAsia="zh-CN"/>
              </w:rPr>
              <w:t>并带有锂电池外壳包装</w:t>
            </w:r>
            <w:r>
              <w:rPr>
                <w:rFonts w:hint="eastAsia" w:cs="Times New Roman"/>
                <w:color w:val="auto"/>
                <w:spacing w:val="-4"/>
                <w:sz w:val="24"/>
                <w:szCs w:val="24"/>
                <w:lang w:val="en-US" w:eastAsia="zh-CN"/>
              </w:rPr>
              <w:t>，锂电池使用密闭的PVC箱密封存放。项目使用人工拆解，拆解及暂存过程中</w:t>
            </w:r>
            <w:r>
              <w:rPr>
                <w:rFonts w:hint="eastAsia" w:ascii="Times New Roman" w:hAnsi="Times New Roman" w:eastAsia="宋体" w:cs="Times New Roman"/>
                <w:color w:val="auto"/>
                <w:spacing w:val="-4"/>
                <w:sz w:val="24"/>
                <w:szCs w:val="24"/>
                <w:lang w:val="en-US" w:eastAsia="zh-CN"/>
              </w:rPr>
              <w:t>外壳意外破损开裂概率低，</w:t>
            </w:r>
            <w:r>
              <w:rPr>
                <w:rFonts w:hint="eastAsia" w:cs="Times New Roman"/>
                <w:color w:val="auto"/>
                <w:spacing w:val="-4"/>
                <w:sz w:val="24"/>
                <w:szCs w:val="24"/>
                <w:lang w:val="en-US" w:eastAsia="zh-CN"/>
              </w:rPr>
              <w:t>且要求破损后立即使用石灰对破碎产生的电解液进行中和，拆解及暂存过程中一般不产生</w:t>
            </w:r>
            <w:r>
              <w:rPr>
                <w:rFonts w:hint="eastAsia" w:ascii="Times New Roman" w:hAnsi="Times New Roman" w:eastAsia="宋体" w:cs="Times New Roman"/>
                <w:color w:val="auto"/>
                <w:spacing w:val="-4"/>
                <w:sz w:val="24"/>
                <w:szCs w:val="24"/>
                <w:lang w:val="en-US" w:eastAsia="zh-CN"/>
              </w:rPr>
              <w:t>废气，可忽略不计，因此本评价不对</w:t>
            </w:r>
            <w:r>
              <w:rPr>
                <w:rFonts w:hint="eastAsia" w:cs="Times New Roman"/>
                <w:color w:val="auto"/>
                <w:spacing w:val="-4"/>
                <w:sz w:val="24"/>
                <w:szCs w:val="24"/>
                <w:lang w:val="en-US" w:eastAsia="zh-CN"/>
              </w:rPr>
              <w:t>拆解后废电池</w:t>
            </w:r>
            <w:r>
              <w:rPr>
                <w:rFonts w:hint="eastAsia" w:ascii="Times New Roman" w:hAnsi="Times New Roman" w:eastAsia="宋体" w:cs="Times New Roman"/>
                <w:color w:val="auto"/>
                <w:spacing w:val="-4"/>
                <w:sz w:val="24"/>
                <w:szCs w:val="24"/>
                <w:lang w:val="en-US" w:eastAsia="zh-CN"/>
              </w:rPr>
              <w:t>贮存区废气进行定量分析。</w:t>
            </w:r>
          </w:p>
          <w:p w14:paraId="7787C07A">
            <w:pPr>
              <w:keepNext w:val="0"/>
              <w:keepLines w:val="0"/>
              <w:suppressLineNumbers w:val="0"/>
              <w:bidi w:val="0"/>
              <w:spacing w:before="0" w:beforeAutospacing="0" w:after="0" w:afterAutospacing="0"/>
              <w:ind w:left="0" w:right="0"/>
              <w:rPr>
                <w:rFonts w:hint="eastAsia" w:ascii="Times New Roman" w:hAnsi="Times New Roman" w:eastAsia="宋体" w:cs="Times New Roman"/>
                <w:color w:val="auto"/>
                <w:spacing w:val="-4"/>
                <w:sz w:val="24"/>
                <w:szCs w:val="24"/>
                <w:lang w:val="en-US" w:eastAsia="zh-CN"/>
              </w:rPr>
            </w:pPr>
            <w:r>
              <w:rPr>
                <w:rFonts w:hint="eastAsia" w:ascii="Times New Roman" w:hAnsi="Times New Roman" w:eastAsia="宋体" w:cs="Times New Roman"/>
                <w:color w:val="auto"/>
                <w:spacing w:val="-4"/>
                <w:sz w:val="24"/>
                <w:szCs w:val="24"/>
                <w:lang w:val="en-US" w:eastAsia="zh-CN"/>
              </w:rPr>
              <w:t>本项目营运期废气主要为废</w:t>
            </w:r>
            <w:r>
              <w:rPr>
                <w:rFonts w:hint="eastAsia" w:cs="Times New Roman"/>
                <w:color w:val="auto"/>
                <w:spacing w:val="-4"/>
                <w:sz w:val="24"/>
                <w:szCs w:val="24"/>
                <w:lang w:val="en-US" w:eastAsia="zh-CN"/>
              </w:rPr>
              <w:t>钢铁件</w:t>
            </w:r>
            <w:r>
              <w:rPr>
                <w:rFonts w:hint="eastAsia" w:ascii="Times New Roman" w:hAnsi="Times New Roman" w:eastAsia="宋体" w:cs="Times New Roman"/>
                <w:color w:val="auto"/>
                <w:spacing w:val="-4"/>
                <w:sz w:val="24"/>
                <w:szCs w:val="24"/>
                <w:lang w:val="en-US" w:eastAsia="zh-CN"/>
              </w:rPr>
              <w:t>角磨切割粉尘、剪切</w:t>
            </w:r>
            <w:r>
              <w:rPr>
                <w:rFonts w:hint="eastAsia" w:cs="Times New Roman"/>
                <w:color w:val="auto"/>
                <w:spacing w:val="-4"/>
                <w:sz w:val="24"/>
                <w:szCs w:val="24"/>
                <w:lang w:val="en-US" w:eastAsia="zh-CN"/>
              </w:rPr>
              <w:t>、</w:t>
            </w:r>
            <w:r>
              <w:rPr>
                <w:rFonts w:hint="eastAsia" w:ascii="Times New Roman" w:hAnsi="Times New Roman" w:eastAsia="宋体" w:cs="Times New Roman"/>
                <w:color w:val="auto"/>
                <w:spacing w:val="-4"/>
                <w:sz w:val="24"/>
                <w:szCs w:val="24"/>
                <w:lang w:val="en-US" w:eastAsia="zh-CN"/>
              </w:rPr>
              <w:t>打包粉尘及破碎水絮凝沉淀产生的少量恶臭。</w:t>
            </w:r>
          </w:p>
          <w:p w14:paraId="277F3AB1">
            <w:pPr>
              <w:keepNext w:val="0"/>
              <w:keepLines w:val="0"/>
              <w:suppressLineNumbers w:val="0"/>
              <w:bidi w:val="0"/>
              <w:spacing w:before="0" w:beforeAutospacing="0" w:after="0" w:afterAutospacing="0"/>
              <w:ind w:left="0" w:right="0"/>
              <w:rPr>
                <w:rFonts w:hint="default" w:ascii="Times New Roman" w:hAnsi="Times New Roman" w:eastAsia="宋体" w:cs="Times New Roman"/>
                <w:b/>
                <w:bCs/>
                <w:color w:val="auto"/>
                <w:spacing w:val="-4"/>
                <w:sz w:val="24"/>
                <w:szCs w:val="24"/>
                <w:lang w:val="en-US" w:eastAsia="zh-CN"/>
              </w:rPr>
            </w:pPr>
            <w:r>
              <w:rPr>
                <w:rFonts w:hint="eastAsia" w:cs="Times New Roman"/>
                <w:b/>
                <w:bCs/>
                <w:color w:val="auto"/>
                <w:spacing w:val="-4"/>
                <w:sz w:val="24"/>
                <w:szCs w:val="24"/>
                <w:lang w:val="en-US" w:eastAsia="zh-CN"/>
              </w:rPr>
              <w:t>（1）废气源强分析</w:t>
            </w:r>
          </w:p>
          <w:p w14:paraId="73D230CC">
            <w:pPr>
              <w:keepNext w:val="0"/>
              <w:keepLines w:val="0"/>
              <w:numPr>
                <w:ilvl w:val="0"/>
                <w:numId w:val="0"/>
              </w:numPr>
              <w:suppressLineNumbers w:val="0"/>
              <w:bidi w:val="0"/>
              <w:spacing w:before="0" w:beforeAutospacing="0" w:after="0" w:afterAutospacing="0"/>
              <w:ind w:left="480" w:leftChars="200" w:right="0" w:rightChars="0"/>
              <w:rPr>
                <w:rFonts w:hint="eastAsia" w:ascii="Times New Roman" w:hAnsi="Times New Roman" w:eastAsia="宋体" w:cs="Times New Roman"/>
                <w:b/>
                <w:bCs/>
                <w:color w:val="auto"/>
                <w:spacing w:val="-4"/>
                <w:sz w:val="24"/>
                <w:szCs w:val="24"/>
                <w:lang w:val="en-US" w:eastAsia="zh-CN"/>
              </w:rPr>
            </w:pPr>
            <w:r>
              <w:rPr>
                <w:rFonts w:hint="eastAsia" w:cs="Times New Roman"/>
                <w:b/>
                <w:bCs/>
                <w:color w:val="auto"/>
                <w:spacing w:val="-4"/>
                <w:sz w:val="24"/>
                <w:szCs w:val="24"/>
                <w:lang w:val="en-US" w:eastAsia="zh-CN"/>
              </w:rPr>
              <w:t>1）</w:t>
            </w:r>
            <w:r>
              <w:rPr>
                <w:rFonts w:hint="eastAsia" w:ascii="Times New Roman" w:hAnsi="Times New Roman" w:eastAsia="宋体" w:cs="Times New Roman"/>
                <w:b/>
                <w:bCs/>
                <w:color w:val="auto"/>
                <w:spacing w:val="-4"/>
                <w:sz w:val="24"/>
                <w:szCs w:val="24"/>
                <w:lang w:val="en-US" w:eastAsia="zh-CN"/>
              </w:rPr>
              <w:t>角磨切割粉尘</w:t>
            </w:r>
          </w:p>
          <w:p w14:paraId="70D66BC4">
            <w:pPr>
              <w:keepNext w:val="0"/>
              <w:keepLines w:val="0"/>
              <w:suppressLineNumbers w:val="0"/>
              <w:bidi w:val="0"/>
              <w:spacing w:before="0" w:beforeAutospacing="0" w:after="0" w:afterAutospacing="0"/>
              <w:ind w:left="0" w:right="0"/>
              <w:rPr>
                <w:rFonts w:hint="eastAsia"/>
              </w:rPr>
            </w:pPr>
            <w:r>
              <w:rPr>
                <w:rFonts w:hint="eastAsia"/>
              </w:rPr>
              <w:t>本项目</w:t>
            </w:r>
            <w:r>
              <w:rPr>
                <w:rFonts w:hint="eastAsia"/>
                <w:lang w:val="en-US" w:eastAsia="zh-CN"/>
              </w:rPr>
              <w:t>在拆解的过程中工人使用角磨机、切割机对车架车身等钢铁件进行切割，切割的过程中会产生粉尘。</w:t>
            </w:r>
          </w:p>
          <w:p w14:paraId="6D8035CF">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参考《第二次全国污染源普查产排污量核算系数手册》中</w:t>
            </w:r>
            <w:r>
              <w:rPr>
                <w:rFonts w:hint="default"/>
                <w:lang w:val="en-US" w:eastAsia="zh-CN"/>
              </w:rPr>
              <w:t>42</w:t>
            </w:r>
            <w:r>
              <w:rPr>
                <w:rFonts w:hint="eastAsia"/>
                <w:lang w:val="en-US" w:eastAsia="zh-CN"/>
              </w:rPr>
              <w:t>废弃资源综合利用行业系数手册中</w:t>
            </w:r>
            <w:r>
              <w:rPr>
                <w:rFonts w:hint="default"/>
                <w:lang w:val="en-US" w:eastAsia="zh-CN"/>
              </w:rPr>
              <w:t>-</w:t>
            </w:r>
            <w:r>
              <w:rPr>
                <w:rFonts w:hint="eastAsia"/>
                <w:lang w:val="en-US" w:eastAsia="zh-CN"/>
              </w:rPr>
              <w:t>钢铁件废碎料</w:t>
            </w:r>
            <w:r>
              <w:rPr>
                <w:rFonts w:hint="default"/>
                <w:lang w:val="en-US" w:eastAsia="zh-CN"/>
              </w:rPr>
              <w:t>-</w:t>
            </w:r>
            <w:r>
              <w:rPr>
                <w:rFonts w:hint="eastAsia"/>
                <w:lang w:val="en-US" w:eastAsia="zh-CN"/>
              </w:rPr>
              <w:t>切割废气的产生系数为</w:t>
            </w:r>
            <w:r>
              <w:rPr>
                <w:rFonts w:hint="default"/>
                <w:lang w:val="en-US" w:eastAsia="zh-CN"/>
              </w:rPr>
              <w:t>1.0</w:t>
            </w:r>
            <w:r>
              <w:rPr>
                <w:rFonts w:hint="eastAsia"/>
                <w:lang w:val="en-US" w:eastAsia="zh-CN"/>
              </w:rPr>
              <w:t>克</w:t>
            </w:r>
            <w:r>
              <w:rPr>
                <w:rFonts w:hint="default"/>
                <w:lang w:val="en-US" w:eastAsia="zh-CN"/>
              </w:rPr>
              <w:t>/</w:t>
            </w:r>
            <w:r>
              <w:rPr>
                <w:rFonts w:hint="eastAsia"/>
                <w:lang w:val="en-US" w:eastAsia="zh-CN"/>
              </w:rPr>
              <w:t>吨</w:t>
            </w:r>
            <w:r>
              <w:rPr>
                <w:rFonts w:hint="default"/>
                <w:lang w:val="en-US" w:eastAsia="zh-CN"/>
              </w:rPr>
              <w:t>-</w:t>
            </w:r>
            <w:r>
              <w:rPr>
                <w:rFonts w:hint="eastAsia"/>
                <w:lang w:val="en-US" w:eastAsia="zh-CN"/>
              </w:rPr>
              <w:t>原料，本项目电动车拆解过程产生的废钢铁件（除减震器外）约为5373</w:t>
            </w:r>
            <w:r>
              <w:rPr>
                <w:rFonts w:hint="default"/>
                <w:lang w:val="en-US" w:eastAsia="zh-CN"/>
              </w:rPr>
              <w:t>t/a</w:t>
            </w:r>
            <w:r>
              <w:rPr>
                <w:rFonts w:hint="eastAsia"/>
                <w:lang w:val="en-US" w:eastAsia="zh-CN"/>
              </w:rPr>
              <w:t>，角磨、切割工作时间约350h，则角磨切割粉尘的产生量约0.005t</w:t>
            </w:r>
            <w:r>
              <w:rPr>
                <w:rFonts w:hint="default"/>
                <w:lang w:val="en-US" w:eastAsia="zh-CN"/>
              </w:rPr>
              <w:t>/a</w:t>
            </w:r>
            <w:r>
              <w:rPr>
                <w:rFonts w:hint="eastAsia"/>
                <w:lang w:val="en-US" w:eastAsia="zh-CN"/>
              </w:rPr>
              <w:t>、0.014kg/h。</w:t>
            </w:r>
          </w:p>
          <w:p w14:paraId="0C3A0FF2">
            <w:pPr>
              <w:keepNext w:val="0"/>
              <w:keepLines w:val="0"/>
              <w:numPr>
                <w:ilvl w:val="0"/>
                <w:numId w:val="0"/>
              </w:numPr>
              <w:suppressLineNumbers w:val="0"/>
              <w:bidi w:val="0"/>
              <w:spacing w:before="0" w:beforeAutospacing="0" w:after="0" w:afterAutospacing="0"/>
              <w:ind w:left="480" w:leftChars="200" w:right="0" w:rightChars="0"/>
              <w:rPr>
                <w:rFonts w:hint="eastAsia"/>
                <w:b/>
                <w:bCs/>
                <w:lang w:val="en-US" w:eastAsia="zh-CN"/>
              </w:rPr>
            </w:pPr>
            <w:r>
              <w:rPr>
                <w:rFonts w:hint="eastAsia"/>
                <w:b/>
                <w:bCs/>
                <w:lang w:val="en-US" w:eastAsia="zh-CN"/>
              </w:rPr>
              <w:t>2）剪切粉尘</w:t>
            </w:r>
          </w:p>
          <w:p w14:paraId="488504FE">
            <w:pPr>
              <w:keepNext w:val="0"/>
              <w:keepLines w:val="0"/>
              <w:suppressLineNumbers w:val="0"/>
              <w:bidi w:val="0"/>
              <w:spacing w:before="0" w:beforeAutospacing="0" w:after="0" w:afterAutospacing="0"/>
              <w:ind w:left="0" w:right="0"/>
              <w:rPr>
                <w:rFonts w:hint="default"/>
              </w:rPr>
            </w:pPr>
            <w:r>
              <w:rPr>
                <w:rFonts w:hint="eastAsia"/>
                <w:lang w:val="en-US" w:eastAsia="zh-CN"/>
              </w:rPr>
              <w:t>项目设置</w:t>
            </w:r>
            <w:r>
              <w:rPr>
                <w:rFonts w:hint="default"/>
              </w:rPr>
              <w:t>鳄式剪切机</w:t>
            </w:r>
            <w:r>
              <w:rPr>
                <w:rFonts w:hint="eastAsia"/>
                <w:lang w:val="en-US" w:eastAsia="zh-CN"/>
              </w:rPr>
              <w:t>对车架及车身进行剪切，车架和车身重量约占钢铁件总重量的40-50%，本项目按照50%计，车架及车身重约2678.5t/a，参考《第二次全国污染源普查产排污量核算系数手册》中</w:t>
            </w:r>
            <w:r>
              <w:rPr>
                <w:rFonts w:hint="default"/>
                <w:lang w:val="en-US" w:eastAsia="zh-CN"/>
              </w:rPr>
              <w:t>42</w:t>
            </w:r>
            <w:r>
              <w:rPr>
                <w:rFonts w:hint="eastAsia"/>
                <w:lang w:val="en-US" w:eastAsia="zh-CN"/>
              </w:rPr>
              <w:t>废弃资源综合利用行业系数手册中</w:t>
            </w:r>
            <w:r>
              <w:rPr>
                <w:rFonts w:hint="default"/>
                <w:lang w:val="en-US" w:eastAsia="zh-CN"/>
              </w:rPr>
              <w:t>-</w:t>
            </w:r>
            <w:r>
              <w:rPr>
                <w:rFonts w:hint="eastAsia"/>
                <w:lang w:val="en-US" w:eastAsia="zh-CN"/>
              </w:rPr>
              <w:t>钢铁件废碎料</w:t>
            </w:r>
            <w:r>
              <w:rPr>
                <w:rFonts w:hint="default"/>
                <w:lang w:val="en-US" w:eastAsia="zh-CN"/>
              </w:rPr>
              <w:t>-</w:t>
            </w:r>
            <w:r>
              <w:rPr>
                <w:rFonts w:hint="eastAsia"/>
                <w:lang w:val="en-US" w:eastAsia="zh-CN"/>
              </w:rPr>
              <w:t>剪切废气的产生系数为7.2克</w:t>
            </w:r>
            <w:r>
              <w:rPr>
                <w:rFonts w:hint="default"/>
                <w:lang w:val="en-US" w:eastAsia="zh-CN"/>
              </w:rPr>
              <w:t>/</w:t>
            </w:r>
            <w:r>
              <w:rPr>
                <w:rFonts w:hint="eastAsia"/>
                <w:lang w:val="en-US" w:eastAsia="zh-CN"/>
              </w:rPr>
              <w:t>吨</w:t>
            </w:r>
            <w:r>
              <w:rPr>
                <w:rFonts w:hint="default"/>
                <w:lang w:val="en-US" w:eastAsia="zh-CN"/>
              </w:rPr>
              <w:t>-</w:t>
            </w:r>
            <w:r>
              <w:rPr>
                <w:rFonts w:hint="eastAsia"/>
                <w:lang w:val="en-US" w:eastAsia="zh-CN"/>
              </w:rPr>
              <w:t>原料，则剪切粉尘产生量为0.019t/a。</w:t>
            </w:r>
            <w:r>
              <w:rPr>
                <w:rFonts w:hint="default"/>
              </w:rPr>
              <w:t>根据建设单位提供资料，项目</w:t>
            </w:r>
            <w:r>
              <w:rPr>
                <w:rFonts w:hint="eastAsia"/>
                <w:lang w:eastAsia="zh-CN"/>
              </w:rPr>
              <w:t>颚式</w:t>
            </w:r>
            <w:r>
              <w:rPr>
                <w:rFonts w:hint="default"/>
              </w:rPr>
              <w:t>剪切机一般每天使用1小时，全年按3</w:t>
            </w:r>
            <w:r>
              <w:rPr>
                <w:rFonts w:hint="eastAsia"/>
                <w:lang w:val="en-US" w:eastAsia="zh-CN"/>
              </w:rPr>
              <w:t>5</w:t>
            </w:r>
            <w:r>
              <w:rPr>
                <w:rFonts w:hint="default"/>
              </w:rPr>
              <w:t>0h；则剪切工序颗粒物产生速率为</w:t>
            </w:r>
            <w:r>
              <w:rPr>
                <w:rFonts w:hint="eastAsia"/>
                <w:lang w:val="en-US" w:eastAsia="zh-CN"/>
              </w:rPr>
              <w:t>0.054</w:t>
            </w:r>
            <w:r>
              <w:rPr>
                <w:rFonts w:hint="default"/>
              </w:rPr>
              <w:t>kg/h。</w:t>
            </w:r>
          </w:p>
          <w:p w14:paraId="5DFFDFC9">
            <w:pPr>
              <w:keepNext w:val="0"/>
              <w:keepLines w:val="0"/>
              <w:suppressLineNumbers w:val="0"/>
              <w:bidi w:val="0"/>
              <w:spacing w:before="0" w:beforeAutospacing="0" w:after="0" w:afterAutospacing="0"/>
              <w:ind w:left="0" w:right="0"/>
              <w:rPr>
                <w:rFonts w:hint="eastAsia"/>
                <w:b/>
                <w:bCs/>
                <w:lang w:eastAsia="zh-CN"/>
              </w:rPr>
            </w:pPr>
            <w:r>
              <w:rPr>
                <w:rFonts w:hint="eastAsia"/>
                <w:b/>
                <w:bCs/>
                <w:lang w:val="en-US" w:eastAsia="zh-CN"/>
              </w:rPr>
              <w:t>3）</w:t>
            </w:r>
            <w:r>
              <w:rPr>
                <w:rFonts w:hint="default"/>
                <w:b/>
                <w:bCs/>
              </w:rPr>
              <w:t>打包</w:t>
            </w:r>
            <w:commentRangeStart w:id="39"/>
            <w:commentRangeStart w:id="40"/>
            <w:r>
              <w:rPr>
                <w:rFonts w:hint="eastAsia"/>
                <w:b/>
                <w:bCs/>
                <w:lang w:val="en-US" w:eastAsia="zh-CN"/>
              </w:rPr>
              <w:t>粉尘</w:t>
            </w:r>
            <w:commentRangeEnd w:id="39"/>
            <w:r>
              <w:rPr>
                <w:rFonts w:hint="default"/>
              </w:rPr>
              <w:commentReference w:id="39"/>
            </w:r>
            <w:commentRangeEnd w:id="40"/>
            <w:r>
              <w:rPr>
                <w:rFonts w:hint="default"/>
              </w:rPr>
              <w:commentReference w:id="40"/>
            </w:r>
          </w:p>
          <w:p w14:paraId="2DEB2E9E">
            <w:pPr>
              <w:keepNext w:val="0"/>
              <w:keepLines w:val="0"/>
              <w:suppressLineNumbers w:val="0"/>
              <w:bidi w:val="0"/>
              <w:spacing w:before="0" w:beforeAutospacing="0" w:after="0" w:afterAutospacing="0"/>
              <w:ind w:left="0" w:right="0"/>
              <w:rPr>
                <w:rFonts w:hint="default"/>
              </w:rPr>
            </w:pPr>
            <w:r>
              <w:rPr>
                <w:rFonts w:hint="default"/>
                <w:color w:val="0000FF"/>
              </w:rPr>
              <w:t>本项目废钢铁件在打包压块过程中会产生少量金属粉尘。由于采用液压式打包机进行作业，废钢铁件在封闭或半封闭的料箱内受挤压而发生塑性变形，属于冷态压缩过程。该过程运行平稳、速度缓慢，产生的金属粉尘粒径较大、比重较高，主要沉降在设备周边区域，扩散范围有限</w:t>
            </w:r>
            <w:r>
              <w:rPr>
                <w:rFonts w:hint="eastAsia"/>
                <w:color w:val="0000FF"/>
                <w:lang w:eastAsia="zh-CN"/>
              </w:rPr>
              <w:t>。</w:t>
            </w:r>
            <w:r>
              <w:rPr>
                <w:rFonts w:hint="eastAsia"/>
                <w:color w:val="0000FF"/>
                <w:lang w:val="en-US" w:eastAsia="zh-CN"/>
              </w:rPr>
              <w:t>由于《第二次全国污染源普查产排污量核算系数手册》无打包废气产污系数，参考</w:t>
            </w:r>
            <w:r>
              <w:rPr>
                <w:rFonts w:hint="default"/>
                <w:color w:val="0000FF"/>
                <w:lang w:val="en-US" w:eastAsia="zh-CN"/>
              </w:rPr>
              <w:t>42</w:t>
            </w:r>
            <w:r>
              <w:rPr>
                <w:rFonts w:hint="eastAsia"/>
                <w:color w:val="0000FF"/>
                <w:lang w:val="en-US" w:eastAsia="zh-CN"/>
              </w:rPr>
              <w:t>废弃资源综合利用行业系数手册中</w:t>
            </w:r>
            <w:r>
              <w:rPr>
                <w:rFonts w:hint="default"/>
                <w:color w:val="0000FF"/>
                <w:lang w:val="en-US" w:eastAsia="zh-CN"/>
              </w:rPr>
              <w:t>-</w:t>
            </w:r>
            <w:r>
              <w:rPr>
                <w:rFonts w:hint="eastAsia"/>
                <w:color w:val="0000FF"/>
                <w:lang w:val="en-US" w:eastAsia="zh-CN"/>
              </w:rPr>
              <w:t>钢铁件废碎料</w:t>
            </w:r>
            <w:r>
              <w:rPr>
                <w:rFonts w:hint="default"/>
                <w:color w:val="0000FF"/>
                <w:lang w:val="en-US" w:eastAsia="zh-CN"/>
              </w:rPr>
              <w:t>-</w:t>
            </w:r>
            <w:r>
              <w:rPr>
                <w:rFonts w:hint="eastAsia"/>
                <w:color w:val="0000FF"/>
                <w:lang w:val="en-US" w:eastAsia="zh-CN"/>
              </w:rPr>
              <w:t>剪切废气的产生系数取7.2克</w:t>
            </w:r>
            <w:r>
              <w:rPr>
                <w:rFonts w:hint="default"/>
                <w:color w:val="0000FF"/>
                <w:lang w:val="en-US" w:eastAsia="zh-CN"/>
              </w:rPr>
              <w:t>/</w:t>
            </w:r>
            <w:r>
              <w:rPr>
                <w:rFonts w:hint="eastAsia"/>
                <w:color w:val="0000FF"/>
                <w:lang w:val="en-US" w:eastAsia="zh-CN"/>
              </w:rPr>
              <w:t>吨</w:t>
            </w:r>
            <w:r>
              <w:rPr>
                <w:rFonts w:hint="default"/>
                <w:color w:val="0000FF"/>
                <w:lang w:val="en-US" w:eastAsia="zh-CN"/>
              </w:rPr>
              <w:t>-</w:t>
            </w:r>
            <w:r>
              <w:rPr>
                <w:rFonts w:hint="eastAsia"/>
                <w:color w:val="0000FF"/>
                <w:lang w:val="en-US" w:eastAsia="zh-CN"/>
              </w:rPr>
              <w:t>原料，年打包废钢铁件5357t/a，则打包粉尘产生量为0.039t/a，年打包时间1786h，则打包粉尘产生速率为0.022kg/h</w:t>
            </w:r>
            <w:r>
              <w:rPr>
                <w:rFonts w:hint="default"/>
              </w:rPr>
              <w:t>。</w:t>
            </w:r>
          </w:p>
          <w:p w14:paraId="26B2CF15">
            <w:pPr>
              <w:keepNext w:val="0"/>
              <w:keepLines w:val="0"/>
              <w:suppressLineNumbers w:val="0"/>
              <w:bidi w:val="0"/>
              <w:spacing w:before="0" w:beforeAutospacing="0" w:after="0" w:afterAutospacing="0"/>
              <w:ind w:left="0" w:right="0"/>
              <w:rPr>
                <w:rFonts w:hint="default" w:eastAsia="宋体"/>
                <w:b/>
                <w:bCs/>
                <w:lang w:val="en-US" w:eastAsia="zh-CN"/>
              </w:rPr>
            </w:pPr>
            <w:r>
              <w:rPr>
                <w:rFonts w:hint="eastAsia"/>
                <w:b/>
                <w:bCs/>
                <w:lang w:val="en-US" w:eastAsia="zh-CN"/>
              </w:rPr>
              <w:t>4）</w:t>
            </w:r>
            <w:r>
              <w:rPr>
                <w:rFonts w:hint="eastAsia" w:ascii="Times New Roman" w:hAnsi="Times New Roman" w:eastAsia="宋体" w:cs="Times New Roman"/>
                <w:b/>
                <w:bCs/>
                <w:color w:val="auto"/>
                <w:spacing w:val="-4"/>
                <w:sz w:val="24"/>
                <w:szCs w:val="24"/>
                <w:lang w:val="en-US" w:eastAsia="zh-CN"/>
              </w:rPr>
              <w:t>破碎水絮凝沉淀产生的少量恶臭</w:t>
            </w:r>
          </w:p>
          <w:p w14:paraId="7C267D35">
            <w:pPr>
              <w:keepNext w:val="0"/>
              <w:keepLines w:val="0"/>
              <w:widowControl/>
              <w:suppressLineNumbers w:val="0"/>
              <w:spacing w:before="0" w:beforeAutospacing="0" w:after="0" w:afterAutospacing="0"/>
              <w:ind w:left="0" w:right="0"/>
              <w:jc w:val="left"/>
              <w:rPr>
                <w:rFonts w:hint="default"/>
              </w:rPr>
            </w:pPr>
            <w:r>
              <w:rPr>
                <w:rFonts w:hint="default" w:ascii="宋体" w:hAnsi="宋体" w:eastAsia="宋体" w:cs="宋体"/>
                <w:kern w:val="0"/>
                <w:sz w:val="24"/>
                <w:szCs w:val="24"/>
                <w:lang w:val="en-US" w:eastAsia="zh-CN" w:bidi="ar"/>
              </w:rPr>
              <w:t>本项目废塑料处理采用湿法破碎工艺，破碎废水经絮凝沉淀池处理后全部回用。在絮凝沉淀池运行、污泥清掏及暂存过程中，可能因有机物厌氧分解产生少量无组织恶臭气体。</w:t>
            </w:r>
          </w:p>
          <w:p w14:paraId="5FC397B0">
            <w:pPr>
              <w:keepNext w:val="0"/>
              <w:keepLines w:val="0"/>
              <w:suppressLineNumbers w:val="0"/>
              <w:spacing w:before="0" w:beforeAutospacing="0" w:after="0" w:afterAutospacing="0"/>
              <w:ind w:left="0" w:right="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项目无组织恶臭气体产生情况类</w:t>
            </w:r>
            <w:r>
              <w:rPr>
                <w:rFonts w:hint="eastAsia" w:eastAsia="宋体"/>
                <w:color w:val="000000" w:themeColor="text1"/>
                <w:lang w:val="en-US" w:eastAsia="zh-CN"/>
                <w14:textFill>
                  <w14:solidFill>
                    <w14:schemeClr w14:val="tx1"/>
                  </w14:solidFill>
                </w14:textFill>
              </w:rPr>
              <w:t>比《淮南环璟资源再生利用技术有限公司再生资源回收利用项目（阶段性）</w:t>
            </w:r>
            <w:r>
              <w:rPr>
                <w:rFonts w:hint="default" w:eastAsia="宋体"/>
                <w:color w:val="000000" w:themeColor="text1"/>
                <w:lang w:val="en-US" w:eastAsia="zh-CN"/>
                <w14:textFill>
                  <w14:solidFill>
                    <w14:schemeClr w14:val="tx1"/>
                  </w14:solidFill>
                </w14:textFill>
              </w:rPr>
              <w:t>竣工环境保护验收监测报告</w:t>
            </w:r>
            <w:r>
              <w:rPr>
                <w:rFonts w:hint="eastAsia" w:eastAsia="宋体"/>
                <w:color w:val="000000" w:themeColor="text1"/>
                <w:lang w:val="en-US" w:eastAsia="zh-CN"/>
                <w14:textFill>
                  <w14:solidFill>
                    <w14:schemeClr w14:val="tx1"/>
                  </w14:solidFill>
                </w14:textFill>
              </w:rPr>
              <w:t>》，其类比可行性分析见下表。</w:t>
            </w:r>
          </w:p>
          <w:p w14:paraId="60633E1E">
            <w:pPr>
              <w:pStyle w:val="65"/>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表4-6  恶臭气体类比可行性分析一览表</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00"/>
              <w:gridCol w:w="2310"/>
              <w:gridCol w:w="2235"/>
              <w:gridCol w:w="3328"/>
            </w:tblGrid>
            <w:tr w14:paraId="1F434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00" w:type="dxa"/>
                  <w:shd w:val="clear" w:color="auto" w:fill="auto"/>
                  <w:vAlign w:val="center"/>
                </w:tcPr>
                <w:p w14:paraId="2FDEB45D">
                  <w:pPr>
                    <w:pStyle w:val="46"/>
                    <w:keepNext w:val="0"/>
                    <w:keepLines w:val="0"/>
                    <w:suppressLineNumbers w:val="0"/>
                    <w:bidi w:val="0"/>
                    <w:spacing w:before="0" w:beforeAutospacing="0" w:after="0" w:afterAutospacing="0"/>
                    <w:ind w:left="0" w:leftChars="0" w:right="0" w:rightChars="0" w:firstLine="0" w:firstLineChars="0"/>
                    <w:jc w:val="center"/>
                    <w:rPr>
                      <w:rFonts w:hint="default" w:ascii="Times New Roman" w:hAnsi="Times New Roman" w:eastAsia="宋体" w:cs="Times New Roman"/>
                      <w:b/>
                      <w:bCs/>
                      <w:color w:val="auto"/>
                      <w:kern w:val="2"/>
                      <w:sz w:val="21"/>
                      <w:szCs w:val="21"/>
                      <w:lang w:val="en-US" w:eastAsia="zh-CN" w:bidi="ar-SA"/>
                    </w:rPr>
                  </w:pPr>
                  <w:r>
                    <w:rPr>
                      <w:rFonts w:hint="eastAsia"/>
                      <w:b/>
                      <w:bCs/>
                      <w:color w:val="auto"/>
                      <w:lang w:val="en-US" w:eastAsia="zh-CN"/>
                    </w:rPr>
                    <w:t>项目</w:t>
                  </w:r>
                </w:p>
              </w:tc>
              <w:tc>
                <w:tcPr>
                  <w:tcW w:w="2310" w:type="dxa"/>
                  <w:shd w:val="clear" w:color="auto" w:fill="auto"/>
                  <w:vAlign w:val="center"/>
                </w:tcPr>
                <w:p w14:paraId="77412D0D">
                  <w:pPr>
                    <w:pStyle w:val="46"/>
                    <w:keepNext w:val="0"/>
                    <w:keepLines w:val="0"/>
                    <w:suppressLineNumbers w:val="0"/>
                    <w:bidi w:val="0"/>
                    <w:spacing w:before="0" w:beforeAutospacing="0" w:after="0" w:afterAutospacing="0"/>
                    <w:ind w:left="0" w:leftChars="0" w:right="0" w:rightChars="0" w:firstLine="0" w:firstLineChars="0"/>
                    <w:jc w:val="center"/>
                    <w:rPr>
                      <w:rFonts w:hint="default" w:ascii="Times New Roman" w:hAnsi="Times New Roman" w:eastAsia="宋体" w:cs="Times New Roman"/>
                      <w:b/>
                      <w:bCs/>
                      <w:color w:val="auto"/>
                      <w:kern w:val="2"/>
                      <w:sz w:val="21"/>
                      <w:szCs w:val="21"/>
                      <w:lang w:val="en-US" w:eastAsia="zh-CN" w:bidi="ar-SA"/>
                    </w:rPr>
                  </w:pPr>
                  <w:r>
                    <w:rPr>
                      <w:rFonts w:hint="eastAsia"/>
                      <w:b/>
                      <w:bCs/>
                      <w:color w:val="auto"/>
                      <w:lang w:val="en-US" w:eastAsia="zh-CN"/>
                    </w:rPr>
                    <w:t>本项目建设情况</w:t>
                  </w:r>
                </w:p>
              </w:tc>
              <w:tc>
                <w:tcPr>
                  <w:tcW w:w="2235" w:type="dxa"/>
                  <w:shd w:val="clear" w:color="auto" w:fill="auto"/>
                  <w:vAlign w:val="center"/>
                </w:tcPr>
                <w:p w14:paraId="196DF385">
                  <w:pPr>
                    <w:pStyle w:val="46"/>
                    <w:keepNext w:val="0"/>
                    <w:keepLines w:val="0"/>
                    <w:suppressLineNumbers w:val="0"/>
                    <w:bidi w:val="0"/>
                    <w:spacing w:before="0" w:beforeAutospacing="0" w:after="0" w:afterAutospacing="0"/>
                    <w:ind w:left="0" w:leftChars="0" w:right="0" w:rightChars="0" w:firstLine="0" w:firstLineChars="0"/>
                    <w:jc w:val="center"/>
                    <w:rPr>
                      <w:rFonts w:hint="default" w:ascii="Times New Roman" w:hAnsi="Times New Roman" w:eastAsia="宋体" w:cs="Times New Roman"/>
                      <w:b/>
                      <w:bCs/>
                      <w:color w:val="auto"/>
                      <w:kern w:val="2"/>
                      <w:sz w:val="21"/>
                      <w:szCs w:val="21"/>
                      <w:lang w:val="en-US" w:eastAsia="zh-CN" w:bidi="ar-SA"/>
                    </w:rPr>
                  </w:pPr>
                  <w:r>
                    <w:rPr>
                      <w:rFonts w:hint="eastAsia"/>
                      <w:b/>
                      <w:bCs/>
                      <w:color w:val="auto"/>
                      <w:lang w:val="en-US" w:eastAsia="zh-CN"/>
                    </w:rPr>
                    <w:t>类比项目情况</w:t>
                  </w:r>
                </w:p>
              </w:tc>
              <w:tc>
                <w:tcPr>
                  <w:tcW w:w="3328" w:type="dxa"/>
                  <w:shd w:val="clear" w:color="auto" w:fill="auto"/>
                  <w:vAlign w:val="center"/>
                </w:tcPr>
                <w:p w14:paraId="6650DA2F">
                  <w:pPr>
                    <w:pStyle w:val="46"/>
                    <w:keepNext w:val="0"/>
                    <w:keepLines w:val="0"/>
                    <w:suppressLineNumbers w:val="0"/>
                    <w:bidi w:val="0"/>
                    <w:spacing w:before="0" w:beforeAutospacing="0" w:after="0" w:afterAutospacing="0"/>
                    <w:ind w:left="0" w:leftChars="0" w:right="0" w:rightChars="0" w:firstLine="0" w:firstLineChars="0"/>
                    <w:jc w:val="center"/>
                    <w:rPr>
                      <w:rFonts w:hint="default"/>
                      <w:b/>
                      <w:bCs/>
                      <w:color w:val="auto"/>
                      <w:lang w:val="en-US" w:eastAsia="zh-CN"/>
                    </w:rPr>
                  </w:pPr>
                  <w:r>
                    <w:rPr>
                      <w:rFonts w:hint="eastAsia"/>
                      <w:b/>
                      <w:bCs/>
                      <w:color w:val="auto"/>
                      <w:lang w:val="en-US" w:eastAsia="zh-CN"/>
                    </w:rPr>
                    <w:t>类比可行性分析</w:t>
                  </w:r>
                </w:p>
              </w:tc>
            </w:tr>
            <w:tr w14:paraId="208D1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00" w:type="dxa"/>
                  <w:shd w:val="clear" w:color="auto" w:fill="auto"/>
                  <w:vAlign w:val="center"/>
                </w:tcPr>
                <w:p w14:paraId="48B58A5C">
                  <w:pPr>
                    <w:pStyle w:val="46"/>
                    <w:keepNext w:val="0"/>
                    <w:keepLines w:val="0"/>
                    <w:suppressLineNumbers w:val="0"/>
                    <w:bidi w:val="0"/>
                    <w:spacing w:before="0" w:beforeAutospacing="0" w:after="0" w:afterAutospacing="0"/>
                    <w:ind w:left="0" w:leftChars="0" w:right="0" w:rightChars="0" w:firstLine="0" w:firstLineChars="0"/>
                    <w:jc w:val="center"/>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项目名称</w:t>
                  </w:r>
                </w:p>
              </w:tc>
              <w:tc>
                <w:tcPr>
                  <w:tcW w:w="2310" w:type="dxa"/>
                  <w:vAlign w:val="center"/>
                </w:tcPr>
                <w:p w14:paraId="55C48058">
                  <w:pPr>
                    <w:pStyle w:val="61"/>
                    <w:keepNext w:val="0"/>
                    <w:keepLines w:val="0"/>
                    <w:suppressLineNumbers w:val="0"/>
                    <w:bidi w:val="0"/>
                    <w:spacing w:before="0" w:beforeAutospacing="0" w:after="0" w:afterAutospacing="0"/>
                    <w:ind w:left="0" w:right="0"/>
                    <w:jc w:val="center"/>
                    <w:rPr>
                      <w:rFonts w:hint="default"/>
                      <w:lang w:val="en-US" w:eastAsia="zh-CN"/>
                    </w:rPr>
                  </w:pPr>
                  <w:r>
                    <w:rPr>
                      <w:rFonts w:hint="default"/>
                      <w:lang w:val="en-US" w:eastAsia="zh-CN"/>
                    </w:rPr>
                    <w:t>谢家集经济开发区新能源拆解基地项目</w:t>
                  </w:r>
                </w:p>
              </w:tc>
              <w:tc>
                <w:tcPr>
                  <w:tcW w:w="2235" w:type="dxa"/>
                  <w:vAlign w:val="center"/>
                </w:tcPr>
                <w:p w14:paraId="7FC68E8B">
                  <w:pPr>
                    <w:pStyle w:val="61"/>
                    <w:keepNext w:val="0"/>
                    <w:keepLines w:val="0"/>
                    <w:suppressLineNumbers w:val="0"/>
                    <w:bidi w:val="0"/>
                    <w:spacing w:before="0" w:beforeAutospacing="0" w:after="0" w:afterAutospacing="0"/>
                    <w:ind w:left="0" w:right="0"/>
                    <w:jc w:val="center"/>
                    <w:rPr>
                      <w:rFonts w:hint="default"/>
                      <w:lang w:val="en-US" w:eastAsia="zh-CN"/>
                    </w:rPr>
                  </w:pPr>
                  <w:r>
                    <w:rPr>
                      <w:rFonts w:hint="eastAsia" w:eastAsia="宋体"/>
                      <w:color w:val="000000" w:themeColor="text1"/>
                      <w:lang w:val="en-US" w:eastAsia="zh-CN"/>
                      <w14:textFill>
                        <w14:solidFill>
                          <w14:schemeClr w14:val="tx1"/>
                        </w14:solidFill>
                      </w14:textFill>
                    </w:rPr>
                    <w:t>淮南环璟资源再生利用技术有限公司再生资源回收利用项目</w:t>
                  </w:r>
                </w:p>
              </w:tc>
              <w:tc>
                <w:tcPr>
                  <w:tcW w:w="3328" w:type="dxa"/>
                  <w:vAlign w:val="center"/>
                </w:tcPr>
                <w:p w14:paraId="08DD9896">
                  <w:pPr>
                    <w:pStyle w:val="61"/>
                    <w:keepNext w:val="0"/>
                    <w:keepLines w:val="0"/>
                    <w:suppressLineNumbers w:val="0"/>
                    <w:bidi w:val="0"/>
                    <w:spacing w:before="0" w:beforeAutospacing="0" w:after="0" w:afterAutospacing="0"/>
                    <w:ind w:left="0" w:right="0"/>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w:t>
                  </w:r>
                </w:p>
              </w:tc>
            </w:tr>
            <w:tr w14:paraId="68C653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00" w:type="dxa"/>
                  <w:shd w:val="clear" w:color="auto" w:fill="auto"/>
                  <w:vAlign w:val="center"/>
                </w:tcPr>
                <w:p w14:paraId="032AB52A">
                  <w:pPr>
                    <w:pStyle w:val="46"/>
                    <w:keepNext w:val="0"/>
                    <w:keepLines w:val="0"/>
                    <w:suppressLineNumbers w:val="0"/>
                    <w:bidi w:val="0"/>
                    <w:spacing w:before="0" w:beforeAutospacing="0" w:after="0" w:afterAutospacing="0"/>
                    <w:ind w:left="0" w:leftChars="0" w:right="0" w:rightChars="0" w:firstLine="0" w:firstLineChars="0"/>
                    <w:jc w:val="center"/>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塑料种类</w:t>
                  </w:r>
                </w:p>
              </w:tc>
              <w:tc>
                <w:tcPr>
                  <w:tcW w:w="2310" w:type="dxa"/>
                  <w:shd w:val="clear" w:color="auto" w:fill="auto"/>
                  <w:vAlign w:val="center"/>
                </w:tcPr>
                <w:p w14:paraId="1E71FE3F">
                  <w:pPr>
                    <w:pStyle w:val="61"/>
                    <w:keepNext w:val="0"/>
                    <w:keepLines w:val="0"/>
                    <w:suppressLineNumbers w:val="0"/>
                    <w:bidi w:val="0"/>
                    <w:spacing w:before="0" w:beforeAutospacing="0" w:after="0" w:afterAutospacing="0"/>
                    <w:ind w:left="0" w:right="0" w:firstLine="0" w:firstLineChars="0"/>
                    <w:jc w:val="center"/>
                    <w:rPr>
                      <w:rFonts w:hint="default" w:ascii="Times New Roman" w:hAnsi="Times New Roman" w:eastAsia="宋体" w:cs="Times New Roman"/>
                      <w:kern w:val="2"/>
                      <w:sz w:val="21"/>
                      <w:szCs w:val="24"/>
                      <w:lang w:val="en-US" w:eastAsia="zh-CN" w:bidi="ar-SA"/>
                    </w:rPr>
                  </w:pPr>
                  <w:r>
                    <w:rPr>
                      <w:rFonts w:hint="eastAsia"/>
                      <w:lang w:val="en-US" w:eastAsia="zh-CN"/>
                    </w:rPr>
                    <w:t>PP/ABS</w:t>
                  </w:r>
                </w:p>
              </w:tc>
              <w:tc>
                <w:tcPr>
                  <w:tcW w:w="2235" w:type="dxa"/>
                  <w:shd w:val="clear" w:color="auto" w:fill="auto"/>
                  <w:vAlign w:val="center"/>
                </w:tcPr>
                <w:p w14:paraId="4A3E9AA7">
                  <w:pPr>
                    <w:pStyle w:val="61"/>
                    <w:keepNext w:val="0"/>
                    <w:keepLines w:val="0"/>
                    <w:suppressLineNumbers w:val="0"/>
                    <w:bidi w:val="0"/>
                    <w:spacing w:before="0" w:beforeAutospacing="0" w:after="0" w:afterAutospacing="0"/>
                    <w:ind w:left="0" w:right="0" w:firstLine="0" w:firstLineChars="0"/>
                    <w:jc w:val="center"/>
                    <w:rPr>
                      <w:rFonts w:hint="eastAsia" w:ascii="Times New Roman" w:hAnsi="Times New Roman" w:eastAsia="宋体" w:cs="Times New Roman"/>
                      <w:kern w:val="2"/>
                      <w:sz w:val="21"/>
                      <w:szCs w:val="24"/>
                      <w:lang w:val="en-US" w:eastAsia="zh-CN" w:bidi="ar-SA"/>
                    </w:rPr>
                  </w:pPr>
                  <w:r>
                    <w:rPr>
                      <w:rFonts w:hint="eastAsia"/>
                      <w:lang w:val="en-US" w:eastAsia="zh-CN"/>
                    </w:rPr>
                    <w:t>PP</w:t>
                  </w:r>
                </w:p>
              </w:tc>
              <w:tc>
                <w:tcPr>
                  <w:tcW w:w="3328" w:type="dxa"/>
                  <w:shd w:val="clear" w:color="auto" w:fill="auto"/>
                  <w:vAlign w:val="center"/>
                </w:tcPr>
                <w:p w14:paraId="1155B646">
                  <w:pPr>
                    <w:pStyle w:val="61"/>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ABS塑料在破碎过程中产生的废水污染物浓度通常低于PP，因此本项目废水污染物成分更简单，处理难度更低</w:t>
                  </w:r>
                </w:p>
              </w:tc>
            </w:tr>
            <w:tr w14:paraId="15E20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00" w:type="dxa"/>
                  <w:shd w:val="clear" w:color="auto" w:fill="auto"/>
                  <w:vAlign w:val="center"/>
                </w:tcPr>
                <w:p w14:paraId="0029C50D">
                  <w:pPr>
                    <w:pStyle w:val="46"/>
                    <w:keepNext w:val="0"/>
                    <w:keepLines w:val="0"/>
                    <w:suppressLineNumbers w:val="0"/>
                    <w:bidi w:val="0"/>
                    <w:spacing w:before="0" w:beforeAutospacing="0" w:after="0" w:afterAutospacing="0"/>
                    <w:ind w:left="0" w:leftChars="0" w:right="0" w:rightChars="0" w:firstLine="0" w:firstLineChars="0"/>
                    <w:jc w:val="center"/>
                    <w:rPr>
                      <w:rFonts w:hint="default"/>
                      <w:color w:val="auto"/>
                      <w:lang w:val="en-US" w:eastAsia="zh-CN"/>
                    </w:rPr>
                  </w:pPr>
                  <w:r>
                    <w:rPr>
                      <w:rFonts w:hint="eastAsia"/>
                      <w:color w:val="auto"/>
                      <w:lang w:val="en-US" w:eastAsia="zh-CN"/>
                    </w:rPr>
                    <w:t>年处理量t/a</w:t>
                  </w:r>
                </w:p>
              </w:tc>
              <w:tc>
                <w:tcPr>
                  <w:tcW w:w="2310" w:type="dxa"/>
                  <w:shd w:val="clear" w:color="auto" w:fill="auto"/>
                  <w:vAlign w:val="center"/>
                </w:tcPr>
                <w:p w14:paraId="0F6F9375">
                  <w:pPr>
                    <w:pStyle w:val="61"/>
                    <w:keepNext w:val="0"/>
                    <w:keepLines w:val="0"/>
                    <w:suppressLineNumbers w:val="0"/>
                    <w:bidi w:val="0"/>
                    <w:spacing w:before="0" w:beforeAutospacing="0" w:after="0" w:afterAutospacing="0"/>
                    <w:ind w:left="0" w:right="0" w:firstLine="0" w:firstLineChars="0"/>
                    <w:jc w:val="center"/>
                    <w:rPr>
                      <w:rFonts w:hint="default"/>
                      <w:lang w:val="en-US" w:eastAsia="zh-CN"/>
                    </w:rPr>
                  </w:pPr>
                  <w:r>
                    <w:rPr>
                      <w:rFonts w:hint="eastAsia"/>
                      <w:lang w:val="en-US" w:eastAsia="zh-CN"/>
                    </w:rPr>
                    <w:t>293</w:t>
                  </w:r>
                </w:p>
              </w:tc>
              <w:tc>
                <w:tcPr>
                  <w:tcW w:w="2235" w:type="dxa"/>
                  <w:shd w:val="clear" w:color="auto" w:fill="auto"/>
                  <w:vAlign w:val="center"/>
                </w:tcPr>
                <w:p w14:paraId="5ACCF0D4">
                  <w:pPr>
                    <w:pStyle w:val="61"/>
                    <w:keepNext w:val="0"/>
                    <w:keepLines w:val="0"/>
                    <w:suppressLineNumbers w:val="0"/>
                    <w:bidi w:val="0"/>
                    <w:spacing w:before="0" w:beforeAutospacing="0" w:after="0" w:afterAutospacing="0"/>
                    <w:ind w:left="0" w:right="0" w:firstLine="0" w:firstLineChars="0"/>
                    <w:jc w:val="center"/>
                    <w:rPr>
                      <w:rFonts w:hint="default"/>
                      <w:lang w:val="en-US" w:eastAsia="zh-CN"/>
                    </w:rPr>
                  </w:pPr>
                  <w:r>
                    <w:rPr>
                      <w:rFonts w:hint="eastAsia"/>
                      <w:lang w:val="en-US" w:eastAsia="zh-CN"/>
                    </w:rPr>
                    <w:t>9166.7</w:t>
                  </w:r>
                </w:p>
              </w:tc>
              <w:tc>
                <w:tcPr>
                  <w:tcW w:w="3328" w:type="dxa"/>
                  <w:shd w:val="clear" w:color="auto" w:fill="auto"/>
                  <w:vAlign w:val="center"/>
                </w:tcPr>
                <w:p w14:paraId="59BADCFB">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本项目规模＜类比项目</w:t>
                  </w:r>
                </w:p>
              </w:tc>
            </w:tr>
            <w:tr w14:paraId="5DD67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00" w:type="dxa"/>
                  <w:shd w:val="clear" w:color="auto" w:fill="auto"/>
                  <w:vAlign w:val="center"/>
                </w:tcPr>
                <w:p w14:paraId="6D090F54">
                  <w:pPr>
                    <w:pStyle w:val="46"/>
                    <w:keepNext w:val="0"/>
                    <w:keepLines w:val="0"/>
                    <w:suppressLineNumbers w:val="0"/>
                    <w:bidi w:val="0"/>
                    <w:spacing w:before="0" w:beforeAutospacing="0" w:after="0" w:afterAutospacing="0"/>
                    <w:ind w:left="0" w:leftChars="0" w:right="0" w:rightChars="0" w:firstLine="0" w:firstLineChars="0"/>
                    <w:jc w:val="center"/>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废水来源</w:t>
                  </w:r>
                </w:p>
              </w:tc>
              <w:tc>
                <w:tcPr>
                  <w:tcW w:w="2310" w:type="dxa"/>
                  <w:vAlign w:val="center"/>
                </w:tcPr>
                <w:p w14:paraId="010F572A">
                  <w:pPr>
                    <w:pStyle w:val="61"/>
                    <w:keepNext w:val="0"/>
                    <w:keepLines w:val="0"/>
                    <w:suppressLineNumbers w:val="0"/>
                    <w:bidi w:val="0"/>
                    <w:spacing w:before="0" w:beforeAutospacing="0" w:after="0" w:afterAutospacing="0"/>
                    <w:ind w:left="0" w:right="0"/>
                    <w:jc w:val="center"/>
                    <w:rPr>
                      <w:rFonts w:hint="default"/>
                      <w:lang w:val="en-US" w:eastAsia="zh-CN"/>
                    </w:rPr>
                  </w:pPr>
                  <w:r>
                    <w:rPr>
                      <w:rFonts w:hint="eastAsia"/>
                      <w:lang w:val="en-US" w:eastAsia="zh-CN"/>
                    </w:rPr>
                    <w:t>废塑料破碎用水</w:t>
                  </w:r>
                </w:p>
              </w:tc>
              <w:tc>
                <w:tcPr>
                  <w:tcW w:w="2235" w:type="dxa"/>
                  <w:vAlign w:val="center"/>
                </w:tcPr>
                <w:p w14:paraId="47946ADD">
                  <w:pPr>
                    <w:pStyle w:val="61"/>
                    <w:keepNext w:val="0"/>
                    <w:keepLines w:val="0"/>
                    <w:suppressLineNumbers w:val="0"/>
                    <w:bidi w:val="0"/>
                    <w:spacing w:before="0" w:beforeAutospacing="0" w:after="0" w:afterAutospacing="0"/>
                    <w:ind w:left="0" w:right="0"/>
                    <w:jc w:val="center"/>
                    <w:rPr>
                      <w:rFonts w:hint="default"/>
                      <w:lang w:val="en-US" w:eastAsia="zh-CN"/>
                    </w:rPr>
                  </w:pPr>
                  <w:r>
                    <w:rPr>
                      <w:rFonts w:hint="eastAsia"/>
                      <w:lang w:val="en-US" w:eastAsia="zh-CN"/>
                    </w:rPr>
                    <w:t>废塑料破碎、清洗、甩干用水</w:t>
                  </w:r>
                </w:p>
              </w:tc>
              <w:tc>
                <w:tcPr>
                  <w:tcW w:w="3328" w:type="dxa"/>
                  <w:vAlign w:val="center"/>
                </w:tcPr>
                <w:p w14:paraId="6C7A3D77">
                  <w:pPr>
                    <w:pStyle w:val="61"/>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本项目无清洗、甩干工序，废水中有机物含量及污染物浓度更低，厌氧分解产生恶臭气体的潜力更小</w:t>
                  </w:r>
                </w:p>
              </w:tc>
            </w:tr>
            <w:tr w14:paraId="7BA3E7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00" w:type="dxa"/>
                  <w:shd w:val="clear" w:color="auto" w:fill="auto"/>
                  <w:vAlign w:val="center"/>
                </w:tcPr>
                <w:p w14:paraId="7EE9802F">
                  <w:pPr>
                    <w:pStyle w:val="46"/>
                    <w:keepNext w:val="0"/>
                    <w:keepLines w:val="0"/>
                    <w:suppressLineNumbers w:val="0"/>
                    <w:bidi w:val="0"/>
                    <w:spacing w:before="0" w:beforeAutospacing="0" w:after="0" w:afterAutospacing="0"/>
                    <w:ind w:left="0" w:leftChars="0" w:right="0" w:rightChars="0" w:firstLine="0" w:firstLineChars="0"/>
                    <w:jc w:val="center"/>
                    <w:rPr>
                      <w:rFonts w:hint="default" w:ascii="Times New Roman" w:hAnsi="Times New Roman" w:eastAsia="宋体"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废水处理工艺</w:t>
                  </w:r>
                </w:p>
              </w:tc>
              <w:tc>
                <w:tcPr>
                  <w:tcW w:w="2310" w:type="dxa"/>
                  <w:vAlign w:val="center"/>
                </w:tcPr>
                <w:p w14:paraId="07B0CFD6">
                  <w:pPr>
                    <w:pStyle w:val="61"/>
                    <w:keepNext w:val="0"/>
                    <w:keepLines w:val="0"/>
                    <w:suppressLineNumbers w:val="0"/>
                    <w:bidi w:val="0"/>
                    <w:spacing w:before="0" w:beforeAutospacing="0" w:after="0" w:afterAutospacing="0"/>
                    <w:ind w:left="0" w:right="0"/>
                    <w:jc w:val="center"/>
                    <w:rPr>
                      <w:rFonts w:hint="default"/>
                      <w:lang w:val="en-US" w:eastAsia="zh-CN"/>
                    </w:rPr>
                  </w:pPr>
                  <w:r>
                    <w:rPr>
                      <w:rFonts w:hint="eastAsia"/>
                      <w:lang w:val="en-US" w:eastAsia="zh-CN"/>
                    </w:rPr>
                    <w:t>絮凝沉淀</w:t>
                  </w:r>
                </w:p>
              </w:tc>
              <w:tc>
                <w:tcPr>
                  <w:tcW w:w="2235" w:type="dxa"/>
                  <w:vAlign w:val="center"/>
                </w:tcPr>
                <w:p w14:paraId="73E48B95">
                  <w:pPr>
                    <w:pStyle w:val="61"/>
                    <w:keepNext w:val="0"/>
                    <w:keepLines w:val="0"/>
                    <w:suppressLineNumbers w:val="0"/>
                    <w:bidi w:val="0"/>
                    <w:spacing w:before="0" w:beforeAutospacing="0" w:after="0" w:afterAutospacing="0"/>
                    <w:ind w:left="0" w:right="0"/>
                    <w:jc w:val="center"/>
                    <w:rPr>
                      <w:rFonts w:hint="default"/>
                      <w:lang w:val="en-US" w:eastAsia="zh-CN"/>
                    </w:rPr>
                  </w:pPr>
                  <w:r>
                    <w:rPr>
                      <w:rFonts w:hint="default"/>
                      <w:lang w:val="en-US" w:eastAsia="zh-CN"/>
                    </w:rPr>
                    <w:t>过滤+调节+絮凝沉淀+二次沉淀</w:t>
                  </w:r>
                </w:p>
              </w:tc>
              <w:tc>
                <w:tcPr>
                  <w:tcW w:w="3328" w:type="dxa"/>
                  <w:vAlign w:val="center"/>
                </w:tcPr>
                <w:p w14:paraId="79AAC3B9">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核心处理工艺均为絮凝沉淀，</w:t>
                  </w:r>
                  <w:r>
                    <w:rPr>
                      <w:rFonts w:hint="default"/>
                      <w:lang w:val="en-US" w:eastAsia="zh-CN"/>
                    </w:rPr>
                    <w:t>废水水质及处理效果具有可比性</w:t>
                  </w:r>
                </w:p>
              </w:tc>
            </w:tr>
            <w:tr w14:paraId="5A217F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00" w:type="dxa"/>
                  <w:shd w:val="clear" w:color="auto" w:fill="auto"/>
                  <w:vAlign w:val="center"/>
                </w:tcPr>
                <w:p w14:paraId="7CD9C00D">
                  <w:pPr>
                    <w:pStyle w:val="46"/>
                    <w:keepNext w:val="0"/>
                    <w:keepLines w:val="0"/>
                    <w:suppressLineNumbers w:val="0"/>
                    <w:bidi w:val="0"/>
                    <w:spacing w:before="0" w:beforeAutospacing="0" w:after="0" w:afterAutospacing="0"/>
                    <w:ind w:left="0" w:leftChars="0" w:right="0" w:rightChars="0" w:firstLine="0" w:firstLineChars="0"/>
                    <w:jc w:val="center"/>
                    <w:rPr>
                      <w:rFonts w:hint="default"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废气处理措施</w:t>
                  </w:r>
                </w:p>
              </w:tc>
              <w:tc>
                <w:tcPr>
                  <w:tcW w:w="2310" w:type="dxa"/>
                  <w:vAlign w:val="center"/>
                </w:tcPr>
                <w:p w14:paraId="4091F6B4">
                  <w:pPr>
                    <w:pStyle w:val="61"/>
                    <w:keepNext w:val="0"/>
                    <w:keepLines w:val="0"/>
                    <w:suppressLineNumbers w:val="0"/>
                    <w:bidi w:val="0"/>
                    <w:spacing w:before="0" w:beforeAutospacing="0" w:after="0" w:afterAutospacing="0"/>
                    <w:ind w:left="0" w:right="0"/>
                    <w:jc w:val="center"/>
                    <w:rPr>
                      <w:rFonts w:hint="default"/>
                      <w:lang w:val="en-US" w:eastAsia="zh-CN"/>
                    </w:rPr>
                  </w:pPr>
                  <w:r>
                    <w:rPr>
                      <w:rFonts w:hint="eastAsia"/>
                      <w:lang w:val="en-US" w:eastAsia="zh-CN"/>
                    </w:rPr>
                    <w:t>喷洒生物除臭剂、污泥压滤后及时清运、加强车间通风</w:t>
                  </w:r>
                </w:p>
              </w:tc>
              <w:tc>
                <w:tcPr>
                  <w:tcW w:w="2235" w:type="dxa"/>
                  <w:vAlign w:val="center"/>
                </w:tcPr>
                <w:p w14:paraId="3A3507C9">
                  <w:pPr>
                    <w:pStyle w:val="61"/>
                    <w:keepNext w:val="0"/>
                    <w:keepLines w:val="0"/>
                    <w:suppressLineNumbers w:val="0"/>
                    <w:bidi w:val="0"/>
                    <w:spacing w:before="0" w:beforeAutospacing="0" w:after="0" w:afterAutospacing="0"/>
                    <w:ind w:left="0" w:right="0"/>
                    <w:jc w:val="center"/>
                    <w:rPr>
                      <w:rFonts w:hint="default"/>
                      <w:lang w:val="en-US" w:eastAsia="zh-CN"/>
                    </w:rPr>
                  </w:pPr>
                  <w:r>
                    <w:rPr>
                      <w:rFonts w:hint="eastAsia"/>
                      <w:lang w:val="en-US" w:eastAsia="zh-CN"/>
                    </w:rPr>
                    <w:t>喷洒生物除臭剂、污泥压滤后及时清运、加强车间通风</w:t>
                  </w:r>
                </w:p>
              </w:tc>
              <w:tc>
                <w:tcPr>
                  <w:tcW w:w="3328" w:type="dxa"/>
                  <w:vAlign w:val="center"/>
                </w:tcPr>
                <w:p w14:paraId="4766C63E">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一致</w:t>
                  </w:r>
                </w:p>
              </w:tc>
            </w:tr>
          </w:tbl>
          <w:p w14:paraId="7F062F8F">
            <w:pPr>
              <w:keepNext w:val="0"/>
              <w:keepLines w:val="0"/>
              <w:suppressLineNumbers w:val="0"/>
              <w:bidi w:val="0"/>
              <w:spacing w:before="0" w:beforeAutospacing="0" w:after="0" w:afterAutospacing="0"/>
              <w:ind w:left="0" w:right="0"/>
              <w:rPr>
                <w:rFonts w:hint="default"/>
              </w:rPr>
            </w:pPr>
            <w:r>
              <w:rPr>
                <w:rFonts w:hint="eastAsia"/>
              </w:rPr>
              <w:t>由上表可知，本项目恶臭气体产生源强与类比项目具有较好的可比性。经查阅类比项目验收监测报告（2026年3月），其厂界无组织废气臭气浓度＜10，符合《恶臭污染物排放标准》（GB14554-93）表2限值要求。</w:t>
            </w:r>
          </w:p>
          <w:p w14:paraId="5322E3DB">
            <w:pPr>
              <w:keepNext w:val="0"/>
              <w:keepLines w:val="0"/>
              <w:suppressLineNumbers w:val="0"/>
              <w:bidi w:val="0"/>
              <w:spacing w:before="0" w:beforeAutospacing="0" w:after="0" w:afterAutospacing="0"/>
              <w:ind w:left="0" w:right="0"/>
              <w:rPr>
                <w:rFonts w:hint="eastAsia"/>
              </w:rPr>
            </w:pPr>
            <w:r>
              <w:rPr>
                <w:rFonts w:hint="eastAsia"/>
              </w:rPr>
              <w:t>结合前述对比分析，本项目由于处理规模较小、废水成分更简单、控制措施一致，恶臭气体产生量预计低于类比项目。在严格落实喷洒生物除臭剂、污泥压滤后及时清运、加强车间通风等措施后，本项目恶臭气体对区域环境空气质量及厂区周围环境敏感目标影响较小。</w:t>
            </w:r>
          </w:p>
          <w:p w14:paraId="254BF886">
            <w:pPr>
              <w:keepNext w:val="0"/>
              <w:keepLines w:val="0"/>
              <w:numPr>
                <w:ilvl w:val="0"/>
                <w:numId w:val="0"/>
              </w:numPr>
              <w:suppressLineNumbers w:val="0"/>
              <w:spacing w:before="0" w:beforeAutospacing="0" w:after="0" w:afterAutospacing="0"/>
              <w:ind w:left="480" w:leftChars="200" w:right="0" w:rightChars="0"/>
              <w:rPr>
                <w:rFonts w:hint="eastAsia" w:cs="Times New Roman"/>
                <w:b/>
                <w:bCs/>
                <w:color w:val="auto"/>
                <w:lang w:val="en-US" w:eastAsia="zh-CN"/>
              </w:rPr>
            </w:pPr>
            <w:r>
              <w:rPr>
                <w:rFonts w:hint="eastAsia" w:cs="Times New Roman"/>
                <w:b/>
                <w:bCs/>
                <w:color w:val="auto"/>
                <w:lang w:val="en-US" w:eastAsia="zh-CN"/>
              </w:rPr>
              <w:t>（2）废气收集情况</w:t>
            </w:r>
          </w:p>
          <w:p w14:paraId="71A8C1D4">
            <w:pPr>
              <w:keepNext w:val="0"/>
              <w:keepLines w:val="0"/>
              <w:suppressLineNumbers w:val="0"/>
              <w:bidi w:val="0"/>
              <w:spacing w:before="0" w:beforeAutospacing="0" w:after="0" w:afterAutospacing="0"/>
              <w:ind w:left="0" w:right="0"/>
              <w:rPr>
                <w:rFonts w:hint="eastAsia"/>
                <w:color w:val="0000FF"/>
                <w:lang w:val="en-US" w:eastAsia="zh-CN"/>
              </w:rPr>
            </w:pPr>
            <w:r>
              <w:rPr>
                <w:rFonts w:hint="eastAsia"/>
                <w:color w:val="0000FF"/>
                <w:lang w:val="en-US" w:eastAsia="zh-CN"/>
              </w:rPr>
              <w:t>本项目角磨切割、剪切、打包、破碎废水絮凝沉淀池均位于1#厂房内，1#厂房内布设一个角磨切割工位、一个剪切工位、一个打包工位，拟在操作工位上方设置集气罩对角磨切割、剪切打包粉尘废气进行收集后进入袋式除尘器</w:t>
            </w:r>
            <w:r>
              <w:rPr>
                <w:rFonts w:hint="eastAsia"/>
                <w:color w:val="0000FF"/>
              </w:rPr>
              <w:t>处理后</w:t>
            </w:r>
            <w:r>
              <w:rPr>
                <w:rFonts w:hint="eastAsia"/>
                <w:color w:val="0000FF"/>
                <w:lang w:val="en-US" w:eastAsia="zh-CN"/>
              </w:rPr>
              <w:t>有组织排放。</w:t>
            </w:r>
          </w:p>
          <w:p w14:paraId="57BB67C7">
            <w:pPr>
              <w:keepNext w:val="0"/>
              <w:keepLines w:val="0"/>
              <w:suppressLineNumbers w:val="0"/>
              <w:spacing w:before="0" w:beforeAutospacing="0" w:after="0" w:afterAutospacing="0"/>
              <w:ind w:left="0" w:right="0" w:firstLine="480"/>
              <w:rPr>
                <w:rFonts w:hint="default"/>
                <w:color w:val="0000FF"/>
              </w:rPr>
            </w:pPr>
            <w:r>
              <w:rPr>
                <w:rFonts w:hint="eastAsia"/>
                <w:color w:val="0000FF"/>
              </w:rPr>
              <w:t>项目集气罩设置情况见下表</w:t>
            </w:r>
          </w:p>
          <w:p w14:paraId="778C1B3C">
            <w:pPr>
              <w:pStyle w:val="39"/>
              <w:keepNext w:val="0"/>
              <w:keepLines w:val="0"/>
              <w:suppressLineNumbers w:val="0"/>
              <w:spacing w:before="0" w:beforeAutospacing="0" w:after="0" w:afterAutospacing="0"/>
              <w:ind w:left="0" w:right="0"/>
              <w:rPr>
                <w:rFonts w:hint="eastAsia"/>
                <w:color w:val="0000FF"/>
              </w:rPr>
            </w:pPr>
            <w:r>
              <w:rPr>
                <w:rFonts w:hint="eastAsia"/>
                <w:color w:val="0000FF"/>
              </w:rPr>
              <w:t>表4-</w:t>
            </w:r>
            <w:r>
              <w:rPr>
                <w:rFonts w:hint="eastAsia"/>
                <w:color w:val="0000FF"/>
                <w:lang w:val="en-US" w:eastAsia="zh-CN"/>
              </w:rPr>
              <w:t>7</w:t>
            </w:r>
            <w:r>
              <w:rPr>
                <w:rFonts w:hint="eastAsia"/>
                <w:color w:val="0000FF"/>
              </w:rPr>
              <w:t xml:space="preserve">  项目集气罩</w:t>
            </w:r>
            <w:r>
              <w:rPr>
                <w:rFonts w:hint="eastAsia"/>
                <w:color w:val="0000FF"/>
                <w:lang w:val="en-US" w:eastAsia="zh-CN"/>
              </w:rPr>
              <w:t>设置</w:t>
            </w:r>
            <w:r>
              <w:rPr>
                <w:rFonts w:hint="eastAsia"/>
                <w:color w:val="0000FF"/>
              </w:rPr>
              <w:t>情况一览表</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53"/>
              <w:gridCol w:w="979"/>
              <w:gridCol w:w="1424"/>
              <w:gridCol w:w="1027"/>
              <w:gridCol w:w="1103"/>
              <w:gridCol w:w="1143"/>
              <w:gridCol w:w="953"/>
              <w:gridCol w:w="1191"/>
            </w:tblGrid>
            <w:tr w14:paraId="53778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29" w:hRule="atLeast"/>
                <w:jc w:val="center"/>
              </w:trPr>
              <w:tc>
                <w:tcPr>
                  <w:tcW w:w="953" w:type="dxa"/>
                  <w:noWrap w:val="0"/>
                  <w:vAlign w:val="center"/>
                </w:tcPr>
                <w:p w14:paraId="360A1582">
                  <w:pPr>
                    <w:pStyle w:val="46"/>
                    <w:keepNext w:val="0"/>
                    <w:keepLines w:val="0"/>
                    <w:suppressLineNumbers w:val="0"/>
                    <w:spacing w:before="0" w:beforeAutospacing="0" w:after="0" w:afterAutospacing="0"/>
                    <w:rPr>
                      <w:rFonts w:hint="default" w:eastAsia="宋体"/>
                      <w:b/>
                      <w:bCs/>
                      <w:color w:val="0000FF"/>
                      <w:lang w:val="en-US" w:eastAsia="zh-CN"/>
                    </w:rPr>
                  </w:pPr>
                  <w:r>
                    <w:rPr>
                      <w:rFonts w:hint="eastAsia"/>
                      <w:b/>
                      <w:bCs/>
                      <w:color w:val="0000FF"/>
                      <w:lang w:val="en-US" w:eastAsia="zh-CN"/>
                    </w:rPr>
                    <w:t>设备</w:t>
                  </w:r>
                </w:p>
              </w:tc>
              <w:tc>
                <w:tcPr>
                  <w:tcW w:w="979" w:type="dxa"/>
                  <w:noWrap w:val="0"/>
                  <w:vAlign w:val="center"/>
                </w:tcPr>
                <w:p w14:paraId="169E60CE">
                  <w:pPr>
                    <w:pStyle w:val="46"/>
                    <w:keepNext w:val="0"/>
                    <w:keepLines w:val="0"/>
                    <w:suppressLineNumbers w:val="0"/>
                    <w:spacing w:before="0" w:beforeAutospacing="0" w:after="0" w:afterAutospacing="0"/>
                    <w:rPr>
                      <w:rFonts w:hint="default"/>
                      <w:b/>
                      <w:bCs/>
                      <w:color w:val="0000FF"/>
                    </w:rPr>
                  </w:pPr>
                  <w:r>
                    <w:rPr>
                      <w:b/>
                      <w:bCs/>
                      <w:color w:val="0000FF"/>
                    </w:rPr>
                    <w:t>集气罩/（个）</w:t>
                  </w:r>
                </w:p>
              </w:tc>
              <w:tc>
                <w:tcPr>
                  <w:tcW w:w="1424" w:type="dxa"/>
                  <w:noWrap w:val="0"/>
                  <w:vAlign w:val="center"/>
                </w:tcPr>
                <w:p w14:paraId="72E71F92">
                  <w:pPr>
                    <w:pStyle w:val="46"/>
                    <w:keepNext w:val="0"/>
                    <w:keepLines w:val="0"/>
                    <w:suppressLineNumbers w:val="0"/>
                    <w:spacing w:before="0" w:beforeAutospacing="0" w:after="0" w:afterAutospacing="0"/>
                    <w:rPr>
                      <w:rFonts w:hint="default"/>
                      <w:b/>
                      <w:bCs/>
                      <w:color w:val="0000FF"/>
                    </w:rPr>
                  </w:pPr>
                  <w:r>
                    <w:rPr>
                      <w:b/>
                      <w:bCs/>
                      <w:color w:val="0000FF"/>
                    </w:rPr>
                    <w:t>集气罩尺寸（m）</w:t>
                  </w:r>
                </w:p>
              </w:tc>
              <w:tc>
                <w:tcPr>
                  <w:tcW w:w="1027" w:type="dxa"/>
                  <w:noWrap w:val="0"/>
                  <w:vAlign w:val="center"/>
                </w:tcPr>
                <w:p w14:paraId="574480C0">
                  <w:pPr>
                    <w:pStyle w:val="46"/>
                    <w:keepNext w:val="0"/>
                    <w:keepLines w:val="0"/>
                    <w:suppressLineNumbers w:val="0"/>
                    <w:spacing w:before="0" w:beforeAutospacing="0" w:after="0" w:afterAutospacing="0"/>
                    <w:rPr>
                      <w:rFonts w:hint="default"/>
                      <w:b/>
                      <w:bCs/>
                      <w:color w:val="0000FF"/>
                    </w:rPr>
                  </w:pPr>
                  <w:r>
                    <w:rPr>
                      <w:b/>
                      <w:bCs/>
                      <w:color w:val="0000FF"/>
                    </w:rPr>
                    <w:t>集气距离（m）</w:t>
                  </w:r>
                </w:p>
              </w:tc>
              <w:tc>
                <w:tcPr>
                  <w:tcW w:w="1103" w:type="dxa"/>
                  <w:noWrap w:val="0"/>
                  <w:vAlign w:val="center"/>
                </w:tcPr>
                <w:p w14:paraId="0D877FB7">
                  <w:pPr>
                    <w:pStyle w:val="46"/>
                    <w:keepNext w:val="0"/>
                    <w:keepLines w:val="0"/>
                    <w:suppressLineNumbers w:val="0"/>
                    <w:spacing w:before="0" w:beforeAutospacing="0" w:after="0" w:afterAutospacing="0"/>
                    <w:rPr>
                      <w:rFonts w:hint="default"/>
                      <w:b/>
                      <w:bCs/>
                      <w:color w:val="0000FF"/>
                    </w:rPr>
                  </w:pPr>
                  <w:r>
                    <w:rPr>
                      <w:b/>
                      <w:bCs/>
                      <w:color w:val="0000FF"/>
                    </w:rPr>
                    <w:t>集气风速（m/s）</w:t>
                  </w:r>
                </w:p>
              </w:tc>
              <w:tc>
                <w:tcPr>
                  <w:tcW w:w="1143" w:type="dxa"/>
                  <w:noWrap w:val="0"/>
                  <w:vAlign w:val="center"/>
                </w:tcPr>
                <w:p w14:paraId="33FD42D7">
                  <w:pPr>
                    <w:pStyle w:val="46"/>
                    <w:keepNext w:val="0"/>
                    <w:keepLines w:val="0"/>
                    <w:suppressLineNumbers w:val="0"/>
                    <w:spacing w:before="0" w:beforeAutospacing="0" w:after="0" w:afterAutospacing="0"/>
                    <w:rPr>
                      <w:rFonts w:hint="default"/>
                      <w:b/>
                      <w:bCs/>
                      <w:color w:val="0000FF"/>
                    </w:rPr>
                  </w:pPr>
                  <w:r>
                    <w:rPr>
                      <w:b/>
                      <w:bCs/>
                      <w:color w:val="0000FF"/>
                    </w:rPr>
                    <w:t>设计总风量（m³/h）</w:t>
                  </w:r>
                </w:p>
              </w:tc>
              <w:tc>
                <w:tcPr>
                  <w:tcW w:w="953" w:type="dxa"/>
                  <w:noWrap w:val="0"/>
                  <w:vAlign w:val="center"/>
                </w:tcPr>
                <w:p w14:paraId="00CDFF53">
                  <w:pPr>
                    <w:pStyle w:val="46"/>
                    <w:keepNext w:val="0"/>
                    <w:keepLines w:val="0"/>
                    <w:suppressLineNumbers w:val="0"/>
                    <w:spacing w:before="0" w:beforeAutospacing="0" w:after="0" w:afterAutospacing="0"/>
                    <w:rPr>
                      <w:rFonts w:hint="default"/>
                      <w:b/>
                      <w:bCs/>
                      <w:color w:val="0000FF"/>
                    </w:rPr>
                  </w:pPr>
                  <w:r>
                    <w:rPr>
                      <w:b/>
                      <w:bCs/>
                      <w:color w:val="0000FF"/>
                    </w:rPr>
                    <w:t>集气效率（%）</w:t>
                  </w:r>
                </w:p>
              </w:tc>
              <w:tc>
                <w:tcPr>
                  <w:tcW w:w="1191" w:type="dxa"/>
                  <w:noWrap w:val="0"/>
                  <w:vAlign w:val="center"/>
                </w:tcPr>
                <w:p w14:paraId="600D725C">
                  <w:pPr>
                    <w:pStyle w:val="46"/>
                    <w:keepNext w:val="0"/>
                    <w:keepLines w:val="0"/>
                    <w:suppressLineNumbers w:val="0"/>
                    <w:spacing w:before="0" w:beforeAutospacing="0" w:after="0" w:afterAutospacing="0"/>
                    <w:rPr>
                      <w:rFonts w:hint="default"/>
                      <w:b/>
                      <w:bCs/>
                      <w:color w:val="0000FF"/>
                    </w:rPr>
                  </w:pPr>
                  <w:r>
                    <w:rPr>
                      <w:b/>
                      <w:bCs/>
                      <w:color w:val="0000FF"/>
                    </w:rPr>
                    <w:t>备注</w:t>
                  </w:r>
                </w:p>
              </w:tc>
            </w:tr>
            <w:tr w14:paraId="56B66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9" w:hRule="atLeast"/>
                <w:jc w:val="center"/>
              </w:trPr>
              <w:tc>
                <w:tcPr>
                  <w:tcW w:w="953" w:type="dxa"/>
                  <w:noWrap w:val="0"/>
                  <w:vAlign w:val="center"/>
                </w:tcPr>
                <w:p w14:paraId="68B68F18">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角磨及切割机、打包</w:t>
                  </w:r>
                </w:p>
              </w:tc>
              <w:tc>
                <w:tcPr>
                  <w:tcW w:w="979" w:type="dxa"/>
                  <w:noWrap w:val="0"/>
                  <w:vAlign w:val="center"/>
                </w:tcPr>
                <w:p w14:paraId="2A37B5CF">
                  <w:pPr>
                    <w:pStyle w:val="46"/>
                    <w:keepNext w:val="0"/>
                    <w:keepLines w:val="0"/>
                    <w:suppressLineNumbers w:val="0"/>
                    <w:spacing w:before="0" w:beforeAutospacing="0" w:after="0" w:afterAutospacing="0"/>
                    <w:rPr>
                      <w:rFonts w:hint="eastAsia" w:eastAsia="宋体"/>
                      <w:b w:val="0"/>
                      <w:bCs w:val="0"/>
                      <w:color w:val="0000FF"/>
                      <w:lang w:val="en-US" w:eastAsia="zh-CN"/>
                    </w:rPr>
                  </w:pPr>
                  <w:r>
                    <w:rPr>
                      <w:rFonts w:hint="eastAsia"/>
                      <w:b w:val="0"/>
                      <w:bCs w:val="0"/>
                      <w:color w:val="0000FF"/>
                      <w:lang w:val="en-US" w:eastAsia="zh-CN"/>
                    </w:rPr>
                    <w:t>2</w:t>
                  </w:r>
                </w:p>
              </w:tc>
              <w:tc>
                <w:tcPr>
                  <w:tcW w:w="1424" w:type="dxa"/>
                  <w:noWrap w:val="0"/>
                  <w:vAlign w:val="center"/>
                </w:tcPr>
                <w:p w14:paraId="21DF95CF">
                  <w:pPr>
                    <w:pStyle w:val="46"/>
                    <w:keepNext w:val="0"/>
                    <w:keepLines w:val="0"/>
                    <w:suppressLineNumbers w:val="0"/>
                    <w:spacing w:before="0" w:beforeAutospacing="0" w:after="0" w:afterAutospacing="0"/>
                    <w:rPr>
                      <w:rFonts w:hint="default" w:eastAsia="宋体"/>
                      <w:b w:val="0"/>
                      <w:bCs w:val="0"/>
                      <w:color w:val="0000FF"/>
                      <w:lang w:val="en-US" w:eastAsia="zh-CN"/>
                    </w:rPr>
                  </w:pPr>
                  <w:r>
                    <w:rPr>
                      <w:rFonts w:hint="eastAsia"/>
                      <w:b w:val="0"/>
                      <w:bCs w:val="0"/>
                      <w:color w:val="0000FF"/>
                      <w:lang w:val="en-US" w:eastAsia="zh-CN"/>
                    </w:rPr>
                    <w:t>1.5×1.5</w:t>
                  </w:r>
                </w:p>
              </w:tc>
              <w:tc>
                <w:tcPr>
                  <w:tcW w:w="1027" w:type="dxa"/>
                  <w:noWrap w:val="0"/>
                  <w:vAlign w:val="center"/>
                </w:tcPr>
                <w:p w14:paraId="72089F97">
                  <w:pPr>
                    <w:pStyle w:val="46"/>
                    <w:keepNext w:val="0"/>
                    <w:keepLines w:val="0"/>
                    <w:suppressLineNumbers w:val="0"/>
                    <w:spacing w:before="0" w:beforeAutospacing="0" w:after="0" w:afterAutospacing="0"/>
                    <w:rPr>
                      <w:rFonts w:hint="default" w:eastAsia="宋体"/>
                      <w:b w:val="0"/>
                      <w:bCs w:val="0"/>
                      <w:color w:val="0000FF"/>
                      <w:lang w:val="en-US" w:eastAsia="zh-CN"/>
                    </w:rPr>
                  </w:pPr>
                  <w:r>
                    <w:rPr>
                      <w:rFonts w:hint="eastAsia"/>
                      <w:b w:val="0"/>
                      <w:bCs w:val="0"/>
                      <w:color w:val="0000FF"/>
                      <w:lang w:val="en-US" w:eastAsia="zh-CN"/>
                    </w:rPr>
                    <w:t>0.5</w:t>
                  </w:r>
                </w:p>
              </w:tc>
              <w:tc>
                <w:tcPr>
                  <w:tcW w:w="1103" w:type="dxa"/>
                  <w:noWrap w:val="0"/>
                  <w:vAlign w:val="center"/>
                </w:tcPr>
                <w:p w14:paraId="1410B262">
                  <w:pPr>
                    <w:pStyle w:val="46"/>
                    <w:keepNext w:val="0"/>
                    <w:keepLines w:val="0"/>
                    <w:suppressLineNumbers w:val="0"/>
                    <w:spacing w:before="0" w:beforeAutospacing="0" w:after="0" w:afterAutospacing="0"/>
                    <w:rPr>
                      <w:rFonts w:hint="default" w:eastAsia="宋体"/>
                      <w:b w:val="0"/>
                      <w:bCs w:val="0"/>
                      <w:color w:val="0000FF"/>
                      <w:lang w:val="en-US" w:eastAsia="zh-CN"/>
                    </w:rPr>
                  </w:pPr>
                  <w:r>
                    <w:rPr>
                      <w:rFonts w:hint="eastAsia"/>
                      <w:b w:val="0"/>
                      <w:bCs w:val="0"/>
                      <w:color w:val="0000FF"/>
                      <w:lang w:val="en-US" w:eastAsia="zh-CN"/>
                    </w:rPr>
                    <w:t>1.0</w:t>
                  </w:r>
                </w:p>
              </w:tc>
              <w:tc>
                <w:tcPr>
                  <w:tcW w:w="1143" w:type="dxa"/>
                  <w:noWrap w:val="0"/>
                  <w:vAlign w:val="center"/>
                </w:tcPr>
                <w:p w14:paraId="278D9C18">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15120</w:t>
                  </w:r>
                </w:p>
              </w:tc>
              <w:tc>
                <w:tcPr>
                  <w:tcW w:w="953" w:type="dxa"/>
                  <w:noWrap w:val="0"/>
                  <w:vAlign w:val="center"/>
                </w:tcPr>
                <w:p w14:paraId="41C0A663">
                  <w:pPr>
                    <w:pStyle w:val="46"/>
                    <w:keepNext w:val="0"/>
                    <w:keepLines w:val="0"/>
                    <w:suppressLineNumbers w:val="0"/>
                    <w:spacing w:before="0" w:beforeAutospacing="0" w:after="0" w:afterAutospacing="0"/>
                    <w:rPr>
                      <w:rFonts w:hint="default" w:eastAsia="宋体"/>
                      <w:b w:val="0"/>
                      <w:bCs w:val="0"/>
                      <w:color w:val="0000FF"/>
                      <w:lang w:val="en-US" w:eastAsia="zh-CN"/>
                    </w:rPr>
                  </w:pPr>
                  <w:r>
                    <w:rPr>
                      <w:rFonts w:hint="eastAsia"/>
                      <w:b w:val="0"/>
                      <w:bCs w:val="0"/>
                      <w:color w:val="0000FF"/>
                      <w:lang w:val="en-US" w:eastAsia="zh-CN"/>
                    </w:rPr>
                    <w:t>85</w:t>
                  </w:r>
                </w:p>
              </w:tc>
              <w:tc>
                <w:tcPr>
                  <w:tcW w:w="1191" w:type="dxa"/>
                  <w:vMerge w:val="restart"/>
                  <w:noWrap w:val="0"/>
                  <w:vAlign w:val="center"/>
                </w:tcPr>
                <w:p w14:paraId="58062ACB">
                  <w:pPr>
                    <w:pStyle w:val="46"/>
                    <w:keepNext w:val="0"/>
                    <w:keepLines w:val="0"/>
                    <w:suppressLineNumbers w:val="0"/>
                    <w:spacing w:before="0" w:beforeAutospacing="0" w:after="0" w:afterAutospacing="0"/>
                    <w:rPr>
                      <w:rFonts w:hint="default"/>
                      <w:color w:val="0000FF"/>
                    </w:rPr>
                  </w:pPr>
                  <w:r>
                    <w:rPr>
                      <w:color w:val="0000FF"/>
                    </w:rPr>
                    <w:t>集气罩</w:t>
                  </w:r>
                </w:p>
              </w:tc>
            </w:tr>
            <w:tr w14:paraId="463B7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9" w:hRule="atLeast"/>
                <w:jc w:val="center"/>
              </w:trPr>
              <w:tc>
                <w:tcPr>
                  <w:tcW w:w="953" w:type="dxa"/>
                  <w:shd w:val="clear" w:color="auto" w:fill="auto"/>
                  <w:noWrap w:val="0"/>
                  <w:vAlign w:val="center"/>
                </w:tcPr>
                <w:p w14:paraId="7301D046">
                  <w:pPr>
                    <w:pStyle w:val="61"/>
                    <w:keepNext w:val="0"/>
                    <w:keepLines w:val="0"/>
                    <w:suppressLineNumbers w:val="0"/>
                    <w:bidi w:val="0"/>
                    <w:spacing w:before="0" w:beforeAutospacing="0" w:after="0" w:afterAutospacing="0"/>
                    <w:ind w:left="0" w:right="0"/>
                    <w:rPr>
                      <w:rFonts w:hint="eastAsia"/>
                      <w:color w:val="0000FF"/>
                      <w:lang w:val="en-US" w:eastAsia="zh-CN"/>
                    </w:rPr>
                  </w:pPr>
                  <w:r>
                    <w:rPr>
                      <w:rFonts w:hint="eastAsia"/>
                      <w:color w:val="0000FF"/>
                      <w:lang w:val="en-US" w:eastAsia="zh-CN"/>
                    </w:rPr>
                    <w:t>颚</w:t>
                  </w:r>
                  <w:r>
                    <w:rPr>
                      <w:rFonts w:hint="default"/>
                      <w:color w:val="0000FF"/>
                      <w:lang w:val="en-US" w:eastAsia="zh-CN"/>
                    </w:rPr>
                    <w:t>式剪切机</w:t>
                  </w:r>
                </w:p>
              </w:tc>
              <w:tc>
                <w:tcPr>
                  <w:tcW w:w="979" w:type="dxa"/>
                  <w:shd w:val="clear" w:color="auto" w:fill="auto"/>
                  <w:noWrap w:val="0"/>
                  <w:vAlign w:val="center"/>
                </w:tcPr>
                <w:p w14:paraId="1FEE101F">
                  <w:pPr>
                    <w:pStyle w:val="46"/>
                    <w:keepNext w:val="0"/>
                    <w:keepLines w:val="0"/>
                    <w:suppressLineNumbers w:val="0"/>
                    <w:spacing w:before="0" w:beforeAutospacing="0" w:after="0" w:afterAutospacing="0"/>
                    <w:ind w:left="24" w:leftChars="10" w:right="24" w:rightChars="10" w:firstLine="0" w:firstLineChars="0"/>
                    <w:rPr>
                      <w:rFonts w:hint="eastAsia" w:ascii="Times New Roman" w:hAnsi="Times New Roman" w:eastAsia="宋体" w:cs="Times New Roman"/>
                      <w:b w:val="0"/>
                      <w:color w:val="0000FF"/>
                      <w:kern w:val="2"/>
                      <w:sz w:val="21"/>
                      <w:szCs w:val="21"/>
                      <w:lang w:val="en-US" w:eastAsia="zh-CN" w:bidi="ar-SA"/>
                    </w:rPr>
                  </w:pPr>
                  <w:r>
                    <w:rPr>
                      <w:rFonts w:hint="eastAsia"/>
                      <w:color w:val="0000FF"/>
                      <w:lang w:val="en-US" w:eastAsia="zh-CN"/>
                    </w:rPr>
                    <w:t>1</w:t>
                  </w:r>
                </w:p>
              </w:tc>
              <w:tc>
                <w:tcPr>
                  <w:tcW w:w="1424" w:type="dxa"/>
                  <w:noWrap w:val="0"/>
                  <w:vAlign w:val="center"/>
                </w:tcPr>
                <w:p w14:paraId="1E5E56AF">
                  <w:pPr>
                    <w:pStyle w:val="46"/>
                    <w:keepNext w:val="0"/>
                    <w:keepLines w:val="0"/>
                    <w:suppressLineNumbers w:val="0"/>
                    <w:spacing w:before="0" w:beforeAutospacing="0" w:after="0" w:afterAutospacing="0"/>
                    <w:rPr>
                      <w:rFonts w:hint="default"/>
                      <w:b w:val="0"/>
                      <w:bCs w:val="0"/>
                      <w:color w:val="0000FF"/>
                      <w:lang w:val="en-US" w:eastAsia="zh-CN"/>
                    </w:rPr>
                  </w:pPr>
                  <w:r>
                    <w:rPr>
                      <w:rFonts w:hint="eastAsia"/>
                      <w:b w:val="0"/>
                      <w:bCs w:val="0"/>
                      <w:color w:val="0000FF"/>
                      <w:lang w:val="en-US" w:eastAsia="zh-CN"/>
                    </w:rPr>
                    <w:t>1×0.6</w:t>
                  </w:r>
                </w:p>
              </w:tc>
              <w:tc>
                <w:tcPr>
                  <w:tcW w:w="1027" w:type="dxa"/>
                  <w:noWrap w:val="0"/>
                  <w:vAlign w:val="center"/>
                </w:tcPr>
                <w:p w14:paraId="4C716292">
                  <w:pPr>
                    <w:pStyle w:val="46"/>
                    <w:keepNext w:val="0"/>
                    <w:keepLines w:val="0"/>
                    <w:suppressLineNumbers w:val="0"/>
                    <w:spacing w:before="0" w:beforeAutospacing="0" w:after="0" w:afterAutospacing="0"/>
                    <w:rPr>
                      <w:rFonts w:hint="default"/>
                      <w:b w:val="0"/>
                      <w:bCs w:val="0"/>
                      <w:color w:val="0000FF"/>
                      <w:lang w:val="en-US" w:eastAsia="zh-CN"/>
                    </w:rPr>
                  </w:pPr>
                  <w:r>
                    <w:rPr>
                      <w:rFonts w:hint="eastAsia"/>
                      <w:b w:val="0"/>
                      <w:bCs w:val="0"/>
                      <w:color w:val="0000FF"/>
                      <w:lang w:val="en-US" w:eastAsia="zh-CN"/>
                    </w:rPr>
                    <w:t>0.3</w:t>
                  </w:r>
                </w:p>
              </w:tc>
              <w:tc>
                <w:tcPr>
                  <w:tcW w:w="1103" w:type="dxa"/>
                  <w:noWrap w:val="0"/>
                  <w:vAlign w:val="center"/>
                </w:tcPr>
                <w:p w14:paraId="435AA9A6">
                  <w:pPr>
                    <w:pStyle w:val="46"/>
                    <w:keepNext w:val="0"/>
                    <w:keepLines w:val="0"/>
                    <w:suppressLineNumbers w:val="0"/>
                    <w:spacing w:before="0" w:beforeAutospacing="0" w:after="0" w:afterAutospacing="0"/>
                    <w:rPr>
                      <w:rFonts w:hint="default"/>
                      <w:b w:val="0"/>
                      <w:bCs w:val="0"/>
                      <w:color w:val="0000FF"/>
                      <w:lang w:val="en-US" w:eastAsia="zh-CN"/>
                    </w:rPr>
                  </w:pPr>
                  <w:r>
                    <w:rPr>
                      <w:rFonts w:hint="eastAsia"/>
                      <w:b w:val="0"/>
                      <w:bCs w:val="0"/>
                      <w:color w:val="0000FF"/>
                      <w:lang w:val="en-US" w:eastAsia="zh-CN"/>
                    </w:rPr>
                    <w:t>1.0</w:t>
                  </w:r>
                </w:p>
              </w:tc>
              <w:tc>
                <w:tcPr>
                  <w:tcW w:w="1143" w:type="dxa"/>
                  <w:noWrap w:val="0"/>
                  <w:vAlign w:val="center"/>
                </w:tcPr>
                <w:p w14:paraId="03C6B6BD">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default"/>
                      <w:color w:val="0000FF"/>
                      <w:lang w:val="en-US" w:eastAsia="zh-CN"/>
                    </w:rPr>
                    <w:t>2419.2</w:t>
                  </w:r>
                </w:p>
              </w:tc>
              <w:tc>
                <w:tcPr>
                  <w:tcW w:w="953" w:type="dxa"/>
                  <w:noWrap w:val="0"/>
                  <w:vAlign w:val="center"/>
                </w:tcPr>
                <w:p w14:paraId="545E3309">
                  <w:pPr>
                    <w:pStyle w:val="46"/>
                    <w:keepNext w:val="0"/>
                    <w:keepLines w:val="0"/>
                    <w:suppressLineNumbers w:val="0"/>
                    <w:spacing w:before="0" w:beforeAutospacing="0" w:after="0" w:afterAutospacing="0"/>
                    <w:ind w:left="24" w:leftChars="10" w:right="24" w:rightChars="10" w:firstLine="0" w:firstLineChars="0"/>
                    <w:rPr>
                      <w:rFonts w:hint="default" w:ascii="Times New Roman" w:hAnsi="Times New Roman" w:eastAsia="宋体" w:cs="Times New Roman"/>
                      <w:b w:val="0"/>
                      <w:color w:val="0000FF"/>
                      <w:kern w:val="2"/>
                      <w:sz w:val="21"/>
                      <w:szCs w:val="21"/>
                      <w:lang w:val="en-US" w:eastAsia="zh-CN" w:bidi="ar-SA"/>
                    </w:rPr>
                  </w:pPr>
                  <w:r>
                    <w:rPr>
                      <w:color w:val="0000FF"/>
                    </w:rPr>
                    <w:t>85</w:t>
                  </w:r>
                </w:p>
              </w:tc>
              <w:tc>
                <w:tcPr>
                  <w:tcW w:w="1191" w:type="dxa"/>
                  <w:vMerge w:val="continue"/>
                  <w:noWrap w:val="0"/>
                  <w:vAlign w:val="center"/>
                </w:tcPr>
                <w:p w14:paraId="6C3B69B7">
                  <w:pPr>
                    <w:pStyle w:val="46"/>
                    <w:keepNext w:val="0"/>
                    <w:keepLines w:val="0"/>
                    <w:suppressLineNumbers w:val="0"/>
                    <w:spacing w:before="0" w:beforeAutospacing="0" w:after="0" w:afterAutospacing="0"/>
                    <w:rPr>
                      <w:color w:val="0000FF"/>
                    </w:rPr>
                  </w:pPr>
                </w:p>
              </w:tc>
            </w:tr>
            <w:tr w14:paraId="0E97C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79" w:hRule="atLeast"/>
                <w:jc w:val="center"/>
              </w:trPr>
              <w:tc>
                <w:tcPr>
                  <w:tcW w:w="8773" w:type="dxa"/>
                  <w:gridSpan w:val="8"/>
                  <w:shd w:val="clear" w:color="auto" w:fill="auto"/>
                  <w:noWrap w:val="0"/>
                  <w:vAlign w:val="center"/>
                </w:tcPr>
                <w:p w14:paraId="01AF6839">
                  <w:pPr>
                    <w:pStyle w:val="46"/>
                    <w:keepNext w:val="0"/>
                    <w:keepLines w:val="0"/>
                    <w:suppressLineNumbers w:val="0"/>
                    <w:spacing w:before="0" w:beforeAutospacing="0" w:after="0" w:afterAutospacing="0"/>
                    <w:jc w:val="left"/>
                    <w:rPr>
                      <w:b/>
                      <w:bCs/>
                      <w:color w:val="0000FF"/>
                      <w:sz w:val="18"/>
                      <w:szCs w:val="18"/>
                    </w:rPr>
                  </w:pPr>
                  <w:r>
                    <w:rPr>
                      <w:b/>
                      <w:bCs/>
                      <w:color w:val="0000FF"/>
                      <w:sz w:val="18"/>
                      <w:szCs w:val="18"/>
                    </w:rPr>
                    <w:t>备注：①根据《简明通风设计手册》，单个集气罩集气风量计算公式</w:t>
                  </w:r>
                  <w:r>
                    <w:rPr>
                      <w:b/>
                      <w:bCs/>
                      <w:color w:val="0000FF"/>
                      <w:sz w:val="18"/>
                      <w:szCs w:val="18"/>
                      <w:lang w:val="pt-BR"/>
                    </w:rPr>
                    <w:t>Q=K（a＋b）×h×V0×3600，</w:t>
                  </w:r>
                  <w:r>
                    <w:rPr>
                      <w:b/>
                      <w:bCs/>
                      <w:color w:val="0000FF"/>
                      <w:sz w:val="18"/>
                      <w:szCs w:val="18"/>
                    </w:rPr>
                    <w:t>式中K取1.4，h取0.</w:t>
                  </w:r>
                  <w:r>
                    <w:rPr>
                      <w:rFonts w:hint="eastAsia"/>
                      <w:b/>
                      <w:bCs/>
                      <w:color w:val="0000FF"/>
                      <w:sz w:val="18"/>
                      <w:szCs w:val="18"/>
                      <w:lang w:val="en-US" w:eastAsia="zh-CN"/>
                    </w:rPr>
                    <w:t>3</w:t>
                  </w:r>
                  <w:r>
                    <w:rPr>
                      <w:b/>
                      <w:bCs/>
                      <w:color w:val="0000FF"/>
                      <w:sz w:val="18"/>
                      <w:szCs w:val="18"/>
                    </w:rPr>
                    <w:t>m，V0取1.0m/s；</w:t>
                  </w:r>
                </w:p>
                <w:p w14:paraId="63F85543">
                  <w:pPr>
                    <w:pStyle w:val="46"/>
                    <w:keepNext w:val="0"/>
                    <w:keepLines w:val="0"/>
                    <w:suppressLineNumbers w:val="0"/>
                    <w:spacing w:before="0" w:beforeAutospacing="0" w:after="0" w:afterAutospacing="0"/>
                    <w:jc w:val="left"/>
                    <w:rPr>
                      <w:color w:val="0000FF"/>
                    </w:rPr>
                  </w:pPr>
                  <w:r>
                    <w:rPr>
                      <w:b/>
                      <w:bCs/>
                      <w:color w:val="0000FF"/>
                      <w:sz w:val="18"/>
                      <w:szCs w:val="18"/>
                    </w:rPr>
                    <w:t>②集气罩风速参考《局部排风设施控制风速检测与评估技术规范》（AQ/T 4274-2016）表1</w:t>
                  </w:r>
                  <w:r>
                    <w:rPr>
                      <w:rFonts w:hint="eastAsia"/>
                      <w:b/>
                      <w:bCs/>
                      <w:color w:val="0000FF"/>
                      <w:sz w:val="18"/>
                      <w:szCs w:val="18"/>
                      <w:lang w:val="en-US" w:eastAsia="zh-CN"/>
                    </w:rPr>
                    <w:t>侧</w:t>
                  </w:r>
                  <w:r>
                    <w:rPr>
                      <w:b/>
                      <w:bCs/>
                      <w:color w:val="0000FF"/>
                      <w:sz w:val="18"/>
                      <w:szCs w:val="18"/>
                    </w:rPr>
                    <w:t>吸式排风罩，</w:t>
                  </w:r>
                  <w:r>
                    <w:rPr>
                      <w:rFonts w:hint="eastAsia"/>
                      <w:b/>
                      <w:bCs/>
                      <w:color w:val="0000FF"/>
                      <w:sz w:val="18"/>
                      <w:szCs w:val="18"/>
                      <w:lang w:val="en-US" w:eastAsia="zh-CN"/>
                    </w:rPr>
                    <w:t>粉尘</w:t>
                  </w:r>
                  <w:r>
                    <w:rPr>
                      <w:b/>
                      <w:bCs/>
                      <w:color w:val="0000FF"/>
                      <w:sz w:val="18"/>
                      <w:szCs w:val="18"/>
                    </w:rPr>
                    <w:t>控制风速为1.0m/s</w:t>
                  </w:r>
                  <w:r>
                    <w:rPr>
                      <w:rFonts w:hint="eastAsia"/>
                      <w:b/>
                      <w:bCs/>
                      <w:color w:val="0000FF"/>
                      <w:sz w:val="18"/>
                      <w:szCs w:val="18"/>
                      <w:lang w:eastAsia="zh-CN"/>
                    </w:rPr>
                    <w:t>。</w:t>
                  </w:r>
                </w:p>
              </w:tc>
            </w:tr>
          </w:tbl>
          <w:p w14:paraId="602566A2">
            <w:pPr>
              <w:keepNext w:val="0"/>
              <w:keepLines w:val="0"/>
              <w:suppressLineNumbers w:val="0"/>
              <w:spacing w:before="0" w:beforeAutospacing="0" w:after="0" w:afterAutospacing="0"/>
              <w:ind w:left="0" w:right="0" w:firstLine="480"/>
              <w:rPr>
                <w:rFonts w:hint="default" w:eastAsia="宋体"/>
                <w:color w:val="0000FF"/>
                <w:lang w:val="en-US" w:eastAsia="zh-CN"/>
              </w:rPr>
            </w:pPr>
            <w:r>
              <w:rPr>
                <w:rFonts w:hint="eastAsia"/>
                <w:color w:val="0000FF"/>
              </w:rPr>
              <w:t>考虑到风量损失</w:t>
            </w:r>
            <w:r>
              <w:rPr>
                <w:rFonts w:hint="eastAsia"/>
                <w:color w:val="0000FF"/>
                <w:lang w:eastAsia="zh-CN"/>
              </w:rPr>
              <w:t>，</w:t>
            </w:r>
            <w:r>
              <w:rPr>
                <w:rFonts w:hint="eastAsia"/>
                <w:color w:val="0000FF"/>
                <w:lang w:val="en-US" w:eastAsia="zh-CN"/>
              </w:rPr>
              <w:t>设计风量为21000m³/h。</w:t>
            </w:r>
          </w:p>
          <w:p w14:paraId="00BBC2A1">
            <w:pPr>
              <w:keepNext w:val="0"/>
              <w:keepLines w:val="0"/>
              <w:suppressLineNumbers w:val="0"/>
              <w:bidi w:val="0"/>
              <w:spacing w:before="0" w:beforeAutospacing="0" w:after="0" w:afterAutospacing="0"/>
              <w:ind w:left="0" w:right="0"/>
              <w:rPr>
                <w:rFonts w:hint="eastAsia"/>
                <w:b/>
                <w:bCs/>
              </w:rPr>
            </w:pPr>
            <w:r>
              <w:rPr>
                <w:rFonts w:hint="eastAsia"/>
                <w:b/>
                <w:bCs/>
                <w:lang w:eastAsia="zh-CN"/>
              </w:rPr>
              <w:t>（</w:t>
            </w:r>
            <w:r>
              <w:rPr>
                <w:rFonts w:hint="eastAsia"/>
                <w:b/>
                <w:bCs/>
                <w:lang w:val="en-US" w:eastAsia="zh-CN"/>
              </w:rPr>
              <w:t>3</w:t>
            </w:r>
            <w:r>
              <w:rPr>
                <w:rFonts w:hint="eastAsia"/>
                <w:b/>
                <w:bCs/>
                <w:lang w:eastAsia="zh-CN"/>
              </w:rPr>
              <w:t>）</w:t>
            </w:r>
            <w:r>
              <w:rPr>
                <w:rFonts w:hint="eastAsia"/>
                <w:b/>
                <w:bCs/>
              </w:rPr>
              <w:t>废气治理及排放情况</w:t>
            </w:r>
          </w:p>
          <w:p w14:paraId="612DE364">
            <w:pPr>
              <w:keepNext w:val="0"/>
              <w:keepLines w:val="0"/>
              <w:suppressLineNumbers w:val="0"/>
              <w:bidi w:val="0"/>
              <w:spacing w:before="0" w:beforeAutospacing="0" w:after="0" w:afterAutospacing="0"/>
              <w:ind w:left="0" w:right="0"/>
              <w:rPr>
                <w:rFonts w:hint="eastAsia"/>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1）颗粒物</w:t>
            </w:r>
          </w:p>
          <w:p w14:paraId="39A872B5">
            <w:pPr>
              <w:keepNext w:val="0"/>
              <w:keepLines w:val="0"/>
              <w:suppressLineNumbers w:val="0"/>
              <w:bidi w:val="0"/>
              <w:spacing w:before="0" w:beforeAutospacing="0" w:after="0" w:afterAutospacing="0"/>
              <w:ind w:left="0" w:right="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根据</w:t>
            </w:r>
            <w:r>
              <w:rPr>
                <w:rFonts w:hint="eastAsia"/>
                <w:color w:val="000000" w:themeColor="text1"/>
                <w14:textFill>
                  <w14:solidFill>
                    <w14:schemeClr w14:val="tx1"/>
                  </w14:solidFill>
                </w14:textFill>
              </w:rPr>
              <w:t>《排污许可证申请与核发技术规范废弃资源加工工业》（HJ</w:t>
            </w:r>
            <w:r>
              <w:rPr>
                <w:rFonts w:hint="eastAsia"/>
                <w:color w:val="000000" w:themeColor="text1"/>
                <w:lang w:val="en-US" w:eastAsia="zh-CN"/>
                <w14:textFill>
                  <w14:solidFill>
                    <w14:schemeClr w14:val="tx1"/>
                  </w14:solidFill>
                </w14:textFill>
              </w:rPr>
              <w:t>1034</w:t>
            </w:r>
            <w:r>
              <w:rPr>
                <w:rFonts w:hint="eastAsia"/>
                <w:color w:val="000000" w:themeColor="text1"/>
                <w14:textFill>
                  <w14:solidFill>
                    <w14:schemeClr w14:val="tx1"/>
                  </w14:solidFill>
                </w14:textFill>
              </w:rPr>
              <w:t>-20</w:t>
            </w:r>
            <w:r>
              <w:rPr>
                <w:rFonts w:hint="eastAsia"/>
                <w:color w:val="000000" w:themeColor="text1"/>
                <w:lang w:val="en-US" w:eastAsia="zh-CN"/>
                <w14:textFill>
                  <w14:solidFill>
                    <w14:schemeClr w14:val="tx1"/>
                  </w14:solidFill>
                </w14:textFill>
              </w:rPr>
              <w:t>19</w:t>
            </w: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表26可知，集气收集+布袋除尘器为颗粒物治理可行技术，参考《排放源统计调查产排污核算方法和系数手册》4210金属废料和碎屑加工处理行业系数表中袋式除尘器处理效率为95%。</w:t>
            </w:r>
          </w:p>
          <w:p w14:paraId="316D5709">
            <w:pPr>
              <w:keepNext w:val="0"/>
              <w:keepLines w:val="0"/>
              <w:suppressLineNumbers w:val="0"/>
              <w:spacing w:before="0" w:beforeAutospacing="0" w:after="0" w:afterAutospacing="0"/>
              <w:ind w:left="0" w:right="0" w:firstLine="48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袋式除尘器也称为过滤式除尘器，是一种干式高效除尘器，它是利用纤维编制物制作的袋式过滤元件来捕集含尘气体中固体颗粒物的除尘装置。其作用原理是尘粒在绕过滤布纤维时因惯性力作用与纤维碰撞而被拦截。细微的尘粒（粒径为1微米或更小）则受气体分子冲击（布朗运动）不断改变着运动方向，由于纤维间的空隙小于气体分子布朗运动的自由路径，尘粒便与纤维碰撞接触而被分离出来。含尘气体从袋式除尘器入口进入后，通过烟气分配装置均匀分配进入滤袋，当含尘气体穿过滤袋时，粉尘即被吸附在滤料上，而被净化的气体则从滤袋内排除。当吸附在滤料上的粉尘达到一定厚度时，电磁阀开启，喷吹空气从滤袋出口处自上而下与气体排除的相反方向进入滤袋，将吸附在滤袋外表面的粉尘清落至下面的灰斗中。</w:t>
            </w:r>
          </w:p>
          <w:p w14:paraId="2CA99680">
            <w:pPr>
              <w:keepNext w:val="0"/>
              <w:keepLines w:val="0"/>
              <w:suppressLineNumbers w:val="0"/>
              <w:spacing w:before="0" w:beforeAutospacing="0" w:after="0" w:afterAutospacing="0"/>
              <w:ind w:left="0" w:right="0" w:firstLine="480"/>
              <w:rPr>
                <w:rFonts w:hint="default"/>
                <w:color w:val="0000FF"/>
                <w:lang w:val="en-US" w:eastAsia="zh-CN"/>
              </w:rPr>
            </w:pPr>
            <w:r>
              <w:rPr>
                <w:rFonts w:hint="eastAsia"/>
                <w:color w:val="0000FF"/>
              </w:rPr>
              <w:t>本项目颗粒物废气经收集后</w:t>
            </w:r>
            <w:r>
              <w:rPr>
                <w:rFonts w:hint="eastAsia"/>
                <w:color w:val="0000FF"/>
                <w:lang w:eastAsia="zh-CN"/>
              </w:rPr>
              <w:t>（</w:t>
            </w:r>
            <w:r>
              <w:rPr>
                <w:rFonts w:hint="eastAsia"/>
                <w:color w:val="0000FF"/>
                <w:lang w:val="en-US" w:eastAsia="zh-CN"/>
              </w:rPr>
              <w:t>收集效率85%）</w:t>
            </w:r>
            <w:r>
              <w:rPr>
                <w:rFonts w:hint="eastAsia"/>
                <w:color w:val="0000FF"/>
              </w:rPr>
              <w:t>，经袋式除尘器处理（效率9</w:t>
            </w:r>
            <w:r>
              <w:rPr>
                <w:rFonts w:hint="eastAsia"/>
                <w:color w:val="0000FF"/>
                <w:lang w:val="en-US" w:eastAsia="zh-CN"/>
              </w:rPr>
              <w:t>5</w:t>
            </w:r>
            <w:r>
              <w:rPr>
                <w:rFonts w:hint="eastAsia"/>
                <w:color w:val="0000FF"/>
              </w:rPr>
              <w:t>%）</w:t>
            </w:r>
            <w:r>
              <w:rPr>
                <w:rFonts w:hint="eastAsia"/>
                <w:color w:val="0000FF"/>
                <w:lang w:val="en-US" w:eastAsia="zh-CN"/>
              </w:rPr>
              <w:t>有组织排放量为0.003t/a（0.008kg/h，0.38mg/m³），无</w:t>
            </w:r>
            <w:r>
              <w:rPr>
                <w:rFonts w:hint="eastAsia"/>
                <w:color w:val="0000FF"/>
              </w:rPr>
              <w:t>组织颗粒物排放量为</w:t>
            </w:r>
            <w:r>
              <w:rPr>
                <w:rFonts w:hint="eastAsia"/>
                <w:color w:val="0000FF"/>
                <w:lang w:eastAsia="zh-CN"/>
              </w:rPr>
              <w:t>0.00</w:t>
            </w:r>
            <w:r>
              <w:rPr>
                <w:rFonts w:hint="eastAsia"/>
                <w:color w:val="0000FF"/>
                <w:lang w:val="en-US" w:eastAsia="zh-CN"/>
              </w:rPr>
              <w:t>9</w:t>
            </w:r>
            <w:r>
              <w:rPr>
                <w:rFonts w:hint="eastAsia"/>
                <w:color w:val="0000FF"/>
              </w:rPr>
              <w:t>t/a，排放速率为</w:t>
            </w:r>
            <w:r>
              <w:rPr>
                <w:rFonts w:hint="eastAsia"/>
                <w:color w:val="0000FF"/>
                <w:lang w:eastAsia="zh-CN"/>
              </w:rPr>
              <w:t>0.0</w:t>
            </w:r>
            <w:r>
              <w:rPr>
                <w:rFonts w:hint="eastAsia"/>
                <w:color w:val="0000FF"/>
                <w:lang w:val="en-US" w:eastAsia="zh-CN"/>
              </w:rPr>
              <w:t>26</w:t>
            </w:r>
            <w:r>
              <w:rPr>
                <w:rFonts w:hint="eastAsia"/>
                <w:color w:val="0000FF"/>
              </w:rPr>
              <w:t>kg/h。</w:t>
            </w:r>
          </w:p>
          <w:p w14:paraId="0101A3F7">
            <w:pPr>
              <w:keepNext w:val="0"/>
              <w:keepLines w:val="0"/>
              <w:suppressLineNumbers w:val="0"/>
              <w:spacing w:before="0" w:beforeAutospacing="0" w:after="0" w:afterAutospacing="0"/>
              <w:ind w:left="0" w:right="0"/>
              <w:rPr>
                <w:rFonts w:hint="default" w:cs="Times New Roman"/>
                <w:b/>
                <w:bCs/>
                <w:color w:val="auto"/>
                <w:lang w:val="en-US" w:eastAsia="zh-CN"/>
              </w:rPr>
            </w:pPr>
            <w:r>
              <w:rPr>
                <w:rFonts w:hint="eastAsia" w:cs="Times New Roman"/>
                <w:b/>
                <w:bCs/>
                <w:color w:val="auto"/>
                <w:lang w:val="en-US" w:eastAsia="zh-CN"/>
              </w:rPr>
              <w:t>2）恶臭气体</w:t>
            </w:r>
          </w:p>
          <w:p w14:paraId="192B0F06">
            <w:pPr>
              <w:keepNext w:val="0"/>
              <w:keepLines w:val="0"/>
              <w:suppressLineNumbers w:val="0"/>
              <w:spacing w:before="0" w:beforeAutospacing="0" w:after="0" w:afterAutospacing="0"/>
              <w:ind w:left="0" w:right="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本环评要求企业对絮凝沉淀池定期喷洒除臭剂，对产生的污泥进行压滤后使用封闭的包装袋暂存，采取及时清运等措施可有效减少絮凝沉淀池产生的恶臭气体排放。</w:t>
            </w:r>
          </w:p>
          <w:p w14:paraId="556CD1FA">
            <w:pPr>
              <w:keepNext w:val="0"/>
              <w:keepLines w:val="0"/>
              <w:suppressLineNumbers w:val="0"/>
              <w:spacing w:before="0" w:beforeAutospacing="0" w:after="0" w:afterAutospacing="0"/>
              <w:ind w:left="0" w:right="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通过采取上述措施后，厂区无组织臭气</w:t>
            </w:r>
            <w:r>
              <w:rPr>
                <w:rFonts w:hint="eastAsia" w:cs="Times New Roman"/>
                <w:color w:val="auto"/>
                <w:lang w:val="en-US" w:eastAsia="zh-CN"/>
              </w:rPr>
              <w:t>浓度</w:t>
            </w:r>
            <w:r>
              <w:rPr>
                <w:rFonts w:hint="eastAsia" w:ascii="Times New Roman" w:hAnsi="Times New Roman" w:eastAsia="宋体" w:cs="Times New Roman"/>
                <w:color w:val="auto"/>
                <w:lang w:val="en-US" w:eastAsia="zh-CN"/>
              </w:rPr>
              <w:t>符合《恶臭污染物排放标准》</w:t>
            </w:r>
            <w:r>
              <w:rPr>
                <w:rFonts w:hint="eastAsia" w:cs="Times New Roman"/>
                <w:color w:val="auto"/>
                <w:lang w:val="en-US" w:eastAsia="zh-CN"/>
              </w:rPr>
              <w:t>（</w:t>
            </w:r>
            <w:r>
              <w:rPr>
                <w:rFonts w:hint="eastAsia" w:ascii="Times New Roman" w:hAnsi="Times New Roman" w:eastAsia="宋体" w:cs="Times New Roman"/>
                <w:color w:val="auto"/>
                <w:lang w:val="en-US" w:eastAsia="zh-CN"/>
              </w:rPr>
              <w:t>GB14554-93</w:t>
            </w:r>
            <w:r>
              <w:rPr>
                <w:rFonts w:hint="eastAsia" w:cs="Times New Roman"/>
                <w:color w:val="auto"/>
                <w:lang w:val="en-US" w:eastAsia="zh-CN"/>
              </w:rPr>
              <w:t>）</w:t>
            </w:r>
            <w:r>
              <w:rPr>
                <w:rFonts w:hint="eastAsia" w:ascii="Times New Roman" w:hAnsi="Times New Roman" w:eastAsia="宋体" w:cs="Times New Roman"/>
                <w:color w:val="auto"/>
                <w:lang w:val="en-US" w:eastAsia="zh-CN"/>
              </w:rPr>
              <w:t>表1恶臭污染物厂界标准值</w:t>
            </w:r>
            <w:r>
              <w:rPr>
                <w:rFonts w:hint="eastAsia" w:cs="Times New Roman"/>
                <w:color w:val="auto"/>
                <w:lang w:val="en-US" w:eastAsia="zh-CN"/>
              </w:rPr>
              <w:t>（</w:t>
            </w:r>
            <w:r>
              <w:rPr>
                <w:rFonts w:hint="eastAsia" w:ascii="Times New Roman" w:hAnsi="Times New Roman" w:eastAsia="宋体" w:cs="Times New Roman"/>
                <w:color w:val="auto"/>
                <w:lang w:val="en-US" w:eastAsia="zh-CN"/>
              </w:rPr>
              <w:t>二级，新改扩建</w:t>
            </w:r>
            <w:r>
              <w:rPr>
                <w:rFonts w:hint="eastAsia" w:cs="Times New Roman"/>
                <w:color w:val="auto"/>
                <w:lang w:val="en-US" w:eastAsia="zh-CN"/>
              </w:rPr>
              <w:t>）</w:t>
            </w:r>
            <w:r>
              <w:rPr>
                <w:rFonts w:hint="eastAsia" w:ascii="Times New Roman" w:hAnsi="Times New Roman" w:eastAsia="宋体" w:cs="Times New Roman"/>
                <w:color w:val="auto"/>
                <w:lang w:val="en-US" w:eastAsia="zh-CN"/>
              </w:rPr>
              <w:t>要求，不会降低其环境空气质量等级。废气对周围大气环境影响较小。</w:t>
            </w:r>
          </w:p>
          <w:p w14:paraId="418880F2">
            <w:pPr>
              <w:keepNext w:val="0"/>
              <w:keepLines w:val="0"/>
              <w:numPr>
                <w:ilvl w:val="0"/>
                <w:numId w:val="8"/>
              </w:numPr>
              <w:suppressLineNumbers w:val="0"/>
              <w:spacing w:before="0" w:beforeAutospacing="0" w:after="0" w:afterAutospacing="0"/>
              <w:ind w:left="0" w:right="0"/>
              <w:rPr>
                <w:rFonts w:hint="eastAsia" w:cs="Times New Roman"/>
                <w:b/>
                <w:bCs/>
                <w:color w:val="auto"/>
                <w:lang w:val="en-US" w:eastAsia="zh-CN"/>
              </w:rPr>
            </w:pPr>
            <w:r>
              <w:rPr>
                <w:rFonts w:hint="eastAsia" w:cs="Times New Roman"/>
                <w:b/>
                <w:bCs/>
                <w:color w:val="auto"/>
                <w:lang w:val="en-US" w:eastAsia="zh-CN"/>
              </w:rPr>
              <w:t>达标分析</w:t>
            </w:r>
          </w:p>
          <w:p w14:paraId="37F40782">
            <w:pPr>
              <w:keepNext w:val="0"/>
              <w:keepLines w:val="0"/>
              <w:numPr>
                <w:ilvl w:val="0"/>
                <w:numId w:val="9"/>
              </w:numPr>
              <w:suppressLineNumbers w:val="0"/>
              <w:bidi w:val="0"/>
              <w:spacing w:before="0" w:beforeAutospacing="0" w:after="0" w:afterAutospacing="0"/>
              <w:ind w:left="0" w:right="0"/>
              <w:rPr>
                <w:rFonts w:hint="eastAsia"/>
                <w:b/>
                <w:bCs/>
                <w:lang w:val="en-US" w:eastAsia="zh-CN"/>
              </w:rPr>
            </w:pPr>
            <w:r>
              <w:rPr>
                <w:rFonts w:hint="eastAsia"/>
                <w:b/>
                <w:bCs/>
                <w:lang w:val="en-US" w:eastAsia="zh-CN"/>
              </w:rPr>
              <w:t>粉尘</w:t>
            </w:r>
          </w:p>
          <w:p w14:paraId="4EAB43CB">
            <w:pPr>
              <w:keepNext w:val="0"/>
              <w:keepLines w:val="0"/>
              <w:suppressLineNumbers w:val="0"/>
              <w:bidi w:val="0"/>
              <w:spacing w:before="0" w:beforeAutospacing="0" w:after="0" w:afterAutospacing="0"/>
              <w:ind w:left="0" w:right="0"/>
              <w:rPr>
                <w:rFonts w:hint="eastAsia"/>
                <w:color w:val="auto"/>
                <w:lang w:eastAsia="zh-CN"/>
              </w:rPr>
            </w:pPr>
            <w:r>
              <w:rPr>
                <w:rFonts w:hint="eastAsia"/>
                <w:lang w:val="en-US" w:eastAsia="zh-CN"/>
              </w:rPr>
              <w:t>项目角磨切割、剪切打包粉尘经集气罩收集进入袋式除尘器处理有组织排放，</w:t>
            </w:r>
            <w:r>
              <w:rPr>
                <w:rFonts w:hint="eastAsia"/>
                <w:color w:val="0000FF"/>
                <w:lang w:val="en-US" w:eastAsia="zh-CN"/>
              </w:rPr>
              <w:t>有组织排放量为0.003t/a（0.008kg/h，0.38mg/m³），无</w:t>
            </w:r>
            <w:r>
              <w:rPr>
                <w:rFonts w:hint="eastAsia"/>
                <w:color w:val="0000FF"/>
              </w:rPr>
              <w:t>组织颗粒物排放量为</w:t>
            </w:r>
            <w:r>
              <w:rPr>
                <w:rFonts w:hint="eastAsia"/>
                <w:color w:val="0000FF"/>
                <w:lang w:eastAsia="zh-CN"/>
              </w:rPr>
              <w:t>0.00</w:t>
            </w:r>
            <w:r>
              <w:rPr>
                <w:rFonts w:hint="eastAsia"/>
                <w:color w:val="0000FF"/>
                <w:lang w:val="en-US" w:eastAsia="zh-CN"/>
              </w:rPr>
              <w:t>9</w:t>
            </w:r>
            <w:r>
              <w:rPr>
                <w:rFonts w:hint="eastAsia"/>
                <w:color w:val="0000FF"/>
              </w:rPr>
              <w:t>t/a，排放速率为</w:t>
            </w:r>
            <w:r>
              <w:rPr>
                <w:rFonts w:hint="eastAsia"/>
                <w:color w:val="0000FF"/>
                <w:lang w:eastAsia="zh-CN"/>
              </w:rPr>
              <w:t>0.0</w:t>
            </w:r>
            <w:r>
              <w:rPr>
                <w:rFonts w:hint="eastAsia"/>
                <w:color w:val="0000FF"/>
                <w:lang w:val="en-US" w:eastAsia="zh-CN"/>
              </w:rPr>
              <w:t>26</w:t>
            </w:r>
            <w:r>
              <w:rPr>
                <w:rFonts w:hint="eastAsia"/>
                <w:color w:val="0000FF"/>
              </w:rPr>
              <w:t>kg/h</w:t>
            </w:r>
            <w:r>
              <w:rPr>
                <w:rFonts w:hint="eastAsia"/>
                <w:color w:val="0000FF"/>
                <w:lang w:eastAsia="zh-CN"/>
              </w:rPr>
              <w:t>，</w:t>
            </w:r>
            <w:r>
              <w:rPr>
                <w:rFonts w:hint="eastAsia"/>
                <w:lang w:val="en-US" w:eastAsia="zh-CN"/>
              </w:rPr>
              <w:t>可以满足</w:t>
            </w:r>
            <w:r>
              <w:rPr>
                <w:rFonts w:hint="default"/>
                <w:color w:val="auto"/>
              </w:rPr>
              <w:t>《大气污染物综合排放标准》（GB16297-1996）表2中二级排放标准</w:t>
            </w:r>
            <w:r>
              <w:rPr>
                <w:rFonts w:hint="eastAsia"/>
                <w:color w:val="auto"/>
                <w:lang w:eastAsia="zh-CN"/>
              </w:rPr>
              <w:t>。</w:t>
            </w:r>
          </w:p>
          <w:p w14:paraId="670A820F">
            <w:pPr>
              <w:keepNext w:val="0"/>
              <w:keepLines w:val="0"/>
              <w:numPr>
                <w:ilvl w:val="0"/>
                <w:numId w:val="9"/>
              </w:numPr>
              <w:suppressLineNumbers w:val="0"/>
              <w:bidi w:val="0"/>
              <w:spacing w:before="0" w:beforeAutospacing="0" w:after="0" w:afterAutospacing="0"/>
              <w:ind w:left="0" w:leftChars="0" w:right="0" w:firstLine="482" w:firstLineChars="200"/>
              <w:rPr>
                <w:rFonts w:hint="eastAsia"/>
                <w:b/>
                <w:bCs/>
                <w:color w:val="auto"/>
                <w:lang w:val="en-US" w:eastAsia="zh-CN"/>
              </w:rPr>
            </w:pPr>
            <w:r>
              <w:rPr>
                <w:rFonts w:hint="eastAsia"/>
                <w:b/>
                <w:bCs/>
                <w:color w:val="auto"/>
                <w:lang w:val="en-US" w:eastAsia="zh-CN"/>
              </w:rPr>
              <w:t>恶臭气体</w:t>
            </w:r>
          </w:p>
          <w:p w14:paraId="611835D5">
            <w:pPr>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项目厂房封闭，废水产生量较少，及时对絮凝沉淀池进行除杂，同时对絮凝沉淀池定期喷洒生物除臭剂，污泥压滤后使用封闭包装袋包装，及时清运。采取上述措施后，恶臭气体排放满足《恶臭污染物排放标准》（GB14554-93）表1排放限值，对周围环境的影响可接受。</w:t>
            </w:r>
          </w:p>
          <w:p w14:paraId="4DCD8987">
            <w:pPr>
              <w:pStyle w:val="67"/>
              <w:keepNext w:val="0"/>
              <w:keepLines w:val="0"/>
              <w:suppressLineNumbers w:val="0"/>
              <w:spacing w:before="0" w:beforeAutospacing="0" w:after="0" w:afterAutospacing="0"/>
              <w:ind w:left="0" w:right="0" w:firstLine="482"/>
              <w:rPr>
                <w:rFonts w:hint="default"/>
                <w:b/>
                <w:bCs/>
                <w:color w:val="000000" w:themeColor="text1"/>
                <w14:textFill>
                  <w14:solidFill>
                    <w14:schemeClr w14:val="tx1"/>
                  </w14:solidFill>
                </w14:textFill>
              </w:rPr>
            </w:pPr>
            <w:r>
              <w:rPr>
                <w:rFonts w:hint="eastAsia"/>
                <w:b/>
                <w:bCs/>
                <w:color w:val="000000" w:themeColor="text1"/>
                <w:lang w:val="en-US" w:eastAsia="zh-CN"/>
                <w14:textFill>
                  <w14:solidFill>
                    <w14:schemeClr w14:val="tx1"/>
                  </w14:solidFill>
                </w14:textFill>
              </w:rPr>
              <w:t>3</w:t>
            </w:r>
            <w:r>
              <w:rPr>
                <w:rFonts w:hint="eastAsia"/>
                <w:b/>
                <w:bCs/>
                <w:color w:val="000000" w:themeColor="text1"/>
                <w14:textFill>
                  <w14:solidFill>
                    <w14:schemeClr w14:val="tx1"/>
                  </w14:solidFill>
                </w14:textFill>
              </w:rPr>
              <w:t>、非正常工况下污染物排放情况</w:t>
            </w:r>
          </w:p>
          <w:p w14:paraId="210E6894">
            <w:pPr>
              <w:keepNext w:val="0"/>
              <w:keepLines w:val="0"/>
              <w:suppressLineNumbers w:val="0"/>
              <w:spacing w:before="0" w:beforeAutospacing="0" w:after="0" w:afterAutospacing="0"/>
              <w:ind w:left="0" w:right="0" w:firstLine="482"/>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（1）非正常工况源强分析</w:t>
            </w:r>
          </w:p>
          <w:p w14:paraId="70D95A94">
            <w:pPr>
              <w:keepNext w:val="0"/>
              <w:keepLines w:val="0"/>
              <w:widowControl/>
              <w:suppressLineNumbers w:val="0"/>
              <w:spacing w:before="0" w:beforeAutospacing="0" w:after="0" w:afterAutospacing="0"/>
              <w:ind w:left="0" w:right="0" w:firstLine="48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非正常情况下废气污染物排放主要是废气处理设施出现故障，造成废气污染物超标排放，本环评重点评价废气治理设施出现故障，处理效率50%作为非正常工况进行影响分析。拟建项目设计非正常工况连续排污时间不超过2小时/次，全年累计不应超过30小时</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非正常工况下污染物排放情况详见</w:t>
            </w:r>
            <w:r>
              <w:rPr>
                <w:rFonts w:hint="eastAsia"/>
                <w:color w:val="000000" w:themeColor="text1"/>
                <w:lang w:val="en-US" w:eastAsia="zh-CN"/>
                <w14:textFill>
                  <w14:solidFill>
                    <w14:schemeClr w14:val="tx1"/>
                  </w14:solidFill>
                </w14:textFill>
              </w:rPr>
              <w:t>下表</w:t>
            </w:r>
            <w:r>
              <w:rPr>
                <w:rFonts w:hint="eastAsia"/>
                <w:color w:val="000000" w:themeColor="text1"/>
                <w14:textFill>
                  <w14:solidFill>
                    <w14:schemeClr w14:val="tx1"/>
                  </w14:solidFill>
                </w14:textFill>
              </w:rPr>
              <w:t>。</w:t>
            </w:r>
          </w:p>
          <w:p w14:paraId="571A6AF6">
            <w:pPr>
              <w:pStyle w:val="39"/>
              <w:keepNext w:val="0"/>
              <w:keepLines w:val="0"/>
              <w:suppressLineNumbers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表4-</w:t>
            </w:r>
            <w:r>
              <w:rPr>
                <w:rFonts w:hint="eastAsia"/>
                <w:color w:val="000000" w:themeColor="text1"/>
                <w:lang w:val="en-US" w:eastAsia="zh-CN"/>
                <w14:textFill>
                  <w14:solidFill>
                    <w14:schemeClr w14:val="tx1"/>
                  </w14:solidFill>
                </w14:textFill>
              </w:rPr>
              <w:t>8</w:t>
            </w:r>
            <w:r>
              <w:rPr>
                <w:rFonts w:hint="eastAsia"/>
                <w:color w:val="000000" w:themeColor="text1"/>
                <w14:textFill>
                  <w14:solidFill>
                    <w14:schemeClr w14:val="tx1"/>
                  </w14:solidFill>
                </w14:textFill>
              </w:rPr>
              <w:t xml:space="preserve">  非常正常工况废气排放源强表</w:t>
            </w:r>
          </w:p>
          <w:tbl>
            <w:tblPr>
              <w:tblStyle w:val="19"/>
              <w:tblW w:w="499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655"/>
              <w:gridCol w:w="909"/>
              <w:gridCol w:w="1077"/>
              <w:gridCol w:w="724"/>
              <w:gridCol w:w="1331"/>
              <w:gridCol w:w="1408"/>
              <w:gridCol w:w="975"/>
              <w:gridCol w:w="1683"/>
            </w:tblGrid>
            <w:tr w14:paraId="15933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73" w:type="pct"/>
                  <w:vMerge w:val="restart"/>
                  <w:noWrap/>
                  <w:vAlign w:val="center"/>
                </w:tcPr>
                <w:p w14:paraId="21A5593B">
                  <w:pPr>
                    <w:pStyle w:val="46"/>
                    <w:keepNext w:val="0"/>
                    <w:keepLines w:val="0"/>
                    <w:suppressLineNumbers w:val="0"/>
                    <w:spacing w:before="0" w:beforeAutospacing="0" w:after="0" w:afterAutospacing="0"/>
                    <w:rPr>
                      <w:rFonts w:hint="default"/>
                      <w:b/>
                      <w:bCs/>
                      <w:color w:val="000000" w:themeColor="text1"/>
                      <w14:textFill>
                        <w14:solidFill>
                          <w14:schemeClr w14:val="tx1"/>
                        </w14:solidFill>
                      </w14:textFill>
                    </w:rPr>
                  </w:pPr>
                  <w:r>
                    <w:rPr>
                      <w:b/>
                      <w:bCs/>
                      <w:color w:val="000000" w:themeColor="text1"/>
                      <w14:textFill>
                        <w14:solidFill>
                          <w14:schemeClr w14:val="tx1"/>
                        </w14:solidFill>
                      </w14:textFill>
                    </w:rPr>
                    <w:t>工况</w:t>
                  </w:r>
                </w:p>
              </w:tc>
              <w:tc>
                <w:tcPr>
                  <w:tcW w:w="518" w:type="pct"/>
                  <w:vMerge w:val="restart"/>
                  <w:noWrap/>
                  <w:vAlign w:val="center"/>
                </w:tcPr>
                <w:p w14:paraId="0F9F8B49">
                  <w:pPr>
                    <w:pStyle w:val="46"/>
                    <w:keepNext w:val="0"/>
                    <w:keepLines w:val="0"/>
                    <w:suppressLineNumbers w:val="0"/>
                    <w:spacing w:before="0" w:beforeAutospacing="0" w:after="0" w:afterAutospacing="0"/>
                    <w:rPr>
                      <w:rFonts w:hint="default"/>
                      <w:b/>
                      <w:bCs/>
                      <w:color w:val="000000" w:themeColor="text1"/>
                      <w14:textFill>
                        <w14:solidFill>
                          <w14:schemeClr w14:val="tx1"/>
                        </w14:solidFill>
                      </w14:textFill>
                    </w:rPr>
                  </w:pPr>
                  <w:r>
                    <w:rPr>
                      <w:b/>
                      <w:bCs/>
                      <w:color w:val="000000" w:themeColor="text1"/>
                      <w14:textFill>
                        <w14:solidFill>
                          <w14:schemeClr w14:val="tx1"/>
                        </w14:solidFill>
                      </w14:textFill>
                    </w:rPr>
                    <w:t>非正常工况时间h</w:t>
                  </w:r>
                </w:p>
              </w:tc>
              <w:tc>
                <w:tcPr>
                  <w:tcW w:w="614" w:type="pct"/>
                  <w:vMerge w:val="restart"/>
                  <w:noWrap/>
                  <w:vAlign w:val="center"/>
                </w:tcPr>
                <w:p w14:paraId="598BD912">
                  <w:pPr>
                    <w:pStyle w:val="46"/>
                    <w:keepNext w:val="0"/>
                    <w:keepLines w:val="0"/>
                    <w:suppressLineNumbers w:val="0"/>
                    <w:spacing w:before="0" w:beforeAutospacing="0" w:after="0" w:afterAutospacing="0"/>
                    <w:rPr>
                      <w:rFonts w:hint="default"/>
                      <w:b/>
                      <w:bCs/>
                      <w:color w:val="000000" w:themeColor="text1"/>
                      <w14:textFill>
                        <w14:solidFill>
                          <w14:schemeClr w14:val="tx1"/>
                        </w14:solidFill>
                      </w14:textFill>
                    </w:rPr>
                  </w:pPr>
                  <w:r>
                    <w:rPr>
                      <w:b/>
                      <w:bCs/>
                      <w:color w:val="000000" w:themeColor="text1"/>
                      <w14:textFill>
                        <w14:solidFill>
                          <w14:schemeClr w14:val="tx1"/>
                        </w14:solidFill>
                      </w14:textFill>
                    </w:rPr>
                    <w:t>发生故障收集及处理效率</w:t>
                  </w:r>
                </w:p>
              </w:tc>
              <w:tc>
                <w:tcPr>
                  <w:tcW w:w="413" w:type="pct"/>
                  <w:vMerge w:val="restart"/>
                  <w:noWrap/>
                  <w:vAlign w:val="center"/>
                </w:tcPr>
                <w:p w14:paraId="7D26D521">
                  <w:pPr>
                    <w:pStyle w:val="46"/>
                    <w:keepNext w:val="0"/>
                    <w:keepLines w:val="0"/>
                    <w:suppressLineNumbers w:val="0"/>
                    <w:spacing w:before="0" w:beforeAutospacing="0" w:after="0" w:afterAutospacing="0"/>
                    <w:rPr>
                      <w:rFonts w:hint="default"/>
                      <w:b/>
                      <w:bCs/>
                      <w:color w:val="000000" w:themeColor="text1"/>
                      <w14:textFill>
                        <w14:solidFill>
                          <w14:schemeClr w14:val="tx1"/>
                        </w14:solidFill>
                      </w14:textFill>
                    </w:rPr>
                  </w:pPr>
                  <w:r>
                    <w:rPr>
                      <w:b/>
                      <w:bCs/>
                      <w:color w:val="000000" w:themeColor="text1"/>
                      <w14:textFill>
                        <w14:solidFill>
                          <w14:schemeClr w14:val="tx1"/>
                        </w14:solidFill>
                      </w14:textFill>
                    </w:rPr>
                    <w:t>废气量m³/h</w:t>
                  </w:r>
                </w:p>
              </w:tc>
              <w:tc>
                <w:tcPr>
                  <w:tcW w:w="759" w:type="pct"/>
                  <w:vMerge w:val="restart"/>
                  <w:noWrap/>
                  <w:vAlign w:val="center"/>
                </w:tcPr>
                <w:p w14:paraId="320B8892">
                  <w:pPr>
                    <w:pStyle w:val="46"/>
                    <w:keepNext w:val="0"/>
                    <w:keepLines w:val="0"/>
                    <w:suppressLineNumbers w:val="0"/>
                    <w:spacing w:before="0" w:beforeAutospacing="0" w:after="0" w:afterAutospacing="0"/>
                    <w:rPr>
                      <w:rFonts w:hint="default"/>
                      <w:b/>
                      <w:bCs/>
                      <w:color w:val="000000" w:themeColor="text1"/>
                      <w14:textFill>
                        <w14:solidFill>
                          <w14:schemeClr w14:val="tx1"/>
                        </w14:solidFill>
                      </w14:textFill>
                    </w:rPr>
                  </w:pPr>
                  <w:r>
                    <w:rPr>
                      <w:b/>
                      <w:bCs/>
                      <w:color w:val="000000" w:themeColor="text1"/>
                      <w14:textFill>
                        <w14:solidFill>
                          <w14:schemeClr w14:val="tx1"/>
                        </w14:solidFill>
                      </w14:textFill>
                    </w:rPr>
                    <w:t>污染物</w:t>
                  </w:r>
                </w:p>
              </w:tc>
              <w:tc>
                <w:tcPr>
                  <w:tcW w:w="2320" w:type="pct"/>
                  <w:gridSpan w:val="3"/>
                  <w:noWrap/>
                  <w:vAlign w:val="center"/>
                </w:tcPr>
                <w:p w14:paraId="4D6ED47D">
                  <w:pPr>
                    <w:pStyle w:val="46"/>
                    <w:keepNext w:val="0"/>
                    <w:keepLines w:val="0"/>
                    <w:suppressLineNumbers w:val="0"/>
                    <w:spacing w:before="0" w:beforeAutospacing="0" w:after="0" w:afterAutospacing="0"/>
                    <w:rPr>
                      <w:rFonts w:hint="eastAsia" w:eastAsia="宋体"/>
                      <w:b/>
                      <w:bCs/>
                      <w:color w:val="000000" w:themeColor="text1"/>
                      <w:lang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无组织</w:t>
                  </w:r>
                </w:p>
              </w:tc>
            </w:tr>
            <w:tr w14:paraId="21913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373" w:type="pct"/>
                  <w:vMerge w:val="continue"/>
                  <w:noWrap/>
                  <w:vAlign w:val="center"/>
                </w:tcPr>
                <w:p w14:paraId="5EF30256">
                  <w:pPr>
                    <w:pStyle w:val="46"/>
                    <w:keepNext w:val="0"/>
                    <w:keepLines w:val="0"/>
                    <w:suppressLineNumbers w:val="0"/>
                    <w:spacing w:before="0" w:beforeAutospacing="0" w:after="0" w:afterAutospacing="0"/>
                    <w:rPr>
                      <w:rFonts w:hint="default"/>
                      <w:b/>
                      <w:bCs/>
                      <w:color w:val="000000" w:themeColor="text1"/>
                      <w14:textFill>
                        <w14:solidFill>
                          <w14:schemeClr w14:val="tx1"/>
                        </w14:solidFill>
                      </w14:textFill>
                    </w:rPr>
                  </w:pPr>
                </w:p>
              </w:tc>
              <w:tc>
                <w:tcPr>
                  <w:tcW w:w="518" w:type="pct"/>
                  <w:vMerge w:val="continue"/>
                  <w:noWrap/>
                  <w:vAlign w:val="center"/>
                </w:tcPr>
                <w:p w14:paraId="6BB511B1">
                  <w:pPr>
                    <w:pStyle w:val="46"/>
                    <w:keepNext w:val="0"/>
                    <w:keepLines w:val="0"/>
                    <w:suppressLineNumbers w:val="0"/>
                    <w:spacing w:before="0" w:beforeAutospacing="0" w:after="0" w:afterAutospacing="0"/>
                    <w:rPr>
                      <w:rFonts w:hint="default"/>
                      <w:b/>
                      <w:bCs/>
                      <w:color w:val="000000" w:themeColor="text1"/>
                      <w14:textFill>
                        <w14:solidFill>
                          <w14:schemeClr w14:val="tx1"/>
                        </w14:solidFill>
                      </w14:textFill>
                    </w:rPr>
                  </w:pPr>
                </w:p>
              </w:tc>
              <w:tc>
                <w:tcPr>
                  <w:tcW w:w="614" w:type="pct"/>
                  <w:vMerge w:val="continue"/>
                  <w:noWrap/>
                  <w:vAlign w:val="center"/>
                </w:tcPr>
                <w:p w14:paraId="5691A5ED">
                  <w:pPr>
                    <w:pStyle w:val="46"/>
                    <w:keepNext w:val="0"/>
                    <w:keepLines w:val="0"/>
                    <w:suppressLineNumbers w:val="0"/>
                    <w:spacing w:before="0" w:beforeAutospacing="0" w:after="0" w:afterAutospacing="0"/>
                    <w:rPr>
                      <w:rFonts w:hint="default"/>
                      <w:b/>
                      <w:bCs/>
                      <w:color w:val="000000" w:themeColor="text1"/>
                      <w14:textFill>
                        <w14:solidFill>
                          <w14:schemeClr w14:val="tx1"/>
                        </w14:solidFill>
                      </w14:textFill>
                    </w:rPr>
                  </w:pPr>
                </w:p>
              </w:tc>
              <w:tc>
                <w:tcPr>
                  <w:tcW w:w="413" w:type="pct"/>
                  <w:vMerge w:val="continue"/>
                  <w:noWrap/>
                  <w:vAlign w:val="center"/>
                </w:tcPr>
                <w:p w14:paraId="39B44E07">
                  <w:pPr>
                    <w:pStyle w:val="46"/>
                    <w:keepNext w:val="0"/>
                    <w:keepLines w:val="0"/>
                    <w:suppressLineNumbers w:val="0"/>
                    <w:spacing w:before="0" w:beforeAutospacing="0" w:after="0" w:afterAutospacing="0"/>
                    <w:rPr>
                      <w:rFonts w:hint="default"/>
                      <w:b/>
                      <w:bCs/>
                      <w:color w:val="000000" w:themeColor="text1"/>
                      <w14:textFill>
                        <w14:solidFill>
                          <w14:schemeClr w14:val="tx1"/>
                        </w14:solidFill>
                      </w14:textFill>
                    </w:rPr>
                  </w:pPr>
                </w:p>
              </w:tc>
              <w:tc>
                <w:tcPr>
                  <w:tcW w:w="759" w:type="pct"/>
                  <w:vMerge w:val="continue"/>
                  <w:noWrap/>
                  <w:vAlign w:val="center"/>
                </w:tcPr>
                <w:p w14:paraId="7E9F36CF">
                  <w:pPr>
                    <w:pStyle w:val="46"/>
                    <w:keepNext w:val="0"/>
                    <w:keepLines w:val="0"/>
                    <w:suppressLineNumbers w:val="0"/>
                    <w:spacing w:before="0" w:beforeAutospacing="0" w:after="0" w:afterAutospacing="0"/>
                    <w:rPr>
                      <w:rFonts w:hint="default"/>
                      <w:b/>
                      <w:bCs/>
                      <w:color w:val="000000" w:themeColor="text1"/>
                      <w14:textFill>
                        <w14:solidFill>
                          <w14:schemeClr w14:val="tx1"/>
                        </w14:solidFill>
                      </w14:textFill>
                    </w:rPr>
                  </w:pPr>
                </w:p>
              </w:tc>
              <w:tc>
                <w:tcPr>
                  <w:tcW w:w="803" w:type="pct"/>
                  <w:noWrap/>
                  <w:vAlign w:val="center"/>
                </w:tcPr>
                <w:p w14:paraId="0453FAE9">
                  <w:pPr>
                    <w:pStyle w:val="46"/>
                    <w:keepNext w:val="0"/>
                    <w:keepLines w:val="0"/>
                    <w:suppressLineNumbers w:val="0"/>
                    <w:spacing w:before="0" w:beforeAutospacing="0" w:after="0" w:afterAutospacing="0"/>
                    <w:rPr>
                      <w:b/>
                      <w:bCs/>
                      <w:color w:val="000000" w:themeColor="text1"/>
                      <w14:textFill>
                        <w14:solidFill>
                          <w14:schemeClr w14:val="tx1"/>
                        </w14:solidFill>
                      </w14:textFill>
                    </w:rPr>
                  </w:pPr>
                  <w:r>
                    <w:rPr>
                      <w:b/>
                      <w:bCs/>
                      <w:color w:val="000000" w:themeColor="text1"/>
                      <w14:textFill>
                        <w14:solidFill>
                          <w14:schemeClr w14:val="tx1"/>
                        </w14:solidFill>
                      </w14:textFill>
                    </w:rPr>
                    <w:t>排放速率kg/h</w:t>
                  </w:r>
                </w:p>
              </w:tc>
              <w:tc>
                <w:tcPr>
                  <w:tcW w:w="556" w:type="pct"/>
                  <w:noWrap/>
                  <w:vAlign w:val="center"/>
                </w:tcPr>
                <w:p w14:paraId="0AE8BFA1">
                  <w:pPr>
                    <w:pStyle w:val="46"/>
                    <w:keepNext w:val="0"/>
                    <w:keepLines w:val="0"/>
                    <w:suppressLineNumbers w:val="0"/>
                    <w:spacing w:before="0" w:beforeAutospacing="0" w:after="0" w:afterAutospacing="0"/>
                    <w:rPr>
                      <w:b/>
                      <w:bCs/>
                      <w:color w:val="000000" w:themeColor="text1"/>
                      <w14:textFill>
                        <w14:solidFill>
                          <w14:schemeClr w14:val="tx1"/>
                        </w14:solidFill>
                      </w14:textFill>
                    </w:rPr>
                  </w:pPr>
                  <w:r>
                    <w:rPr>
                      <w:b/>
                      <w:bCs/>
                      <w:color w:val="000000" w:themeColor="text1"/>
                      <w14:textFill>
                        <w14:solidFill>
                          <w14:schemeClr w14:val="tx1"/>
                        </w14:solidFill>
                      </w14:textFill>
                    </w:rPr>
                    <w:t>排放标准mg/m³</w:t>
                  </w:r>
                </w:p>
              </w:tc>
              <w:tc>
                <w:tcPr>
                  <w:tcW w:w="960" w:type="pct"/>
                  <w:noWrap/>
                  <w:vAlign w:val="center"/>
                </w:tcPr>
                <w:p w14:paraId="76013CEC">
                  <w:pPr>
                    <w:pStyle w:val="46"/>
                    <w:keepNext w:val="0"/>
                    <w:keepLines w:val="0"/>
                    <w:suppressLineNumbers w:val="0"/>
                    <w:spacing w:before="0" w:beforeAutospacing="0" w:after="0" w:afterAutospacing="0"/>
                    <w:rPr>
                      <w:rFonts w:hint="eastAsia" w:eastAsia="宋体"/>
                      <w:b/>
                      <w:bCs/>
                      <w:color w:val="000000" w:themeColor="text1"/>
                      <w:lang w:eastAsia="zh-CN"/>
                      <w14:textFill>
                        <w14:solidFill>
                          <w14:schemeClr w14:val="tx1"/>
                        </w14:solidFill>
                      </w14:textFill>
                    </w:rPr>
                  </w:pPr>
                  <w:r>
                    <w:rPr>
                      <w:b/>
                      <w:bCs/>
                      <w:color w:val="000000" w:themeColor="text1"/>
                      <w14:textFill>
                        <w14:solidFill>
                          <w14:schemeClr w14:val="tx1"/>
                        </w14:solidFill>
                      </w14:textFill>
                    </w:rPr>
                    <w:t>排放量/</w:t>
                  </w:r>
                  <w:r>
                    <w:rPr>
                      <w:rFonts w:hint="eastAsia"/>
                      <w:b/>
                      <w:bCs/>
                      <w:color w:val="000000" w:themeColor="text1"/>
                      <w:lang w:val="en-US" w:eastAsia="zh-CN"/>
                      <w14:textFill>
                        <w14:solidFill>
                          <w14:schemeClr w14:val="tx1"/>
                        </w14:solidFill>
                      </w14:textFill>
                    </w:rPr>
                    <w:t>kg</w:t>
                  </w:r>
                </w:p>
              </w:tc>
            </w:tr>
            <w:tr w14:paraId="6AA1A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155" w:hRule="atLeast"/>
                <w:jc w:val="center"/>
              </w:trPr>
              <w:tc>
                <w:tcPr>
                  <w:tcW w:w="373" w:type="pct"/>
                  <w:noWrap/>
                  <w:vAlign w:val="center"/>
                </w:tcPr>
                <w:p w14:paraId="3A8AB278">
                  <w:pPr>
                    <w:pStyle w:val="46"/>
                    <w:keepNext w:val="0"/>
                    <w:keepLines w:val="0"/>
                    <w:suppressLineNumbers w:val="0"/>
                    <w:spacing w:before="0" w:beforeAutospacing="0" w:after="0" w:afterAutospacing="0"/>
                    <w:rPr>
                      <w:rFonts w:hint="default"/>
                      <w:color w:val="000000" w:themeColor="text1"/>
                      <w14:textFill>
                        <w14:solidFill>
                          <w14:schemeClr w14:val="tx1"/>
                        </w14:solidFill>
                      </w14:textFill>
                    </w:rPr>
                  </w:pPr>
                  <w:r>
                    <w:rPr>
                      <w:color w:val="000000" w:themeColor="text1"/>
                      <w14:textFill>
                        <w14:solidFill>
                          <w14:schemeClr w14:val="tx1"/>
                        </w14:solidFill>
                      </w14:textFill>
                    </w:rPr>
                    <w:t>废气处理装置故障</w:t>
                  </w:r>
                </w:p>
              </w:tc>
              <w:tc>
                <w:tcPr>
                  <w:tcW w:w="518" w:type="pct"/>
                  <w:noWrap/>
                  <w:vAlign w:val="center"/>
                </w:tcPr>
                <w:p w14:paraId="78DB7027">
                  <w:pPr>
                    <w:pStyle w:val="46"/>
                    <w:keepNext w:val="0"/>
                    <w:keepLines w:val="0"/>
                    <w:suppressLineNumbers w:val="0"/>
                    <w:spacing w:before="0" w:beforeAutospacing="0" w:after="0" w:afterAutospacing="0"/>
                    <w:rPr>
                      <w:rFonts w:hint="default"/>
                      <w:color w:val="000000" w:themeColor="text1"/>
                      <w14:textFill>
                        <w14:solidFill>
                          <w14:schemeClr w14:val="tx1"/>
                        </w14:solidFill>
                      </w14:textFill>
                    </w:rPr>
                  </w:pPr>
                  <w:r>
                    <w:rPr>
                      <w:color w:val="000000" w:themeColor="text1"/>
                      <w14:textFill>
                        <w14:solidFill>
                          <w14:schemeClr w14:val="tx1"/>
                        </w14:solidFill>
                      </w14:textFill>
                    </w:rPr>
                    <w:t>30</w:t>
                  </w:r>
                </w:p>
              </w:tc>
              <w:tc>
                <w:tcPr>
                  <w:tcW w:w="614" w:type="pct"/>
                  <w:noWrap/>
                  <w:vAlign w:val="center"/>
                </w:tcPr>
                <w:p w14:paraId="2BF4851C">
                  <w:pPr>
                    <w:pStyle w:val="46"/>
                    <w:keepNext w:val="0"/>
                    <w:keepLines w:val="0"/>
                    <w:suppressLineNumbers w:val="0"/>
                    <w:spacing w:before="0" w:beforeAutospacing="0" w:after="0" w:afterAutospacing="0"/>
                    <w:rPr>
                      <w:rFonts w:hint="default"/>
                      <w:color w:val="000000" w:themeColor="text1"/>
                      <w14:textFill>
                        <w14:solidFill>
                          <w14:schemeClr w14:val="tx1"/>
                        </w14:solidFill>
                      </w14:textFill>
                    </w:rPr>
                  </w:pPr>
                  <w:r>
                    <w:rPr>
                      <w:color w:val="000000" w:themeColor="text1"/>
                      <w14:textFill>
                        <w14:solidFill>
                          <w14:schemeClr w14:val="tx1"/>
                        </w14:solidFill>
                      </w14:textFill>
                    </w:rPr>
                    <w:t>50%</w:t>
                  </w:r>
                </w:p>
              </w:tc>
              <w:tc>
                <w:tcPr>
                  <w:tcW w:w="413" w:type="pct"/>
                  <w:noWrap/>
                  <w:vAlign w:val="center"/>
                </w:tcPr>
                <w:p w14:paraId="1733BA56">
                  <w:pPr>
                    <w:pStyle w:val="46"/>
                    <w:keepNext w:val="0"/>
                    <w:keepLines w:val="0"/>
                    <w:suppressLineNumbers w:val="0"/>
                    <w:spacing w:before="0" w:beforeAutospacing="0" w:after="0" w:afterAutospacing="0"/>
                    <w:rPr>
                      <w:rFonts w:hint="default"/>
                      <w:color w:val="000000" w:themeColor="text1"/>
                      <w:lang w:val="en-US"/>
                      <w14:textFill>
                        <w14:solidFill>
                          <w14:schemeClr w14:val="tx1"/>
                        </w14:solidFill>
                      </w14:textFill>
                    </w:rPr>
                  </w:pPr>
                  <w:r>
                    <w:rPr>
                      <w:rFonts w:hint="eastAsia"/>
                      <w:color w:val="000000" w:themeColor="text1"/>
                      <w:lang w:val="en-US" w:eastAsia="zh-CN"/>
                      <w14:textFill>
                        <w14:solidFill>
                          <w14:schemeClr w14:val="tx1"/>
                        </w14:solidFill>
                      </w14:textFill>
                    </w:rPr>
                    <w:t>21000</w:t>
                  </w:r>
                </w:p>
              </w:tc>
              <w:tc>
                <w:tcPr>
                  <w:tcW w:w="759" w:type="pct"/>
                  <w:noWrap/>
                  <w:vAlign w:val="center"/>
                </w:tcPr>
                <w:p w14:paraId="5951ED98">
                  <w:pPr>
                    <w:pStyle w:val="61"/>
                    <w:keepNext w:val="0"/>
                    <w:keepLines w:val="0"/>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颗粒物</w:t>
                  </w:r>
                </w:p>
              </w:tc>
              <w:tc>
                <w:tcPr>
                  <w:tcW w:w="803" w:type="pct"/>
                  <w:noWrap/>
                  <w:vAlign w:val="center"/>
                </w:tcPr>
                <w:p w14:paraId="77CC0EEC">
                  <w:pPr>
                    <w:pStyle w:val="61"/>
                    <w:keepNext w:val="0"/>
                    <w:keepLines w:val="0"/>
                    <w:suppressLineNumbers w:val="0"/>
                    <w:bidi w:val="0"/>
                    <w:spacing w:before="0" w:beforeAutospacing="0" w:after="0" w:afterAutospacing="0"/>
                    <w:ind w:left="0" w:right="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0.077</w:t>
                  </w:r>
                </w:p>
              </w:tc>
              <w:tc>
                <w:tcPr>
                  <w:tcW w:w="556" w:type="pct"/>
                  <w:noWrap/>
                  <w:vAlign w:val="center"/>
                </w:tcPr>
                <w:p w14:paraId="6DE7BF4F">
                  <w:pPr>
                    <w:pStyle w:val="61"/>
                    <w:keepNext w:val="0"/>
                    <w:keepLines w:val="0"/>
                    <w:suppressLineNumbers w:val="0"/>
                    <w:bidi w:val="0"/>
                    <w:spacing w:before="0" w:beforeAutospacing="0" w:after="0" w:afterAutospacing="0"/>
                    <w:ind w:left="0" w:right="0"/>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1.0</w:t>
                  </w:r>
                </w:p>
              </w:tc>
              <w:tc>
                <w:tcPr>
                  <w:tcW w:w="960" w:type="pct"/>
                  <w:noWrap/>
                  <w:vAlign w:val="center"/>
                </w:tcPr>
                <w:p w14:paraId="1F9DED62">
                  <w:pPr>
                    <w:pStyle w:val="61"/>
                    <w:keepNext w:val="0"/>
                    <w:keepLines w:val="0"/>
                    <w:suppressLineNumbers w:val="0"/>
                    <w:bidi w:val="0"/>
                    <w:spacing w:before="0" w:beforeAutospacing="0" w:after="0" w:afterAutospacing="0"/>
                    <w:ind w:left="0" w:right="0"/>
                    <w:rPr>
                      <w:rFonts w:hint="default"/>
                      <w:color w:val="000000" w:themeColor="text1"/>
                      <w:lang w:val="en-US"/>
                      <w14:textFill>
                        <w14:solidFill>
                          <w14:schemeClr w14:val="tx1"/>
                        </w14:solidFill>
                      </w14:textFill>
                    </w:rPr>
                  </w:pPr>
                  <w:r>
                    <w:rPr>
                      <w:rFonts w:hint="eastAsia"/>
                      <w:color w:val="000000" w:themeColor="text1"/>
                      <w:lang w:val="en-US" w:eastAsia="zh-CN"/>
                      <w14:textFill>
                        <w14:solidFill>
                          <w14:schemeClr w14:val="tx1"/>
                        </w14:solidFill>
                      </w14:textFill>
                    </w:rPr>
                    <w:t>2.295</w:t>
                  </w:r>
                </w:p>
              </w:tc>
            </w:tr>
          </w:tbl>
          <w:p w14:paraId="6D0C9463">
            <w:pPr>
              <w:keepNext w:val="0"/>
              <w:keepLines w:val="0"/>
              <w:suppressLineNumbers w:val="0"/>
              <w:spacing w:before="0" w:beforeAutospacing="0" w:after="0" w:afterAutospacing="0"/>
              <w:ind w:left="0" w:right="0" w:firstLine="48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（2）非正常工况防范措施</w:t>
            </w:r>
          </w:p>
          <w:p w14:paraId="108E7AE6">
            <w:pPr>
              <w:keepNext w:val="0"/>
              <w:keepLines w:val="0"/>
              <w:suppressLineNumbers w:val="0"/>
              <w:spacing w:before="0" w:beforeAutospacing="0" w:after="0" w:afterAutospacing="0"/>
              <w:ind w:left="0" w:right="0" w:firstLine="48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为确保项目废气处理装置正常运行，建设方在日常运行过程中，拟采取如下措施：</w:t>
            </w:r>
          </w:p>
          <w:p w14:paraId="1C7B3A32">
            <w:pPr>
              <w:keepNext w:val="0"/>
              <w:keepLines w:val="0"/>
              <w:suppressLineNumbers w:val="0"/>
              <w:spacing w:before="0" w:beforeAutospacing="0" w:after="0" w:afterAutospacing="0"/>
              <w:ind w:left="0" w:right="0" w:firstLine="48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①由公司委派专人负责每日巡检废气收集及处理装置，做好巡检记录。</w:t>
            </w:r>
          </w:p>
          <w:p w14:paraId="05CE139D">
            <w:pPr>
              <w:keepNext w:val="0"/>
              <w:keepLines w:val="0"/>
              <w:suppressLineNumbers w:val="0"/>
              <w:spacing w:before="0" w:beforeAutospacing="0" w:after="0" w:afterAutospacing="0"/>
              <w:ind w:left="0" w:right="0" w:firstLine="48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②当发现废气收集及处理设施故障并导致废气非正常排放时，应立即停止废气产生工序，待废气处理装置故障排除后并可正常运行时方可恢复相关生产。</w:t>
            </w:r>
          </w:p>
          <w:p w14:paraId="39532F12">
            <w:pPr>
              <w:keepNext w:val="0"/>
              <w:keepLines w:val="0"/>
              <w:suppressLineNumbers w:val="0"/>
              <w:spacing w:before="0" w:beforeAutospacing="0" w:after="0" w:afterAutospacing="0"/>
              <w:ind w:left="0" w:right="0" w:firstLine="48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③定期对废气处理装置进行维护保养，以减少废气的非正常排放。</w:t>
            </w:r>
          </w:p>
          <w:p w14:paraId="457FAD7D">
            <w:pPr>
              <w:keepNext w:val="0"/>
              <w:keepLines w:val="0"/>
              <w:suppressLineNumbers w:val="0"/>
              <w:spacing w:before="0" w:beforeAutospacing="0" w:after="0" w:afterAutospacing="0"/>
              <w:ind w:left="0" w:right="0" w:firstLine="48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④建立废气处理装置运行管理台账，由专人负责记录。</w:t>
            </w:r>
          </w:p>
          <w:p w14:paraId="17E3C89F">
            <w:pPr>
              <w:keepNext w:val="0"/>
              <w:keepLines w:val="0"/>
              <w:suppressLineNumbers w:val="0"/>
              <w:spacing w:before="0" w:beforeAutospacing="0" w:after="0" w:afterAutospacing="0"/>
              <w:ind w:left="0" w:right="0" w:firstLine="482"/>
              <w:rPr>
                <w:rFonts w:hint="default"/>
                <w:b/>
                <w:bCs/>
                <w:color w:val="000000" w:themeColor="text1"/>
                <w14:textFill>
                  <w14:solidFill>
                    <w14:schemeClr w14:val="tx1"/>
                  </w14:solidFill>
                </w14:textFill>
              </w:rPr>
            </w:pPr>
            <w:r>
              <w:rPr>
                <w:rFonts w:hint="eastAsia"/>
                <w:b/>
                <w:bCs/>
                <w:color w:val="000000" w:themeColor="text1"/>
                <w:lang w:val="en-US" w:eastAsia="zh-CN"/>
                <w14:textFill>
                  <w14:solidFill>
                    <w14:schemeClr w14:val="tx1"/>
                  </w14:solidFill>
                </w14:textFill>
              </w:rPr>
              <w:t>4</w:t>
            </w:r>
            <w:r>
              <w:rPr>
                <w:rFonts w:hint="eastAsia"/>
                <w:b/>
                <w:bCs/>
                <w:color w:val="000000" w:themeColor="text1"/>
                <w14:textFill>
                  <w14:solidFill>
                    <w14:schemeClr w14:val="tx1"/>
                  </w14:solidFill>
                </w14:textFill>
              </w:rPr>
              <w:t>、</w:t>
            </w:r>
            <w:r>
              <w:rPr>
                <w:rFonts w:hint="default"/>
                <w:b/>
                <w:bCs/>
                <w:color w:val="000000" w:themeColor="text1"/>
                <w14:textFill>
                  <w14:solidFill>
                    <w14:schemeClr w14:val="tx1"/>
                  </w14:solidFill>
                </w14:textFill>
              </w:rPr>
              <w:t>大气环境影响分析结论</w:t>
            </w:r>
          </w:p>
          <w:p w14:paraId="5A24B474">
            <w:pPr>
              <w:keepNext w:val="0"/>
              <w:keepLines w:val="0"/>
              <w:suppressLineNumbers w:val="0"/>
              <w:spacing w:before="0" w:beforeAutospacing="0" w:after="0" w:afterAutospacing="0"/>
              <w:ind w:left="0" w:right="0" w:firstLine="480"/>
              <w:rPr>
                <w:rFonts w:hint="default" w:eastAsia="宋体"/>
                <w:color w:val="000000" w:themeColor="text1"/>
                <w:lang w:val="en-US" w:eastAsia="zh-CN"/>
                <w14:textFill>
                  <w14:solidFill>
                    <w14:schemeClr w14:val="tx1"/>
                  </w14:solidFill>
                </w14:textFill>
              </w:rPr>
            </w:pPr>
            <w:r>
              <w:rPr>
                <w:rFonts w:hint="eastAsia"/>
                <w:color w:val="000000" w:themeColor="text1"/>
                <w14:textFill>
                  <w14:solidFill>
                    <w14:schemeClr w14:val="tx1"/>
                  </w14:solidFill>
                </w14:textFill>
              </w:rPr>
              <w:t>根据大气环境现状分析，项目所在区域各基本污染物（除</w:t>
            </w:r>
            <w:r>
              <w:rPr>
                <w:rFonts w:hint="default"/>
                <w:color w:val="000000" w:themeColor="text1"/>
                <w14:textFill>
                  <w14:solidFill>
                    <w14:schemeClr w14:val="tx1"/>
                  </w14:solidFill>
                </w14:textFill>
              </w:rPr>
              <w:t>PM</w:t>
            </w:r>
            <w:r>
              <w:rPr>
                <w:rFonts w:hint="default"/>
                <w:color w:val="000000" w:themeColor="text1"/>
                <w:vertAlign w:val="subscript"/>
                <w14:textFill>
                  <w14:solidFill>
                    <w14:schemeClr w14:val="tx1"/>
                  </w14:solidFill>
                </w14:textFill>
              </w:rPr>
              <w:t>2.5</w:t>
            </w:r>
            <w:r>
              <w:rPr>
                <w:rFonts w:hint="eastAsia"/>
                <w:color w:val="000000" w:themeColor="text1"/>
                <w14:textFill>
                  <w14:solidFill>
                    <w14:schemeClr w14:val="tx1"/>
                  </w14:solidFill>
                </w14:textFill>
              </w:rPr>
              <w:t>）质量浓度均满足《环境空气质量标准》（GB3095-2012）中的二级标准要求，项目地所在区域为环境空气质量不达标区</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根据引用监测报告，</w:t>
            </w:r>
            <w:r>
              <w:rPr>
                <w:rFonts w:hint="default"/>
                <w:color w:val="auto"/>
              </w:rPr>
              <w:t>TSP满足《环境空气质量标准》（GB3095-20</w:t>
            </w:r>
            <w:r>
              <w:rPr>
                <w:rFonts w:hint="eastAsia"/>
                <w:color w:val="auto"/>
                <w:lang w:val="en-US" w:eastAsia="zh-CN"/>
              </w:rPr>
              <w:t>26</w:t>
            </w:r>
            <w:r>
              <w:rPr>
                <w:rFonts w:hint="default"/>
                <w:color w:val="auto"/>
              </w:rPr>
              <w:t>）中二级标准</w:t>
            </w:r>
          </w:p>
          <w:p w14:paraId="1ABD588B">
            <w:pPr>
              <w:keepNext w:val="0"/>
              <w:keepLines w:val="0"/>
              <w:suppressLineNumbers w:val="0"/>
              <w:bidi w:val="0"/>
              <w:spacing w:before="0" w:beforeAutospacing="0" w:after="0" w:afterAutospacing="0"/>
              <w:ind w:left="0" w:right="0"/>
              <w:rPr>
                <w:rFonts w:hint="eastAsia"/>
                <w:color w:val="0000FF"/>
              </w:rPr>
            </w:pPr>
            <w:r>
              <w:rPr>
                <w:rFonts w:hint="eastAsia"/>
                <w:color w:val="0000FF"/>
                <w:lang w:val="en-US" w:eastAsia="zh-CN"/>
              </w:rPr>
              <w:t>经核算，项目颗粒物可以满足《</w:t>
            </w:r>
            <w:r>
              <w:rPr>
                <w:rFonts w:hint="default"/>
                <w:color w:val="0000FF"/>
              </w:rPr>
              <w:t>大气污染物综合排放标准》（GB16297-1996）表2中二级排放标准</w:t>
            </w:r>
            <w:r>
              <w:rPr>
                <w:rFonts w:hint="eastAsia"/>
                <w:color w:val="0000FF"/>
                <w:lang w:eastAsia="zh-CN"/>
              </w:rPr>
              <w:t>，</w:t>
            </w:r>
            <w:r>
              <w:rPr>
                <w:rFonts w:hint="eastAsia"/>
                <w:color w:val="0000FF"/>
                <w:lang w:val="en-US" w:eastAsia="zh-CN"/>
              </w:rPr>
              <w:t>无组织臭气浓度满足</w:t>
            </w:r>
            <w:r>
              <w:rPr>
                <w:rFonts w:hint="eastAsia"/>
                <w:color w:val="0000FF"/>
              </w:rPr>
              <w:t>《恶臭污染物排放标准》</w:t>
            </w:r>
            <w:r>
              <w:rPr>
                <w:rFonts w:hint="default"/>
                <w:color w:val="0000FF"/>
              </w:rPr>
              <w:t>GB14554-93</w:t>
            </w:r>
            <w:r>
              <w:rPr>
                <w:rFonts w:hint="eastAsia"/>
                <w:color w:val="0000FF"/>
              </w:rPr>
              <w:t>中表 1二级新扩改建限值要求。</w:t>
            </w:r>
          </w:p>
          <w:p w14:paraId="4E2677B3">
            <w:pPr>
              <w:keepNext w:val="0"/>
              <w:keepLines w:val="0"/>
              <w:suppressLineNumbers w:val="0"/>
              <w:spacing w:before="0" w:beforeAutospacing="0" w:after="0" w:afterAutospacing="0"/>
              <w:ind w:left="0" w:right="0" w:firstLine="480"/>
              <w:rPr>
                <w:rFonts w:hint="eastAsia"/>
                <w:color w:val="0000FF"/>
                <w:lang w:val="en-US" w:eastAsia="zh-CN"/>
              </w:rPr>
            </w:pPr>
            <w:r>
              <w:rPr>
                <w:rFonts w:hint="default"/>
                <w:color w:val="0000FF"/>
              </w:rPr>
              <w:t>综上分析，本项目运营期废气排放对区域环境空气质量以及周边敏感点的影响不大。</w:t>
            </w:r>
          </w:p>
          <w:p w14:paraId="3EC47EEC">
            <w:pPr>
              <w:keepNext w:val="0"/>
              <w:keepLines w:val="0"/>
              <w:suppressLineNumbers w:val="0"/>
              <w:bidi w:val="0"/>
              <w:spacing w:before="0" w:beforeAutospacing="0" w:after="0" w:afterAutospacing="0"/>
              <w:ind w:left="0" w:right="0"/>
              <w:rPr>
                <w:rFonts w:hint="default"/>
                <w:b/>
                <w:bCs/>
              </w:rPr>
            </w:pPr>
            <w:r>
              <w:rPr>
                <w:rFonts w:hint="eastAsia"/>
                <w:b/>
                <w:bCs/>
              </w:rPr>
              <w:t>二、废水</w:t>
            </w:r>
          </w:p>
          <w:p w14:paraId="706E83B6">
            <w:pPr>
              <w:keepNext w:val="0"/>
              <w:keepLines w:val="0"/>
              <w:suppressLineNumbers w:val="0"/>
              <w:spacing w:before="0" w:beforeAutospacing="0" w:after="0" w:afterAutospacing="0"/>
              <w:ind w:left="0" w:right="0" w:firstLine="482"/>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1、废水污染源强</w:t>
            </w:r>
          </w:p>
          <w:p w14:paraId="1E6B8BDF">
            <w:pPr>
              <w:keepNext w:val="0"/>
              <w:keepLines w:val="0"/>
              <w:suppressLineNumbers w:val="0"/>
              <w:spacing w:before="0" w:beforeAutospacing="0" w:after="0" w:afterAutospacing="0"/>
              <w:ind w:left="0" w:right="0" w:firstLine="48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本项目废水主要为生活污水、破碎废水。</w:t>
            </w:r>
          </w:p>
          <w:p w14:paraId="562C7262">
            <w:pPr>
              <w:pStyle w:val="43"/>
              <w:keepNext w:val="0"/>
              <w:keepLines w:val="0"/>
              <w:suppressLineNumbers w:val="0"/>
              <w:spacing w:before="0" w:beforeAutospacing="0" w:after="0" w:afterAutospacing="0"/>
              <w:ind w:left="0" w:right="0"/>
              <w:rPr>
                <w:rFonts w:hint="default"/>
                <w:color w:val="000000" w:themeColor="text1"/>
                <w14:textFill>
                  <w14:solidFill>
                    <w14:schemeClr w14:val="tx1"/>
                  </w14:solidFill>
                </w14:textFill>
              </w:rPr>
            </w:pPr>
            <w:r>
              <w:rPr>
                <w:color w:val="000000" w:themeColor="text1"/>
                <w14:textFill>
                  <w14:solidFill>
                    <w14:schemeClr w14:val="tx1"/>
                  </w14:solidFill>
                </w14:textFill>
              </w:rPr>
              <w:t>表4-</w:t>
            </w:r>
            <w:r>
              <w:rPr>
                <w:rFonts w:hint="eastAsia"/>
                <w:color w:val="000000" w:themeColor="text1"/>
                <w:lang w:val="en-US" w:eastAsia="zh-CN"/>
                <w14:textFill>
                  <w14:solidFill>
                    <w14:schemeClr w14:val="tx1"/>
                  </w14:solidFill>
                </w14:textFill>
              </w:rPr>
              <w:t xml:space="preserve">9  </w:t>
            </w:r>
            <w:r>
              <w:rPr>
                <w:color w:val="000000" w:themeColor="text1"/>
                <w14:textFill>
                  <w14:solidFill>
                    <w14:schemeClr w14:val="tx1"/>
                  </w14:solidFill>
                </w14:textFill>
              </w:rPr>
              <w:t>项目废水污染物产生与排放情况</w:t>
            </w:r>
          </w:p>
          <w:tbl>
            <w:tblPr>
              <w:tblStyle w:val="19"/>
              <w:tblW w:w="87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99"/>
              <w:gridCol w:w="663"/>
              <w:gridCol w:w="565"/>
              <w:gridCol w:w="858"/>
              <w:gridCol w:w="926"/>
              <w:gridCol w:w="859"/>
              <w:gridCol w:w="748"/>
              <w:gridCol w:w="732"/>
              <w:gridCol w:w="1017"/>
              <w:gridCol w:w="986"/>
              <w:gridCol w:w="921"/>
            </w:tblGrid>
            <w:tr w14:paraId="29B70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499" w:type="dxa"/>
                  <w:vMerge w:val="restart"/>
                  <w:noWrap/>
                  <w:vAlign w:val="center"/>
                </w:tcPr>
                <w:p w14:paraId="48D2F9B9">
                  <w:pPr>
                    <w:pStyle w:val="40"/>
                    <w:keepNext w:val="0"/>
                    <w:keepLines w:val="0"/>
                    <w:suppressLineNumbers w:val="0"/>
                    <w:spacing w:before="33" w:beforeAutospacing="0" w:after="33" w:afterAutospacing="0"/>
                    <w:jc w:val="center"/>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时期</w:t>
                  </w:r>
                </w:p>
              </w:tc>
              <w:tc>
                <w:tcPr>
                  <w:tcW w:w="663" w:type="dxa"/>
                  <w:vMerge w:val="restart"/>
                  <w:noWrap/>
                  <w:vAlign w:val="center"/>
                </w:tcPr>
                <w:p w14:paraId="344BC5F4">
                  <w:pPr>
                    <w:pStyle w:val="40"/>
                    <w:keepNext w:val="0"/>
                    <w:keepLines w:val="0"/>
                    <w:suppressLineNumbers w:val="0"/>
                    <w:spacing w:before="33" w:beforeAutospacing="0" w:after="33" w:afterAutospacing="0"/>
                    <w:jc w:val="center"/>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污染源</w:t>
                  </w:r>
                </w:p>
              </w:tc>
              <w:tc>
                <w:tcPr>
                  <w:tcW w:w="565" w:type="dxa"/>
                  <w:vMerge w:val="restart"/>
                  <w:noWrap/>
                  <w:vAlign w:val="center"/>
                </w:tcPr>
                <w:p w14:paraId="64FC8032">
                  <w:pPr>
                    <w:pStyle w:val="40"/>
                    <w:keepNext w:val="0"/>
                    <w:keepLines w:val="0"/>
                    <w:suppressLineNumbers w:val="0"/>
                    <w:spacing w:before="33" w:beforeAutospacing="0" w:after="33" w:afterAutospacing="0"/>
                    <w:jc w:val="center"/>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废水量t/a</w:t>
                  </w:r>
                </w:p>
              </w:tc>
              <w:tc>
                <w:tcPr>
                  <w:tcW w:w="858" w:type="dxa"/>
                  <w:vMerge w:val="restart"/>
                  <w:noWrap/>
                  <w:vAlign w:val="center"/>
                </w:tcPr>
                <w:p w14:paraId="1BC8F05C">
                  <w:pPr>
                    <w:pStyle w:val="40"/>
                    <w:keepNext w:val="0"/>
                    <w:keepLines w:val="0"/>
                    <w:suppressLineNumbers w:val="0"/>
                    <w:spacing w:before="33" w:beforeAutospacing="0" w:after="33" w:afterAutospacing="0"/>
                    <w:jc w:val="center"/>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污染物</w:t>
                  </w:r>
                </w:p>
              </w:tc>
              <w:tc>
                <w:tcPr>
                  <w:tcW w:w="1785" w:type="dxa"/>
                  <w:gridSpan w:val="2"/>
                  <w:noWrap/>
                  <w:vAlign w:val="center"/>
                </w:tcPr>
                <w:p w14:paraId="6234691D">
                  <w:pPr>
                    <w:pStyle w:val="40"/>
                    <w:keepNext w:val="0"/>
                    <w:keepLines w:val="0"/>
                    <w:suppressLineNumbers w:val="0"/>
                    <w:spacing w:before="33" w:beforeAutospacing="0" w:after="33" w:afterAutospacing="0"/>
                    <w:jc w:val="center"/>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产生情况</w:t>
                  </w:r>
                </w:p>
              </w:tc>
              <w:tc>
                <w:tcPr>
                  <w:tcW w:w="748" w:type="dxa"/>
                  <w:vMerge w:val="restart"/>
                  <w:noWrap/>
                  <w:vAlign w:val="center"/>
                </w:tcPr>
                <w:p w14:paraId="2828F0D7">
                  <w:pPr>
                    <w:pStyle w:val="40"/>
                    <w:keepNext w:val="0"/>
                    <w:keepLines w:val="0"/>
                    <w:suppressLineNumbers w:val="0"/>
                    <w:spacing w:before="33" w:beforeAutospacing="0" w:after="33" w:afterAutospacing="0"/>
                    <w:jc w:val="center"/>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拟采取的处理措施</w:t>
                  </w:r>
                </w:p>
              </w:tc>
              <w:tc>
                <w:tcPr>
                  <w:tcW w:w="732" w:type="dxa"/>
                  <w:vMerge w:val="restart"/>
                  <w:noWrap/>
                  <w:vAlign w:val="center"/>
                </w:tcPr>
                <w:p w14:paraId="4645EDE7">
                  <w:pPr>
                    <w:pStyle w:val="40"/>
                    <w:keepNext w:val="0"/>
                    <w:keepLines w:val="0"/>
                    <w:suppressLineNumbers w:val="0"/>
                    <w:spacing w:before="33" w:beforeAutospacing="0" w:after="33" w:afterAutospacing="0"/>
                    <w:jc w:val="center"/>
                    <w:rPr>
                      <w:rFonts w:hint="default" w:eastAsia="宋体"/>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处理效率%</w:t>
                  </w:r>
                </w:p>
              </w:tc>
              <w:tc>
                <w:tcPr>
                  <w:tcW w:w="2003" w:type="dxa"/>
                  <w:gridSpan w:val="2"/>
                  <w:noWrap/>
                  <w:vAlign w:val="center"/>
                </w:tcPr>
                <w:p w14:paraId="11A6DBA0">
                  <w:pPr>
                    <w:pStyle w:val="40"/>
                    <w:keepNext w:val="0"/>
                    <w:keepLines w:val="0"/>
                    <w:suppressLineNumbers w:val="0"/>
                    <w:spacing w:before="33" w:beforeAutospacing="0" w:after="33" w:afterAutospacing="0"/>
                    <w:jc w:val="center"/>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排放情况</w:t>
                  </w:r>
                </w:p>
              </w:tc>
              <w:tc>
                <w:tcPr>
                  <w:tcW w:w="921" w:type="dxa"/>
                  <w:vMerge w:val="restart"/>
                  <w:noWrap/>
                  <w:vAlign w:val="center"/>
                </w:tcPr>
                <w:p w14:paraId="221CD53E">
                  <w:pPr>
                    <w:pStyle w:val="40"/>
                    <w:keepNext w:val="0"/>
                    <w:keepLines w:val="0"/>
                    <w:suppressLineNumbers w:val="0"/>
                    <w:spacing w:before="33" w:beforeAutospacing="0" w:after="33" w:afterAutospacing="0"/>
                    <w:jc w:val="center"/>
                    <w:rPr>
                      <w:rFonts w:hint="default"/>
                      <w:color w:val="000000" w:themeColor="text1"/>
                      <w14:textFill>
                        <w14:solidFill>
                          <w14:schemeClr w14:val="tx1"/>
                        </w14:solidFill>
                      </w14:textFill>
                    </w:rPr>
                  </w:pPr>
                  <w:r>
                    <w:rPr>
                      <w:rFonts w:hint="eastAsia"/>
                      <w:b/>
                      <w:bCs/>
                      <w:color w:val="000000" w:themeColor="text1"/>
                      <w14:textFill>
                        <w14:solidFill>
                          <w14:schemeClr w14:val="tx1"/>
                        </w14:solidFill>
                      </w14:textFill>
                    </w:rPr>
                    <w:t>排放方式及去向</w:t>
                  </w:r>
                </w:p>
              </w:tc>
            </w:tr>
            <w:tr w14:paraId="3D1C7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499" w:type="dxa"/>
                  <w:vMerge w:val="continue"/>
                  <w:noWrap/>
                  <w:vAlign w:val="center"/>
                </w:tcPr>
                <w:p w14:paraId="68973257">
                  <w:pPr>
                    <w:pStyle w:val="40"/>
                    <w:keepNext w:val="0"/>
                    <w:keepLines w:val="0"/>
                    <w:suppressLineNumbers w:val="0"/>
                    <w:spacing w:before="33" w:beforeAutospacing="0" w:after="33" w:afterAutospacing="0"/>
                    <w:jc w:val="center"/>
                    <w:rPr>
                      <w:rFonts w:hint="default"/>
                      <w:b/>
                      <w:bCs/>
                      <w:color w:val="000000" w:themeColor="text1"/>
                      <w14:textFill>
                        <w14:solidFill>
                          <w14:schemeClr w14:val="tx1"/>
                        </w14:solidFill>
                      </w14:textFill>
                    </w:rPr>
                  </w:pPr>
                </w:p>
              </w:tc>
              <w:tc>
                <w:tcPr>
                  <w:tcW w:w="663" w:type="dxa"/>
                  <w:vMerge w:val="continue"/>
                  <w:noWrap/>
                  <w:vAlign w:val="center"/>
                </w:tcPr>
                <w:p w14:paraId="6F739373">
                  <w:pPr>
                    <w:pStyle w:val="40"/>
                    <w:keepNext w:val="0"/>
                    <w:keepLines w:val="0"/>
                    <w:suppressLineNumbers w:val="0"/>
                    <w:spacing w:before="33" w:beforeAutospacing="0" w:after="33" w:afterAutospacing="0"/>
                    <w:jc w:val="center"/>
                    <w:rPr>
                      <w:rFonts w:hint="default"/>
                      <w:b/>
                      <w:bCs/>
                      <w:color w:val="000000" w:themeColor="text1"/>
                      <w14:textFill>
                        <w14:solidFill>
                          <w14:schemeClr w14:val="tx1"/>
                        </w14:solidFill>
                      </w14:textFill>
                    </w:rPr>
                  </w:pPr>
                </w:p>
              </w:tc>
              <w:tc>
                <w:tcPr>
                  <w:tcW w:w="565" w:type="dxa"/>
                  <w:vMerge w:val="continue"/>
                  <w:noWrap/>
                  <w:vAlign w:val="center"/>
                </w:tcPr>
                <w:p w14:paraId="5AD1394B">
                  <w:pPr>
                    <w:pStyle w:val="40"/>
                    <w:keepNext w:val="0"/>
                    <w:keepLines w:val="0"/>
                    <w:suppressLineNumbers w:val="0"/>
                    <w:spacing w:before="33" w:beforeAutospacing="0" w:after="33" w:afterAutospacing="0"/>
                    <w:jc w:val="center"/>
                    <w:rPr>
                      <w:rFonts w:hint="default"/>
                      <w:b/>
                      <w:bCs/>
                      <w:color w:val="000000" w:themeColor="text1"/>
                      <w14:textFill>
                        <w14:solidFill>
                          <w14:schemeClr w14:val="tx1"/>
                        </w14:solidFill>
                      </w14:textFill>
                    </w:rPr>
                  </w:pPr>
                </w:p>
              </w:tc>
              <w:tc>
                <w:tcPr>
                  <w:tcW w:w="858" w:type="dxa"/>
                  <w:vMerge w:val="continue"/>
                  <w:noWrap/>
                  <w:vAlign w:val="center"/>
                </w:tcPr>
                <w:p w14:paraId="3CCF2837">
                  <w:pPr>
                    <w:pStyle w:val="40"/>
                    <w:keepNext w:val="0"/>
                    <w:keepLines w:val="0"/>
                    <w:suppressLineNumbers w:val="0"/>
                    <w:spacing w:before="33" w:beforeAutospacing="0" w:after="33" w:afterAutospacing="0"/>
                    <w:jc w:val="center"/>
                    <w:rPr>
                      <w:rFonts w:hint="default"/>
                      <w:b/>
                      <w:bCs/>
                      <w:color w:val="000000" w:themeColor="text1"/>
                      <w14:textFill>
                        <w14:solidFill>
                          <w14:schemeClr w14:val="tx1"/>
                        </w14:solidFill>
                      </w14:textFill>
                    </w:rPr>
                  </w:pPr>
                </w:p>
              </w:tc>
              <w:tc>
                <w:tcPr>
                  <w:tcW w:w="926" w:type="dxa"/>
                  <w:noWrap/>
                  <w:vAlign w:val="center"/>
                </w:tcPr>
                <w:p w14:paraId="4BB3670E">
                  <w:pPr>
                    <w:pStyle w:val="40"/>
                    <w:keepNext w:val="0"/>
                    <w:keepLines w:val="0"/>
                    <w:suppressLineNumbers w:val="0"/>
                    <w:spacing w:before="33" w:beforeAutospacing="0" w:after="33" w:afterAutospacing="0"/>
                    <w:jc w:val="center"/>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浓度mg/L</w:t>
                  </w:r>
                </w:p>
              </w:tc>
              <w:tc>
                <w:tcPr>
                  <w:tcW w:w="859" w:type="dxa"/>
                  <w:noWrap/>
                  <w:vAlign w:val="center"/>
                </w:tcPr>
                <w:p w14:paraId="518B9C73">
                  <w:pPr>
                    <w:pStyle w:val="40"/>
                    <w:keepNext w:val="0"/>
                    <w:keepLines w:val="0"/>
                    <w:suppressLineNumbers w:val="0"/>
                    <w:spacing w:before="33" w:beforeAutospacing="0" w:after="33" w:afterAutospacing="0"/>
                    <w:jc w:val="center"/>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产生量t/a</w:t>
                  </w:r>
                </w:p>
              </w:tc>
              <w:tc>
                <w:tcPr>
                  <w:tcW w:w="748" w:type="dxa"/>
                  <w:vMerge w:val="continue"/>
                  <w:noWrap/>
                  <w:vAlign w:val="center"/>
                </w:tcPr>
                <w:p w14:paraId="3DFA58D5">
                  <w:pPr>
                    <w:pStyle w:val="40"/>
                    <w:keepNext w:val="0"/>
                    <w:keepLines w:val="0"/>
                    <w:suppressLineNumbers w:val="0"/>
                    <w:spacing w:before="33" w:beforeAutospacing="0" w:after="33" w:afterAutospacing="0"/>
                    <w:jc w:val="center"/>
                    <w:rPr>
                      <w:rFonts w:hint="default"/>
                      <w:b/>
                      <w:bCs/>
                      <w:color w:val="000000" w:themeColor="text1"/>
                      <w14:textFill>
                        <w14:solidFill>
                          <w14:schemeClr w14:val="tx1"/>
                        </w14:solidFill>
                      </w14:textFill>
                    </w:rPr>
                  </w:pPr>
                </w:p>
              </w:tc>
              <w:tc>
                <w:tcPr>
                  <w:tcW w:w="732" w:type="dxa"/>
                  <w:vMerge w:val="continue"/>
                  <w:noWrap/>
                  <w:vAlign w:val="center"/>
                </w:tcPr>
                <w:p w14:paraId="5280827C">
                  <w:pPr>
                    <w:pStyle w:val="40"/>
                    <w:keepNext w:val="0"/>
                    <w:keepLines w:val="0"/>
                    <w:suppressLineNumbers w:val="0"/>
                    <w:spacing w:before="33" w:beforeAutospacing="0" w:after="33" w:afterAutospacing="0"/>
                    <w:jc w:val="center"/>
                    <w:rPr>
                      <w:rFonts w:hint="default"/>
                      <w:b/>
                      <w:bCs/>
                      <w:color w:val="000000" w:themeColor="text1"/>
                      <w14:textFill>
                        <w14:solidFill>
                          <w14:schemeClr w14:val="tx1"/>
                        </w14:solidFill>
                      </w14:textFill>
                    </w:rPr>
                  </w:pPr>
                </w:p>
              </w:tc>
              <w:tc>
                <w:tcPr>
                  <w:tcW w:w="1017" w:type="dxa"/>
                  <w:noWrap/>
                  <w:vAlign w:val="center"/>
                </w:tcPr>
                <w:p w14:paraId="4456915C">
                  <w:pPr>
                    <w:pStyle w:val="40"/>
                    <w:keepNext w:val="0"/>
                    <w:keepLines w:val="0"/>
                    <w:suppressLineNumbers w:val="0"/>
                    <w:spacing w:before="33" w:beforeAutospacing="0" w:after="33" w:afterAutospacing="0"/>
                    <w:jc w:val="center"/>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浓度mg/L</w:t>
                  </w:r>
                </w:p>
              </w:tc>
              <w:tc>
                <w:tcPr>
                  <w:tcW w:w="986" w:type="dxa"/>
                  <w:noWrap/>
                  <w:vAlign w:val="center"/>
                </w:tcPr>
                <w:p w14:paraId="4154C07F">
                  <w:pPr>
                    <w:pStyle w:val="40"/>
                    <w:keepNext w:val="0"/>
                    <w:keepLines w:val="0"/>
                    <w:suppressLineNumbers w:val="0"/>
                    <w:spacing w:before="33" w:beforeAutospacing="0" w:after="33" w:afterAutospacing="0"/>
                    <w:jc w:val="center"/>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排放量t/a</w:t>
                  </w:r>
                </w:p>
              </w:tc>
              <w:tc>
                <w:tcPr>
                  <w:tcW w:w="921" w:type="dxa"/>
                  <w:vMerge w:val="continue"/>
                  <w:noWrap/>
                  <w:vAlign w:val="center"/>
                </w:tcPr>
                <w:p w14:paraId="7372A8D0">
                  <w:pPr>
                    <w:pStyle w:val="40"/>
                    <w:keepNext w:val="0"/>
                    <w:keepLines w:val="0"/>
                    <w:suppressLineNumbers w:val="0"/>
                    <w:spacing w:before="33" w:beforeAutospacing="0" w:after="33" w:afterAutospacing="0"/>
                    <w:jc w:val="center"/>
                    <w:rPr>
                      <w:rFonts w:hint="default"/>
                      <w:color w:val="000000" w:themeColor="text1"/>
                      <w14:textFill>
                        <w14:solidFill>
                          <w14:schemeClr w14:val="tx1"/>
                        </w14:solidFill>
                      </w14:textFill>
                    </w:rPr>
                  </w:pPr>
                </w:p>
              </w:tc>
            </w:tr>
            <w:tr w14:paraId="57A32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499" w:type="dxa"/>
                  <w:vMerge w:val="restart"/>
                  <w:noWrap/>
                  <w:vAlign w:val="center"/>
                </w:tcPr>
                <w:p w14:paraId="424C9B9E">
                  <w:pPr>
                    <w:pStyle w:val="40"/>
                    <w:keepNext w:val="0"/>
                    <w:keepLines w:val="0"/>
                    <w:suppressLineNumbers w:val="0"/>
                    <w:spacing w:before="33" w:beforeAutospacing="0" w:after="33" w:afterAutospacing="0"/>
                    <w:jc w:val="center"/>
                    <w:rPr>
                      <w:rFonts w:hint="default"/>
                      <w:color w:val="auto"/>
                    </w:rPr>
                  </w:pPr>
                  <w:r>
                    <w:rPr>
                      <w:rFonts w:hint="eastAsia"/>
                      <w:color w:val="auto"/>
                    </w:rPr>
                    <w:t>营运期</w:t>
                  </w:r>
                </w:p>
              </w:tc>
              <w:tc>
                <w:tcPr>
                  <w:tcW w:w="663" w:type="dxa"/>
                  <w:vMerge w:val="restart"/>
                  <w:noWrap/>
                  <w:vAlign w:val="center"/>
                </w:tcPr>
                <w:p w14:paraId="458955DD">
                  <w:pPr>
                    <w:pStyle w:val="40"/>
                    <w:keepNext w:val="0"/>
                    <w:keepLines w:val="0"/>
                    <w:suppressLineNumbers w:val="0"/>
                    <w:spacing w:before="33" w:beforeAutospacing="0" w:after="33" w:afterAutospacing="0"/>
                    <w:jc w:val="center"/>
                    <w:rPr>
                      <w:rFonts w:hint="default"/>
                      <w:color w:val="auto"/>
                    </w:rPr>
                  </w:pPr>
                  <w:r>
                    <w:rPr>
                      <w:rFonts w:hint="eastAsia"/>
                      <w:color w:val="auto"/>
                    </w:rPr>
                    <w:t>生活</w:t>
                  </w:r>
                </w:p>
                <w:p w14:paraId="23F7218A">
                  <w:pPr>
                    <w:pStyle w:val="40"/>
                    <w:keepNext w:val="0"/>
                    <w:keepLines w:val="0"/>
                    <w:suppressLineNumbers w:val="0"/>
                    <w:spacing w:before="33" w:beforeAutospacing="0" w:after="33" w:afterAutospacing="0"/>
                    <w:jc w:val="center"/>
                    <w:rPr>
                      <w:rFonts w:hint="default" w:eastAsia="宋体"/>
                      <w:color w:val="auto"/>
                      <w:lang w:val="en-US" w:eastAsia="zh-CN"/>
                    </w:rPr>
                  </w:pPr>
                  <w:r>
                    <w:rPr>
                      <w:rFonts w:hint="eastAsia"/>
                      <w:color w:val="auto"/>
                    </w:rPr>
                    <w:t>污水</w:t>
                  </w:r>
                </w:p>
              </w:tc>
              <w:tc>
                <w:tcPr>
                  <w:tcW w:w="565" w:type="dxa"/>
                  <w:vMerge w:val="restart"/>
                  <w:noWrap/>
                  <w:vAlign w:val="center"/>
                </w:tcPr>
                <w:p w14:paraId="5478E772">
                  <w:pPr>
                    <w:pStyle w:val="40"/>
                    <w:keepNext w:val="0"/>
                    <w:keepLines w:val="0"/>
                    <w:suppressLineNumbers w:val="0"/>
                    <w:spacing w:before="33" w:beforeAutospacing="0" w:after="33" w:afterAutospacing="0"/>
                    <w:jc w:val="center"/>
                    <w:rPr>
                      <w:rFonts w:hint="default" w:eastAsia="宋体"/>
                      <w:color w:val="auto"/>
                      <w:lang w:val="en-US" w:eastAsia="zh-CN"/>
                    </w:rPr>
                  </w:pPr>
                  <w:r>
                    <w:rPr>
                      <w:rFonts w:hint="eastAsia"/>
                      <w:color w:val="auto"/>
                      <w:lang w:val="en-US" w:eastAsia="zh-CN"/>
                    </w:rPr>
                    <w:t>646</w:t>
                  </w:r>
                </w:p>
              </w:tc>
              <w:tc>
                <w:tcPr>
                  <w:tcW w:w="858" w:type="dxa"/>
                  <w:noWrap/>
                  <w:vAlign w:val="center"/>
                </w:tcPr>
                <w:p w14:paraId="5B3E451D">
                  <w:pPr>
                    <w:pStyle w:val="40"/>
                    <w:keepNext w:val="0"/>
                    <w:keepLines w:val="0"/>
                    <w:suppressLineNumbers w:val="0"/>
                    <w:spacing w:before="33" w:beforeAutospacing="0" w:after="33" w:afterAutospacing="0"/>
                    <w:jc w:val="center"/>
                    <w:rPr>
                      <w:rFonts w:hint="default"/>
                      <w:color w:val="auto"/>
                    </w:rPr>
                  </w:pPr>
                  <w:r>
                    <w:rPr>
                      <w:rFonts w:hint="eastAsia"/>
                      <w:color w:val="auto"/>
                    </w:rPr>
                    <w:t>pH</w:t>
                  </w:r>
                </w:p>
              </w:tc>
              <w:tc>
                <w:tcPr>
                  <w:tcW w:w="926" w:type="dxa"/>
                  <w:noWrap/>
                  <w:vAlign w:val="center"/>
                </w:tcPr>
                <w:p w14:paraId="62619871">
                  <w:pPr>
                    <w:pStyle w:val="40"/>
                    <w:keepNext w:val="0"/>
                    <w:keepLines w:val="0"/>
                    <w:suppressLineNumbers w:val="0"/>
                    <w:spacing w:before="33" w:beforeAutospacing="0" w:after="33" w:afterAutospacing="0"/>
                    <w:jc w:val="center"/>
                    <w:rPr>
                      <w:rFonts w:hint="default"/>
                      <w:color w:val="auto"/>
                    </w:rPr>
                  </w:pPr>
                  <w:r>
                    <w:rPr>
                      <w:rFonts w:hint="eastAsia"/>
                      <w:color w:val="auto"/>
                    </w:rPr>
                    <w:t>/</w:t>
                  </w:r>
                </w:p>
              </w:tc>
              <w:tc>
                <w:tcPr>
                  <w:tcW w:w="859" w:type="dxa"/>
                  <w:noWrap/>
                  <w:vAlign w:val="center"/>
                </w:tcPr>
                <w:p w14:paraId="32EA8857">
                  <w:pPr>
                    <w:pStyle w:val="40"/>
                    <w:keepNext w:val="0"/>
                    <w:keepLines w:val="0"/>
                    <w:suppressLineNumbers w:val="0"/>
                    <w:spacing w:before="33" w:beforeAutospacing="0" w:after="33" w:afterAutospacing="0"/>
                    <w:jc w:val="center"/>
                    <w:rPr>
                      <w:rFonts w:hint="default"/>
                      <w:color w:val="auto"/>
                    </w:rPr>
                  </w:pPr>
                  <w:r>
                    <w:rPr>
                      <w:rFonts w:hint="eastAsia"/>
                      <w:color w:val="auto"/>
                    </w:rPr>
                    <w:t>/</w:t>
                  </w:r>
                </w:p>
              </w:tc>
              <w:tc>
                <w:tcPr>
                  <w:tcW w:w="748" w:type="dxa"/>
                  <w:vMerge w:val="restart"/>
                  <w:noWrap/>
                  <w:vAlign w:val="center"/>
                </w:tcPr>
                <w:p w14:paraId="1B148298">
                  <w:pPr>
                    <w:pStyle w:val="40"/>
                    <w:keepNext w:val="0"/>
                    <w:keepLines w:val="0"/>
                    <w:suppressLineNumbers w:val="0"/>
                    <w:spacing w:before="33" w:beforeAutospacing="0" w:after="33" w:afterAutospacing="0"/>
                    <w:jc w:val="center"/>
                    <w:rPr>
                      <w:rFonts w:hint="default"/>
                      <w:color w:val="auto"/>
                    </w:rPr>
                  </w:pPr>
                  <w:r>
                    <w:rPr>
                      <w:rFonts w:hint="eastAsia"/>
                      <w:color w:val="auto"/>
                    </w:rPr>
                    <w:t>化粪池预处理</w:t>
                  </w:r>
                </w:p>
              </w:tc>
              <w:tc>
                <w:tcPr>
                  <w:tcW w:w="732" w:type="dxa"/>
                  <w:noWrap/>
                  <w:vAlign w:val="center"/>
                </w:tcPr>
                <w:p w14:paraId="7B571B01">
                  <w:pPr>
                    <w:pStyle w:val="40"/>
                    <w:keepNext w:val="0"/>
                    <w:keepLines w:val="0"/>
                    <w:suppressLineNumbers w:val="0"/>
                    <w:spacing w:before="33" w:beforeAutospacing="0" w:after="33" w:afterAutospacing="0"/>
                    <w:jc w:val="center"/>
                    <w:rPr>
                      <w:rFonts w:hint="eastAsia" w:eastAsia="宋体"/>
                      <w:color w:val="auto"/>
                      <w:lang w:val="en-US" w:eastAsia="zh-CN"/>
                    </w:rPr>
                  </w:pPr>
                  <w:r>
                    <w:rPr>
                      <w:rFonts w:hint="eastAsia"/>
                      <w:color w:val="auto"/>
                      <w:lang w:val="en-US" w:eastAsia="zh-CN"/>
                    </w:rPr>
                    <w:t>/</w:t>
                  </w:r>
                </w:p>
              </w:tc>
              <w:tc>
                <w:tcPr>
                  <w:tcW w:w="1017" w:type="dxa"/>
                  <w:noWrap/>
                  <w:vAlign w:val="center"/>
                </w:tcPr>
                <w:p w14:paraId="1EA752A6">
                  <w:pPr>
                    <w:pStyle w:val="40"/>
                    <w:keepNext w:val="0"/>
                    <w:keepLines w:val="0"/>
                    <w:suppressLineNumbers w:val="0"/>
                    <w:spacing w:before="33" w:beforeAutospacing="0" w:after="33" w:afterAutospacing="0"/>
                    <w:jc w:val="center"/>
                    <w:rPr>
                      <w:rFonts w:hint="default"/>
                      <w:color w:val="auto"/>
                    </w:rPr>
                  </w:pPr>
                  <w:r>
                    <w:rPr>
                      <w:rFonts w:hint="eastAsia"/>
                      <w:color w:val="auto"/>
                    </w:rPr>
                    <w:t>/</w:t>
                  </w:r>
                </w:p>
              </w:tc>
              <w:tc>
                <w:tcPr>
                  <w:tcW w:w="986" w:type="dxa"/>
                  <w:noWrap/>
                  <w:vAlign w:val="center"/>
                </w:tcPr>
                <w:p w14:paraId="592EB83E">
                  <w:pPr>
                    <w:pStyle w:val="40"/>
                    <w:keepNext w:val="0"/>
                    <w:keepLines w:val="0"/>
                    <w:suppressLineNumbers w:val="0"/>
                    <w:spacing w:before="33" w:beforeAutospacing="0" w:after="33" w:afterAutospacing="0"/>
                    <w:jc w:val="center"/>
                    <w:rPr>
                      <w:rFonts w:hint="default"/>
                      <w:color w:val="auto"/>
                    </w:rPr>
                  </w:pPr>
                  <w:r>
                    <w:rPr>
                      <w:rFonts w:hint="eastAsia"/>
                      <w:color w:val="auto"/>
                    </w:rPr>
                    <w:t>/</w:t>
                  </w:r>
                </w:p>
              </w:tc>
              <w:tc>
                <w:tcPr>
                  <w:tcW w:w="921" w:type="dxa"/>
                  <w:vMerge w:val="restart"/>
                  <w:noWrap/>
                  <w:vAlign w:val="center"/>
                </w:tcPr>
                <w:p w14:paraId="1842CEEF">
                  <w:pPr>
                    <w:pStyle w:val="40"/>
                    <w:keepNext w:val="0"/>
                    <w:keepLines w:val="0"/>
                    <w:suppressLineNumbers w:val="0"/>
                    <w:bidi w:val="0"/>
                    <w:spacing w:before="0" w:beforeAutospacing="0" w:after="0" w:afterAutospacing="0"/>
                    <w:jc w:val="center"/>
                    <w:rPr>
                      <w:rFonts w:hint="default"/>
                      <w:color w:val="auto"/>
                    </w:rPr>
                  </w:pPr>
                  <w:r>
                    <w:rPr>
                      <w:rFonts w:hint="eastAsia"/>
                      <w:color w:val="auto"/>
                      <w:lang w:val="en-US" w:eastAsia="zh-CN"/>
                    </w:rPr>
                    <w:t>八公山</w:t>
                  </w:r>
                  <w:r>
                    <w:rPr>
                      <w:rFonts w:hint="default"/>
                      <w:color w:val="auto"/>
                    </w:rPr>
                    <w:t>污水处理厂</w:t>
                  </w:r>
                </w:p>
              </w:tc>
            </w:tr>
            <w:tr w14:paraId="577E0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499" w:type="dxa"/>
                  <w:vMerge w:val="continue"/>
                  <w:noWrap/>
                  <w:vAlign w:val="center"/>
                </w:tcPr>
                <w:p w14:paraId="4AC7142A">
                  <w:pPr>
                    <w:pStyle w:val="40"/>
                    <w:keepNext w:val="0"/>
                    <w:keepLines w:val="0"/>
                    <w:suppressLineNumbers w:val="0"/>
                    <w:spacing w:before="33" w:beforeAutospacing="0" w:after="33" w:afterAutospacing="0"/>
                    <w:jc w:val="center"/>
                    <w:rPr>
                      <w:rFonts w:hint="default"/>
                      <w:color w:val="auto"/>
                    </w:rPr>
                  </w:pPr>
                </w:p>
              </w:tc>
              <w:tc>
                <w:tcPr>
                  <w:tcW w:w="663" w:type="dxa"/>
                  <w:vMerge w:val="continue"/>
                  <w:noWrap/>
                  <w:vAlign w:val="center"/>
                </w:tcPr>
                <w:p w14:paraId="00D50914">
                  <w:pPr>
                    <w:pStyle w:val="40"/>
                    <w:keepNext w:val="0"/>
                    <w:keepLines w:val="0"/>
                    <w:suppressLineNumbers w:val="0"/>
                    <w:spacing w:before="33" w:beforeAutospacing="0" w:after="33" w:afterAutospacing="0"/>
                    <w:jc w:val="center"/>
                    <w:rPr>
                      <w:rFonts w:hint="default"/>
                      <w:color w:val="auto"/>
                    </w:rPr>
                  </w:pPr>
                </w:p>
              </w:tc>
              <w:tc>
                <w:tcPr>
                  <w:tcW w:w="565" w:type="dxa"/>
                  <w:vMerge w:val="continue"/>
                  <w:noWrap/>
                  <w:vAlign w:val="center"/>
                </w:tcPr>
                <w:p w14:paraId="3340C36C">
                  <w:pPr>
                    <w:pStyle w:val="40"/>
                    <w:keepNext w:val="0"/>
                    <w:keepLines w:val="0"/>
                    <w:suppressLineNumbers w:val="0"/>
                    <w:spacing w:before="33" w:beforeAutospacing="0" w:after="33" w:afterAutospacing="0"/>
                    <w:jc w:val="center"/>
                    <w:rPr>
                      <w:rFonts w:hint="default"/>
                      <w:color w:val="auto"/>
                    </w:rPr>
                  </w:pPr>
                </w:p>
              </w:tc>
              <w:tc>
                <w:tcPr>
                  <w:tcW w:w="858" w:type="dxa"/>
                  <w:noWrap/>
                  <w:vAlign w:val="center"/>
                </w:tcPr>
                <w:p w14:paraId="2D8AD604">
                  <w:pPr>
                    <w:pStyle w:val="40"/>
                    <w:keepNext w:val="0"/>
                    <w:keepLines w:val="0"/>
                    <w:suppressLineNumbers w:val="0"/>
                    <w:spacing w:before="33" w:beforeAutospacing="0" w:after="33" w:afterAutospacing="0"/>
                    <w:jc w:val="center"/>
                    <w:rPr>
                      <w:rFonts w:hint="default"/>
                      <w:color w:val="0000FF"/>
                    </w:rPr>
                  </w:pPr>
                  <w:r>
                    <w:rPr>
                      <w:rFonts w:hint="eastAsia"/>
                      <w:color w:val="0000FF"/>
                    </w:rPr>
                    <w:t>COD</w:t>
                  </w:r>
                </w:p>
              </w:tc>
              <w:tc>
                <w:tcPr>
                  <w:tcW w:w="926" w:type="dxa"/>
                  <w:noWrap/>
                  <w:vAlign w:val="bottom"/>
                </w:tcPr>
                <w:p w14:paraId="70F5DF0E">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default"/>
                      <w:color w:val="0000FF"/>
                      <w:lang w:val="en-US" w:eastAsia="zh-CN"/>
                    </w:rPr>
                    <w:t>340</w:t>
                  </w:r>
                </w:p>
              </w:tc>
              <w:tc>
                <w:tcPr>
                  <w:tcW w:w="859" w:type="dxa"/>
                  <w:noWrap/>
                  <w:vAlign w:val="center"/>
                </w:tcPr>
                <w:p w14:paraId="7C90CEAE">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default"/>
                      <w:color w:val="0000FF"/>
                      <w:lang w:val="en-US" w:eastAsia="zh-CN"/>
                    </w:rPr>
                    <w:t>0.2196</w:t>
                  </w:r>
                </w:p>
              </w:tc>
              <w:tc>
                <w:tcPr>
                  <w:tcW w:w="748" w:type="dxa"/>
                  <w:vMerge w:val="continue"/>
                  <w:noWrap/>
                  <w:vAlign w:val="center"/>
                </w:tcPr>
                <w:p w14:paraId="4914C91E">
                  <w:pPr>
                    <w:pStyle w:val="40"/>
                    <w:keepNext w:val="0"/>
                    <w:keepLines w:val="0"/>
                    <w:suppressLineNumbers w:val="0"/>
                    <w:spacing w:before="33" w:beforeAutospacing="0" w:after="33" w:afterAutospacing="0"/>
                    <w:jc w:val="center"/>
                    <w:rPr>
                      <w:rFonts w:hint="default"/>
                      <w:color w:val="0000FF"/>
                    </w:rPr>
                  </w:pPr>
                </w:p>
              </w:tc>
              <w:tc>
                <w:tcPr>
                  <w:tcW w:w="732" w:type="dxa"/>
                  <w:noWrap/>
                  <w:vAlign w:val="center"/>
                </w:tcPr>
                <w:p w14:paraId="6FE1E986">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64</w:t>
                  </w:r>
                </w:p>
              </w:tc>
              <w:tc>
                <w:tcPr>
                  <w:tcW w:w="1017" w:type="dxa"/>
                  <w:noWrap/>
                  <w:vAlign w:val="center"/>
                </w:tcPr>
                <w:p w14:paraId="1B600C5D">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122.4</w:t>
                  </w:r>
                </w:p>
              </w:tc>
              <w:tc>
                <w:tcPr>
                  <w:tcW w:w="986" w:type="dxa"/>
                  <w:noWrap/>
                  <w:vAlign w:val="center"/>
                </w:tcPr>
                <w:p w14:paraId="688FBAD2">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0.0791</w:t>
                  </w:r>
                </w:p>
              </w:tc>
              <w:tc>
                <w:tcPr>
                  <w:tcW w:w="921" w:type="dxa"/>
                  <w:vMerge w:val="continue"/>
                  <w:noWrap/>
                  <w:vAlign w:val="center"/>
                </w:tcPr>
                <w:p w14:paraId="101710DF">
                  <w:pPr>
                    <w:pStyle w:val="40"/>
                    <w:keepNext w:val="0"/>
                    <w:keepLines w:val="0"/>
                    <w:suppressLineNumbers w:val="0"/>
                    <w:spacing w:before="33" w:beforeAutospacing="0" w:after="33" w:afterAutospacing="0"/>
                    <w:jc w:val="center"/>
                    <w:rPr>
                      <w:rFonts w:hint="default"/>
                      <w:color w:val="auto"/>
                    </w:rPr>
                  </w:pPr>
                </w:p>
              </w:tc>
            </w:tr>
            <w:tr w14:paraId="47363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499" w:type="dxa"/>
                  <w:vMerge w:val="continue"/>
                  <w:noWrap/>
                  <w:vAlign w:val="center"/>
                </w:tcPr>
                <w:p w14:paraId="2EDA493C">
                  <w:pPr>
                    <w:pStyle w:val="40"/>
                    <w:keepNext w:val="0"/>
                    <w:keepLines w:val="0"/>
                    <w:suppressLineNumbers w:val="0"/>
                    <w:spacing w:before="33" w:beforeAutospacing="0" w:after="33" w:afterAutospacing="0"/>
                    <w:jc w:val="center"/>
                    <w:rPr>
                      <w:rFonts w:hint="default"/>
                      <w:color w:val="auto"/>
                    </w:rPr>
                  </w:pPr>
                </w:p>
              </w:tc>
              <w:tc>
                <w:tcPr>
                  <w:tcW w:w="663" w:type="dxa"/>
                  <w:vMerge w:val="continue"/>
                  <w:noWrap/>
                  <w:vAlign w:val="center"/>
                </w:tcPr>
                <w:p w14:paraId="5A910890">
                  <w:pPr>
                    <w:pStyle w:val="40"/>
                    <w:keepNext w:val="0"/>
                    <w:keepLines w:val="0"/>
                    <w:suppressLineNumbers w:val="0"/>
                    <w:spacing w:before="33" w:beforeAutospacing="0" w:after="33" w:afterAutospacing="0"/>
                    <w:jc w:val="center"/>
                    <w:rPr>
                      <w:rFonts w:hint="default"/>
                      <w:color w:val="auto"/>
                    </w:rPr>
                  </w:pPr>
                </w:p>
              </w:tc>
              <w:tc>
                <w:tcPr>
                  <w:tcW w:w="565" w:type="dxa"/>
                  <w:vMerge w:val="continue"/>
                  <w:noWrap/>
                  <w:vAlign w:val="center"/>
                </w:tcPr>
                <w:p w14:paraId="75A72FE2">
                  <w:pPr>
                    <w:pStyle w:val="40"/>
                    <w:keepNext w:val="0"/>
                    <w:keepLines w:val="0"/>
                    <w:suppressLineNumbers w:val="0"/>
                    <w:spacing w:before="33" w:beforeAutospacing="0" w:after="33" w:afterAutospacing="0"/>
                    <w:jc w:val="center"/>
                    <w:rPr>
                      <w:rFonts w:hint="default"/>
                      <w:color w:val="auto"/>
                    </w:rPr>
                  </w:pPr>
                </w:p>
              </w:tc>
              <w:tc>
                <w:tcPr>
                  <w:tcW w:w="858" w:type="dxa"/>
                  <w:noWrap/>
                  <w:vAlign w:val="center"/>
                </w:tcPr>
                <w:p w14:paraId="74E5A48F">
                  <w:pPr>
                    <w:pStyle w:val="40"/>
                    <w:keepNext w:val="0"/>
                    <w:keepLines w:val="0"/>
                    <w:suppressLineNumbers w:val="0"/>
                    <w:spacing w:before="33" w:beforeAutospacing="0" w:after="33" w:afterAutospacing="0"/>
                    <w:jc w:val="center"/>
                    <w:rPr>
                      <w:rFonts w:hint="eastAsia"/>
                      <w:color w:val="0000FF"/>
                    </w:rPr>
                  </w:pPr>
                  <w:r>
                    <w:rPr>
                      <w:rFonts w:hint="eastAsia"/>
                      <w:color w:val="0000FF"/>
                    </w:rPr>
                    <w:t>BOD</w:t>
                  </w:r>
                  <w:r>
                    <w:rPr>
                      <w:rFonts w:hint="eastAsia"/>
                      <w:color w:val="0000FF"/>
                      <w:vertAlign w:val="subscript"/>
                    </w:rPr>
                    <w:t>5</w:t>
                  </w:r>
                </w:p>
              </w:tc>
              <w:tc>
                <w:tcPr>
                  <w:tcW w:w="926" w:type="dxa"/>
                  <w:noWrap/>
                  <w:vAlign w:val="bottom"/>
                </w:tcPr>
                <w:p w14:paraId="59B01F5C">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default"/>
                      <w:color w:val="0000FF"/>
                      <w:lang w:val="en-US" w:eastAsia="zh-CN"/>
                    </w:rPr>
                    <w:t>160</w:t>
                  </w:r>
                </w:p>
              </w:tc>
              <w:tc>
                <w:tcPr>
                  <w:tcW w:w="859" w:type="dxa"/>
                  <w:noWrap/>
                  <w:vAlign w:val="center"/>
                </w:tcPr>
                <w:p w14:paraId="67580ACD">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default"/>
                      <w:color w:val="0000FF"/>
                      <w:lang w:val="en-US" w:eastAsia="zh-CN"/>
                    </w:rPr>
                    <w:t>0.1034</w:t>
                  </w:r>
                </w:p>
              </w:tc>
              <w:tc>
                <w:tcPr>
                  <w:tcW w:w="748" w:type="dxa"/>
                  <w:vMerge w:val="continue"/>
                  <w:noWrap/>
                  <w:vAlign w:val="center"/>
                </w:tcPr>
                <w:p w14:paraId="26E91475">
                  <w:pPr>
                    <w:pStyle w:val="40"/>
                    <w:keepNext w:val="0"/>
                    <w:keepLines w:val="0"/>
                    <w:suppressLineNumbers w:val="0"/>
                    <w:spacing w:before="33" w:beforeAutospacing="0" w:after="33" w:afterAutospacing="0"/>
                    <w:jc w:val="center"/>
                    <w:rPr>
                      <w:rFonts w:hint="default"/>
                      <w:color w:val="0000FF"/>
                    </w:rPr>
                  </w:pPr>
                </w:p>
              </w:tc>
              <w:tc>
                <w:tcPr>
                  <w:tcW w:w="732" w:type="dxa"/>
                  <w:noWrap/>
                  <w:vAlign w:val="center"/>
                </w:tcPr>
                <w:p w14:paraId="1DD6C3B2">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60</w:t>
                  </w:r>
                </w:p>
              </w:tc>
              <w:tc>
                <w:tcPr>
                  <w:tcW w:w="1017" w:type="dxa"/>
                  <w:noWrap/>
                  <w:vAlign w:val="center"/>
                </w:tcPr>
                <w:p w14:paraId="598DBF0F">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64.0</w:t>
                  </w:r>
                </w:p>
              </w:tc>
              <w:tc>
                <w:tcPr>
                  <w:tcW w:w="986" w:type="dxa"/>
                  <w:noWrap/>
                  <w:vAlign w:val="center"/>
                </w:tcPr>
                <w:p w14:paraId="59F2DD1F">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0.0413</w:t>
                  </w:r>
                </w:p>
              </w:tc>
              <w:tc>
                <w:tcPr>
                  <w:tcW w:w="921" w:type="dxa"/>
                  <w:vMerge w:val="continue"/>
                  <w:noWrap/>
                  <w:vAlign w:val="center"/>
                </w:tcPr>
                <w:p w14:paraId="071EDFE1">
                  <w:pPr>
                    <w:pStyle w:val="40"/>
                    <w:keepNext w:val="0"/>
                    <w:keepLines w:val="0"/>
                    <w:suppressLineNumbers w:val="0"/>
                    <w:spacing w:before="33" w:beforeAutospacing="0" w:after="33" w:afterAutospacing="0"/>
                    <w:jc w:val="center"/>
                    <w:rPr>
                      <w:rFonts w:hint="default"/>
                      <w:color w:val="auto"/>
                    </w:rPr>
                  </w:pPr>
                </w:p>
              </w:tc>
            </w:tr>
            <w:tr w14:paraId="47A0D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499" w:type="dxa"/>
                  <w:vMerge w:val="continue"/>
                  <w:noWrap/>
                  <w:vAlign w:val="center"/>
                </w:tcPr>
                <w:p w14:paraId="64F4DF88">
                  <w:pPr>
                    <w:pStyle w:val="40"/>
                    <w:keepNext w:val="0"/>
                    <w:keepLines w:val="0"/>
                    <w:suppressLineNumbers w:val="0"/>
                    <w:spacing w:before="33" w:beforeAutospacing="0" w:after="33" w:afterAutospacing="0"/>
                    <w:jc w:val="center"/>
                    <w:rPr>
                      <w:rFonts w:hint="default"/>
                      <w:color w:val="auto"/>
                    </w:rPr>
                  </w:pPr>
                </w:p>
              </w:tc>
              <w:tc>
                <w:tcPr>
                  <w:tcW w:w="663" w:type="dxa"/>
                  <w:vMerge w:val="continue"/>
                  <w:noWrap/>
                  <w:vAlign w:val="center"/>
                </w:tcPr>
                <w:p w14:paraId="493BA900">
                  <w:pPr>
                    <w:pStyle w:val="40"/>
                    <w:keepNext w:val="0"/>
                    <w:keepLines w:val="0"/>
                    <w:suppressLineNumbers w:val="0"/>
                    <w:spacing w:before="33" w:beforeAutospacing="0" w:after="33" w:afterAutospacing="0"/>
                    <w:jc w:val="center"/>
                    <w:rPr>
                      <w:rFonts w:hint="default"/>
                      <w:color w:val="auto"/>
                    </w:rPr>
                  </w:pPr>
                </w:p>
              </w:tc>
              <w:tc>
                <w:tcPr>
                  <w:tcW w:w="565" w:type="dxa"/>
                  <w:vMerge w:val="continue"/>
                  <w:noWrap/>
                  <w:vAlign w:val="center"/>
                </w:tcPr>
                <w:p w14:paraId="0609B693">
                  <w:pPr>
                    <w:pStyle w:val="40"/>
                    <w:keepNext w:val="0"/>
                    <w:keepLines w:val="0"/>
                    <w:suppressLineNumbers w:val="0"/>
                    <w:spacing w:before="33" w:beforeAutospacing="0" w:after="33" w:afterAutospacing="0"/>
                    <w:jc w:val="center"/>
                    <w:rPr>
                      <w:rFonts w:hint="default"/>
                      <w:color w:val="auto"/>
                    </w:rPr>
                  </w:pPr>
                </w:p>
              </w:tc>
              <w:tc>
                <w:tcPr>
                  <w:tcW w:w="858" w:type="dxa"/>
                  <w:noWrap/>
                  <w:vAlign w:val="center"/>
                </w:tcPr>
                <w:p w14:paraId="505A76F4">
                  <w:pPr>
                    <w:pStyle w:val="40"/>
                    <w:keepNext w:val="0"/>
                    <w:keepLines w:val="0"/>
                    <w:suppressLineNumbers w:val="0"/>
                    <w:spacing w:before="33" w:beforeAutospacing="0" w:after="33" w:afterAutospacing="0"/>
                    <w:jc w:val="center"/>
                    <w:rPr>
                      <w:rFonts w:hint="default"/>
                      <w:color w:val="0000FF"/>
                    </w:rPr>
                  </w:pPr>
                  <w:r>
                    <w:rPr>
                      <w:rFonts w:hint="eastAsia"/>
                      <w:color w:val="0000FF"/>
                    </w:rPr>
                    <w:t>氨氮</w:t>
                  </w:r>
                </w:p>
              </w:tc>
              <w:tc>
                <w:tcPr>
                  <w:tcW w:w="926" w:type="dxa"/>
                  <w:noWrap/>
                  <w:vAlign w:val="bottom"/>
                </w:tcPr>
                <w:p w14:paraId="788A9761">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default"/>
                      <w:color w:val="0000FF"/>
                      <w:lang w:val="en-US" w:eastAsia="zh-CN"/>
                    </w:rPr>
                    <w:t>32.6</w:t>
                  </w:r>
                </w:p>
              </w:tc>
              <w:tc>
                <w:tcPr>
                  <w:tcW w:w="859" w:type="dxa"/>
                  <w:noWrap/>
                  <w:vAlign w:val="center"/>
                </w:tcPr>
                <w:p w14:paraId="05C44D14">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default"/>
                      <w:color w:val="0000FF"/>
                      <w:lang w:val="en-US" w:eastAsia="zh-CN"/>
                    </w:rPr>
                    <w:t>0.0211</w:t>
                  </w:r>
                </w:p>
              </w:tc>
              <w:tc>
                <w:tcPr>
                  <w:tcW w:w="748" w:type="dxa"/>
                  <w:vMerge w:val="continue"/>
                  <w:noWrap/>
                  <w:vAlign w:val="center"/>
                </w:tcPr>
                <w:p w14:paraId="7C727369">
                  <w:pPr>
                    <w:pStyle w:val="40"/>
                    <w:keepNext w:val="0"/>
                    <w:keepLines w:val="0"/>
                    <w:suppressLineNumbers w:val="0"/>
                    <w:spacing w:before="33" w:beforeAutospacing="0" w:after="33" w:afterAutospacing="0"/>
                    <w:jc w:val="center"/>
                    <w:rPr>
                      <w:rFonts w:hint="default"/>
                      <w:color w:val="0000FF"/>
                    </w:rPr>
                  </w:pPr>
                </w:p>
              </w:tc>
              <w:tc>
                <w:tcPr>
                  <w:tcW w:w="732" w:type="dxa"/>
                  <w:noWrap/>
                  <w:vAlign w:val="center"/>
                </w:tcPr>
                <w:p w14:paraId="3615FA20">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53</w:t>
                  </w:r>
                </w:p>
              </w:tc>
              <w:tc>
                <w:tcPr>
                  <w:tcW w:w="1017" w:type="dxa"/>
                  <w:noWrap/>
                  <w:vAlign w:val="center"/>
                </w:tcPr>
                <w:p w14:paraId="70D4B2BA">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15.3</w:t>
                  </w:r>
                </w:p>
              </w:tc>
              <w:tc>
                <w:tcPr>
                  <w:tcW w:w="986" w:type="dxa"/>
                  <w:noWrap/>
                  <w:vAlign w:val="center"/>
                </w:tcPr>
                <w:p w14:paraId="1AB428A7">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0.0099</w:t>
                  </w:r>
                </w:p>
              </w:tc>
              <w:tc>
                <w:tcPr>
                  <w:tcW w:w="921" w:type="dxa"/>
                  <w:vMerge w:val="continue"/>
                  <w:noWrap/>
                  <w:vAlign w:val="center"/>
                </w:tcPr>
                <w:p w14:paraId="5C968B49">
                  <w:pPr>
                    <w:pStyle w:val="40"/>
                    <w:keepNext w:val="0"/>
                    <w:keepLines w:val="0"/>
                    <w:suppressLineNumbers w:val="0"/>
                    <w:spacing w:before="33" w:beforeAutospacing="0" w:after="33" w:afterAutospacing="0"/>
                    <w:jc w:val="center"/>
                    <w:rPr>
                      <w:rFonts w:hint="default"/>
                      <w:color w:val="auto"/>
                    </w:rPr>
                  </w:pPr>
                </w:p>
              </w:tc>
            </w:tr>
            <w:tr w14:paraId="6816B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499" w:type="dxa"/>
                  <w:vMerge w:val="continue"/>
                  <w:noWrap/>
                  <w:vAlign w:val="center"/>
                </w:tcPr>
                <w:p w14:paraId="707D14AE">
                  <w:pPr>
                    <w:pStyle w:val="40"/>
                    <w:keepNext w:val="0"/>
                    <w:keepLines w:val="0"/>
                    <w:suppressLineNumbers w:val="0"/>
                    <w:spacing w:before="33" w:beforeAutospacing="0" w:after="33" w:afterAutospacing="0"/>
                    <w:jc w:val="center"/>
                    <w:rPr>
                      <w:rFonts w:hint="default"/>
                      <w:color w:val="auto"/>
                    </w:rPr>
                  </w:pPr>
                </w:p>
              </w:tc>
              <w:tc>
                <w:tcPr>
                  <w:tcW w:w="663" w:type="dxa"/>
                  <w:vMerge w:val="continue"/>
                  <w:noWrap/>
                  <w:vAlign w:val="center"/>
                </w:tcPr>
                <w:p w14:paraId="2D97EA43">
                  <w:pPr>
                    <w:pStyle w:val="40"/>
                    <w:keepNext w:val="0"/>
                    <w:keepLines w:val="0"/>
                    <w:suppressLineNumbers w:val="0"/>
                    <w:spacing w:before="33" w:beforeAutospacing="0" w:after="33" w:afterAutospacing="0"/>
                    <w:jc w:val="center"/>
                    <w:rPr>
                      <w:rFonts w:hint="default"/>
                      <w:color w:val="auto"/>
                    </w:rPr>
                  </w:pPr>
                </w:p>
              </w:tc>
              <w:tc>
                <w:tcPr>
                  <w:tcW w:w="565" w:type="dxa"/>
                  <w:vMerge w:val="continue"/>
                  <w:noWrap/>
                  <w:vAlign w:val="center"/>
                </w:tcPr>
                <w:p w14:paraId="36B23663">
                  <w:pPr>
                    <w:pStyle w:val="40"/>
                    <w:keepNext w:val="0"/>
                    <w:keepLines w:val="0"/>
                    <w:suppressLineNumbers w:val="0"/>
                    <w:spacing w:before="33" w:beforeAutospacing="0" w:after="33" w:afterAutospacing="0"/>
                    <w:jc w:val="center"/>
                    <w:rPr>
                      <w:rFonts w:hint="default"/>
                      <w:color w:val="auto"/>
                    </w:rPr>
                  </w:pPr>
                </w:p>
              </w:tc>
              <w:tc>
                <w:tcPr>
                  <w:tcW w:w="858" w:type="dxa"/>
                  <w:noWrap/>
                  <w:vAlign w:val="center"/>
                </w:tcPr>
                <w:p w14:paraId="130FA7BA">
                  <w:pPr>
                    <w:pStyle w:val="40"/>
                    <w:keepNext w:val="0"/>
                    <w:keepLines w:val="0"/>
                    <w:suppressLineNumbers w:val="0"/>
                    <w:spacing w:before="33" w:beforeAutospacing="0" w:after="33" w:afterAutospacing="0"/>
                    <w:jc w:val="center"/>
                    <w:rPr>
                      <w:rFonts w:hint="default"/>
                      <w:color w:val="0000FF"/>
                    </w:rPr>
                  </w:pPr>
                  <w:r>
                    <w:rPr>
                      <w:rFonts w:hint="eastAsia"/>
                      <w:color w:val="0000FF"/>
                    </w:rPr>
                    <w:t>SS</w:t>
                  </w:r>
                </w:p>
              </w:tc>
              <w:tc>
                <w:tcPr>
                  <w:tcW w:w="926" w:type="dxa"/>
                  <w:noWrap/>
                  <w:vAlign w:val="bottom"/>
                </w:tcPr>
                <w:p w14:paraId="560E605C">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default"/>
                      <w:color w:val="0000FF"/>
                      <w:lang w:val="en-US" w:eastAsia="zh-CN"/>
                    </w:rPr>
                    <w:t>200</w:t>
                  </w:r>
                </w:p>
              </w:tc>
              <w:tc>
                <w:tcPr>
                  <w:tcW w:w="859" w:type="dxa"/>
                  <w:noWrap/>
                  <w:vAlign w:val="center"/>
                </w:tcPr>
                <w:p w14:paraId="26185A1D">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default"/>
                      <w:color w:val="0000FF"/>
                      <w:lang w:val="en-US" w:eastAsia="zh-CN"/>
                    </w:rPr>
                    <w:t>0.1292</w:t>
                  </w:r>
                </w:p>
              </w:tc>
              <w:tc>
                <w:tcPr>
                  <w:tcW w:w="748" w:type="dxa"/>
                  <w:vMerge w:val="continue"/>
                  <w:noWrap/>
                  <w:vAlign w:val="center"/>
                </w:tcPr>
                <w:p w14:paraId="6823CC9C">
                  <w:pPr>
                    <w:pStyle w:val="40"/>
                    <w:keepNext w:val="0"/>
                    <w:keepLines w:val="0"/>
                    <w:suppressLineNumbers w:val="0"/>
                    <w:spacing w:before="33" w:beforeAutospacing="0" w:after="33" w:afterAutospacing="0"/>
                    <w:jc w:val="center"/>
                    <w:rPr>
                      <w:rFonts w:hint="default"/>
                      <w:color w:val="0000FF"/>
                    </w:rPr>
                  </w:pPr>
                </w:p>
              </w:tc>
              <w:tc>
                <w:tcPr>
                  <w:tcW w:w="732" w:type="dxa"/>
                  <w:noWrap/>
                  <w:vAlign w:val="center"/>
                </w:tcPr>
                <w:p w14:paraId="2B5624D1">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60</w:t>
                  </w:r>
                </w:p>
              </w:tc>
              <w:tc>
                <w:tcPr>
                  <w:tcW w:w="1017" w:type="dxa"/>
                  <w:noWrap/>
                  <w:vAlign w:val="center"/>
                </w:tcPr>
                <w:p w14:paraId="34B80BA7">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80.0</w:t>
                  </w:r>
                </w:p>
              </w:tc>
              <w:tc>
                <w:tcPr>
                  <w:tcW w:w="986" w:type="dxa"/>
                  <w:noWrap/>
                  <w:vAlign w:val="center"/>
                </w:tcPr>
                <w:p w14:paraId="55E71023">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0.0517</w:t>
                  </w:r>
                </w:p>
              </w:tc>
              <w:tc>
                <w:tcPr>
                  <w:tcW w:w="921" w:type="dxa"/>
                  <w:vMerge w:val="continue"/>
                  <w:noWrap/>
                  <w:vAlign w:val="center"/>
                </w:tcPr>
                <w:p w14:paraId="44684F7D">
                  <w:pPr>
                    <w:pStyle w:val="40"/>
                    <w:keepNext w:val="0"/>
                    <w:keepLines w:val="0"/>
                    <w:suppressLineNumbers w:val="0"/>
                    <w:spacing w:before="33" w:beforeAutospacing="0" w:after="33" w:afterAutospacing="0"/>
                    <w:jc w:val="center"/>
                    <w:rPr>
                      <w:rFonts w:hint="default"/>
                      <w:color w:val="auto"/>
                    </w:rPr>
                  </w:pPr>
                </w:p>
              </w:tc>
            </w:tr>
            <w:tr w14:paraId="0DA47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499" w:type="dxa"/>
                  <w:vMerge w:val="continue"/>
                  <w:noWrap/>
                  <w:vAlign w:val="center"/>
                </w:tcPr>
                <w:p w14:paraId="78C433DD">
                  <w:pPr>
                    <w:pStyle w:val="40"/>
                    <w:keepNext w:val="0"/>
                    <w:keepLines w:val="0"/>
                    <w:suppressLineNumbers w:val="0"/>
                    <w:spacing w:before="33" w:beforeAutospacing="0" w:after="33" w:afterAutospacing="0"/>
                    <w:jc w:val="center"/>
                    <w:rPr>
                      <w:rFonts w:hint="default"/>
                      <w:color w:val="auto"/>
                    </w:rPr>
                  </w:pPr>
                </w:p>
              </w:tc>
              <w:tc>
                <w:tcPr>
                  <w:tcW w:w="663" w:type="dxa"/>
                  <w:vMerge w:val="continue"/>
                  <w:noWrap/>
                  <w:vAlign w:val="center"/>
                </w:tcPr>
                <w:p w14:paraId="0D8837BF">
                  <w:pPr>
                    <w:pStyle w:val="40"/>
                    <w:keepNext w:val="0"/>
                    <w:keepLines w:val="0"/>
                    <w:suppressLineNumbers w:val="0"/>
                    <w:spacing w:before="33" w:beforeAutospacing="0" w:after="33" w:afterAutospacing="0"/>
                    <w:jc w:val="center"/>
                    <w:rPr>
                      <w:rFonts w:hint="default"/>
                      <w:color w:val="auto"/>
                    </w:rPr>
                  </w:pPr>
                </w:p>
              </w:tc>
              <w:tc>
                <w:tcPr>
                  <w:tcW w:w="565" w:type="dxa"/>
                  <w:vMerge w:val="continue"/>
                  <w:noWrap/>
                  <w:vAlign w:val="center"/>
                </w:tcPr>
                <w:p w14:paraId="76D03B0F">
                  <w:pPr>
                    <w:pStyle w:val="40"/>
                    <w:keepNext w:val="0"/>
                    <w:keepLines w:val="0"/>
                    <w:suppressLineNumbers w:val="0"/>
                    <w:spacing w:before="33" w:beforeAutospacing="0" w:after="33" w:afterAutospacing="0"/>
                    <w:jc w:val="center"/>
                    <w:rPr>
                      <w:rFonts w:hint="default"/>
                      <w:color w:val="auto"/>
                    </w:rPr>
                  </w:pPr>
                </w:p>
              </w:tc>
              <w:tc>
                <w:tcPr>
                  <w:tcW w:w="858" w:type="dxa"/>
                  <w:noWrap/>
                  <w:vAlign w:val="center"/>
                </w:tcPr>
                <w:p w14:paraId="49BBD833">
                  <w:pPr>
                    <w:pStyle w:val="40"/>
                    <w:keepNext w:val="0"/>
                    <w:keepLines w:val="0"/>
                    <w:suppressLineNumbers w:val="0"/>
                    <w:spacing w:before="33" w:beforeAutospacing="0" w:after="33" w:afterAutospacing="0"/>
                    <w:jc w:val="center"/>
                    <w:rPr>
                      <w:rFonts w:hint="default" w:eastAsia="宋体"/>
                      <w:color w:val="0000FF"/>
                      <w:lang w:val="en-US" w:eastAsia="zh-CN"/>
                    </w:rPr>
                  </w:pPr>
                  <w:r>
                    <w:rPr>
                      <w:rFonts w:hint="eastAsia"/>
                      <w:color w:val="0000FF"/>
                      <w:lang w:val="en-US" w:eastAsia="zh-CN"/>
                    </w:rPr>
                    <w:t>TN</w:t>
                  </w:r>
                </w:p>
              </w:tc>
              <w:tc>
                <w:tcPr>
                  <w:tcW w:w="926" w:type="dxa"/>
                  <w:noWrap/>
                  <w:vAlign w:val="center"/>
                </w:tcPr>
                <w:p w14:paraId="176CF5D2">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44.8</w:t>
                  </w:r>
                </w:p>
              </w:tc>
              <w:tc>
                <w:tcPr>
                  <w:tcW w:w="859" w:type="dxa"/>
                  <w:noWrap/>
                  <w:vAlign w:val="center"/>
                </w:tcPr>
                <w:p w14:paraId="10693CD3">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default"/>
                      <w:color w:val="0000FF"/>
                      <w:lang w:val="en-US" w:eastAsia="zh-CN"/>
                    </w:rPr>
                    <w:t>0.0290</w:t>
                  </w:r>
                </w:p>
              </w:tc>
              <w:tc>
                <w:tcPr>
                  <w:tcW w:w="748" w:type="dxa"/>
                  <w:vMerge w:val="continue"/>
                  <w:noWrap/>
                  <w:vAlign w:val="center"/>
                </w:tcPr>
                <w:p w14:paraId="29D525BA">
                  <w:pPr>
                    <w:pStyle w:val="40"/>
                    <w:keepNext w:val="0"/>
                    <w:keepLines w:val="0"/>
                    <w:suppressLineNumbers w:val="0"/>
                    <w:spacing w:before="33" w:beforeAutospacing="0" w:after="33" w:afterAutospacing="0"/>
                    <w:jc w:val="center"/>
                    <w:rPr>
                      <w:rFonts w:hint="eastAsia" w:eastAsia="宋体"/>
                      <w:color w:val="0000FF"/>
                      <w:lang w:val="en-US" w:eastAsia="zh-CN"/>
                    </w:rPr>
                  </w:pPr>
                </w:p>
              </w:tc>
              <w:tc>
                <w:tcPr>
                  <w:tcW w:w="732" w:type="dxa"/>
                  <w:noWrap/>
                  <w:vAlign w:val="center"/>
                </w:tcPr>
                <w:p w14:paraId="237E4D3F">
                  <w:pPr>
                    <w:pStyle w:val="61"/>
                    <w:keepNext w:val="0"/>
                    <w:keepLines w:val="0"/>
                    <w:suppressLineNumbers w:val="0"/>
                    <w:bidi w:val="0"/>
                    <w:spacing w:before="0" w:beforeAutospacing="0" w:after="0" w:afterAutospacing="0"/>
                    <w:ind w:left="0" w:right="0"/>
                    <w:rPr>
                      <w:rFonts w:hint="eastAsia"/>
                      <w:color w:val="0000FF"/>
                      <w:lang w:val="en-US" w:eastAsia="zh-CN"/>
                    </w:rPr>
                  </w:pPr>
                  <w:r>
                    <w:rPr>
                      <w:rFonts w:hint="eastAsia"/>
                      <w:color w:val="0000FF"/>
                      <w:lang w:val="en-US" w:eastAsia="zh-CN"/>
                    </w:rPr>
                    <w:t>46</w:t>
                  </w:r>
                </w:p>
              </w:tc>
              <w:tc>
                <w:tcPr>
                  <w:tcW w:w="1017" w:type="dxa"/>
                  <w:noWrap/>
                  <w:vAlign w:val="center"/>
                </w:tcPr>
                <w:p w14:paraId="20D1672D">
                  <w:pPr>
                    <w:pStyle w:val="61"/>
                    <w:keepNext w:val="0"/>
                    <w:keepLines w:val="0"/>
                    <w:suppressLineNumbers w:val="0"/>
                    <w:bidi w:val="0"/>
                    <w:spacing w:before="0" w:beforeAutospacing="0" w:after="0" w:afterAutospacing="0"/>
                    <w:ind w:left="0" w:right="0"/>
                    <w:rPr>
                      <w:rFonts w:hint="eastAsia"/>
                      <w:color w:val="0000FF"/>
                      <w:lang w:val="en-US" w:eastAsia="zh-CN"/>
                    </w:rPr>
                  </w:pPr>
                  <w:r>
                    <w:rPr>
                      <w:rFonts w:hint="eastAsia"/>
                      <w:color w:val="0000FF"/>
                      <w:lang w:val="en-US" w:eastAsia="zh-CN"/>
                    </w:rPr>
                    <w:t>24.2</w:t>
                  </w:r>
                </w:p>
              </w:tc>
              <w:tc>
                <w:tcPr>
                  <w:tcW w:w="986" w:type="dxa"/>
                  <w:noWrap/>
                  <w:vAlign w:val="center"/>
                </w:tcPr>
                <w:p w14:paraId="31F3E2D7">
                  <w:pPr>
                    <w:pStyle w:val="61"/>
                    <w:keepNext w:val="0"/>
                    <w:keepLines w:val="0"/>
                    <w:suppressLineNumbers w:val="0"/>
                    <w:bidi w:val="0"/>
                    <w:spacing w:before="0" w:beforeAutospacing="0" w:after="0" w:afterAutospacing="0"/>
                    <w:ind w:left="0" w:right="0"/>
                    <w:rPr>
                      <w:rFonts w:hint="eastAsia"/>
                      <w:color w:val="0000FF"/>
                      <w:lang w:val="en-US" w:eastAsia="zh-CN"/>
                    </w:rPr>
                  </w:pPr>
                  <w:r>
                    <w:rPr>
                      <w:rFonts w:hint="eastAsia"/>
                      <w:color w:val="0000FF"/>
                      <w:lang w:val="en-US" w:eastAsia="zh-CN"/>
                    </w:rPr>
                    <w:t>0.0157</w:t>
                  </w:r>
                </w:p>
              </w:tc>
              <w:tc>
                <w:tcPr>
                  <w:tcW w:w="921" w:type="dxa"/>
                  <w:vMerge w:val="continue"/>
                  <w:noWrap/>
                  <w:vAlign w:val="center"/>
                </w:tcPr>
                <w:p w14:paraId="752F1471">
                  <w:pPr>
                    <w:pStyle w:val="40"/>
                    <w:keepNext w:val="0"/>
                    <w:keepLines w:val="0"/>
                    <w:suppressLineNumbers w:val="0"/>
                    <w:spacing w:before="33" w:beforeAutospacing="0" w:after="33" w:afterAutospacing="0"/>
                    <w:jc w:val="center"/>
                    <w:rPr>
                      <w:rFonts w:hint="default"/>
                      <w:color w:val="auto"/>
                    </w:rPr>
                  </w:pPr>
                </w:p>
              </w:tc>
            </w:tr>
            <w:tr w14:paraId="51C8D2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499" w:type="dxa"/>
                  <w:vMerge w:val="continue"/>
                  <w:noWrap/>
                  <w:vAlign w:val="center"/>
                </w:tcPr>
                <w:p w14:paraId="046D019E">
                  <w:pPr>
                    <w:pStyle w:val="40"/>
                    <w:keepNext w:val="0"/>
                    <w:keepLines w:val="0"/>
                    <w:suppressLineNumbers w:val="0"/>
                    <w:spacing w:before="33" w:beforeAutospacing="0" w:after="33" w:afterAutospacing="0"/>
                    <w:jc w:val="center"/>
                    <w:rPr>
                      <w:rFonts w:hint="default"/>
                      <w:color w:val="auto"/>
                    </w:rPr>
                  </w:pPr>
                </w:p>
              </w:tc>
              <w:tc>
                <w:tcPr>
                  <w:tcW w:w="663" w:type="dxa"/>
                  <w:vMerge w:val="continue"/>
                  <w:noWrap/>
                  <w:vAlign w:val="center"/>
                </w:tcPr>
                <w:p w14:paraId="190C8C4E">
                  <w:pPr>
                    <w:pStyle w:val="40"/>
                    <w:keepNext w:val="0"/>
                    <w:keepLines w:val="0"/>
                    <w:suppressLineNumbers w:val="0"/>
                    <w:spacing w:before="33" w:beforeAutospacing="0" w:after="33" w:afterAutospacing="0"/>
                    <w:jc w:val="center"/>
                    <w:rPr>
                      <w:rFonts w:hint="default"/>
                      <w:color w:val="auto"/>
                    </w:rPr>
                  </w:pPr>
                </w:p>
              </w:tc>
              <w:tc>
                <w:tcPr>
                  <w:tcW w:w="565" w:type="dxa"/>
                  <w:vMerge w:val="continue"/>
                  <w:noWrap/>
                  <w:vAlign w:val="center"/>
                </w:tcPr>
                <w:p w14:paraId="215A363D">
                  <w:pPr>
                    <w:pStyle w:val="40"/>
                    <w:keepNext w:val="0"/>
                    <w:keepLines w:val="0"/>
                    <w:suppressLineNumbers w:val="0"/>
                    <w:spacing w:before="33" w:beforeAutospacing="0" w:after="33" w:afterAutospacing="0"/>
                    <w:jc w:val="center"/>
                    <w:rPr>
                      <w:rFonts w:hint="default"/>
                      <w:color w:val="auto"/>
                    </w:rPr>
                  </w:pPr>
                </w:p>
              </w:tc>
              <w:tc>
                <w:tcPr>
                  <w:tcW w:w="858" w:type="dxa"/>
                  <w:noWrap/>
                  <w:vAlign w:val="center"/>
                </w:tcPr>
                <w:p w14:paraId="5057EA6B">
                  <w:pPr>
                    <w:pStyle w:val="40"/>
                    <w:keepNext w:val="0"/>
                    <w:keepLines w:val="0"/>
                    <w:suppressLineNumbers w:val="0"/>
                    <w:spacing w:before="33" w:beforeAutospacing="0" w:after="33" w:afterAutospacing="0"/>
                    <w:jc w:val="center"/>
                    <w:rPr>
                      <w:rFonts w:hint="default" w:eastAsia="宋体"/>
                      <w:color w:val="0000FF"/>
                      <w:lang w:val="en-US" w:eastAsia="zh-CN"/>
                    </w:rPr>
                  </w:pPr>
                  <w:r>
                    <w:rPr>
                      <w:rFonts w:hint="eastAsia"/>
                      <w:color w:val="0000FF"/>
                      <w:lang w:val="en-US" w:eastAsia="zh-CN"/>
                    </w:rPr>
                    <w:t>TP</w:t>
                  </w:r>
                </w:p>
              </w:tc>
              <w:tc>
                <w:tcPr>
                  <w:tcW w:w="926" w:type="dxa"/>
                  <w:noWrap/>
                  <w:vAlign w:val="center"/>
                </w:tcPr>
                <w:p w14:paraId="455B8768">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4.27</w:t>
                  </w:r>
                </w:p>
              </w:tc>
              <w:tc>
                <w:tcPr>
                  <w:tcW w:w="859" w:type="dxa"/>
                  <w:noWrap/>
                  <w:vAlign w:val="center"/>
                </w:tcPr>
                <w:p w14:paraId="7E46F992">
                  <w:pPr>
                    <w:pStyle w:val="61"/>
                    <w:keepNext w:val="0"/>
                    <w:keepLines w:val="0"/>
                    <w:suppressLineNumbers w:val="0"/>
                    <w:bidi w:val="0"/>
                    <w:spacing w:before="0" w:beforeAutospacing="0" w:after="0" w:afterAutospacing="0"/>
                    <w:ind w:left="0" w:right="0"/>
                    <w:rPr>
                      <w:rFonts w:hint="default"/>
                      <w:color w:val="0000FF"/>
                      <w:lang w:val="en-US" w:eastAsia="zh-CN"/>
                    </w:rPr>
                  </w:pPr>
                  <w:r>
                    <w:rPr>
                      <w:rFonts w:hint="default"/>
                      <w:color w:val="0000FF"/>
                      <w:lang w:val="en-US" w:eastAsia="zh-CN"/>
                    </w:rPr>
                    <w:t>0.0028</w:t>
                  </w:r>
                </w:p>
              </w:tc>
              <w:tc>
                <w:tcPr>
                  <w:tcW w:w="748" w:type="dxa"/>
                  <w:vMerge w:val="continue"/>
                  <w:noWrap/>
                  <w:vAlign w:val="center"/>
                </w:tcPr>
                <w:p w14:paraId="3FE113D1">
                  <w:pPr>
                    <w:pStyle w:val="40"/>
                    <w:keepNext w:val="0"/>
                    <w:keepLines w:val="0"/>
                    <w:suppressLineNumbers w:val="0"/>
                    <w:spacing w:before="33" w:beforeAutospacing="0" w:after="33" w:afterAutospacing="0"/>
                    <w:jc w:val="center"/>
                    <w:rPr>
                      <w:rFonts w:hint="default"/>
                      <w:color w:val="0000FF"/>
                    </w:rPr>
                  </w:pPr>
                </w:p>
              </w:tc>
              <w:tc>
                <w:tcPr>
                  <w:tcW w:w="732" w:type="dxa"/>
                  <w:noWrap/>
                  <w:vAlign w:val="center"/>
                </w:tcPr>
                <w:p w14:paraId="10E02DB7">
                  <w:pPr>
                    <w:pStyle w:val="61"/>
                    <w:keepNext w:val="0"/>
                    <w:keepLines w:val="0"/>
                    <w:suppressLineNumbers w:val="0"/>
                    <w:bidi w:val="0"/>
                    <w:spacing w:before="0" w:beforeAutospacing="0" w:after="0" w:afterAutospacing="0"/>
                    <w:ind w:left="0" w:right="0"/>
                    <w:rPr>
                      <w:rFonts w:hint="eastAsia"/>
                      <w:color w:val="0000FF"/>
                      <w:lang w:val="en-US" w:eastAsia="zh-CN"/>
                    </w:rPr>
                  </w:pPr>
                  <w:r>
                    <w:rPr>
                      <w:rFonts w:hint="eastAsia"/>
                      <w:color w:val="0000FF"/>
                      <w:lang w:val="en-US" w:eastAsia="zh-CN"/>
                    </w:rPr>
                    <w:t>48</w:t>
                  </w:r>
                </w:p>
              </w:tc>
              <w:tc>
                <w:tcPr>
                  <w:tcW w:w="1017" w:type="dxa"/>
                  <w:noWrap/>
                  <w:vAlign w:val="center"/>
                </w:tcPr>
                <w:p w14:paraId="7F317C31">
                  <w:pPr>
                    <w:pStyle w:val="61"/>
                    <w:keepNext w:val="0"/>
                    <w:keepLines w:val="0"/>
                    <w:suppressLineNumbers w:val="0"/>
                    <w:bidi w:val="0"/>
                    <w:spacing w:before="0" w:beforeAutospacing="0" w:after="0" w:afterAutospacing="0"/>
                    <w:ind w:left="0" w:right="0"/>
                    <w:rPr>
                      <w:rFonts w:hint="eastAsia"/>
                      <w:color w:val="0000FF"/>
                      <w:lang w:val="en-US" w:eastAsia="zh-CN"/>
                    </w:rPr>
                  </w:pPr>
                  <w:r>
                    <w:rPr>
                      <w:rFonts w:hint="eastAsia"/>
                      <w:color w:val="0000FF"/>
                      <w:lang w:val="en-US" w:eastAsia="zh-CN"/>
                    </w:rPr>
                    <w:t>2.2</w:t>
                  </w:r>
                </w:p>
              </w:tc>
              <w:tc>
                <w:tcPr>
                  <w:tcW w:w="986" w:type="dxa"/>
                  <w:noWrap/>
                  <w:vAlign w:val="center"/>
                </w:tcPr>
                <w:p w14:paraId="3EF7F307">
                  <w:pPr>
                    <w:pStyle w:val="61"/>
                    <w:keepNext w:val="0"/>
                    <w:keepLines w:val="0"/>
                    <w:suppressLineNumbers w:val="0"/>
                    <w:bidi w:val="0"/>
                    <w:spacing w:before="0" w:beforeAutospacing="0" w:after="0" w:afterAutospacing="0"/>
                    <w:ind w:left="0" w:right="0"/>
                    <w:rPr>
                      <w:rFonts w:hint="eastAsia"/>
                      <w:color w:val="0000FF"/>
                      <w:lang w:val="en-US" w:eastAsia="zh-CN"/>
                    </w:rPr>
                  </w:pPr>
                  <w:r>
                    <w:rPr>
                      <w:rFonts w:hint="eastAsia"/>
                      <w:color w:val="0000FF"/>
                      <w:lang w:val="en-US" w:eastAsia="zh-CN"/>
                    </w:rPr>
                    <w:t>0.0014</w:t>
                  </w:r>
                </w:p>
              </w:tc>
              <w:tc>
                <w:tcPr>
                  <w:tcW w:w="921" w:type="dxa"/>
                  <w:vMerge w:val="continue"/>
                  <w:noWrap/>
                  <w:vAlign w:val="center"/>
                </w:tcPr>
                <w:p w14:paraId="18B0ED72">
                  <w:pPr>
                    <w:pStyle w:val="40"/>
                    <w:keepNext w:val="0"/>
                    <w:keepLines w:val="0"/>
                    <w:suppressLineNumbers w:val="0"/>
                    <w:spacing w:before="33" w:beforeAutospacing="0" w:after="33" w:afterAutospacing="0"/>
                    <w:jc w:val="center"/>
                    <w:rPr>
                      <w:rFonts w:hint="default"/>
                      <w:color w:val="auto"/>
                    </w:rPr>
                  </w:pPr>
                </w:p>
              </w:tc>
            </w:tr>
            <w:tr w14:paraId="1364C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499" w:type="dxa"/>
                  <w:vMerge w:val="continue"/>
                  <w:noWrap/>
                  <w:vAlign w:val="center"/>
                </w:tcPr>
                <w:p w14:paraId="01A0D888">
                  <w:pPr>
                    <w:pStyle w:val="40"/>
                    <w:keepNext w:val="0"/>
                    <w:keepLines w:val="0"/>
                    <w:suppressLineNumbers w:val="0"/>
                    <w:spacing w:before="33" w:beforeAutospacing="0" w:after="33" w:afterAutospacing="0"/>
                    <w:jc w:val="center"/>
                    <w:rPr>
                      <w:rFonts w:hint="default"/>
                      <w:color w:val="auto"/>
                    </w:rPr>
                  </w:pPr>
                </w:p>
              </w:tc>
              <w:tc>
                <w:tcPr>
                  <w:tcW w:w="663" w:type="dxa"/>
                  <w:vMerge w:val="restart"/>
                  <w:noWrap/>
                  <w:vAlign w:val="center"/>
                </w:tcPr>
                <w:p w14:paraId="39752108">
                  <w:pPr>
                    <w:pStyle w:val="40"/>
                    <w:keepNext w:val="0"/>
                    <w:keepLines w:val="0"/>
                    <w:suppressLineNumbers w:val="0"/>
                    <w:spacing w:before="33" w:beforeAutospacing="0" w:after="33" w:afterAutospacing="0"/>
                    <w:jc w:val="center"/>
                    <w:rPr>
                      <w:rFonts w:hint="default" w:eastAsia="宋体"/>
                      <w:color w:val="auto"/>
                      <w:lang w:val="en-US" w:eastAsia="zh-CN"/>
                    </w:rPr>
                  </w:pPr>
                  <w:r>
                    <w:rPr>
                      <w:rFonts w:hint="eastAsia"/>
                      <w:color w:val="auto"/>
                      <w:lang w:val="en-US" w:eastAsia="zh-CN"/>
                    </w:rPr>
                    <w:t>破碎废水</w:t>
                  </w:r>
                </w:p>
              </w:tc>
              <w:tc>
                <w:tcPr>
                  <w:tcW w:w="565" w:type="dxa"/>
                  <w:vMerge w:val="restart"/>
                  <w:noWrap/>
                  <w:vAlign w:val="center"/>
                </w:tcPr>
                <w:p w14:paraId="6F23A8A0">
                  <w:pPr>
                    <w:pStyle w:val="40"/>
                    <w:keepNext w:val="0"/>
                    <w:keepLines w:val="0"/>
                    <w:suppressLineNumbers w:val="0"/>
                    <w:spacing w:before="33" w:beforeAutospacing="0" w:after="33" w:afterAutospacing="0"/>
                    <w:jc w:val="center"/>
                    <w:rPr>
                      <w:rFonts w:hint="default" w:eastAsia="宋体"/>
                      <w:color w:val="auto"/>
                      <w:lang w:val="en-US" w:eastAsia="zh-CN"/>
                    </w:rPr>
                  </w:pPr>
                  <w:r>
                    <w:rPr>
                      <w:rFonts w:hint="eastAsia"/>
                      <w:color w:val="auto"/>
                      <w:lang w:val="en-US" w:eastAsia="zh-CN"/>
                    </w:rPr>
                    <w:t>293</w:t>
                  </w:r>
                </w:p>
              </w:tc>
              <w:tc>
                <w:tcPr>
                  <w:tcW w:w="858" w:type="dxa"/>
                  <w:shd w:val="clear" w:color="auto" w:fill="auto"/>
                  <w:noWrap/>
                  <w:vAlign w:val="center"/>
                </w:tcPr>
                <w:p w14:paraId="3D1F1B51">
                  <w:pPr>
                    <w:pStyle w:val="40"/>
                    <w:keepNext w:val="0"/>
                    <w:keepLines w:val="0"/>
                    <w:suppressLineNumbers w:val="0"/>
                    <w:spacing w:before="33" w:beforeAutospacing="0" w:after="33" w:afterAutospacing="0"/>
                    <w:ind w:left="24" w:leftChars="10" w:right="24" w:rightChars="10" w:firstLine="0" w:firstLineChars="0"/>
                    <w:jc w:val="center"/>
                    <w:rPr>
                      <w:rFonts w:hint="eastAsia" w:ascii="Times New Roman" w:hAnsi="Times New Roman" w:eastAsia="宋体" w:cs="Times New Roman"/>
                      <w:color w:val="auto"/>
                      <w:spacing w:val="-2"/>
                      <w:kern w:val="2"/>
                      <w:sz w:val="21"/>
                      <w:szCs w:val="18"/>
                      <w:lang w:val="en-US" w:eastAsia="zh-CN" w:bidi="ar-SA"/>
                    </w:rPr>
                  </w:pPr>
                  <w:r>
                    <w:rPr>
                      <w:rFonts w:hint="eastAsia"/>
                      <w:color w:val="auto"/>
                    </w:rPr>
                    <w:t>COD</w:t>
                  </w:r>
                </w:p>
              </w:tc>
              <w:tc>
                <w:tcPr>
                  <w:tcW w:w="926" w:type="dxa"/>
                  <w:noWrap/>
                  <w:vAlign w:val="center"/>
                </w:tcPr>
                <w:p w14:paraId="070D5FC8">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cs="Times New Roman"/>
                      <w:color w:val="auto"/>
                      <w:kern w:val="2"/>
                      <w:sz w:val="21"/>
                      <w:szCs w:val="24"/>
                      <w:lang w:val="en-US" w:eastAsia="zh-CN" w:bidi="ar-SA"/>
                    </w:rPr>
                    <w:t>420</w:t>
                  </w:r>
                </w:p>
              </w:tc>
              <w:tc>
                <w:tcPr>
                  <w:tcW w:w="859" w:type="dxa"/>
                  <w:noWrap/>
                  <w:vAlign w:val="center"/>
                </w:tcPr>
                <w:p w14:paraId="2FFE9E04">
                  <w:pPr>
                    <w:pStyle w:val="61"/>
                    <w:keepNext w:val="0"/>
                    <w:keepLines w:val="0"/>
                    <w:suppressLineNumbers w:val="0"/>
                    <w:bidi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eastAsia" w:cs="Times New Roman"/>
                      <w:color w:val="auto"/>
                      <w:kern w:val="2"/>
                      <w:sz w:val="21"/>
                      <w:szCs w:val="24"/>
                      <w:lang w:val="en-US" w:eastAsia="zh-CN" w:bidi="ar-SA"/>
                    </w:rPr>
                    <w:t>0.1231</w:t>
                  </w:r>
                </w:p>
              </w:tc>
              <w:tc>
                <w:tcPr>
                  <w:tcW w:w="748" w:type="dxa"/>
                  <w:vMerge w:val="restart"/>
                  <w:noWrap/>
                  <w:vAlign w:val="center"/>
                </w:tcPr>
                <w:p w14:paraId="0086DCA3">
                  <w:pPr>
                    <w:pStyle w:val="40"/>
                    <w:keepNext w:val="0"/>
                    <w:keepLines w:val="0"/>
                    <w:suppressLineNumbers w:val="0"/>
                    <w:spacing w:before="33" w:beforeAutospacing="0" w:after="33" w:afterAutospacing="0"/>
                    <w:ind w:left="24" w:leftChars="10" w:right="24" w:rightChars="10" w:firstLine="0" w:firstLineChars="0"/>
                    <w:jc w:val="center"/>
                    <w:rPr>
                      <w:rFonts w:hint="default"/>
                      <w:color w:val="auto"/>
                    </w:rPr>
                  </w:pPr>
                  <w:r>
                    <w:rPr>
                      <w:rFonts w:hint="default"/>
                      <w:color w:val="auto"/>
                    </w:rPr>
                    <w:t>絮凝沉淀池</w:t>
                  </w:r>
                </w:p>
              </w:tc>
              <w:tc>
                <w:tcPr>
                  <w:tcW w:w="732" w:type="dxa"/>
                  <w:noWrap/>
                  <w:vAlign w:val="center"/>
                </w:tcPr>
                <w:p w14:paraId="51DC5423">
                  <w:pPr>
                    <w:pStyle w:val="40"/>
                    <w:keepNext w:val="0"/>
                    <w:keepLines w:val="0"/>
                    <w:suppressLineNumbers w:val="0"/>
                    <w:spacing w:before="33" w:beforeAutospacing="0" w:after="33" w:afterAutospacing="0"/>
                    <w:ind w:left="24" w:leftChars="10" w:right="24" w:rightChars="10" w:firstLine="0" w:firstLineChars="0"/>
                    <w:jc w:val="center"/>
                    <w:rPr>
                      <w:rFonts w:hint="default"/>
                      <w:color w:val="auto"/>
                      <w:lang w:val="en-US" w:eastAsia="zh-CN"/>
                    </w:rPr>
                  </w:pPr>
                  <w:r>
                    <w:rPr>
                      <w:rFonts w:hint="eastAsia"/>
                      <w:color w:val="auto"/>
                      <w:lang w:val="en-US" w:eastAsia="zh-CN"/>
                    </w:rPr>
                    <w:t>40</w:t>
                  </w:r>
                </w:p>
              </w:tc>
              <w:tc>
                <w:tcPr>
                  <w:tcW w:w="1017" w:type="dxa"/>
                  <w:noWrap/>
                  <w:vAlign w:val="center"/>
                </w:tcPr>
                <w:p w14:paraId="412978E5">
                  <w:pPr>
                    <w:pStyle w:val="40"/>
                    <w:keepNext w:val="0"/>
                    <w:keepLines w:val="0"/>
                    <w:suppressLineNumbers w:val="0"/>
                    <w:spacing w:before="33" w:beforeAutospacing="0" w:after="33" w:afterAutospacing="0"/>
                    <w:jc w:val="center"/>
                    <w:rPr>
                      <w:rFonts w:hint="default"/>
                      <w:color w:val="auto"/>
                      <w:lang w:val="en-US" w:eastAsia="zh-CN"/>
                    </w:rPr>
                  </w:pPr>
                  <w:r>
                    <w:rPr>
                      <w:rFonts w:hint="eastAsia"/>
                      <w:color w:val="auto"/>
                      <w:lang w:val="en-US" w:eastAsia="zh-CN"/>
                    </w:rPr>
                    <w:t>252</w:t>
                  </w:r>
                </w:p>
              </w:tc>
              <w:tc>
                <w:tcPr>
                  <w:tcW w:w="986" w:type="dxa"/>
                  <w:noWrap/>
                  <w:vAlign w:val="center"/>
                </w:tcPr>
                <w:p w14:paraId="32B10BA2">
                  <w:pPr>
                    <w:pStyle w:val="40"/>
                    <w:keepNext w:val="0"/>
                    <w:keepLines w:val="0"/>
                    <w:suppressLineNumbers w:val="0"/>
                    <w:spacing w:before="33" w:beforeAutospacing="0" w:after="33" w:afterAutospacing="0"/>
                    <w:jc w:val="center"/>
                    <w:rPr>
                      <w:rFonts w:hint="default"/>
                      <w:color w:val="auto"/>
                      <w:lang w:val="en-US" w:eastAsia="zh-CN"/>
                    </w:rPr>
                  </w:pPr>
                  <w:r>
                    <w:rPr>
                      <w:rFonts w:hint="eastAsia"/>
                      <w:color w:val="auto"/>
                      <w:lang w:val="en-US" w:eastAsia="zh-CN"/>
                    </w:rPr>
                    <w:t>/</w:t>
                  </w:r>
                </w:p>
              </w:tc>
              <w:tc>
                <w:tcPr>
                  <w:tcW w:w="921" w:type="dxa"/>
                  <w:vMerge w:val="restart"/>
                  <w:noWrap/>
                  <w:vAlign w:val="center"/>
                </w:tcPr>
                <w:p w14:paraId="1331F40C">
                  <w:pPr>
                    <w:pStyle w:val="40"/>
                    <w:keepNext w:val="0"/>
                    <w:keepLines w:val="0"/>
                    <w:suppressLineNumbers w:val="0"/>
                    <w:spacing w:before="33" w:beforeAutospacing="0" w:after="33" w:afterAutospacing="0"/>
                    <w:jc w:val="center"/>
                    <w:rPr>
                      <w:rFonts w:hint="eastAsia" w:eastAsia="宋体"/>
                      <w:color w:val="auto"/>
                      <w:lang w:val="en-US" w:eastAsia="zh-CN"/>
                    </w:rPr>
                  </w:pPr>
                  <w:r>
                    <w:rPr>
                      <w:rFonts w:hint="eastAsia"/>
                      <w:color w:val="auto"/>
                      <w:lang w:val="en-US" w:eastAsia="zh-CN"/>
                    </w:rPr>
                    <w:t>处理后回用，不外排</w:t>
                  </w:r>
                </w:p>
              </w:tc>
            </w:tr>
            <w:tr w14:paraId="7CB6F3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499" w:type="dxa"/>
                  <w:vMerge w:val="continue"/>
                  <w:noWrap/>
                  <w:vAlign w:val="center"/>
                </w:tcPr>
                <w:p w14:paraId="57EB4FF8">
                  <w:pPr>
                    <w:pStyle w:val="40"/>
                    <w:keepNext w:val="0"/>
                    <w:keepLines w:val="0"/>
                    <w:suppressLineNumbers w:val="0"/>
                    <w:spacing w:before="33" w:beforeAutospacing="0" w:after="33" w:afterAutospacing="0"/>
                    <w:jc w:val="center"/>
                    <w:rPr>
                      <w:rFonts w:hint="default"/>
                      <w:color w:val="auto"/>
                    </w:rPr>
                  </w:pPr>
                </w:p>
              </w:tc>
              <w:tc>
                <w:tcPr>
                  <w:tcW w:w="663" w:type="dxa"/>
                  <w:vMerge w:val="continue"/>
                  <w:noWrap/>
                  <w:vAlign w:val="center"/>
                </w:tcPr>
                <w:p w14:paraId="067FAD61">
                  <w:pPr>
                    <w:pStyle w:val="40"/>
                    <w:keepNext w:val="0"/>
                    <w:keepLines w:val="0"/>
                    <w:suppressLineNumbers w:val="0"/>
                    <w:spacing w:before="33" w:beforeAutospacing="0" w:after="33" w:afterAutospacing="0"/>
                    <w:jc w:val="center"/>
                    <w:rPr>
                      <w:rFonts w:hint="default"/>
                      <w:color w:val="auto"/>
                    </w:rPr>
                  </w:pPr>
                </w:p>
              </w:tc>
              <w:tc>
                <w:tcPr>
                  <w:tcW w:w="565" w:type="dxa"/>
                  <w:vMerge w:val="continue"/>
                  <w:noWrap/>
                  <w:vAlign w:val="center"/>
                </w:tcPr>
                <w:p w14:paraId="17FC5CFD">
                  <w:pPr>
                    <w:pStyle w:val="40"/>
                    <w:keepNext w:val="0"/>
                    <w:keepLines w:val="0"/>
                    <w:suppressLineNumbers w:val="0"/>
                    <w:spacing w:before="33" w:beforeAutospacing="0" w:after="33" w:afterAutospacing="0"/>
                    <w:jc w:val="center"/>
                    <w:rPr>
                      <w:rFonts w:hint="default"/>
                      <w:color w:val="auto"/>
                    </w:rPr>
                  </w:pPr>
                </w:p>
              </w:tc>
              <w:tc>
                <w:tcPr>
                  <w:tcW w:w="858" w:type="dxa"/>
                  <w:shd w:val="clear" w:color="auto" w:fill="auto"/>
                  <w:noWrap/>
                  <w:vAlign w:val="center"/>
                </w:tcPr>
                <w:p w14:paraId="3C907C53">
                  <w:pPr>
                    <w:pStyle w:val="40"/>
                    <w:keepNext w:val="0"/>
                    <w:keepLines w:val="0"/>
                    <w:suppressLineNumbers w:val="0"/>
                    <w:spacing w:before="33" w:beforeAutospacing="0" w:after="33" w:afterAutospacing="0"/>
                    <w:ind w:left="24" w:leftChars="10" w:right="24" w:rightChars="10" w:firstLine="0" w:firstLineChars="0"/>
                    <w:jc w:val="center"/>
                    <w:rPr>
                      <w:rFonts w:hint="eastAsia" w:ascii="Times New Roman" w:hAnsi="Times New Roman" w:eastAsia="宋体" w:cs="Times New Roman"/>
                      <w:color w:val="auto"/>
                      <w:spacing w:val="-2"/>
                      <w:kern w:val="2"/>
                      <w:sz w:val="21"/>
                      <w:szCs w:val="18"/>
                      <w:lang w:val="en-US" w:eastAsia="zh-CN" w:bidi="ar-SA"/>
                    </w:rPr>
                  </w:pPr>
                  <w:r>
                    <w:rPr>
                      <w:rFonts w:hint="eastAsia"/>
                      <w:color w:val="auto"/>
                    </w:rPr>
                    <w:t>氨氮</w:t>
                  </w:r>
                </w:p>
              </w:tc>
              <w:tc>
                <w:tcPr>
                  <w:tcW w:w="926" w:type="dxa"/>
                  <w:noWrap/>
                  <w:vAlign w:val="center"/>
                </w:tcPr>
                <w:p w14:paraId="281502D6">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cs="Times New Roman"/>
                      <w:color w:val="auto"/>
                      <w:kern w:val="2"/>
                      <w:sz w:val="21"/>
                      <w:szCs w:val="24"/>
                      <w:lang w:val="en-US" w:eastAsia="zh-CN" w:bidi="ar-SA"/>
                    </w:rPr>
                    <w:t>21.2</w:t>
                  </w:r>
                </w:p>
              </w:tc>
              <w:tc>
                <w:tcPr>
                  <w:tcW w:w="859" w:type="dxa"/>
                  <w:noWrap/>
                  <w:vAlign w:val="center"/>
                </w:tcPr>
                <w:p w14:paraId="1AAF60C9">
                  <w:pPr>
                    <w:pStyle w:val="61"/>
                    <w:keepNext w:val="0"/>
                    <w:keepLines w:val="0"/>
                    <w:suppressLineNumbers w:val="0"/>
                    <w:bidi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eastAsia" w:cs="Times New Roman"/>
                      <w:color w:val="auto"/>
                      <w:kern w:val="2"/>
                      <w:sz w:val="21"/>
                      <w:szCs w:val="24"/>
                      <w:lang w:val="en-US" w:eastAsia="zh-CN" w:bidi="ar-SA"/>
                    </w:rPr>
                    <w:t>0.0062</w:t>
                  </w:r>
                </w:p>
              </w:tc>
              <w:tc>
                <w:tcPr>
                  <w:tcW w:w="748" w:type="dxa"/>
                  <w:vMerge w:val="continue"/>
                  <w:noWrap/>
                  <w:vAlign w:val="center"/>
                </w:tcPr>
                <w:p w14:paraId="5B8D0800">
                  <w:pPr>
                    <w:pStyle w:val="40"/>
                    <w:keepNext w:val="0"/>
                    <w:keepLines w:val="0"/>
                    <w:suppressLineNumbers w:val="0"/>
                    <w:spacing w:before="33" w:beforeAutospacing="0" w:after="33" w:afterAutospacing="0"/>
                    <w:ind w:left="24" w:leftChars="10" w:right="24" w:rightChars="10" w:firstLine="0" w:firstLineChars="0"/>
                    <w:jc w:val="center"/>
                    <w:rPr>
                      <w:rFonts w:hint="default"/>
                      <w:color w:val="auto"/>
                    </w:rPr>
                  </w:pPr>
                </w:p>
              </w:tc>
              <w:tc>
                <w:tcPr>
                  <w:tcW w:w="732" w:type="dxa"/>
                  <w:noWrap/>
                  <w:vAlign w:val="center"/>
                </w:tcPr>
                <w:p w14:paraId="2B8D020B">
                  <w:pPr>
                    <w:pStyle w:val="40"/>
                    <w:keepNext w:val="0"/>
                    <w:keepLines w:val="0"/>
                    <w:suppressLineNumbers w:val="0"/>
                    <w:spacing w:before="33" w:beforeAutospacing="0" w:after="33" w:afterAutospacing="0"/>
                    <w:ind w:left="24" w:leftChars="10" w:right="24" w:rightChars="10" w:firstLine="0" w:firstLineChars="0"/>
                    <w:jc w:val="center"/>
                    <w:rPr>
                      <w:rFonts w:hint="default"/>
                      <w:color w:val="auto"/>
                      <w:lang w:val="en-US" w:eastAsia="zh-CN"/>
                    </w:rPr>
                  </w:pPr>
                  <w:r>
                    <w:rPr>
                      <w:rFonts w:hint="eastAsia"/>
                      <w:color w:val="auto"/>
                      <w:lang w:val="en-US" w:eastAsia="zh-CN"/>
                    </w:rPr>
                    <w:t>/</w:t>
                  </w:r>
                </w:p>
              </w:tc>
              <w:tc>
                <w:tcPr>
                  <w:tcW w:w="1017" w:type="dxa"/>
                  <w:noWrap/>
                  <w:vAlign w:val="center"/>
                </w:tcPr>
                <w:p w14:paraId="4B06FE95">
                  <w:pPr>
                    <w:pStyle w:val="40"/>
                    <w:keepNext w:val="0"/>
                    <w:keepLines w:val="0"/>
                    <w:suppressLineNumbers w:val="0"/>
                    <w:spacing w:before="33" w:beforeAutospacing="0" w:after="33" w:afterAutospacing="0"/>
                    <w:jc w:val="center"/>
                    <w:rPr>
                      <w:rFonts w:hint="default"/>
                      <w:color w:val="auto"/>
                      <w:lang w:val="en-US" w:eastAsia="zh-CN"/>
                    </w:rPr>
                  </w:pPr>
                  <w:r>
                    <w:rPr>
                      <w:rFonts w:hint="eastAsia"/>
                      <w:color w:val="auto"/>
                      <w:lang w:val="en-US" w:eastAsia="zh-CN"/>
                    </w:rPr>
                    <w:t>21.2</w:t>
                  </w:r>
                </w:p>
              </w:tc>
              <w:tc>
                <w:tcPr>
                  <w:tcW w:w="986" w:type="dxa"/>
                  <w:noWrap/>
                  <w:vAlign w:val="center"/>
                </w:tcPr>
                <w:p w14:paraId="69B40D79">
                  <w:pPr>
                    <w:pStyle w:val="40"/>
                    <w:keepNext w:val="0"/>
                    <w:keepLines w:val="0"/>
                    <w:suppressLineNumbers w:val="0"/>
                    <w:spacing w:before="33" w:beforeAutospacing="0" w:after="33" w:afterAutospacing="0"/>
                    <w:jc w:val="center"/>
                    <w:rPr>
                      <w:rFonts w:hint="default"/>
                      <w:color w:val="auto"/>
                      <w:lang w:val="en-US" w:eastAsia="zh-CN"/>
                    </w:rPr>
                  </w:pPr>
                  <w:r>
                    <w:rPr>
                      <w:rFonts w:hint="eastAsia"/>
                      <w:color w:val="auto"/>
                      <w:lang w:val="en-US" w:eastAsia="zh-CN"/>
                    </w:rPr>
                    <w:t>/</w:t>
                  </w:r>
                </w:p>
              </w:tc>
              <w:tc>
                <w:tcPr>
                  <w:tcW w:w="921" w:type="dxa"/>
                  <w:vMerge w:val="continue"/>
                  <w:noWrap/>
                  <w:vAlign w:val="center"/>
                </w:tcPr>
                <w:p w14:paraId="595C6F27">
                  <w:pPr>
                    <w:pStyle w:val="40"/>
                    <w:keepNext w:val="0"/>
                    <w:keepLines w:val="0"/>
                    <w:suppressLineNumbers w:val="0"/>
                    <w:spacing w:before="33" w:beforeAutospacing="0" w:after="33" w:afterAutospacing="0"/>
                    <w:jc w:val="center"/>
                    <w:rPr>
                      <w:rFonts w:hint="default"/>
                      <w:color w:val="auto"/>
                    </w:rPr>
                  </w:pPr>
                </w:p>
              </w:tc>
            </w:tr>
            <w:tr w14:paraId="654196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499" w:type="dxa"/>
                  <w:vMerge w:val="continue"/>
                  <w:noWrap/>
                  <w:vAlign w:val="center"/>
                </w:tcPr>
                <w:p w14:paraId="33B6DA5C">
                  <w:pPr>
                    <w:pStyle w:val="40"/>
                    <w:keepNext w:val="0"/>
                    <w:keepLines w:val="0"/>
                    <w:suppressLineNumbers w:val="0"/>
                    <w:spacing w:before="33" w:beforeAutospacing="0" w:after="33" w:afterAutospacing="0"/>
                    <w:jc w:val="center"/>
                    <w:rPr>
                      <w:rFonts w:hint="default"/>
                      <w:color w:val="auto"/>
                    </w:rPr>
                  </w:pPr>
                </w:p>
              </w:tc>
              <w:tc>
                <w:tcPr>
                  <w:tcW w:w="663" w:type="dxa"/>
                  <w:vMerge w:val="continue"/>
                  <w:noWrap/>
                  <w:vAlign w:val="center"/>
                </w:tcPr>
                <w:p w14:paraId="4CFBA409">
                  <w:pPr>
                    <w:pStyle w:val="40"/>
                    <w:keepNext w:val="0"/>
                    <w:keepLines w:val="0"/>
                    <w:suppressLineNumbers w:val="0"/>
                    <w:spacing w:before="33" w:beforeAutospacing="0" w:after="33" w:afterAutospacing="0"/>
                    <w:jc w:val="center"/>
                    <w:rPr>
                      <w:rFonts w:hint="default"/>
                      <w:color w:val="auto"/>
                    </w:rPr>
                  </w:pPr>
                </w:p>
              </w:tc>
              <w:tc>
                <w:tcPr>
                  <w:tcW w:w="565" w:type="dxa"/>
                  <w:vMerge w:val="continue"/>
                  <w:noWrap/>
                  <w:vAlign w:val="center"/>
                </w:tcPr>
                <w:p w14:paraId="5B6C478D">
                  <w:pPr>
                    <w:pStyle w:val="40"/>
                    <w:keepNext w:val="0"/>
                    <w:keepLines w:val="0"/>
                    <w:suppressLineNumbers w:val="0"/>
                    <w:spacing w:before="33" w:beforeAutospacing="0" w:after="33" w:afterAutospacing="0"/>
                    <w:jc w:val="center"/>
                    <w:rPr>
                      <w:rFonts w:hint="default"/>
                      <w:color w:val="auto"/>
                    </w:rPr>
                  </w:pPr>
                </w:p>
              </w:tc>
              <w:tc>
                <w:tcPr>
                  <w:tcW w:w="858" w:type="dxa"/>
                  <w:shd w:val="clear" w:color="auto" w:fill="auto"/>
                  <w:noWrap/>
                  <w:vAlign w:val="center"/>
                </w:tcPr>
                <w:p w14:paraId="5B405BD1">
                  <w:pPr>
                    <w:pStyle w:val="40"/>
                    <w:keepNext w:val="0"/>
                    <w:keepLines w:val="0"/>
                    <w:suppressLineNumbers w:val="0"/>
                    <w:spacing w:before="33" w:beforeAutospacing="0" w:after="33" w:afterAutospacing="0"/>
                    <w:ind w:left="24" w:leftChars="10" w:right="24" w:rightChars="10" w:firstLine="0" w:firstLineChars="0"/>
                    <w:jc w:val="center"/>
                    <w:rPr>
                      <w:rFonts w:hint="default" w:ascii="Times New Roman" w:hAnsi="Times New Roman" w:eastAsia="宋体" w:cs="Times New Roman"/>
                      <w:color w:val="auto"/>
                      <w:spacing w:val="-2"/>
                      <w:kern w:val="2"/>
                      <w:sz w:val="21"/>
                      <w:szCs w:val="18"/>
                      <w:lang w:val="en-US" w:eastAsia="zh-CN" w:bidi="ar-SA"/>
                    </w:rPr>
                  </w:pPr>
                  <w:r>
                    <w:rPr>
                      <w:rFonts w:hint="eastAsia"/>
                      <w:color w:val="auto"/>
                      <w:lang w:val="en-US" w:eastAsia="zh-CN"/>
                    </w:rPr>
                    <w:t>TN</w:t>
                  </w:r>
                </w:p>
              </w:tc>
              <w:tc>
                <w:tcPr>
                  <w:tcW w:w="926" w:type="dxa"/>
                  <w:noWrap/>
                  <w:vAlign w:val="center"/>
                </w:tcPr>
                <w:p w14:paraId="6C3AD4C3">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cs="Times New Roman"/>
                      <w:color w:val="auto"/>
                      <w:kern w:val="2"/>
                      <w:sz w:val="21"/>
                      <w:szCs w:val="24"/>
                      <w:lang w:val="en-US" w:eastAsia="zh-CN" w:bidi="ar-SA"/>
                    </w:rPr>
                    <w:t>32.5</w:t>
                  </w:r>
                </w:p>
              </w:tc>
              <w:tc>
                <w:tcPr>
                  <w:tcW w:w="859" w:type="dxa"/>
                  <w:noWrap/>
                  <w:vAlign w:val="center"/>
                </w:tcPr>
                <w:p w14:paraId="68C08AB6">
                  <w:pPr>
                    <w:pStyle w:val="61"/>
                    <w:keepNext w:val="0"/>
                    <w:keepLines w:val="0"/>
                    <w:suppressLineNumbers w:val="0"/>
                    <w:bidi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eastAsia" w:cs="Times New Roman"/>
                      <w:color w:val="auto"/>
                      <w:kern w:val="2"/>
                      <w:sz w:val="21"/>
                      <w:szCs w:val="24"/>
                      <w:lang w:val="en-US" w:eastAsia="zh-CN" w:bidi="ar-SA"/>
                    </w:rPr>
                    <w:t>0.0095</w:t>
                  </w:r>
                </w:p>
              </w:tc>
              <w:tc>
                <w:tcPr>
                  <w:tcW w:w="748" w:type="dxa"/>
                  <w:vMerge w:val="continue"/>
                  <w:noWrap/>
                  <w:vAlign w:val="center"/>
                </w:tcPr>
                <w:p w14:paraId="3B382182">
                  <w:pPr>
                    <w:pStyle w:val="40"/>
                    <w:keepNext w:val="0"/>
                    <w:keepLines w:val="0"/>
                    <w:suppressLineNumbers w:val="0"/>
                    <w:spacing w:before="33" w:beforeAutospacing="0" w:after="33" w:afterAutospacing="0"/>
                    <w:ind w:left="24" w:leftChars="10" w:right="24" w:rightChars="10" w:firstLine="0" w:firstLineChars="0"/>
                    <w:jc w:val="center"/>
                    <w:rPr>
                      <w:rFonts w:hint="default"/>
                      <w:color w:val="auto"/>
                    </w:rPr>
                  </w:pPr>
                </w:p>
              </w:tc>
              <w:tc>
                <w:tcPr>
                  <w:tcW w:w="732" w:type="dxa"/>
                  <w:noWrap/>
                  <w:vAlign w:val="center"/>
                </w:tcPr>
                <w:p w14:paraId="09EF71D1">
                  <w:pPr>
                    <w:pStyle w:val="40"/>
                    <w:keepNext w:val="0"/>
                    <w:keepLines w:val="0"/>
                    <w:suppressLineNumbers w:val="0"/>
                    <w:spacing w:before="33" w:beforeAutospacing="0" w:after="33" w:afterAutospacing="0"/>
                    <w:ind w:left="24" w:leftChars="10" w:right="24" w:rightChars="10" w:firstLine="0" w:firstLineChars="0"/>
                    <w:jc w:val="center"/>
                    <w:rPr>
                      <w:rFonts w:hint="default"/>
                      <w:color w:val="auto"/>
                      <w:lang w:val="en-US" w:eastAsia="zh-CN"/>
                    </w:rPr>
                  </w:pPr>
                  <w:r>
                    <w:rPr>
                      <w:rFonts w:hint="eastAsia"/>
                      <w:color w:val="auto"/>
                      <w:lang w:val="en-US" w:eastAsia="zh-CN"/>
                    </w:rPr>
                    <w:t>/</w:t>
                  </w:r>
                </w:p>
              </w:tc>
              <w:tc>
                <w:tcPr>
                  <w:tcW w:w="1017" w:type="dxa"/>
                  <w:noWrap/>
                  <w:vAlign w:val="center"/>
                </w:tcPr>
                <w:p w14:paraId="3FE80360">
                  <w:pPr>
                    <w:pStyle w:val="40"/>
                    <w:keepNext w:val="0"/>
                    <w:keepLines w:val="0"/>
                    <w:suppressLineNumbers w:val="0"/>
                    <w:spacing w:before="33" w:beforeAutospacing="0" w:after="33" w:afterAutospacing="0"/>
                    <w:jc w:val="center"/>
                    <w:rPr>
                      <w:rFonts w:hint="default"/>
                      <w:color w:val="auto"/>
                      <w:lang w:val="en-US" w:eastAsia="zh-CN"/>
                    </w:rPr>
                  </w:pPr>
                  <w:r>
                    <w:rPr>
                      <w:rFonts w:hint="eastAsia"/>
                      <w:color w:val="auto"/>
                      <w:lang w:val="en-US" w:eastAsia="zh-CN"/>
                    </w:rPr>
                    <w:t>32.5</w:t>
                  </w:r>
                </w:p>
              </w:tc>
              <w:tc>
                <w:tcPr>
                  <w:tcW w:w="986" w:type="dxa"/>
                  <w:noWrap/>
                  <w:vAlign w:val="center"/>
                </w:tcPr>
                <w:p w14:paraId="4ABB68BF">
                  <w:pPr>
                    <w:pStyle w:val="40"/>
                    <w:keepNext w:val="0"/>
                    <w:keepLines w:val="0"/>
                    <w:suppressLineNumbers w:val="0"/>
                    <w:spacing w:before="33" w:beforeAutospacing="0" w:after="33" w:afterAutospacing="0"/>
                    <w:jc w:val="center"/>
                    <w:rPr>
                      <w:rFonts w:hint="default"/>
                      <w:color w:val="auto"/>
                      <w:lang w:val="en-US" w:eastAsia="zh-CN"/>
                    </w:rPr>
                  </w:pPr>
                  <w:r>
                    <w:rPr>
                      <w:rFonts w:hint="eastAsia"/>
                      <w:color w:val="auto"/>
                      <w:lang w:val="en-US" w:eastAsia="zh-CN"/>
                    </w:rPr>
                    <w:t>/</w:t>
                  </w:r>
                </w:p>
              </w:tc>
              <w:tc>
                <w:tcPr>
                  <w:tcW w:w="921" w:type="dxa"/>
                  <w:vMerge w:val="continue"/>
                  <w:noWrap/>
                  <w:vAlign w:val="center"/>
                </w:tcPr>
                <w:p w14:paraId="2051B7C3">
                  <w:pPr>
                    <w:pStyle w:val="40"/>
                    <w:keepNext w:val="0"/>
                    <w:keepLines w:val="0"/>
                    <w:suppressLineNumbers w:val="0"/>
                    <w:spacing w:before="33" w:beforeAutospacing="0" w:after="33" w:afterAutospacing="0"/>
                    <w:jc w:val="center"/>
                    <w:rPr>
                      <w:rFonts w:hint="default"/>
                      <w:color w:val="auto"/>
                    </w:rPr>
                  </w:pPr>
                </w:p>
              </w:tc>
            </w:tr>
            <w:tr w14:paraId="5C1AE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499" w:type="dxa"/>
                  <w:vMerge w:val="continue"/>
                  <w:noWrap/>
                  <w:vAlign w:val="center"/>
                </w:tcPr>
                <w:p w14:paraId="166D00A3">
                  <w:pPr>
                    <w:pStyle w:val="40"/>
                    <w:keepNext w:val="0"/>
                    <w:keepLines w:val="0"/>
                    <w:suppressLineNumbers w:val="0"/>
                    <w:spacing w:before="33" w:beforeAutospacing="0" w:after="33" w:afterAutospacing="0"/>
                    <w:jc w:val="center"/>
                    <w:rPr>
                      <w:rFonts w:hint="default"/>
                      <w:color w:val="auto"/>
                    </w:rPr>
                  </w:pPr>
                </w:p>
              </w:tc>
              <w:tc>
                <w:tcPr>
                  <w:tcW w:w="663" w:type="dxa"/>
                  <w:vMerge w:val="continue"/>
                  <w:noWrap/>
                  <w:vAlign w:val="center"/>
                </w:tcPr>
                <w:p w14:paraId="7CAB4F31">
                  <w:pPr>
                    <w:pStyle w:val="40"/>
                    <w:keepNext w:val="0"/>
                    <w:keepLines w:val="0"/>
                    <w:suppressLineNumbers w:val="0"/>
                    <w:spacing w:before="33" w:beforeAutospacing="0" w:after="33" w:afterAutospacing="0"/>
                    <w:jc w:val="center"/>
                    <w:rPr>
                      <w:rFonts w:hint="default"/>
                      <w:color w:val="auto"/>
                    </w:rPr>
                  </w:pPr>
                </w:p>
              </w:tc>
              <w:tc>
                <w:tcPr>
                  <w:tcW w:w="565" w:type="dxa"/>
                  <w:vMerge w:val="continue"/>
                  <w:noWrap/>
                  <w:vAlign w:val="center"/>
                </w:tcPr>
                <w:p w14:paraId="6E8BA3B4">
                  <w:pPr>
                    <w:pStyle w:val="40"/>
                    <w:keepNext w:val="0"/>
                    <w:keepLines w:val="0"/>
                    <w:suppressLineNumbers w:val="0"/>
                    <w:spacing w:before="33" w:beforeAutospacing="0" w:after="33" w:afterAutospacing="0"/>
                    <w:jc w:val="center"/>
                    <w:rPr>
                      <w:rFonts w:hint="default"/>
                      <w:color w:val="auto"/>
                    </w:rPr>
                  </w:pPr>
                </w:p>
              </w:tc>
              <w:tc>
                <w:tcPr>
                  <w:tcW w:w="858" w:type="dxa"/>
                  <w:shd w:val="clear" w:color="auto" w:fill="auto"/>
                  <w:noWrap/>
                  <w:vAlign w:val="center"/>
                </w:tcPr>
                <w:p w14:paraId="311D4C1D">
                  <w:pPr>
                    <w:pStyle w:val="40"/>
                    <w:keepNext w:val="0"/>
                    <w:keepLines w:val="0"/>
                    <w:suppressLineNumbers w:val="0"/>
                    <w:spacing w:before="33" w:beforeAutospacing="0" w:after="33" w:afterAutospacing="0"/>
                    <w:ind w:left="24" w:leftChars="10" w:right="24" w:rightChars="10" w:firstLine="0" w:firstLineChars="0"/>
                    <w:jc w:val="center"/>
                    <w:rPr>
                      <w:rFonts w:hint="eastAsia" w:ascii="Times New Roman" w:hAnsi="Times New Roman" w:eastAsia="宋体" w:cs="Times New Roman"/>
                      <w:color w:val="auto"/>
                      <w:spacing w:val="-2"/>
                      <w:kern w:val="2"/>
                      <w:sz w:val="21"/>
                      <w:szCs w:val="18"/>
                      <w:lang w:val="en-US" w:eastAsia="zh-CN" w:bidi="ar-SA"/>
                    </w:rPr>
                  </w:pPr>
                  <w:r>
                    <w:rPr>
                      <w:rFonts w:hint="eastAsia"/>
                      <w:color w:val="auto"/>
                      <w:lang w:val="en-US" w:eastAsia="zh-CN"/>
                    </w:rPr>
                    <w:t>石油类</w:t>
                  </w:r>
                </w:p>
              </w:tc>
              <w:tc>
                <w:tcPr>
                  <w:tcW w:w="926" w:type="dxa"/>
                  <w:noWrap/>
                  <w:vAlign w:val="center"/>
                </w:tcPr>
                <w:p w14:paraId="3C71FCDA">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cs="Times New Roman"/>
                      <w:color w:val="auto"/>
                      <w:kern w:val="2"/>
                      <w:sz w:val="21"/>
                      <w:szCs w:val="24"/>
                      <w:lang w:val="en-US" w:eastAsia="zh-CN" w:bidi="ar-SA"/>
                    </w:rPr>
                    <w:t>18.5</w:t>
                  </w:r>
                </w:p>
              </w:tc>
              <w:tc>
                <w:tcPr>
                  <w:tcW w:w="859" w:type="dxa"/>
                  <w:noWrap/>
                  <w:vAlign w:val="center"/>
                </w:tcPr>
                <w:p w14:paraId="5557CF38">
                  <w:pPr>
                    <w:pStyle w:val="61"/>
                    <w:keepNext w:val="0"/>
                    <w:keepLines w:val="0"/>
                    <w:suppressLineNumbers w:val="0"/>
                    <w:bidi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eastAsia" w:cs="Times New Roman"/>
                      <w:color w:val="auto"/>
                      <w:kern w:val="2"/>
                      <w:sz w:val="21"/>
                      <w:szCs w:val="24"/>
                      <w:lang w:val="en-US" w:eastAsia="zh-CN" w:bidi="ar-SA"/>
                    </w:rPr>
                    <w:t>0.0054</w:t>
                  </w:r>
                </w:p>
              </w:tc>
              <w:tc>
                <w:tcPr>
                  <w:tcW w:w="748" w:type="dxa"/>
                  <w:vMerge w:val="continue"/>
                  <w:noWrap/>
                  <w:vAlign w:val="center"/>
                </w:tcPr>
                <w:p w14:paraId="3984FB8B">
                  <w:pPr>
                    <w:pStyle w:val="40"/>
                    <w:keepNext w:val="0"/>
                    <w:keepLines w:val="0"/>
                    <w:suppressLineNumbers w:val="0"/>
                    <w:spacing w:before="33" w:beforeAutospacing="0" w:after="33" w:afterAutospacing="0"/>
                    <w:ind w:left="24" w:leftChars="10" w:right="24" w:rightChars="10" w:firstLine="0" w:firstLineChars="0"/>
                    <w:jc w:val="center"/>
                    <w:rPr>
                      <w:rFonts w:hint="default"/>
                      <w:color w:val="auto"/>
                    </w:rPr>
                  </w:pPr>
                </w:p>
              </w:tc>
              <w:tc>
                <w:tcPr>
                  <w:tcW w:w="732" w:type="dxa"/>
                  <w:noWrap/>
                  <w:vAlign w:val="center"/>
                </w:tcPr>
                <w:p w14:paraId="3A1222AF">
                  <w:pPr>
                    <w:pStyle w:val="40"/>
                    <w:keepNext w:val="0"/>
                    <w:keepLines w:val="0"/>
                    <w:suppressLineNumbers w:val="0"/>
                    <w:spacing w:before="33" w:beforeAutospacing="0" w:after="33" w:afterAutospacing="0"/>
                    <w:ind w:left="24" w:leftChars="10" w:right="24" w:rightChars="10" w:firstLine="0" w:firstLineChars="0"/>
                    <w:jc w:val="center"/>
                    <w:rPr>
                      <w:rFonts w:hint="default"/>
                      <w:color w:val="auto"/>
                      <w:lang w:val="en-US" w:eastAsia="zh-CN"/>
                    </w:rPr>
                  </w:pPr>
                  <w:r>
                    <w:rPr>
                      <w:rFonts w:hint="eastAsia"/>
                      <w:color w:val="auto"/>
                      <w:lang w:val="en-US" w:eastAsia="zh-CN"/>
                    </w:rPr>
                    <w:t>50</w:t>
                  </w:r>
                </w:p>
              </w:tc>
              <w:tc>
                <w:tcPr>
                  <w:tcW w:w="1017" w:type="dxa"/>
                  <w:noWrap/>
                  <w:vAlign w:val="center"/>
                </w:tcPr>
                <w:p w14:paraId="55E5DFFA">
                  <w:pPr>
                    <w:pStyle w:val="40"/>
                    <w:keepNext w:val="0"/>
                    <w:keepLines w:val="0"/>
                    <w:suppressLineNumbers w:val="0"/>
                    <w:spacing w:before="33" w:beforeAutospacing="0" w:after="33" w:afterAutospacing="0"/>
                    <w:jc w:val="center"/>
                    <w:rPr>
                      <w:rFonts w:hint="default"/>
                      <w:color w:val="auto"/>
                      <w:lang w:val="en-US" w:eastAsia="zh-CN"/>
                    </w:rPr>
                  </w:pPr>
                  <w:r>
                    <w:rPr>
                      <w:rFonts w:hint="eastAsia"/>
                      <w:color w:val="auto"/>
                      <w:lang w:val="en-US" w:eastAsia="zh-CN"/>
                    </w:rPr>
                    <w:t>9.25</w:t>
                  </w:r>
                </w:p>
              </w:tc>
              <w:tc>
                <w:tcPr>
                  <w:tcW w:w="986" w:type="dxa"/>
                  <w:noWrap/>
                  <w:vAlign w:val="center"/>
                </w:tcPr>
                <w:p w14:paraId="61E24034">
                  <w:pPr>
                    <w:pStyle w:val="40"/>
                    <w:keepNext w:val="0"/>
                    <w:keepLines w:val="0"/>
                    <w:suppressLineNumbers w:val="0"/>
                    <w:spacing w:before="33" w:beforeAutospacing="0" w:after="33" w:afterAutospacing="0"/>
                    <w:jc w:val="center"/>
                    <w:rPr>
                      <w:rFonts w:hint="default"/>
                      <w:color w:val="auto"/>
                      <w:lang w:val="en-US" w:eastAsia="zh-CN"/>
                    </w:rPr>
                  </w:pPr>
                  <w:r>
                    <w:rPr>
                      <w:rFonts w:hint="eastAsia"/>
                      <w:color w:val="auto"/>
                      <w:lang w:val="en-US" w:eastAsia="zh-CN"/>
                    </w:rPr>
                    <w:t>/</w:t>
                  </w:r>
                </w:p>
              </w:tc>
              <w:tc>
                <w:tcPr>
                  <w:tcW w:w="921" w:type="dxa"/>
                  <w:vMerge w:val="continue"/>
                  <w:noWrap/>
                  <w:vAlign w:val="center"/>
                </w:tcPr>
                <w:p w14:paraId="1B106D96">
                  <w:pPr>
                    <w:pStyle w:val="40"/>
                    <w:keepNext w:val="0"/>
                    <w:keepLines w:val="0"/>
                    <w:suppressLineNumbers w:val="0"/>
                    <w:spacing w:before="33" w:beforeAutospacing="0" w:after="33" w:afterAutospacing="0"/>
                    <w:jc w:val="center"/>
                    <w:rPr>
                      <w:rFonts w:hint="default"/>
                      <w:color w:val="auto"/>
                    </w:rPr>
                  </w:pPr>
                </w:p>
              </w:tc>
            </w:tr>
            <w:tr w14:paraId="16B59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499" w:type="dxa"/>
                  <w:vMerge w:val="continue"/>
                  <w:noWrap/>
                  <w:vAlign w:val="center"/>
                </w:tcPr>
                <w:p w14:paraId="104F393E">
                  <w:pPr>
                    <w:pStyle w:val="40"/>
                    <w:keepNext w:val="0"/>
                    <w:keepLines w:val="0"/>
                    <w:suppressLineNumbers w:val="0"/>
                    <w:spacing w:before="33" w:beforeAutospacing="0" w:after="33" w:afterAutospacing="0"/>
                    <w:jc w:val="center"/>
                    <w:rPr>
                      <w:rFonts w:hint="default"/>
                      <w:color w:val="auto"/>
                    </w:rPr>
                  </w:pPr>
                </w:p>
              </w:tc>
              <w:tc>
                <w:tcPr>
                  <w:tcW w:w="663" w:type="dxa"/>
                  <w:vMerge w:val="continue"/>
                  <w:noWrap/>
                  <w:vAlign w:val="center"/>
                </w:tcPr>
                <w:p w14:paraId="108B666E">
                  <w:pPr>
                    <w:pStyle w:val="40"/>
                    <w:keepNext w:val="0"/>
                    <w:keepLines w:val="0"/>
                    <w:suppressLineNumbers w:val="0"/>
                    <w:spacing w:before="33" w:beforeAutospacing="0" w:after="33" w:afterAutospacing="0"/>
                    <w:jc w:val="center"/>
                    <w:rPr>
                      <w:rFonts w:hint="default"/>
                      <w:color w:val="auto"/>
                    </w:rPr>
                  </w:pPr>
                </w:p>
              </w:tc>
              <w:tc>
                <w:tcPr>
                  <w:tcW w:w="565" w:type="dxa"/>
                  <w:vMerge w:val="continue"/>
                  <w:noWrap/>
                  <w:vAlign w:val="center"/>
                </w:tcPr>
                <w:p w14:paraId="6CF9B29D">
                  <w:pPr>
                    <w:pStyle w:val="40"/>
                    <w:keepNext w:val="0"/>
                    <w:keepLines w:val="0"/>
                    <w:suppressLineNumbers w:val="0"/>
                    <w:spacing w:before="33" w:beforeAutospacing="0" w:after="33" w:afterAutospacing="0"/>
                    <w:jc w:val="center"/>
                    <w:rPr>
                      <w:rFonts w:hint="default"/>
                      <w:color w:val="auto"/>
                    </w:rPr>
                  </w:pPr>
                </w:p>
              </w:tc>
              <w:tc>
                <w:tcPr>
                  <w:tcW w:w="858" w:type="dxa"/>
                  <w:shd w:val="clear" w:color="auto" w:fill="auto"/>
                  <w:noWrap/>
                  <w:vAlign w:val="center"/>
                </w:tcPr>
                <w:p w14:paraId="1C882202">
                  <w:pPr>
                    <w:pStyle w:val="40"/>
                    <w:keepNext w:val="0"/>
                    <w:keepLines w:val="0"/>
                    <w:suppressLineNumbers w:val="0"/>
                    <w:spacing w:before="33" w:beforeAutospacing="0" w:after="33" w:afterAutospacing="0"/>
                    <w:ind w:left="24" w:leftChars="10" w:right="24" w:rightChars="10" w:firstLine="0" w:firstLineChars="0"/>
                    <w:jc w:val="center"/>
                    <w:rPr>
                      <w:rFonts w:hint="default" w:ascii="Times New Roman" w:hAnsi="Times New Roman" w:eastAsia="宋体" w:cs="Times New Roman"/>
                      <w:color w:val="auto"/>
                      <w:spacing w:val="-2"/>
                      <w:kern w:val="2"/>
                      <w:sz w:val="21"/>
                      <w:szCs w:val="18"/>
                      <w:lang w:val="en-US" w:eastAsia="zh-CN" w:bidi="ar-SA"/>
                    </w:rPr>
                  </w:pPr>
                  <w:r>
                    <w:rPr>
                      <w:rFonts w:hint="eastAsia" w:cs="Times New Roman"/>
                      <w:color w:val="auto"/>
                      <w:spacing w:val="-2"/>
                      <w:kern w:val="2"/>
                      <w:sz w:val="21"/>
                      <w:szCs w:val="18"/>
                      <w:lang w:val="en-US" w:eastAsia="zh-CN" w:bidi="ar-SA"/>
                    </w:rPr>
                    <w:t>TP</w:t>
                  </w:r>
                </w:p>
              </w:tc>
              <w:tc>
                <w:tcPr>
                  <w:tcW w:w="926" w:type="dxa"/>
                  <w:noWrap/>
                  <w:vAlign w:val="center"/>
                </w:tcPr>
                <w:p w14:paraId="53EFEC14">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cs="Times New Roman"/>
                      <w:color w:val="auto"/>
                      <w:kern w:val="2"/>
                      <w:sz w:val="21"/>
                      <w:szCs w:val="24"/>
                      <w:lang w:val="en-US" w:eastAsia="zh-CN" w:bidi="ar-SA"/>
                    </w:rPr>
                    <w:t>1.2</w:t>
                  </w:r>
                </w:p>
              </w:tc>
              <w:tc>
                <w:tcPr>
                  <w:tcW w:w="859" w:type="dxa"/>
                  <w:noWrap/>
                  <w:vAlign w:val="center"/>
                </w:tcPr>
                <w:p w14:paraId="075A0914">
                  <w:pPr>
                    <w:pStyle w:val="61"/>
                    <w:keepNext w:val="0"/>
                    <w:keepLines w:val="0"/>
                    <w:suppressLineNumbers w:val="0"/>
                    <w:bidi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eastAsia" w:cs="Times New Roman"/>
                      <w:color w:val="auto"/>
                      <w:kern w:val="2"/>
                      <w:sz w:val="21"/>
                      <w:szCs w:val="24"/>
                      <w:lang w:val="en-US" w:eastAsia="zh-CN" w:bidi="ar-SA"/>
                    </w:rPr>
                    <w:t>0.0004</w:t>
                  </w:r>
                </w:p>
              </w:tc>
              <w:tc>
                <w:tcPr>
                  <w:tcW w:w="748" w:type="dxa"/>
                  <w:vMerge w:val="continue"/>
                  <w:noWrap/>
                  <w:vAlign w:val="center"/>
                </w:tcPr>
                <w:p w14:paraId="62269B3C">
                  <w:pPr>
                    <w:pStyle w:val="40"/>
                    <w:keepNext w:val="0"/>
                    <w:keepLines w:val="0"/>
                    <w:suppressLineNumbers w:val="0"/>
                    <w:spacing w:before="33" w:beforeAutospacing="0" w:after="33" w:afterAutospacing="0"/>
                    <w:ind w:left="24" w:leftChars="10" w:right="24" w:rightChars="10" w:firstLine="0" w:firstLineChars="0"/>
                    <w:jc w:val="center"/>
                    <w:rPr>
                      <w:rFonts w:hint="default"/>
                      <w:color w:val="auto"/>
                    </w:rPr>
                  </w:pPr>
                </w:p>
              </w:tc>
              <w:tc>
                <w:tcPr>
                  <w:tcW w:w="732" w:type="dxa"/>
                  <w:noWrap/>
                  <w:vAlign w:val="center"/>
                </w:tcPr>
                <w:p w14:paraId="65C6EE40">
                  <w:pPr>
                    <w:pStyle w:val="40"/>
                    <w:keepNext w:val="0"/>
                    <w:keepLines w:val="0"/>
                    <w:suppressLineNumbers w:val="0"/>
                    <w:spacing w:before="33" w:beforeAutospacing="0" w:after="33" w:afterAutospacing="0"/>
                    <w:ind w:left="24" w:leftChars="10" w:right="24" w:rightChars="10" w:firstLine="0" w:firstLineChars="0"/>
                    <w:jc w:val="center"/>
                    <w:rPr>
                      <w:rFonts w:hint="default"/>
                      <w:color w:val="auto"/>
                      <w:lang w:val="en-US" w:eastAsia="zh-CN"/>
                    </w:rPr>
                  </w:pPr>
                  <w:r>
                    <w:rPr>
                      <w:rFonts w:hint="eastAsia"/>
                      <w:color w:val="auto"/>
                      <w:lang w:val="en-US" w:eastAsia="zh-CN"/>
                    </w:rPr>
                    <w:t>85</w:t>
                  </w:r>
                </w:p>
              </w:tc>
              <w:tc>
                <w:tcPr>
                  <w:tcW w:w="1017" w:type="dxa"/>
                  <w:noWrap/>
                  <w:vAlign w:val="center"/>
                </w:tcPr>
                <w:p w14:paraId="57002DE6">
                  <w:pPr>
                    <w:pStyle w:val="40"/>
                    <w:keepNext w:val="0"/>
                    <w:keepLines w:val="0"/>
                    <w:suppressLineNumbers w:val="0"/>
                    <w:spacing w:before="33" w:beforeAutospacing="0" w:after="33" w:afterAutospacing="0"/>
                    <w:jc w:val="center"/>
                    <w:rPr>
                      <w:rFonts w:hint="default"/>
                      <w:color w:val="auto"/>
                      <w:lang w:val="en-US" w:eastAsia="zh-CN"/>
                    </w:rPr>
                  </w:pPr>
                  <w:r>
                    <w:rPr>
                      <w:rFonts w:hint="eastAsia"/>
                      <w:color w:val="auto"/>
                      <w:lang w:val="en-US" w:eastAsia="zh-CN"/>
                    </w:rPr>
                    <w:t>0.18</w:t>
                  </w:r>
                </w:p>
              </w:tc>
              <w:tc>
                <w:tcPr>
                  <w:tcW w:w="986" w:type="dxa"/>
                  <w:noWrap/>
                  <w:vAlign w:val="center"/>
                </w:tcPr>
                <w:p w14:paraId="3DA885DD">
                  <w:pPr>
                    <w:pStyle w:val="40"/>
                    <w:keepNext w:val="0"/>
                    <w:keepLines w:val="0"/>
                    <w:suppressLineNumbers w:val="0"/>
                    <w:spacing w:before="33" w:beforeAutospacing="0" w:after="33" w:afterAutospacing="0"/>
                    <w:jc w:val="center"/>
                    <w:rPr>
                      <w:rFonts w:hint="default"/>
                      <w:color w:val="auto"/>
                      <w:lang w:val="en-US" w:eastAsia="zh-CN"/>
                    </w:rPr>
                  </w:pPr>
                  <w:r>
                    <w:rPr>
                      <w:rFonts w:hint="eastAsia"/>
                      <w:color w:val="auto"/>
                      <w:lang w:val="en-US" w:eastAsia="zh-CN"/>
                    </w:rPr>
                    <w:t>/</w:t>
                  </w:r>
                </w:p>
              </w:tc>
              <w:tc>
                <w:tcPr>
                  <w:tcW w:w="921" w:type="dxa"/>
                  <w:vMerge w:val="continue"/>
                  <w:noWrap/>
                  <w:vAlign w:val="center"/>
                </w:tcPr>
                <w:p w14:paraId="4C5792BC">
                  <w:pPr>
                    <w:pStyle w:val="40"/>
                    <w:keepNext w:val="0"/>
                    <w:keepLines w:val="0"/>
                    <w:suppressLineNumbers w:val="0"/>
                    <w:spacing w:before="33" w:beforeAutospacing="0" w:after="33" w:afterAutospacing="0"/>
                    <w:jc w:val="center"/>
                    <w:rPr>
                      <w:rFonts w:hint="default"/>
                      <w:color w:val="auto"/>
                    </w:rPr>
                  </w:pPr>
                </w:p>
              </w:tc>
            </w:tr>
            <w:tr w14:paraId="00B0D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499" w:type="dxa"/>
                  <w:vMerge w:val="continue"/>
                  <w:noWrap/>
                  <w:vAlign w:val="center"/>
                </w:tcPr>
                <w:p w14:paraId="0C020B53">
                  <w:pPr>
                    <w:pStyle w:val="40"/>
                    <w:keepNext w:val="0"/>
                    <w:keepLines w:val="0"/>
                    <w:suppressLineNumbers w:val="0"/>
                    <w:spacing w:before="33" w:beforeAutospacing="0" w:after="33" w:afterAutospacing="0"/>
                    <w:jc w:val="center"/>
                    <w:rPr>
                      <w:rFonts w:hint="default"/>
                      <w:color w:val="auto"/>
                    </w:rPr>
                  </w:pPr>
                </w:p>
              </w:tc>
              <w:tc>
                <w:tcPr>
                  <w:tcW w:w="663" w:type="dxa"/>
                  <w:vMerge w:val="continue"/>
                  <w:noWrap/>
                  <w:vAlign w:val="center"/>
                </w:tcPr>
                <w:p w14:paraId="408E7C4E">
                  <w:pPr>
                    <w:pStyle w:val="40"/>
                    <w:keepNext w:val="0"/>
                    <w:keepLines w:val="0"/>
                    <w:suppressLineNumbers w:val="0"/>
                    <w:spacing w:before="33" w:beforeAutospacing="0" w:after="33" w:afterAutospacing="0"/>
                    <w:jc w:val="center"/>
                    <w:rPr>
                      <w:rFonts w:hint="default"/>
                      <w:color w:val="auto"/>
                    </w:rPr>
                  </w:pPr>
                </w:p>
              </w:tc>
              <w:tc>
                <w:tcPr>
                  <w:tcW w:w="565" w:type="dxa"/>
                  <w:vMerge w:val="continue"/>
                  <w:noWrap/>
                  <w:vAlign w:val="center"/>
                </w:tcPr>
                <w:p w14:paraId="60FB6119">
                  <w:pPr>
                    <w:pStyle w:val="40"/>
                    <w:keepNext w:val="0"/>
                    <w:keepLines w:val="0"/>
                    <w:suppressLineNumbers w:val="0"/>
                    <w:spacing w:before="33" w:beforeAutospacing="0" w:after="33" w:afterAutospacing="0"/>
                    <w:jc w:val="center"/>
                    <w:rPr>
                      <w:rFonts w:hint="default"/>
                      <w:color w:val="auto"/>
                    </w:rPr>
                  </w:pPr>
                </w:p>
              </w:tc>
              <w:tc>
                <w:tcPr>
                  <w:tcW w:w="858" w:type="dxa"/>
                  <w:shd w:val="clear" w:color="auto" w:fill="auto"/>
                  <w:noWrap/>
                  <w:vAlign w:val="center"/>
                </w:tcPr>
                <w:p w14:paraId="54DF370A">
                  <w:pPr>
                    <w:pStyle w:val="40"/>
                    <w:keepNext w:val="0"/>
                    <w:keepLines w:val="0"/>
                    <w:suppressLineNumbers w:val="0"/>
                    <w:spacing w:before="33" w:beforeAutospacing="0" w:after="33" w:afterAutospacing="0"/>
                    <w:ind w:left="24" w:leftChars="10" w:right="24" w:rightChars="10" w:firstLine="0" w:firstLineChars="0"/>
                    <w:jc w:val="center"/>
                    <w:rPr>
                      <w:rFonts w:hint="default" w:ascii="Times New Roman" w:hAnsi="Times New Roman" w:eastAsia="宋体" w:cs="Times New Roman"/>
                      <w:color w:val="auto"/>
                      <w:spacing w:val="-2"/>
                      <w:kern w:val="2"/>
                      <w:sz w:val="21"/>
                      <w:szCs w:val="18"/>
                      <w:lang w:val="en-US" w:eastAsia="zh-CN" w:bidi="ar-SA"/>
                    </w:rPr>
                  </w:pPr>
                  <w:r>
                    <w:rPr>
                      <w:rFonts w:hint="eastAsia" w:cs="Times New Roman"/>
                      <w:color w:val="auto"/>
                      <w:spacing w:val="-2"/>
                      <w:kern w:val="2"/>
                      <w:sz w:val="21"/>
                      <w:szCs w:val="18"/>
                      <w:lang w:val="en-US" w:eastAsia="zh-CN" w:bidi="ar-SA"/>
                    </w:rPr>
                    <w:t>悬浮物</w:t>
                  </w:r>
                </w:p>
              </w:tc>
              <w:tc>
                <w:tcPr>
                  <w:tcW w:w="926" w:type="dxa"/>
                  <w:noWrap/>
                  <w:vAlign w:val="center"/>
                </w:tcPr>
                <w:p w14:paraId="5EFA3718">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color w:val="auto"/>
                      <w:lang w:val="en-US" w:eastAsia="zh-CN"/>
                    </w:rPr>
                    <w:t>280.0</w:t>
                  </w:r>
                </w:p>
              </w:tc>
              <w:tc>
                <w:tcPr>
                  <w:tcW w:w="859" w:type="dxa"/>
                  <w:noWrap/>
                  <w:vAlign w:val="center"/>
                </w:tcPr>
                <w:p w14:paraId="3F9E01CA">
                  <w:pPr>
                    <w:pStyle w:val="61"/>
                    <w:keepNext w:val="0"/>
                    <w:keepLines w:val="0"/>
                    <w:suppressLineNumbers w:val="0"/>
                    <w:bidi w:val="0"/>
                    <w:spacing w:before="0" w:beforeAutospacing="0" w:after="0" w:afterAutospacing="0"/>
                    <w:ind w:left="0" w:right="0" w:firstLine="0" w:firstLineChars="0"/>
                    <w:jc w:val="center"/>
                    <w:rPr>
                      <w:rFonts w:hint="default" w:ascii="Times New Roman" w:hAnsi="Times New Roman" w:eastAsia="宋体" w:cs="Times New Roman"/>
                      <w:color w:val="auto"/>
                      <w:kern w:val="2"/>
                      <w:sz w:val="21"/>
                      <w:szCs w:val="24"/>
                      <w:lang w:val="en-US" w:eastAsia="zh-CN" w:bidi="ar-SA"/>
                    </w:rPr>
                  </w:pPr>
                  <w:r>
                    <w:rPr>
                      <w:rFonts w:hint="eastAsia" w:cs="Times New Roman"/>
                      <w:color w:val="auto"/>
                      <w:kern w:val="2"/>
                      <w:sz w:val="21"/>
                      <w:szCs w:val="24"/>
                      <w:lang w:val="en-US" w:eastAsia="zh-CN" w:bidi="ar-SA"/>
                    </w:rPr>
                    <w:t>0.0820</w:t>
                  </w:r>
                </w:p>
              </w:tc>
              <w:tc>
                <w:tcPr>
                  <w:tcW w:w="748" w:type="dxa"/>
                  <w:vMerge w:val="continue"/>
                  <w:noWrap/>
                  <w:vAlign w:val="center"/>
                </w:tcPr>
                <w:p w14:paraId="580FAF73">
                  <w:pPr>
                    <w:pStyle w:val="40"/>
                    <w:keepNext w:val="0"/>
                    <w:keepLines w:val="0"/>
                    <w:suppressLineNumbers w:val="0"/>
                    <w:spacing w:before="33" w:beforeAutospacing="0" w:after="33" w:afterAutospacing="0"/>
                    <w:ind w:left="24" w:leftChars="10" w:right="24" w:rightChars="10" w:firstLine="0" w:firstLineChars="0"/>
                    <w:jc w:val="center"/>
                    <w:rPr>
                      <w:rFonts w:hint="default"/>
                      <w:color w:val="auto"/>
                    </w:rPr>
                  </w:pPr>
                </w:p>
              </w:tc>
              <w:tc>
                <w:tcPr>
                  <w:tcW w:w="732" w:type="dxa"/>
                  <w:noWrap/>
                  <w:vAlign w:val="center"/>
                </w:tcPr>
                <w:p w14:paraId="7CC66A3A">
                  <w:pPr>
                    <w:pStyle w:val="40"/>
                    <w:keepNext w:val="0"/>
                    <w:keepLines w:val="0"/>
                    <w:suppressLineNumbers w:val="0"/>
                    <w:spacing w:before="33" w:beforeAutospacing="0" w:after="33" w:afterAutospacing="0"/>
                    <w:ind w:left="24" w:leftChars="10" w:right="24" w:rightChars="10" w:firstLine="0" w:firstLineChars="0"/>
                    <w:jc w:val="center"/>
                    <w:rPr>
                      <w:rFonts w:hint="default"/>
                      <w:color w:val="auto"/>
                      <w:lang w:val="en-US" w:eastAsia="zh-CN"/>
                    </w:rPr>
                  </w:pPr>
                  <w:r>
                    <w:rPr>
                      <w:rFonts w:hint="eastAsia"/>
                      <w:color w:val="auto"/>
                      <w:lang w:val="en-US" w:eastAsia="zh-CN"/>
                    </w:rPr>
                    <w:t>90</w:t>
                  </w:r>
                </w:p>
              </w:tc>
              <w:tc>
                <w:tcPr>
                  <w:tcW w:w="1017" w:type="dxa"/>
                  <w:noWrap/>
                  <w:vAlign w:val="center"/>
                </w:tcPr>
                <w:p w14:paraId="115BAF5C">
                  <w:pPr>
                    <w:pStyle w:val="40"/>
                    <w:keepNext w:val="0"/>
                    <w:keepLines w:val="0"/>
                    <w:suppressLineNumbers w:val="0"/>
                    <w:spacing w:before="33" w:beforeAutospacing="0" w:after="33" w:afterAutospacing="0"/>
                    <w:jc w:val="center"/>
                    <w:rPr>
                      <w:rFonts w:hint="default"/>
                      <w:color w:val="auto"/>
                      <w:lang w:val="en-US" w:eastAsia="zh-CN"/>
                    </w:rPr>
                  </w:pPr>
                  <w:r>
                    <w:rPr>
                      <w:rFonts w:hint="eastAsia"/>
                      <w:color w:val="auto"/>
                      <w:lang w:val="en-US" w:eastAsia="zh-CN"/>
                    </w:rPr>
                    <w:t>28</w:t>
                  </w:r>
                </w:p>
              </w:tc>
              <w:tc>
                <w:tcPr>
                  <w:tcW w:w="986" w:type="dxa"/>
                  <w:noWrap/>
                  <w:vAlign w:val="center"/>
                </w:tcPr>
                <w:p w14:paraId="71C7447F">
                  <w:pPr>
                    <w:pStyle w:val="40"/>
                    <w:keepNext w:val="0"/>
                    <w:keepLines w:val="0"/>
                    <w:suppressLineNumbers w:val="0"/>
                    <w:spacing w:before="33" w:beforeAutospacing="0" w:after="33" w:afterAutospacing="0"/>
                    <w:jc w:val="center"/>
                    <w:rPr>
                      <w:rFonts w:hint="default"/>
                      <w:color w:val="auto"/>
                      <w:lang w:val="en-US" w:eastAsia="zh-CN"/>
                    </w:rPr>
                  </w:pPr>
                  <w:r>
                    <w:rPr>
                      <w:rFonts w:hint="eastAsia"/>
                      <w:color w:val="auto"/>
                      <w:lang w:val="en-US" w:eastAsia="zh-CN"/>
                    </w:rPr>
                    <w:t>/</w:t>
                  </w:r>
                </w:p>
              </w:tc>
              <w:tc>
                <w:tcPr>
                  <w:tcW w:w="921" w:type="dxa"/>
                  <w:vMerge w:val="continue"/>
                  <w:noWrap/>
                  <w:vAlign w:val="center"/>
                </w:tcPr>
                <w:p w14:paraId="7A9EB165">
                  <w:pPr>
                    <w:pStyle w:val="40"/>
                    <w:keepNext w:val="0"/>
                    <w:keepLines w:val="0"/>
                    <w:suppressLineNumbers w:val="0"/>
                    <w:spacing w:before="33" w:beforeAutospacing="0" w:after="33" w:afterAutospacing="0"/>
                    <w:jc w:val="center"/>
                    <w:rPr>
                      <w:rFonts w:hint="default"/>
                      <w:color w:val="auto"/>
                    </w:rPr>
                  </w:pPr>
                </w:p>
              </w:tc>
            </w:tr>
            <w:tr w14:paraId="6C27A5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8774" w:type="dxa"/>
                  <w:gridSpan w:val="11"/>
                  <w:noWrap/>
                  <w:vAlign w:val="center"/>
                </w:tcPr>
                <w:p w14:paraId="4D697910">
                  <w:pPr>
                    <w:pStyle w:val="40"/>
                    <w:keepNext w:val="0"/>
                    <w:keepLines w:val="0"/>
                    <w:suppressLineNumbers w:val="0"/>
                    <w:spacing w:before="33" w:beforeAutospacing="0" w:after="33" w:afterAutospacing="0"/>
                    <w:jc w:val="left"/>
                    <w:rPr>
                      <w:rFonts w:hint="default"/>
                      <w:color w:val="auto"/>
                      <w:lang w:val="en-US"/>
                    </w:rPr>
                  </w:pPr>
                  <w:r>
                    <w:rPr>
                      <w:rFonts w:hint="eastAsia" w:eastAsia="宋体"/>
                      <w:b/>
                      <w:bCs/>
                      <w:color w:val="auto"/>
                      <w:sz w:val="18"/>
                      <w:szCs w:val="18"/>
                      <w:lang w:val="en-US" w:eastAsia="zh-CN"/>
                    </w:rPr>
                    <w:t>参考《排放源统计调查产排污核算方法和系数手册》生活源产排污系数手册表2-2，COD去除率64%，氨氮去除率53%，TN去除率46%，TP去除率48%，</w:t>
                  </w:r>
                  <w:r>
                    <w:rPr>
                      <w:rFonts w:hint="eastAsia"/>
                      <w:b/>
                      <w:bCs/>
                      <w:color w:val="auto"/>
                      <w:sz w:val="18"/>
                      <w:szCs w:val="18"/>
                      <w:lang w:val="en-US" w:eastAsia="zh-CN"/>
                    </w:rPr>
                    <w:t>参考《村镇生活污染防治最佳可行技术指南（试行）》（HJ-BAT-9）、三级化粪池对污染物的去除效率如下BOD</w:t>
                  </w:r>
                  <w:r>
                    <w:rPr>
                      <w:rFonts w:hint="eastAsia"/>
                      <w:b/>
                      <w:bCs/>
                      <w:color w:val="auto"/>
                      <w:sz w:val="18"/>
                      <w:szCs w:val="18"/>
                      <w:vertAlign w:val="subscript"/>
                      <w:lang w:val="en-US" w:eastAsia="zh-CN"/>
                    </w:rPr>
                    <w:t>5:</w:t>
                  </w:r>
                  <w:r>
                    <w:rPr>
                      <w:rFonts w:hint="eastAsia"/>
                      <w:b/>
                      <w:bCs/>
                      <w:color w:val="auto"/>
                      <w:sz w:val="18"/>
                      <w:szCs w:val="18"/>
                      <w:lang w:val="en-US" w:eastAsia="zh-CN"/>
                    </w:rPr>
                    <w:t>60%～65%；SS：60%～70%</w:t>
                  </w:r>
                </w:p>
              </w:tc>
            </w:tr>
          </w:tbl>
          <w:p w14:paraId="1C21B138">
            <w:pPr>
              <w:keepNext w:val="0"/>
              <w:keepLines w:val="0"/>
              <w:numPr>
                <w:ilvl w:val="0"/>
                <w:numId w:val="10"/>
              </w:numPr>
              <w:suppressLineNumbers w:val="0"/>
              <w:bidi w:val="0"/>
              <w:spacing w:before="0" w:beforeAutospacing="0" w:after="0" w:afterAutospacing="0"/>
              <w:ind w:left="0" w:right="0"/>
              <w:rPr>
                <w:rFonts w:hint="default"/>
                <w:b/>
                <w:bCs/>
                <w:color w:val="000000" w:themeColor="text1"/>
                <w:kern w:val="0"/>
                <w14:textFill>
                  <w14:solidFill>
                    <w14:schemeClr w14:val="tx1"/>
                  </w14:solidFill>
                </w14:textFill>
              </w:rPr>
            </w:pPr>
            <w:r>
              <w:rPr>
                <w:rFonts w:hint="default"/>
                <w:b/>
                <w:bCs/>
                <w:color w:val="000000" w:themeColor="text1"/>
                <w:kern w:val="0"/>
                <w14:textFill>
                  <w14:solidFill>
                    <w14:schemeClr w14:val="tx1"/>
                  </w14:solidFill>
                </w14:textFill>
              </w:rPr>
              <w:t>废水污染源强核算</w:t>
            </w:r>
          </w:p>
          <w:p w14:paraId="12CCC7E3">
            <w:pPr>
              <w:keepNext w:val="0"/>
              <w:keepLines w:val="0"/>
              <w:numPr>
                <w:ilvl w:val="0"/>
                <w:numId w:val="0"/>
              </w:numPr>
              <w:suppressLineNumbers w:val="0"/>
              <w:bidi w:val="0"/>
              <w:spacing w:before="0" w:beforeAutospacing="0" w:after="0" w:afterAutospacing="0"/>
              <w:ind w:left="480" w:leftChars="200" w:right="0" w:rightChars="0"/>
              <w:rPr>
                <w:rFonts w:hint="default" w:eastAsia="宋体"/>
                <w:b/>
                <w:bCs/>
                <w:color w:val="000000" w:themeColor="text1"/>
                <w:lang w:val="en-US" w:eastAsia="zh-CN"/>
                <w14:textFill>
                  <w14:solidFill>
                    <w14:schemeClr w14:val="tx1"/>
                  </w14:solidFill>
                </w14:textFill>
              </w:rPr>
            </w:pPr>
            <w:r>
              <w:rPr>
                <w:rFonts w:hint="eastAsia"/>
                <w:b/>
                <w:bCs/>
                <w:color w:val="000000" w:themeColor="text1"/>
                <w:lang w:eastAsia="zh-CN"/>
                <w14:textFill>
                  <w14:solidFill>
                    <w14:schemeClr w14:val="tx1"/>
                  </w14:solidFill>
                </w14:textFill>
              </w:rPr>
              <w:t>（</w:t>
            </w:r>
            <w:r>
              <w:rPr>
                <w:rFonts w:hint="eastAsia"/>
                <w:b/>
                <w:bCs/>
                <w:color w:val="000000" w:themeColor="text1"/>
                <w:lang w:val="en-US" w:eastAsia="zh-CN"/>
                <w14:textFill>
                  <w14:solidFill>
                    <w14:schemeClr w14:val="tx1"/>
                  </w14:solidFill>
                </w14:textFill>
              </w:rPr>
              <w:t>1</w:t>
            </w:r>
            <w:r>
              <w:rPr>
                <w:rFonts w:hint="eastAsia"/>
                <w:b/>
                <w:bCs/>
                <w:color w:val="000000" w:themeColor="text1"/>
                <w:lang w:eastAsia="zh-CN"/>
                <w14:textFill>
                  <w14:solidFill>
                    <w14:schemeClr w14:val="tx1"/>
                  </w14:solidFill>
                </w14:textFill>
              </w:rPr>
              <w:t>）</w:t>
            </w:r>
            <w:r>
              <w:rPr>
                <w:rFonts w:hint="eastAsia"/>
                <w:b/>
                <w:bCs/>
                <w:color w:val="000000" w:themeColor="text1"/>
                <w14:textFill>
                  <w14:solidFill>
                    <w14:schemeClr w14:val="tx1"/>
                  </w14:solidFill>
                </w14:textFill>
              </w:rPr>
              <w:t>生活</w:t>
            </w:r>
            <w:r>
              <w:rPr>
                <w:rFonts w:hint="eastAsia"/>
                <w:b/>
                <w:bCs/>
                <w:color w:val="000000" w:themeColor="text1"/>
                <w:lang w:val="en-US" w:eastAsia="zh-CN"/>
                <w14:textFill>
                  <w14:solidFill>
                    <w14:schemeClr w14:val="tx1"/>
                  </w14:solidFill>
                </w14:textFill>
              </w:rPr>
              <w:t>废水及地面保洁用水</w:t>
            </w:r>
          </w:p>
          <w:p w14:paraId="2A9E6071">
            <w:pPr>
              <w:keepNext w:val="0"/>
              <w:keepLines w:val="0"/>
              <w:suppressLineNumbers w:val="0"/>
              <w:bidi w:val="0"/>
              <w:spacing w:before="0" w:beforeAutospacing="0" w:after="0" w:afterAutospacing="0"/>
              <w:ind w:left="0" w:right="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根据项目水平衡可知，项目生活污水646m³/a（1.846m³/d）</w:t>
            </w:r>
            <w:r>
              <w:rPr>
                <w:rFonts w:hint="eastAsia" w:eastAsia="宋体"/>
                <w:color w:val="000000" w:themeColor="text1"/>
                <w:lang w:val="en-US" w:eastAsia="zh-CN"/>
                <w14:textFill>
                  <w14:solidFill>
                    <w14:schemeClr w14:val="tx1"/>
                  </w14:solidFill>
                </w14:textFill>
              </w:rPr>
              <w:t>经</w:t>
            </w:r>
            <w:r>
              <w:rPr>
                <w:rFonts w:hint="eastAsia"/>
                <w:color w:val="000000" w:themeColor="text1"/>
                <w14:textFill>
                  <w14:solidFill>
                    <w14:schemeClr w14:val="tx1"/>
                  </w14:solidFill>
                </w14:textFill>
              </w:rPr>
              <w:t>化粪池处理</w:t>
            </w:r>
            <w:r>
              <w:rPr>
                <w:rFonts w:hint="eastAsia"/>
                <w:color w:val="000000" w:themeColor="text1"/>
                <w:lang w:val="en-US" w:eastAsia="zh-CN"/>
                <w14:textFill>
                  <w14:solidFill>
                    <w14:schemeClr w14:val="tx1"/>
                  </w14:solidFill>
                </w14:textFill>
              </w:rPr>
              <w:t>排入</w:t>
            </w:r>
            <w:r>
              <w:rPr>
                <w:rFonts w:hint="eastAsia"/>
                <w:color w:val="000000" w:themeColor="text1"/>
                <w14:textFill>
                  <w14:solidFill>
                    <w14:schemeClr w14:val="tx1"/>
                  </w14:solidFill>
                </w14:textFill>
              </w:rPr>
              <w:t>八公山污水处理厂，经八公山污水处理厂处理达《城镇污水处理厂污染物排放标准》（</w:t>
            </w:r>
            <w:r>
              <w:rPr>
                <w:rFonts w:hint="default"/>
                <w:color w:val="000000" w:themeColor="text1"/>
                <w14:textFill>
                  <w14:solidFill>
                    <w14:schemeClr w14:val="tx1"/>
                  </w14:solidFill>
                </w14:textFill>
              </w:rPr>
              <w:t>GB18918-2002</w:t>
            </w:r>
            <w:r>
              <w:rPr>
                <w:rFonts w:hint="eastAsia"/>
                <w:color w:val="000000" w:themeColor="text1"/>
                <w14:textFill>
                  <w14:solidFill>
                    <w14:schemeClr w14:val="tx1"/>
                  </w14:solidFill>
                </w14:textFill>
              </w:rPr>
              <w:t>）及其修改单中一级</w:t>
            </w:r>
            <w:r>
              <w:rPr>
                <w:rFonts w:hint="default"/>
                <w:color w:val="000000" w:themeColor="text1"/>
                <w14:textFill>
                  <w14:solidFill>
                    <w14:schemeClr w14:val="tx1"/>
                  </w14:solidFill>
                </w14:textFill>
              </w:rPr>
              <w:t>A</w:t>
            </w:r>
            <w:r>
              <w:rPr>
                <w:rFonts w:hint="eastAsia"/>
                <w:color w:val="000000" w:themeColor="text1"/>
                <w14:textFill>
                  <w14:solidFill>
                    <w14:schemeClr w14:val="tx1"/>
                  </w14:solidFill>
                </w14:textFill>
              </w:rPr>
              <w:t>标准后通过最终排入淮河</w:t>
            </w:r>
            <w:r>
              <w:rPr>
                <w:rFonts w:hint="eastAsia" w:eastAsia="宋体"/>
                <w:color w:val="000000" w:themeColor="text1"/>
                <w:lang w:val="en-US" w:eastAsia="zh-CN"/>
                <w14:textFill>
                  <w14:solidFill>
                    <w14:schemeClr w14:val="tx1"/>
                  </w14:solidFill>
                </w14:textFill>
              </w:rPr>
              <w:t>。</w:t>
            </w:r>
            <w:r>
              <w:rPr>
                <w:rFonts w:hint="eastAsia"/>
                <w:color w:val="auto"/>
                <w:lang w:val="en-US" w:eastAsia="zh-CN"/>
              </w:rPr>
              <w:t>参考《排放源统计调查产排污核算方法和系数手册》中生活源产污系数表，</w:t>
            </w:r>
            <w:r>
              <w:rPr>
                <w:rFonts w:hint="eastAsia"/>
                <w:color w:val="000000" w:themeColor="text1"/>
                <w14:textFill>
                  <w14:solidFill>
                    <w14:schemeClr w14:val="tx1"/>
                  </w14:solidFill>
                </w14:textFill>
              </w:rPr>
              <w:t>生活污水的主要污染物</w:t>
            </w:r>
            <w:r>
              <w:rPr>
                <w:rFonts w:hint="eastAsia"/>
                <w:color w:val="000000" w:themeColor="text1"/>
                <w:lang w:val="en-US" w:eastAsia="zh-CN"/>
                <w14:textFill>
                  <w14:solidFill>
                    <w14:schemeClr w14:val="tx1"/>
                  </w14:solidFill>
                </w14:textFill>
              </w:rPr>
              <w:t>pH、</w:t>
            </w:r>
            <w:r>
              <w:rPr>
                <w:rFonts w:hint="eastAsia"/>
                <w:color w:val="000000" w:themeColor="text1"/>
                <w14:textFill>
                  <w14:solidFill>
                    <w14:schemeClr w14:val="tx1"/>
                  </w14:solidFill>
                </w14:textFill>
              </w:rPr>
              <w:t>COD、BOD</w:t>
            </w:r>
            <w:r>
              <w:rPr>
                <w:rFonts w:hint="eastAsia"/>
                <w:color w:val="000000" w:themeColor="text1"/>
                <w:vertAlign w:val="subscript"/>
                <w14:textFill>
                  <w14:solidFill>
                    <w14:schemeClr w14:val="tx1"/>
                  </w14:solidFill>
                </w14:textFill>
              </w:rPr>
              <w:t>5</w:t>
            </w:r>
            <w:r>
              <w:rPr>
                <w:rFonts w:hint="eastAsia"/>
                <w:color w:val="000000" w:themeColor="text1"/>
                <w14:textFill>
                  <w14:solidFill>
                    <w14:schemeClr w14:val="tx1"/>
                  </w14:solidFill>
                </w14:textFill>
              </w:rPr>
              <w:t>、SS、氨氮</w:t>
            </w:r>
            <w:r>
              <w:rPr>
                <w:rFonts w:hint="eastAsia"/>
                <w:color w:val="000000" w:themeColor="text1"/>
                <w:lang w:val="en-US" w:eastAsia="zh-CN"/>
                <w14:textFill>
                  <w14:solidFill>
                    <w14:schemeClr w14:val="tx1"/>
                  </w14:solidFill>
                </w14:textFill>
              </w:rPr>
              <w:t>、TN、TP</w:t>
            </w:r>
            <w:r>
              <w:rPr>
                <w:rFonts w:hint="eastAsia"/>
                <w:color w:val="000000" w:themeColor="text1"/>
                <w14:textFill>
                  <w14:solidFill>
                    <w14:schemeClr w14:val="tx1"/>
                  </w14:solidFill>
                </w14:textFill>
              </w:rPr>
              <w:t>产生浓度分别为</w:t>
            </w:r>
            <w:r>
              <w:rPr>
                <w:rFonts w:hint="eastAsia"/>
                <w:color w:val="000000" w:themeColor="text1"/>
                <w:lang w:val="en-US" w:eastAsia="zh-CN"/>
                <w14:textFill>
                  <w14:solidFill>
                    <w14:schemeClr w14:val="tx1"/>
                  </w14:solidFill>
                </w14:textFill>
              </w:rPr>
              <w:t>6-9、340</w:t>
            </w:r>
            <w:r>
              <w:rPr>
                <w:rFonts w:hint="default"/>
                <w:color w:val="000000" w:themeColor="text1"/>
                <w14:textFill>
                  <w14:solidFill>
                    <w14:schemeClr w14:val="tx1"/>
                  </w14:solidFill>
                </w14:textFill>
              </w:rPr>
              <w:t>mg/L</w:t>
            </w:r>
            <w:r>
              <w:rPr>
                <w:rFonts w:hint="eastAsia"/>
                <w:color w:val="000000" w:themeColor="text1"/>
                <w14:textFill>
                  <w14:solidFill>
                    <w14:schemeClr w14:val="tx1"/>
                  </w14:solidFill>
                </w14:textFill>
              </w:rPr>
              <w:t>、</w:t>
            </w:r>
            <w:r>
              <w:rPr>
                <w:rFonts w:hint="default"/>
                <w:color w:val="000000" w:themeColor="text1"/>
                <w14:textFill>
                  <w14:solidFill>
                    <w14:schemeClr w14:val="tx1"/>
                  </w14:solidFill>
                </w14:textFill>
              </w:rPr>
              <w:t>1</w:t>
            </w:r>
            <w:r>
              <w:rPr>
                <w:rFonts w:hint="eastAsia"/>
                <w:color w:val="000000" w:themeColor="text1"/>
                <w:lang w:val="en-US" w:eastAsia="zh-CN"/>
                <w14:textFill>
                  <w14:solidFill>
                    <w14:schemeClr w14:val="tx1"/>
                  </w14:solidFill>
                </w14:textFill>
              </w:rPr>
              <w:t>6</w:t>
            </w:r>
            <w:r>
              <w:rPr>
                <w:rFonts w:hint="default"/>
                <w:color w:val="000000" w:themeColor="text1"/>
                <w14:textFill>
                  <w14:solidFill>
                    <w14:schemeClr w14:val="tx1"/>
                  </w14:solidFill>
                </w14:textFill>
              </w:rPr>
              <w:t>0mg/L</w:t>
            </w: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200</w:t>
            </w:r>
            <w:r>
              <w:rPr>
                <w:rFonts w:hint="default"/>
                <w:color w:val="000000" w:themeColor="text1"/>
                <w14:textFill>
                  <w14:solidFill>
                    <w14:schemeClr w14:val="tx1"/>
                  </w14:solidFill>
                </w14:textFill>
              </w:rPr>
              <w:t>mg/L</w:t>
            </w:r>
            <w:r>
              <w:rPr>
                <w:rFonts w:hint="eastAsia"/>
                <w:color w:val="000000" w:themeColor="text1"/>
                <w14:textFill>
                  <w14:solidFill>
                    <w14:schemeClr w14:val="tx1"/>
                  </w14:solidFill>
                </w14:textFill>
              </w:rPr>
              <w:t>、</w:t>
            </w:r>
            <w:r>
              <w:rPr>
                <w:rFonts w:hint="default"/>
                <w:color w:val="000000" w:themeColor="text1"/>
                <w14:textFill>
                  <w14:solidFill>
                    <w14:schemeClr w14:val="tx1"/>
                  </w14:solidFill>
                </w14:textFill>
              </w:rPr>
              <w:t>3</w:t>
            </w:r>
            <w:r>
              <w:rPr>
                <w:rFonts w:hint="eastAsia"/>
                <w:color w:val="000000" w:themeColor="text1"/>
                <w:lang w:val="en-US" w:eastAsia="zh-CN"/>
                <w14:textFill>
                  <w14:solidFill>
                    <w14:schemeClr w14:val="tx1"/>
                  </w14:solidFill>
                </w14:textFill>
              </w:rPr>
              <w:t>2.6</w:t>
            </w:r>
            <w:r>
              <w:rPr>
                <w:rFonts w:hint="default"/>
                <w:color w:val="000000" w:themeColor="text1"/>
                <w14:textFill>
                  <w14:solidFill>
                    <w14:schemeClr w14:val="tx1"/>
                  </w14:solidFill>
                </w14:textFill>
              </w:rPr>
              <w:t>mg/L</w:t>
            </w:r>
            <w:r>
              <w:rPr>
                <w:rFonts w:hint="eastAsia"/>
                <w:color w:val="000000" w:themeColor="text1"/>
                <w:lang w:val="en-US" w:eastAsia="zh-CN"/>
                <w14:textFill>
                  <w14:solidFill>
                    <w14:schemeClr w14:val="tx1"/>
                  </w14:solidFill>
                </w14:textFill>
              </w:rPr>
              <w:t>、44.8mg/L、4.27mg/L</w:t>
            </w:r>
            <w:r>
              <w:rPr>
                <w:rFonts w:hint="eastAsia"/>
                <w:color w:val="000000" w:themeColor="text1"/>
                <w14:textFill>
                  <w14:solidFill>
                    <w14:schemeClr w14:val="tx1"/>
                  </w14:solidFill>
                </w14:textFill>
              </w:rPr>
              <w:t>。</w:t>
            </w:r>
          </w:p>
          <w:p w14:paraId="78D0E32E">
            <w:pPr>
              <w:keepNext w:val="0"/>
              <w:keepLines w:val="0"/>
              <w:numPr>
                <w:ilvl w:val="0"/>
                <w:numId w:val="0"/>
              </w:numPr>
              <w:suppressLineNumbers w:val="0"/>
              <w:spacing w:before="0" w:beforeAutospacing="0" w:after="0" w:afterAutospacing="0"/>
              <w:ind w:left="480" w:leftChars="200" w:right="0" w:rightChars="0"/>
              <w:rPr>
                <w:rFonts w:hint="eastAsia"/>
                <w:b/>
                <w:bCs/>
                <w:color w:val="000000" w:themeColor="text1"/>
                <w:highlight w:val="none"/>
                <w:lang w:val="en-US" w:eastAsia="zh-CN"/>
                <w14:textFill>
                  <w14:solidFill>
                    <w14:schemeClr w14:val="tx1"/>
                  </w14:solidFill>
                </w14:textFill>
              </w:rPr>
            </w:pPr>
            <w:r>
              <w:rPr>
                <w:rFonts w:hint="eastAsia"/>
                <w:b/>
                <w:bCs/>
                <w:color w:val="000000" w:themeColor="text1"/>
                <w:highlight w:val="none"/>
                <w:lang w:val="en-US" w:eastAsia="zh-CN"/>
                <w14:textFill>
                  <w14:solidFill>
                    <w14:schemeClr w14:val="tx1"/>
                  </w14:solidFill>
                </w14:textFill>
              </w:rPr>
              <w:t>（2）破碎废水</w:t>
            </w:r>
          </w:p>
          <w:p w14:paraId="5070EFD4">
            <w:pPr>
              <w:keepNext w:val="0"/>
              <w:keepLines w:val="0"/>
              <w:suppressLineNumbers w:val="0"/>
              <w:bidi w:val="0"/>
              <w:spacing w:before="0" w:beforeAutospacing="0" w:after="0" w:afterAutospacing="0"/>
              <w:ind w:left="0" w:right="0"/>
              <w:rPr>
                <w:rFonts w:hint="default"/>
                <w:color w:val="auto"/>
              </w:rPr>
            </w:pPr>
            <w:r>
              <w:rPr>
                <w:rFonts w:hint="eastAsia"/>
                <w:color w:val="auto"/>
                <w:lang w:val="en-US" w:eastAsia="zh-CN"/>
              </w:rPr>
              <w:t>根据项目水平衡可知，项目破碎废水约293m³</w:t>
            </w:r>
            <w:r>
              <w:rPr>
                <w:rFonts w:hint="eastAsia"/>
                <w:color w:val="auto"/>
              </w:rPr>
              <w:t>/a</w:t>
            </w:r>
            <w:r>
              <w:rPr>
                <w:rFonts w:hint="eastAsia"/>
                <w:color w:val="auto"/>
                <w:lang w:eastAsia="zh-CN"/>
              </w:rPr>
              <w:t>（</w:t>
            </w:r>
            <w:r>
              <w:rPr>
                <w:rFonts w:hint="eastAsia"/>
                <w:color w:val="auto"/>
                <w:lang w:val="en-US" w:eastAsia="zh-CN"/>
              </w:rPr>
              <w:t>0.837m³</w:t>
            </w:r>
            <w:r>
              <w:rPr>
                <w:rFonts w:hint="eastAsia"/>
                <w:color w:val="auto"/>
              </w:rPr>
              <w:t>/d</w:t>
            </w:r>
            <w:r>
              <w:rPr>
                <w:rFonts w:hint="eastAsia"/>
                <w:color w:val="auto"/>
                <w:lang w:eastAsia="zh-CN"/>
              </w:rPr>
              <w:t>）</w:t>
            </w:r>
            <w:r>
              <w:rPr>
                <w:rFonts w:hint="eastAsia"/>
                <w:color w:val="auto"/>
                <w:lang w:val="en-US" w:eastAsia="zh-CN"/>
              </w:rPr>
              <w:t>经絮凝沉淀池处理后回用。根据企业提供资料，项目拆解产生的废塑料主要为PP及ABS。项目采用湿法破碎，破碎废水水质参考《排放源统计调查产排污核算方法和系数手册》-42废弃资源综合利用行业系数手册中4220非金属废料和碎屑加工处理行业系数表（本环评按照最不利考虑，使用废PP原料产污系数），SS 根据李光发表的《废塑料处理废水悬浮物（SS）去除效能分析》，本项目生产废水SS浓度取280mg/L。本项目塑料破碎废水产污系数见下表。</w:t>
            </w:r>
          </w:p>
          <w:p w14:paraId="5450AFF2">
            <w:pPr>
              <w:pStyle w:val="43"/>
              <w:keepNext w:val="0"/>
              <w:keepLines w:val="0"/>
              <w:suppressLineNumbers w:val="0"/>
              <w:spacing w:before="0" w:beforeAutospacing="0" w:after="0" w:afterAutospacing="0"/>
              <w:ind w:left="0" w:right="0"/>
              <w:rPr>
                <w:rFonts w:hint="default" w:eastAsia="宋体"/>
                <w:color w:val="auto"/>
                <w:lang w:val="en-US" w:eastAsia="zh-CN"/>
              </w:rPr>
            </w:pPr>
            <w:r>
              <w:rPr>
                <w:color w:val="auto"/>
              </w:rPr>
              <w:t>表4-</w:t>
            </w:r>
            <w:r>
              <w:rPr>
                <w:rFonts w:hint="eastAsia"/>
                <w:color w:val="auto"/>
                <w:lang w:val="en-US" w:eastAsia="zh-CN"/>
              </w:rPr>
              <w:t xml:space="preserve">10  </w:t>
            </w:r>
            <w:r>
              <w:rPr>
                <w:color w:val="auto"/>
              </w:rPr>
              <w:t>项目</w:t>
            </w:r>
            <w:r>
              <w:rPr>
                <w:rFonts w:hint="eastAsia"/>
                <w:color w:val="auto"/>
                <w:lang w:val="en-US" w:eastAsia="zh-CN"/>
              </w:rPr>
              <w:t>破碎</w:t>
            </w:r>
            <w:r>
              <w:rPr>
                <w:color w:val="auto"/>
              </w:rPr>
              <w:t>废水</w:t>
            </w:r>
            <w:r>
              <w:rPr>
                <w:rFonts w:hint="eastAsia"/>
                <w:color w:val="auto"/>
                <w:lang w:val="en-US" w:eastAsia="zh-CN"/>
              </w:rPr>
              <w:t>产污系数参考一览表</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68"/>
              <w:gridCol w:w="1045"/>
              <w:gridCol w:w="1152"/>
              <w:gridCol w:w="1168"/>
              <w:gridCol w:w="968"/>
              <w:gridCol w:w="1608"/>
              <w:gridCol w:w="1864"/>
            </w:tblGrid>
            <w:tr w14:paraId="5C192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68" w:type="dxa"/>
                  <w:vAlign w:val="center"/>
                </w:tcPr>
                <w:p w14:paraId="4BA622D0">
                  <w:pPr>
                    <w:pStyle w:val="46"/>
                    <w:keepNext w:val="0"/>
                    <w:keepLines w:val="0"/>
                    <w:suppressLineNumbers w:val="0"/>
                    <w:bidi w:val="0"/>
                    <w:spacing w:before="0" w:beforeAutospacing="0" w:after="0" w:afterAutospacing="0"/>
                    <w:jc w:val="center"/>
                    <w:rPr>
                      <w:rFonts w:hint="default"/>
                      <w:b/>
                      <w:bCs/>
                      <w:color w:val="auto"/>
                      <w:lang w:val="en-US" w:eastAsia="zh-CN"/>
                    </w:rPr>
                  </w:pPr>
                  <w:r>
                    <w:rPr>
                      <w:rFonts w:hint="eastAsia"/>
                      <w:b/>
                      <w:bCs/>
                      <w:color w:val="auto"/>
                      <w:lang w:val="en-US" w:eastAsia="zh-CN"/>
                    </w:rPr>
                    <w:t>原料名称</w:t>
                  </w:r>
                </w:p>
              </w:tc>
              <w:tc>
                <w:tcPr>
                  <w:tcW w:w="1045" w:type="dxa"/>
                  <w:vAlign w:val="center"/>
                </w:tcPr>
                <w:p w14:paraId="41DB40B2">
                  <w:pPr>
                    <w:pStyle w:val="46"/>
                    <w:keepNext w:val="0"/>
                    <w:keepLines w:val="0"/>
                    <w:suppressLineNumbers w:val="0"/>
                    <w:bidi w:val="0"/>
                    <w:spacing w:before="0" w:beforeAutospacing="0" w:after="0" w:afterAutospacing="0"/>
                    <w:jc w:val="center"/>
                    <w:rPr>
                      <w:rFonts w:hint="default"/>
                      <w:b/>
                      <w:bCs/>
                      <w:color w:val="auto"/>
                      <w:lang w:val="en-US" w:eastAsia="zh-CN"/>
                    </w:rPr>
                  </w:pPr>
                  <w:r>
                    <w:rPr>
                      <w:rFonts w:hint="eastAsia"/>
                      <w:b/>
                      <w:bCs/>
                      <w:color w:val="auto"/>
                      <w:lang w:val="en-US" w:eastAsia="zh-CN"/>
                    </w:rPr>
                    <w:t>生产工艺</w:t>
                  </w:r>
                </w:p>
              </w:tc>
              <w:tc>
                <w:tcPr>
                  <w:tcW w:w="1152" w:type="dxa"/>
                  <w:vAlign w:val="center"/>
                </w:tcPr>
                <w:p w14:paraId="0D1A5D9C">
                  <w:pPr>
                    <w:pStyle w:val="46"/>
                    <w:keepNext w:val="0"/>
                    <w:keepLines w:val="0"/>
                    <w:suppressLineNumbers w:val="0"/>
                    <w:bidi w:val="0"/>
                    <w:spacing w:before="0" w:beforeAutospacing="0" w:after="0" w:afterAutospacing="0"/>
                    <w:jc w:val="center"/>
                    <w:rPr>
                      <w:rFonts w:hint="default"/>
                      <w:b/>
                      <w:bCs/>
                      <w:color w:val="auto"/>
                      <w:lang w:val="en-US" w:eastAsia="zh-CN"/>
                    </w:rPr>
                  </w:pPr>
                  <w:r>
                    <w:rPr>
                      <w:rFonts w:hint="eastAsia"/>
                      <w:b/>
                      <w:bCs/>
                      <w:color w:val="auto"/>
                      <w:lang w:val="en-US" w:eastAsia="zh-CN"/>
                    </w:rPr>
                    <w:t>污染物</w:t>
                  </w:r>
                </w:p>
              </w:tc>
              <w:tc>
                <w:tcPr>
                  <w:tcW w:w="1168" w:type="dxa"/>
                  <w:vAlign w:val="center"/>
                </w:tcPr>
                <w:p w14:paraId="61D62786">
                  <w:pPr>
                    <w:pStyle w:val="46"/>
                    <w:keepNext w:val="0"/>
                    <w:keepLines w:val="0"/>
                    <w:suppressLineNumbers w:val="0"/>
                    <w:bidi w:val="0"/>
                    <w:spacing w:before="0" w:beforeAutospacing="0" w:after="0" w:afterAutospacing="0"/>
                    <w:jc w:val="center"/>
                    <w:rPr>
                      <w:rFonts w:hint="default"/>
                      <w:b/>
                      <w:bCs/>
                      <w:color w:val="auto"/>
                      <w:lang w:val="en-US" w:eastAsia="zh-CN"/>
                    </w:rPr>
                  </w:pPr>
                  <w:r>
                    <w:rPr>
                      <w:rFonts w:hint="eastAsia"/>
                      <w:b/>
                      <w:bCs/>
                      <w:color w:val="auto"/>
                      <w:lang w:val="en-US" w:eastAsia="zh-CN"/>
                    </w:rPr>
                    <w:t>单位</w:t>
                  </w:r>
                </w:p>
              </w:tc>
              <w:tc>
                <w:tcPr>
                  <w:tcW w:w="968" w:type="dxa"/>
                  <w:vAlign w:val="center"/>
                </w:tcPr>
                <w:p w14:paraId="50DDA738">
                  <w:pPr>
                    <w:pStyle w:val="46"/>
                    <w:keepNext w:val="0"/>
                    <w:keepLines w:val="0"/>
                    <w:suppressLineNumbers w:val="0"/>
                    <w:bidi w:val="0"/>
                    <w:spacing w:before="0" w:beforeAutospacing="0" w:after="0" w:afterAutospacing="0"/>
                    <w:jc w:val="center"/>
                    <w:rPr>
                      <w:rFonts w:hint="default"/>
                      <w:b/>
                      <w:bCs/>
                      <w:color w:val="auto"/>
                      <w:lang w:val="en-US" w:eastAsia="zh-CN"/>
                    </w:rPr>
                  </w:pPr>
                  <w:r>
                    <w:rPr>
                      <w:rFonts w:hint="eastAsia"/>
                      <w:b/>
                      <w:bCs/>
                      <w:color w:val="auto"/>
                      <w:lang w:val="en-US" w:eastAsia="zh-CN"/>
                    </w:rPr>
                    <w:t>产污系数</w:t>
                  </w:r>
                </w:p>
              </w:tc>
              <w:tc>
                <w:tcPr>
                  <w:tcW w:w="1608" w:type="dxa"/>
                  <w:vAlign w:val="center"/>
                </w:tcPr>
                <w:p w14:paraId="701D40A9">
                  <w:pPr>
                    <w:pStyle w:val="46"/>
                    <w:keepNext w:val="0"/>
                    <w:keepLines w:val="0"/>
                    <w:suppressLineNumbers w:val="0"/>
                    <w:bidi w:val="0"/>
                    <w:spacing w:before="0" w:beforeAutospacing="0" w:after="0" w:afterAutospacing="0"/>
                    <w:jc w:val="center"/>
                    <w:rPr>
                      <w:rFonts w:hint="default"/>
                      <w:b/>
                      <w:bCs/>
                      <w:color w:val="auto"/>
                      <w:lang w:val="en-US" w:eastAsia="zh-CN"/>
                    </w:rPr>
                  </w:pPr>
                  <w:r>
                    <w:rPr>
                      <w:rFonts w:hint="eastAsia"/>
                      <w:b/>
                      <w:bCs/>
                      <w:color w:val="auto"/>
                      <w:lang w:val="en-US" w:eastAsia="zh-CN"/>
                    </w:rPr>
                    <w:t>年破碎塑料量</w:t>
                  </w:r>
                </w:p>
              </w:tc>
              <w:tc>
                <w:tcPr>
                  <w:tcW w:w="1864" w:type="dxa"/>
                  <w:vAlign w:val="center"/>
                </w:tcPr>
                <w:p w14:paraId="4D1A1868">
                  <w:pPr>
                    <w:pStyle w:val="46"/>
                    <w:keepNext w:val="0"/>
                    <w:keepLines w:val="0"/>
                    <w:suppressLineNumbers w:val="0"/>
                    <w:bidi w:val="0"/>
                    <w:spacing w:before="0" w:beforeAutospacing="0" w:after="0" w:afterAutospacing="0"/>
                    <w:jc w:val="center"/>
                    <w:rPr>
                      <w:rFonts w:hint="default"/>
                      <w:b/>
                      <w:bCs/>
                      <w:color w:val="auto"/>
                      <w:lang w:val="en-US" w:eastAsia="zh-CN"/>
                    </w:rPr>
                  </w:pPr>
                  <w:r>
                    <w:rPr>
                      <w:rFonts w:hint="eastAsia"/>
                      <w:b/>
                      <w:bCs/>
                      <w:color w:val="auto"/>
                      <w:lang w:val="en-US" w:eastAsia="zh-CN"/>
                    </w:rPr>
                    <w:t>产生量t/a</w:t>
                  </w:r>
                </w:p>
              </w:tc>
            </w:tr>
            <w:tr w14:paraId="2CA98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68" w:type="dxa"/>
                  <w:vMerge w:val="restart"/>
                  <w:vAlign w:val="center"/>
                </w:tcPr>
                <w:p w14:paraId="74534F67">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废PP/PE</w:t>
                  </w:r>
                </w:p>
              </w:tc>
              <w:tc>
                <w:tcPr>
                  <w:tcW w:w="1045" w:type="dxa"/>
                  <w:vMerge w:val="restart"/>
                  <w:vAlign w:val="center"/>
                </w:tcPr>
                <w:p w14:paraId="5576B4FF">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清洗或湿法破碎+清洗</w:t>
                  </w:r>
                </w:p>
              </w:tc>
              <w:tc>
                <w:tcPr>
                  <w:tcW w:w="1152" w:type="dxa"/>
                  <w:vAlign w:val="center"/>
                </w:tcPr>
                <w:p w14:paraId="75F90E1B">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工业废水量</w:t>
                  </w:r>
                </w:p>
              </w:tc>
              <w:tc>
                <w:tcPr>
                  <w:tcW w:w="1168" w:type="dxa"/>
                  <w:vAlign w:val="center"/>
                </w:tcPr>
                <w:p w14:paraId="219BCD41">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吨/吨-原料</w:t>
                  </w:r>
                </w:p>
              </w:tc>
              <w:tc>
                <w:tcPr>
                  <w:tcW w:w="968" w:type="dxa"/>
                  <w:vAlign w:val="center"/>
                </w:tcPr>
                <w:p w14:paraId="59721E82">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1</w:t>
                  </w:r>
                </w:p>
              </w:tc>
              <w:tc>
                <w:tcPr>
                  <w:tcW w:w="1608" w:type="dxa"/>
                  <w:vMerge w:val="restart"/>
                  <w:vAlign w:val="center"/>
                </w:tcPr>
                <w:p w14:paraId="567D55D2">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293t/a</w:t>
                  </w:r>
                </w:p>
              </w:tc>
              <w:tc>
                <w:tcPr>
                  <w:tcW w:w="1864" w:type="dxa"/>
                  <w:vAlign w:val="center"/>
                </w:tcPr>
                <w:p w14:paraId="2749FDF8">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293</w:t>
                  </w:r>
                </w:p>
              </w:tc>
            </w:tr>
            <w:tr w14:paraId="0FCE7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68" w:type="dxa"/>
                  <w:vMerge w:val="continue"/>
                  <w:vAlign w:val="center"/>
                </w:tcPr>
                <w:p w14:paraId="07292EE8">
                  <w:pPr>
                    <w:pStyle w:val="46"/>
                    <w:keepNext w:val="0"/>
                    <w:keepLines w:val="0"/>
                    <w:suppressLineNumbers w:val="0"/>
                    <w:bidi w:val="0"/>
                    <w:spacing w:before="0" w:beforeAutospacing="0" w:after="0" w:afterAutospacing="0"/>
                    <w:jc w:val="center"/>
                    <w:rPr>
                      <w:rFonts w:hint="default"/>
                      <w:color w:val="auto"/>
                      <w:lang w:val="en-US" w:eastAsia="zh-CN"/>
                    </w:rPr>
                  </w:pPr>
                </w:p>
              </w:tc>
              <w:tc>
                <w:tcPr>
                  <w:tcW w:w="1045" w:type="dxa"/>
                  <w:vMerge w:val="continue"/>
                  <w:vAlign w:val="center"/>
                </w:tcPr>
                <w:p w14:paraId="5BC66025">
                  <w:pPr>
                    <w:pStyle w:val="46"/>
                    <w:keepNext w:val="0"/>
                    <w:keepLines w:val="0"/>
                    <w:suppressLineNumbers w:val="0"/>
                    <w:bidi w:val="0"/>
                    <w:spacing w:before="0" w:beforeAutospacing="0" w:after="0" w:afterAutospacing="0"/>
                    <w:jc w:val="center"/>
                    <w:rPr>
                      <w:rFonts w:hint="default"/>
                      <w:color w:val="auto"/>
                      <w:lang w:val="en-US" w:eastAsia="zh-CN"/>
                    </w:rPr>
                  </w:pPr>
                </w:p>
              </w:tc>
              <w:tc>
                <w:tcPr>
                  <w:tcW w:w="1152" w:type="dxa"/>
                  <w:vAlign w:val="center"/>
                </w:tcPr>
                <w:p w14:paraId="370B29BB">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化学需氧量</w:t>
                  </w:r>
                </w:p>
              </w:tc>
              <w:tc>
                <w:tcPr>
                  <w:tcW w:w="1168" w:type="dxa"/>
                  <w:vAlign w:val="center"/>
                </w:tcPr>
                <w:p w14:paraId="0135F392">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克/吨-原料</w:t>
                  </w:r>
                </w:p>
              </w:tc>
              <w:tc>
                <w:tcPr>
                  <w:tcW w:w="968" w:type="dxa"/>
                  <w:vAlign w:val="center"/>
                </w:tcPr>
                <w:p w14:paraId="54BA2A62">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420</w:t>
                  </w:r>
                </w:p>
              </w:tc>
              <w:tc>
                <w:tcPr>
                  <w:tcW w:w="1608" w:type="dxa"/>
                  <w:vMerge w:val="continue"/>
                  <w:vAlign w:val="center"/>
                </w:tcPr>
                <w:p w14:paraId="327215B1">
                  <w:pPr>
                    <w:pStyle w:val="61"/>
                    <w:keepNext w:val="0"/>
                    <w:keepLines w:val="0"/>
                    <w:suppressLineNumbers w:val="0"/>
                    <w:bidi w:val="0"/>
                    <w:spacing w:before="0" w:beforeAutospacing="0" w:after="0" w:afterAutospacing="0"/>
                    <w:ind w:left="0" w:right="0"/>
                    <w:jc w:val="center"/>
                    <w:rPr>
                      <w:rFonts w:hint="eastAsia"/>
                      <w:color w:val="auto"/>
                      <w:lang w:val="en-US" w:eastAsia="zh-CN"/>
                    </w:rPr>
                  </w:pPr>
                </w:p>
              </w:tc>
              <w:tc>
                <w:tcPr>
                  <w:tcW w:w="1864" w:type="dxa"/>
                  <w:vAlign w:val="center"/>
                </w:tcPr>
                <w:p w14:paraId="63361EB3">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0.1231</w:t>
                  </w:r>
                </w:p>
              </w:tc>
            </w:tr>
            <w:tr w14:paraId="25C2C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68" w:type="dxa"/>
                  <w:vMerge w:val="continue"/>
                  <w:vAlign w:val="center"/>
                </w:tcPr>
                <w:p w14:paraId="79042964">
                  <w:pPr>
                    <w:pStyle w:val="46"/>
                    <w:keepNext w:val="0"/>
                    <w:keepLines w:val="0"/>
                    <w:suppressLineNumbers w:val="0"/>
                    <w:bidi w:val="0"/>
                    <w:spacing w:before="0" w:beforeAutospacing="0" w:after="0" w:afterAutospacing="0"/>
                    <w:jc w:val="center"/>
                    <w:rPr>
                      <w:rFonts w:hint="default"/>
                      <w:color w:val="auto"/>
                      <w:lang w:val="en-US" w:eastAsia="zh-CN"/>
                    </w:rPr>
                  </w:pPr>
                </w:p>
              </w:tc>
              <w:tc>
                <w:tcPr>
                  <w:tcW w:w="1045" w:type="dxa"/>
                  <w:vMerge w:val="continue"/>
                  <w:vAlign w:val="center"/>
                </w:tcPr>
                <w:p w14:paraId="7C0B09A2">
                  <w:pPr>
                    <w:pStyle w:val="46"/>
                    <w:keepNext w:val="0"/>
                    <w:keepLines w:val="0"/>
                    <w:suppressLineNumbers w:val="0"/>
                    <w:bidi w:val="0"/>
                    <w:spacing w:before="0" w:beforeAutospacing="0" w:after="0" w:afterAutospacing="0"/>
                    <w:jc w:val="center"/>
                    <w:rPr>
                      <w:rFonts w:hint="default"/>
                      <w:color w:val="auto"/>
                      <w:lang w:val="en-US" w:eastAsia="zh-CN"/>
                    </w:rPr>
                  </w:pPr>
                </w:p>
              </w:tc>
              <w:tc>
                <w:tcPr>
                  <w:tcW w:w="1152" w:type="dxa"/>
                  <w:vAlign w:val="center"/>
                </w:tcPr>
                <w:p w14:paraId="4646069C">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氨氮</w:t>
                  </w:r>
                </w:p>
              </w:tc>
              <w:tc>
                <w:tcPr>
                  <w:tcW w:w="1168" w:type="dxa"/>
                  <w:vAlign w:val="center"/>
                </w:tcPr>
                <w:p w14:paraId="46C87FDE">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克/吨-原料</w:t>
                  </w:r>
                </w:p>
              </w:tc>
              <w:tc>
                <w:tcPr>
                  <w:tcW w:w="968" w:type="dxa"/>
                  <w:vAlign w:val="center"/>
                </w:tcPr>
                <w:p w14:paraId="6C07A43B">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21.2</w:t>
                  </w:r>
                </w:p>
              </w:tc>
              <w:tc>
                <w:tcPr>
                  <w:tcW w:w="1608" w:type="dxa"/>
                  <w:vMerge w:val="continue"/>
                  <w:vAlign w:val="center"/>
                </w:tcPr>
                <w:p w14:paraId="69AD2DBE">
                  <w:pPr>
                    <w:pStyle w:val="61"/>
                    <w:keepNext w:val="0"/>
                    <w:keepLines w:val="0"/>
                    <w:suppressLineNumbers w:val="0"/>
                    <w:bidi w:val="0"/>
                    <w:spacing w:before="0" w:beforeAutospacing="0" w:after="0" w:afterAutospacing="0"/>
                    <w:ind w:left="0" w:right="0"/>
                    <w:jc w:val="center"/>
                    <w:rPr>
                      <w:rFonts w:hint="eastAsia"/>
                      <w:color w:val="auto"/>
                      <w:lang w:val="en-US" w:eastAsia="zh-CN"/>
                    </w:rPr>
                  </w:pPr>
                </w:p>
              </w:tc>
              <w:tc>
                <w:tcPr>
                  <w:tcW w:w="1864" w:type="dxa"/>
                  <w:vAlign w:val="center"/>
                </w:tcPr>
                <w:p w14:paraId="5B7CF342">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0.0062</w:t>
                  </w:r>
                </w:p>
              </w:tc>
            </w:tr>
            <w:tr w14:paraId="56D1C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68" w:type="dxa"/>
                  <w:vMerge w:val="continue"/>
                  <w:vAlign w:val="center"/>
                </w:tcPr>
                <w:p w14:paraId="089A475B">
                  <w:pPr>
                    <w:pStyle w:val="46"/>
                    <w:keepNext w:val="0"/>
                    <w:keepLines w:val="0"/>
                    <w:suppressLineNumbers w:val="0"/>
                    <w:bidi w:val="0"/>
                    <w:spacing w:before="0" w:beforeAutospacing="0" w:after="0" w:afterAutospacing="0"/>
                    <w:jc w:val="center"/>
                    <w:rPr>
                      <w:rFonts w:hint="default"/>
                      <w:color w:val="auto"/>
                      <w:lang w:val="en-US" w:eastAsia="zh-CN"/>
                    </w:rPr>
                  </w:pPr>
                </w:p>
              </w:tc>
              <w:tc>
                <w:tcPr>
                  <w:tcW w:w="1045" w:type="dxa"/>
                  <w:vMerge w:val="continue"/>
                  <w:vAlign w:val="center"/>
                </w:tcPr>
                <w:p w14:paraId="2944D098">
                  <w:pPr>
                    <w:pStyle w:val="46"/>
                    <w:keepNext w:val="0"/>
                    <w:keepLines w:val="0"/>
                    <w:suppressLineNumbers w:val="0"/>
                    <w:bidi w:val="0"/>
                    <w:spacing w:before="0" w:beforeAutospacing="0" w:after="0" w:afterAutospacing="0"/>
                    <w:jc w:val="center"/>
                    <w:rPr>
                      <w:rFonts w:hint="default"/>
                      <w:color w:val="auto"/>
                      <w:lang w:val="en-US" w:eastAsia="zh-CN"/>
                    </w:rPr>
                  </w:pPr>
                </w:p>
              </w:tc>
              <w:tc>
                <w:tcPr>
                  <w:tcW w:w="1152" w:type="dxa"/>
                  <w:vAlign w:val="center"/>
                </w:tcPr>
                <w:p w14:paraId="10374917">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总氮</w:t>
                  </w:r>
                </w:p>
              </w:tc>
              <w:tc>
                <w:tcPr>
                  <w:tcW w:w="1168" w:type="dxa"/>
                  <w:vAlign w:val="center"/>
                </w:tcPr>
                <w:p w14:paraId="17E747BE">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克/吨-原料</w:t>
                  </w:r>
                </w:p>
              </w:tc>
              <w:tc>
                <w:tcPr>
                  <w:tcW w:w="968" w:type="dxa"/>
                  <w:vAlign w:val="center"/>
                </w:tcPr>
                <w:p w14:paraId="765E4CD6">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32.5</w:t>
                  </w:r>
                </w:p>
              </w:tc>
              <w:tc>
                <w:tcPr>
                  <w:tcW w:w="1608" w:type="dxa"/>
                  <w:vMerge w:val="continue"/>
                  <w:vAlign w:val="center"/>
                </w:tcPr>
                <w:p w14:paraId="2629E39B">
                  <w:pPr>
                    <w:pStyle w:val="61"/>
                    <w:keepNext w:val="0"/>
                    <w:keepLines w:val="0"/>
                    <w:suppressLineNumbers w:val="0"/>
                    <w:bidi w:val="0"/>
                    <w:spacing w:before="0" w:beforeAutospacing="0" w:after="0" w:afterAutospacing="0"/>
                    <w:ind w:left="0" w:right="0"/>
                    <w:jc w:val="center"/>
                    <w:rPr>
                      <w:rFonts w:hint="eastAsia"/>
                      <w:color w:val="auto"/>
                      <w:lang w:val="en-US" w:eastAsia="zh-CN"/>
                    </w:rPr>
                  </w:pPr>
                </w:p>
              </w:tc>
              <w:tc>
                <w:tcPr>
                  <w:tcW w:w="1864" w:type="dxa"/>
                  <w:vAlign w:val="center"/>
                </w:tcPr>
                <w:p w14:paraId="235AA7F2">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0.0095</w:t>
                  </w:r>
                </w:p>
              </w:tc>
            </w:tr>
            <w:tr w14:paraId="74539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68" w:type="dxa"/>
                  <w:vMerge w:val="continue"/>
                  <w:vAlign w:val="center"/>
                </w:tcPr>
                <w:p w14:paraId="0C830612">
                  <w:pPr>
                    <w:pStyle w:val="46"/>
                    <w:keepNext w:val="0"/>
                    <w:keepLines w:val="0"/>
                    <w:suppressLineNumbers w:val="0"/>
                    <w:bidi w:val="0"/>
                    <w:spacing w:before="0" w:beforeAutospacing="0" w:after="0" w:afterAutospacing="0"/>
                    <w:jc w:val="center"/>
                    <w:rPr>
                      <w:rFonts w:hint="default"/>
                      <w:color w:val="auto"/>
                      <w:lang w:val="en-US" w:eastAsia="zh-CN"/>
                    </w:rPr>
                  </w:pPr>
                </w:p>
              </w:tc>
              <w:tc>
                <w:tcPr>
                  <w:tcW w:w="1045" w:type="dxa"/>
                  <w:vMerge w:val="continue"/>
                  <w:vAlign w:val="center"/>
                </w:tcPr>
                <w:p w14:paraId="3C38E078">
                  <w:pPr>
                    <w:pStyle w:val="46"/>
                    <w:keepNext w:val="0"/>
                    <w:keepLines w:val="0"/>
                    <w:suppressLineNumbers w:val="0"/>
                    <w:bidi w:val="0"/>
                    <w:spacing w:before="0" w:beforeAutospacing="0" w:after="0" w:afterAutospacing="0"/>
                    <w:jc w:val="center"/>
                    <w:rPr>
                      <w:rFonts w:hint="default"/>
                      <w:color w:val="auto"/>
                      <w:lang w:val="en-US" w:eastAsia="zh-CN"/>
                    </w:rPr>
                  </w:pPr>
                </w:p>
              </w:tc>
              <w:tc>
                <w:tcPr>
                  <w:tcW w:w="1152" w:type="dxa"/>
                  <w:vAlign w:val="center"/>
                </w:tcPr>
                <w:p w14:paraId="71939956">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石油类</w:t>
                  </w:r>
                </w:p>
              </w:tc>
              <w:tc>
                <w:tcPr>
                  <w:tcW w:w="1168" w:type="dxa"/>
                  <w:vAlign w:val="center"/>
                </w:tcPr>
                <w:p w14:paraId="4B8A0E06">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克/吨-原料</w:t>
                  </w:r>
                </w:p>
              </w:tc>
              <w:tc>
                <w:tcPr>
                  <w:tcW w:w="968" w:type="dxa"/>
                  <w:vAlign w:val="center"/>
                </w:tcPr>
                <w:p w14:paraId="46050A4E">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18.5</w:t>
                  </w:r>
                </w:p>
              </w:tc>
              <w:tc>
                <w:tcPr>
                  <w:tcW w:w="1608" w:type="dxa"/>
                  <w:vMerge w:val="continue"/>
                  <w:vAlign w:val="center"/>
                </w:tcPr>
                <w:p w14:paraId="71C1080F">
                  <w:pPr>
                    <w:pStyle w:val="61"/>
                    <w:keepNext w:val="0"/>
                    <w:keepLines w:val="0"/>
                    <w:suppressLineNumbers w:val="0"/>
                    <w:bidi w:val="0"/>
                    <w:spacing w:before="0" w:beforeAutospacing="0" w:after="0" w:afterAutospacing="0"/>
                    <w:ind w:left="0" w:right="0"/>
                    <w:jc w:val="center"/>
                    <w:rPr>
                      <w:rFonts w:hint="eastAsia"/>
                      <w:color w:val="auto"/>
                      <w:lang w:val="en-US" w:eastAsia="zh-CN"/>
                    </w:rPr>
                  </w:pPr>
                </w:p>
              </w:tc>
              <w:tc>
                <w:tcPr>
                  <w:tcW w:w="1864" w:type="dxa"/>
                  <w:vAlign w:val="center"/>
                </w:tcPr>
                <w:p w14:paraId="61B666DD">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0.0054</w:t>
                  </w:r>
                </w:p>
              </w:tc>
            </w:tr>
            <w:tr w14:paraId="24D6C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68" w:type="dxa"/>
                  <w:vMerge w:val="continue"/>
                  <w:vAlign w:val="center"/>
                </w:tcPr>
                <w:p w14:paraId="1AAB39BC">
                  <w:pPr>
                    <w:pStyle w:val="46"/>
                    <w:keepNext w:val="0"/>
                    <w:keepLines w:val="0"/>
                    <w:suppressLineNumbers w:val="0"/>
                    <w:bidi w:val="0"/>
                    <w:spacing w:before="0" w:beforeAutospacing="0" w:after="0" w:afterAutospacing="0"/>
                    <w:jc w:val="center"/>
                    <w:rPr>
                      <w:rFonts w:hint="default"/>
                      <w:color w:val="auto"/>
                      <w:lang w:val="en-US" w:eastAsia="zh-CN"/>
                    </w:rPr>
                  </w:pPr>
                </w:p>
              </w:tc>
              <w:tc>
                <w:tcPr>
                  <w:tcW w:w="1045" w:type="dxa"/>
                  <w:vMerge w:val="continue"/>
                  <w:vAlign w:val="center"/>
                </w:tcPr>
                <w:p w14:paraId="7A26E800">
                  <w:pPr>
                    <w:pStyle w:val="46"/>
                    <w:keepNext w:val="0"/>
                    <w:keepLines w:val="0"/>
                    <w:suppressLineNumbers w:val="0"/>
                    <w:bidi w:val="0"/>
                    <w:spacing w:before="0" w:beforeAutospacing="0" w:after="0" w:afterAutospacing="0"/>
                    <w:jc w:val="center"/>
                    <w:rPr>
                      <w:rFonts w:hint="default"/>
                      <w:color w:val="auto"/>
                      <w:lang w:val="en-US" w:eastAsia="zh-CN"/>
                    </w:rPr>
                  </w:pPr>
                </w:p>
              </w:tc>
              <w:tc>
                <w:tcPr>
                  <w:tcW w:w="1152" w:type="dxa"/>
                  <w:vAlign w:val="center"/>
                </w:tcPr>
                <w:p w14:paraId="302BC513">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总磷</w:t>
                  </w:r>
                </w:p>
              </w:tc>
              <w:tc>
                <w:tcPr>
                  <w:tcW w:w="1168" w:type="dxa"/>
                  <w:vAlign w:val="center"/>
                </w:tcPr>
                <w:p w14:paraId="2FED10EA">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克/吨-原料</w:t>
                  </w:r>
                </w:p>
              </w:tc>
              <w:tc>
                <w:tcPr>
                  <w:tcW w:w="968" w:type="dxa"/>
                  <w:vAlign w:val="center"/>
                </w:tcPr>
                <w:p w14:paraId="39A65CE0">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1.2</w:t>
                  </w:r>
                </w:p>
              </w:tc>
              <w:tc>
                <w:tcPr>
                  <w:tcW w:w="1608" w:type="dxa"/>
                  <w:vMerge w:val="continue"/>
                  <w:vAlign w:val="center"/>
                </w:tcPr>
                <w:p w14:paraId="7D9F45DB">
                  <w:pPr>
                    <w:pStyle w:val="61"/>
                    <w:keepNext w:val="0"/>
                    <w:keepLines w:val="0"/>
                    <w:suppressLineNumbers w:val="0"/>
                    <w:bidi w:val="0"/>
                    <w:spacing w:before="0" w:beforeAutospacing="0" w:after="0" w:afterAutospacing="0"/>
                    <w:ind w:left="0" w:right="0"/>
                    <w:jc w:val="center"/>
                    <w:rPr>
                      <w:rFonts w:hint="eastAsia"/>
                      <w:color w:val="auto"/>
                      <w:lang w:val="en-US" w:eastAsia="zh-CN"/>
                    </w:rPr>
                  </w:pPr>
                </w:p>
              </w:tc>
              <w:tc>
                <w:tcPr>
                  <w:tcW w:w="1864" w:type="dxa"/>
                  <w:vAlign w:val="center"/>
                </w:tcPr>
                <w:p w14:paraId="3DA39BC5">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0.0004</w:t>
                  </w:r>
                </w:p>
              </w:tc>
            </w:tr>
            <w:tr w14:paraId="15F2E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68" w:type="dxa"/>
                  <w:vMerge w:val="continue"/>
                  <w:vAlign w:val="center"/>
                </w:tcPr>
                <w:p w14:paraId="6DC02B14">
                  <w:pPr>
                    <w:pStyle w:val="46"/>
                    <w:keepNext w:val="0"/>
                    <w:keepLines w:val="0"/>
                    <w:suppressLineNumbers w:val="0"/>
                    <w:bidi w:val="0"/>
                    <w:spacing w:before="0" w:beforeAutospacing="0" w:after="0" w:afterAutospacing="0"/>
                    <w:jc w:val="center"/>
                    <w:rPr>
                      <w:rFonts w:hint="default"/>
                      <w:color w:val="auto"/>
                      <w:lang w:val="en-US" w:eastAsia="zh-CN"/>
                    </w:rPr>
                  </w:pPr>
                </w:p>
              </w:tc>
              <w:tc>
                <w:tcPr>
                  <w:tcW w:w="1045" w:type="dxa"/>
                  <w:vMerge w:val="continue"/>
                  <w:vAlign w:val="center"/>
                </w:tcPr>
                <w:p w14:paraId="17C1104D">
                  <w:pPr>
                    <w:pStyle w:val="46"/>
                    <w:keepNext w:val="0"/>
                    <w:keepLines w:val="0"/>
                    <w:suppressLineNumbers w:val="0"/>
                    <w:bidi w:val="0"/>
                    <w:spacing w:before="0" w:beforeAutospacing="0" w:after="0" w:afterAutospacing="0"/>
                    <w:jc w:val="center"/>
                    <w:rPr>
                      <w:rFonts w:hint="default"/>
                      <w:color w:val="auto"/>
                      <w:lang w:val="en-US" w:eastAsia="zh-CN"/>
                    </w:rPr>
                  </w:pPr>
                </w:p>
              </w:tc>
              <w:tc>
                <w:tcPr>
                  <w:tcW w:w="1152" w:type="dxa"/>
                  <w:vAlign w:val="center"/>
                </w:tcPr>
                <w:p w14:paraId="0F6A23C1">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悬浮物</w:t>
                  </w:r>
                </w:p>
              </w:tc>
              <w:tc>
                <w:tcPr>
                  <w:tcW w:w="1168" w:type="dxa"/>
                  <w:vAlign w:val="center"/>
                </w:tcPr>
                <w:p w14:paraId="5B1F50EB">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mg/L</w:t>
                  </w:r>
                </w:p>
              </w:tc>
              <w:tc>
                <w:tcPr>
                  <w:tcW w:w="968" w:type="dxa"/>
                  <w:vAlign w:val="center"/>
                </w:tcPr>
                <w:p w14:paraId="02739AE9">
                  <w:pPr>
                    <w:pStyle w:val="46"/>
                    <w:keepNext w:val="0"/>
                    <w:keepLines w:val="0"/>
                    <w:suppressLineNumbers w:val="0"/>
                    <w:bidi w:val="0"/>
                    <w:spacing w:before="0" w:beforeAutospacing="0" w:after="0" w:afterAutospacing="0"/>
                    <w:jc w:val="center"/>
                    <w:rPr>
                      <w:rFonts w:hint="default"/>
                      <w:color w:val="auto"/>
                      <w:lang w:val="en-US" w:eastAsia="zh-CN"/>
                    </w:rPr>
                  </w:pPr>
                  <w:r>
                    <w:rPr>
                      <w:rFonts w:hint="eastAsia"/>
                      <w:color w:val="auto"/>
                      <w:lang w:val="en-US" w:eastAsia="zh-CN"/>
                    </w:rPr>
                    <w:t>280</w:t>
                  </w:r>
                </w:p>
              </w:tc>
              <w:tc>
                <w:tcPr>
                  <w:tcW w:w="1608" w:type="dxa"/>
                  <w:vMerge w:val="continue"/>
                  <w:vAlign w:val="center"/>
                </w:tcPr>
                <w:p w14:paraId="02107EB6">
                  <w:pPr>
                    <w:pStyle w:val="61"/>
                    <w:keepNext w:val="0"/>
                    <w:keepLines w:val="0"/>
                    <w:suppressLineNumbers w:val="0"/>
                    <w:bidi w:val="0"/>
                    <w:spacing w:before="0" w:beforeAutospacing="0" w:after="0" w:afterAutospacing="0"/>
                    <w:ind w:left="0" w:right="0"/>
                    <w:jc w:val="center"/>
                    <w:rPr>
                      <w:rFonts w:hint="eastAsia"/>
                      <w:color w:val="auto"/>
                      <w:lang w:val="en-US" w:eastAsia="zh-CN"/>
                    </w:rPr>
                  </w:pPr>
                </w:p>
              </w:tc>
              <w:tc>
                <w:tcPr>
                  <w:tcW w:w="1864" w:type="dxa"/>
                  <w:vAlign w:val="center"/>
                </w:tcPr>
                <w:p w14:paraId="5F2D27CE">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0.0820</w:t>
                  </w:r>
                </w:p>
              </w:tc>
            </w:tr>
          </w:tbl>
          <w:p w14:paraId="7F4FCC20">
            <w:pPr>
              <w:pStyle w:val="56"/>
              <w:keepNext w:val="0"/>
              <w:keepLines w:val="0"/>
              <w:suppressLineNumbers w:val="0"/>
              <w:spacing w:before="0" w:beforeAutospacing="0" w:after="0" w:afterAutospacing="0"/>
              <w:ind w:left="0" w:right="0" w:firstLine="482"/>
              <w:rPr>
                <w:rFonts w:hint="eastAsia"/>
                <w:b/>
                <w:bCs/>
                <w:color w:val="000000" w:themeColor="text1"/>
                <w14:textFill>
                  <w14:solidFill>
                    <w14:schemeClr w14:val="tx1"/>
                  </w14:solidFill>
                </w14:textFill>
              </w:rPr>
            </w:pPr>
            <w:r>
              <w:rPr>
                <w:rFonts w:hint="eastAsia"/>
                <w:b/>
                <w:bCs/>
                <w:color w:val="000000" w:themeColor="text1"/>
                <w:lang w:val="en-US" w:eastAsia="zh-CN"/>
                <w14:textFill>
                  <w14:solidFill>
                    <w14:schemeClr w14:val="tx1"/>
                  </w14:solidFill>
                </w14:textFill>
              </w:rPr>
              <w:t>3、</w:t>
            </w:r>
            <w:r>
              <w:rPr>
                <w:rFonts w:hint="eastAsia"/>
                <w:b/>
                <w:bCs/>
                <w:color w:val="000000" w:themeColor="text1"/>
                <w14:textFill>
                  <w14:solidFill>
                    <w14:schemeClr w14:val="tx1"/>
                  </w14:solidFill>
                </w14:textFill>
              </w:rPr>
              <w:t>废水污染防治措施</w:t>
            </w:r>
          </w:p>
          <w:p w14:paraId="627CDDA4">
            <w:pPr>
              <w:pStyle w:val="56"/>
              <w:keepNext w:val="0"/>
              <w:keepLines w:val="0"/>
              <w:suppressLineNumbers w:val="0"/>
              <w:spacing w:before="0" w:beforeAutospacing="0" w:after="0" w:afterAutospacing="0"/>
              <w:ind w:left="480" w:leftChars="200" w:right="0" w:firstLine="0" w:firstLineChars="0"/>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（1）</w:t>
            </w:r>
            <w:r>
              <w:rPr>
                <w:rFonts w:hint="eastAsia"/>
                <w:b/>
                <w:bCs/>
                <w:color w:val="000000" w:themeColor="text1"/>
                <w:lang w:val="en-US" w:eastAsia="zh-CN"/>
                <w14:textFill>
                  <w14:solidFill>
                    <w14:schemeClr w14:val="tx1"/>
                  </w14:solidFill>
                </w14:textFill>
              </w:rPr>
              <w:t>废水</w:t>
            </w:r>
            <w:r>
              <w:rPr>
                <w:rFonts w:hint="eastAsia"/>
                <w:b/>
                <w:bCs/>
                <w:color w:val="000000" w:themeColor="text1"/>
                <w14:textFill>
                  <w14:solidFill>
                    <w14:schemeClr w14:val="tx1"/>
                  </w14:solidFill>
                </w14:textFill>
              </w:rPr>
              <w:t>污水处理工艺流程</w:t>
            </w:r>
          </w:p>
          <w:p w14:paraId="6E4B3599">
            <w:pPr>
              <w:pStyle w:val="56"/>
              <w:keepNext w:val="0"/>
              <w:keepLines w:val="0"/>
              <w:suppressLineNumbers w:val="0"/>
              <w:spacing w:before="0" w:beforeAutospacing="0" w:after="0" w:afterAutospacing="0"/>
              <w:ind w:left="0" w:right="0" w:firstLine="48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本项目生活污水经化粪池处理达八公山污水处理厂接管浓度限值后接管市政污水管网，</w:t>
            </w:r>
            <w:r>
              <w:rPr>
                <w:rFonts w:hint="eastAsia"/>
                <w:color w:val="000000" w:themeColor="text1"/>
                <w:lang w:val="en-US" w:eastAsia="zh-CN"/>
                <w14:textFill>
                  <w14:solidFill>
                    <w14:schemeClr w14:val="tx1"/>
                  </w14:solidFill>
                </w14:textFill>
              </w:rPr>
              <w:t>破碎</w:t>
            </w:r>
            <w:r>
              <w:rPr>
                <w:rFonts w:hint="eastAsia"/>
                <w:color w:val="000000" w:themeColor="text1"/>
                <w14:textFill>
                  <w14:solidFill>
                    <w14:schemeClr w14:val="tx1"/>
                  </w14:solidFill>
                </w14:textFill>
              </w:rPr>
              <w:t>废水经</w:t>
            </w:r>
            <w:r>
              <w:rPr>
                <w:rFonts w:hint="eastAsia"/>
                <w:color w:val="000000" w:themeColor="text1"/>
                <w:lang w:val="en-US" w:eastAsia="zh-CN"/>
                <w14:textFill>
                  <w14:solidFill>
                    <w14:schemeClr w14:val="tx1"/>
                  </w14:solidFill>
                </w14:textFill>
              </w:rPr>
              <w:t>自建絮凝沉淀池</w:t>
            </w:r>
            <w:r>
              <w:rPr>
                <w:rFonts w:hint="eastAsia"/>
                <w:color w:val="000000" w:themeColor="text1"/>
                <w14:textFill>
                  <w14:solidFill>
                    <w14:schemeClr w14:val="tx1"/>
                  </w14:solidFill>
                </w14:textFill>
              </w:rPr>
              <w:t>处理后</w:t>
            </w:r>
            <w:r>
              <w:rPr>
                <w:rFonts w:hint="eastAsia"/>
                <w:color w:val="000000" w:themeColor="text1"/>
                <w:lang w:val="en-US" w:eastAsia="zh-CN"/>
                <w14:textFill>
                  <w14:solidFill>
                    <w14:schemeClr w14:val="tx1"/>
                  </w14:solidFill>
                </w14:textFill>
              </w:rPr>
              <w:t>回用于破碎工序</w:t>
            </w:r>
            <w:r>
              <w:rPr>
                <w:rFonts w:hint="eastAsia"/>
                <w:color w:val="000000" w:themeColor="text1"/>
                <w14:textFill>
                  <w14:solidFill>
                    <w14:schemeClr w14:val="tx1"/>
                  </w14:solidFill>
                </w14:textFill>
              </w:rPr>
              <w:t>。本项目</w:t>
            </w:r>
            <w:r>
              <w:rPr>
                <w:rFonts w:hint="eastAsia"/>
                <w:color w:val="000000" w:themeColor="text1"/>
                <w:lang w:val="en-US" w:eastAsia="zh-CN"/>
                <w14:textFill>
                  <w14:solidFill>
                    <w14:schemeClr w14:val="tx1"/>
                  </w14:solidFill>
                </w14:textFill>
              </w:rPr>
              <w:t>破碎废水</w:t>
            </w:r>
            <w:r>
              <w:rPr>
                <w:rFonts w:hint="eastAsia"/>
                <w:color w:val="000000" w:themeColor="text1"/>
                <w14:textFill>
                  <w14:solidFill>
                    <w14:schemeClr w14:val="tx1"/>
                  </w14:solidFill>
                </w14:textFill>
              </w:rPr>
              <w:t>采用</w:t>
            </w:r>
            <w:r>
              <w:rPr>
                <w:rFonts w:hint="eastAsia" w:ascii="Times New Roman" w:hAnsi="宋体" w:eastAsia="宋体" w:cs="Times New Roman"/>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絮凝沉淀</w:t>
            </w:r>
            <w:r>
              <w:rPr>
                <w:rFonts w:hint="eastAsia" w:ascii="Times New Roman" w:hAnsi="宋体" w:eastAsia="宋体" w:cs="Times New Roman"/>
                <w:color w:val="000000" w:themeColor="text1"/>
                <w:lang w:eastAsia="zh-CN"/>
                <w14:textFill>
                  <w14:solidFill>
                    <w14:schemeClr w14:val="tx1"/>
                  </w14:solidFill>
                </w14:textFill>
              </w:rPr>
              <w:t>”</w:t>
            </w:r>
            <w:r>
              <w:rPr>
                <w:rFonts w:hint="eastAsia" w:hAnsi="宋体" w:cs="Times New Roman"/>
                <w:color w:val="000000" w:themeColor="text1"/>
                <w:lang w:val="en-US" w:eastAsia="zh-CN"/>
                <w14:textFill>
                  <w14:solidFill>
                    <w14:schemeClr w14:val="tx1"/>
                  </w14:solidFill>
                </w14:textFill>
              </w:rPr>
              <w:t>处理</w:t>
            </w:r>
            <w:r>
              <w:rPr>
                <w:rFonts w:hint="eastAsia"/>
                <w:color w:val="000000" w:themeColor="text1"/>
                <w14:textFill>
                  <w14:solidFill>
                    <w14:schemeClr w14:val="tx1"/>
                  </w14:solidFill>
                </w14:textFill>
              </w:rPr>
              <w:t>，污水处理工艺流程见下图。</w:t>
            </w:r>
          </w:p>
          <w:p w14:paraId="4FC27977">
            <w:pPr>
              <w:pStyle w:val="56"/>
              <w:keepNext w:val="0"/>
              <w:keepLines w:val="0"/>
              <w:suppressLineNumbers w:val="0"/>
              <w:spacing w:before="0" w:beforeAutospacing="0" w:after="0" w:afterAutospacing="0"/>
              <w:ind w:left="0" w:leftChars="0" w:right="0" w:firstLine="0" w:firstLineChars="0"/>
              <w:rPr>
                <w:rFonts w:hint="eastAsia" w:eastAsia="宋体"/>
                <w:color w:val="000000" w:themeColor="text1"/>
                <w:lang w:eastAsia="zh-CN"/>
                <w14:textFill>
                  <w14:solidFill>
                    <w14:schemeClr w14:val="tx1"/>
                  </w14:solidFill>
                </w14:textFill>
              </w:rPr>
            </w:pPr>
          </w:p>
          <w:p w14:paraId="019DE915">
            <w:pPr>
              <w:pStyle w:val="56"/>
              <w:keepNext w:val="0"/>
              <w:keepLines w:val="0"/>
              <w:suppressLineNumbers w:val="0"/>
              <w:spacing w:before="0" w:beforeAutospacing="0" w:after="0" w:afterAutospacing="0"/>
              <w:ind w:left="0" w:right="0" w:firstLine="0" w:firstLineChars="0"/>
              <w:rPr>
                <w:rFonts w:hint="eastAsia" w:eastAsia="宋体"/>
                <w:color w:val="000000" w:themeColor="text1"/>
                <w:lang w:eastAsia="zh-CN"/>
                <w14:textFill>
                  <w14:solidFill>
                    <w14:schemeClr w14:val="tx1"/>
                  </w14:solidFill>
                </w14:textFill>
              </w:rPr>
            </w:pPr>
            <w:r>
              <w:rPr>
                <w:rFonts w:hint="default"/>
                <w:sz w:val="24"/>
              </w:rPr>
              <mc:AlternateContent>
                <mc:Choice Requires="wps">
                  <w:drawing>
                    <wp:anchor distT="0" distB="0" distL="114300" distR="114300" simplePos="0" relativeHeight="251661312" behindDoc="0" locked="0" layoutInCell="1" allowOverlap="1">
                      <wp:simplePos x="0" y="0"/>
                      <wp:positionH relativeFrom="column">
                        <wp:posOffset>1769110</wp:posOffset>
                      </wp:positionH>
                      <wp:positionV relativeFrom="paragraph">
                        <wp:posOffset>25400</wp:posOffset>
                      </wp:positionV>
                      <wp:extent cx="1447165" cy="305435"/>
                      <wp:effectExtent l="4445" t="4445" r="11430" b="10160"/>
                      <wp:wrapNone/>
                      <wp:docPr id="42" name="文本框 18"/>
                      <wp:cNvGraphicFramePr/>
                      <a:graphic xmlns:a="http://schemas.openxmlformats.org/drawingml/2006/main">
                        <a:graphicData uri="http://schemas.microsoft.com/office/word/2010/wordprocessingShape">
                          <wps:wsp>
                            <wps:cNvSpPr txBox="1"/>
                            <wps:spPr>
                              <a:xfrm>
                                <a:off x="2907665" y="2251710"/>
                                <a:ext cx="1447165" cy="3054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92BBE26">
                                  <w:pPr>
                                    <w:keepNext w:val="0"/>
                                    <w:keepLines w:val="0"/>
                                    <w:pageBreakBefore w:val="0"/>
                                    <w:widowControl w:val="0"/>
                                    <w:kinsoku/>
                                    <w:wordWrap w:val="0"/>
                                    <w:overflowPunct/>
                                    <w:topLinePunct w:val="0"/>
                                    <w:bidi w:val="0"/>
                                    <w:adjustRightInd/>
                                    <w:snapToGrid/>
                                    <w:spacing w:line="300" w:lineRule="exact"/>
                                    <w:ind w:left="0" w:leftChars="0" w:firstLine="0" w:firstLineChars="0"/>
                                    <w:jc w:val="center"/>
                                    <w:textAlignment w:val="auto"/>
                                    <w:rPr>
                                      <w:rFonts w:hint="default" w:eastAsia="宋体"/>
                                      <w:lang w:val="en-US" w:eastAsia="zh-CN"/>
                                    </w:rPr>
                                  </w:pPr>
                                  <w:r>
                                    <w:rPr>
                                      <w:rFonts w:hint="eastAsia"/>
                                      <w:lang w:val="en-US" w:eastAsia="zh-CN"/>
                                    </w:rPr>
                                    <w:t>破碎用水</w:t>
                                  </w:r>
                                </w:p>
                                <w:p w14:paraId="4EAC8CCC">
                                  <w:pPr>
                                    <w:rPr>
                                      <w:rFonts w:hint="default"/>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8" o:spid="_x0000_s1026" o:spt="202" type="#_x0000_t202" style="position:absolute;left:0pt;margin-left:139.3pt;margin-top:2pt;height:24.05pt;width:113.95pt;z-index:251661312;mso-width-relative:page;mso-height-relative:page;" fillcolor="#FFFFFF [3201]" filled="t" stroked="t" coordsize="21600,21600" o:gfxdata="UEsDBAoAAAAAAIdO4kAAAAAAAAAAAAAAAAAEAAAAZHJzL1BLAwQUAAAACACHTuJA/LkDLtUAAAAI&#10;AQAADwAAAGRycy9kb3ducmV2LnhtbE2PwU7DMBBE70j8g7VI3KidlIYqxKkEEhLiRsmFmxtvkwh7&#10;HdluU/6e5QS3Hc1o9k2zu3gnzhjTFEhDsVIgkPpgJxo0dB8vd1sQKRuyxgVCDd+YYNdeXzWmtmGh&#10;dzzv8yC4hFJtNIw5z7WUqR/Rm7QKMxJ7xxC9ySzjIG00C5d7J0ulKunNRPxhNDM+j9h/7U9ew2v1&#10;lD+xs292Xa7D0sk+Hl3S+vamUI8gMl7yXxh+8RkdWmY6hBPZJJyG8mFbcVTDPU9if6OqDYgDH2UB&#10;sm3k/wHtD1BLAwQUAAAACACHTuJAH1nfJWMCAADFBAAADgAAAGRycy9lMm9Eb2MueG1srVRLbtsw&#10;EN0X6B0I7htJjj+JETlwE7goEDQB0qJrmqIsoiSHJWlL6QHaG3TVTfc9V87RISXn20UW9YIech7e&#10;zLyZ0clppxXZCeclmJIWBzklwnCopNmU9NPH1ZsjSnxgpmIKjCjpjfD0dPH61Ulr52IEDahKOIIk&#10;xs9bW9ImBDvPMs8boZk/ACsMOmtwmgW8uk1WOdYiu1bZKM+nWQuusg648B5fz3snHRjdSwihriUX&#10;58C3WpjQszqhWMCSfCOtp4uUbV0LHi7r2otAVEmx0pBODIL2Op7Z4oTNN47ZRvIhBfaSFJ7UpJk0&#10;GPSO6pwFRrZOPqPSkjvwUIcDDjrrC0mKYBVF/kSb64ZZkWpBqb29E93/P1r+YXfliKxKOh5RYpjG&#10;jt/+/HH768/t7++kOIoCtdbPEXdtERm6t9Dh2OzfPT7Gurva6fiPFRH0j47z2XQ6oeQG7dGkmBWD&#10;1KILhEeC8XhWRABHxGE+GR9OImV2z2SdD+8EaBKNkjpsZVKY7S586KF7SAzsQclqJZVKF7dZnylH&#10;dgzbvkq/gf0RTBnSlnR6OMkT8yNf5L6jWCvGvzxnwGyVwaSjQL0Q0QrduhtUW0N1g6I56OfOW76S&#10;yHvBfLhiDgcNxxBXMVziUSvAZGCwKGnAffvXe8Rj/9FLSYuDW1L/dcucoES9NzgZxyhtnPR0GU9m&#10;I7y4h571Q4/Z6jNAkQpcesuTGfFB7c3agf6MG7uMUdHFDMfYJQ178yz064Qbz8VymUA425aFC3Nt&#10;eaSOLTGw3AaoZWpdlKnXZlAPpzs1f9jEuD4P7wl1//VZ/AV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8uQMu1QAAAAgBAAAPAAAAAAAAAAEAIAAAACIAAABkcnMvZG93bnJldi54bWxQSwECFAAUAAAA&#10;CACHTuJAH1nfJWMCAADFBAAADgAAAAAAAAABACAAAAAkAQAAZHJzL2Uyb0RvYy54bWxQSwUGAAAA&#10;AAYABgBZAQAA+QUAAAAA&#10;">
                      <v:fill on="t" focussize="0,0"/>
                      <v:stroke weight="0.5pt" color="#000000 [3204]" joinstyle="round"/>
                      <v:imagedata o:title=""/>
                      <o:lock v:ext="edit" aspectratio="f"/>
                      <v:textbox>
                        <w:txbxContent>
                          <w:p w14:paraId="292BBE26">
                            <w:pPr>
                              <w:keepNext w:val="0"/>
                              <w:keepLines w:val="0"/>
                              <w:pageBreakBefore w:val="0"/>
                              <w:widowControl w:val="0"/>
                              <w:kinsoku/>
                              <w:wordWrap w:val="0"/>
                              <w:overflowPunct/>
                              <w:topLinePunct w:val="0"/>
                              <w:bidi w:val="0"/>
                              <w:adjustRightInd/>
                              <w:snapToGrid/>
                              <w:spacing w:line="300" w:lineRule="exact"/>
                              <w:ind w:left="0" w:leftChars="0" w:firstLine="0" w:firstLineChars="0"/>
                              <w:jc w:val="center"/>
                              <w:textAlignment w:val="auto"/>
                              <w:rPr>
                                <w:rFonts w:hint="default" w:eastAsia="宋体"/>
                                <w:lang w:val="en-US" w:eastAsia="zh-CN"/>
                              </w:rPr>
                            </w:pPr>
                            <w:r>
                              <w:rPr>
                                <w:rFonts w:hint="eastAsia"/>
                                <w:lang w:val="en-US" w:eastAsia="zh-CN"/>
                              </w:rPr>
                              <w:t>破碎用水</w:t>
                            </w:r>
                          </w:p>
                          <w:p w14:paraId="4EAC8CCC">
                            <w:pPr>
                              <w:rPr>
                                <w:rFonts w:hint="default"/>
                                <w:lang w:val="en-US" w:eastAsia="zh-CN"/>
                              </w:rPr>
                            </w:pPr>
                          </w:p>
                        </w:txbxContent>
                      </v:textbox>
                    </v:shape>
                  </w:pict>
                </mc:Fallback>
              </mc:AlternateContent>
            </w:r>
          </w:p>
          <w:p w14:paraId="65B1B68E">
            <w:pPr>
              <w:pStyle w:val="56"/>
              <w:keepNext w:val="0"/>
              <w:keepLines w:val="0"/>
              <w:suppressLineNumbers w:val="0"/>
              <w:spacing w:before="0" w:beforeAutospacing="0" w:after="0" w:afterAutospacing="0"/>
              <w:ind w:left="0" w:right="0" w:firstLine="0" w:firstLineChars="0"/>
              <w:rPr>
                <w:rFonts w:hint="eastAsia" w:eastAsia="宋体"/>
                <w:color w:val="000000" w:themeColor="text1"/>
                <w:lang w:eastAsia="zh-CN"/>
                <w14:textFill>
                  <w14:solidFill>
                    <w14:schemeClr w14:val="tx1"/>
                  </w14:solidFill>
                </w14:textFill>
              </w:rPr>
            </w:pPr>
            <w:r>
              <w:rPr>
                <w:rFonts w:hint="default"/>
                <w:color w:val="000000" w:themeColor="text1"/>
                <w:sz w:val="24"/>
                <w14:textFill>
                  <w14:solidFill>
                    <w14:schemeClr w14:val="tx1"/>
                  </w14:solidFill>
                </w14:textFill>
              </w:rPr>
              <mc:AlternateContent>
                <mc:Choice Requires="wpg">
                  <w:drawing>
                    <wp:anchor distT="0" distB="0" distL="114300" distR="114300" simplePos="0" relativeHeight="251662336" behindDoc="0" locked="0" layoutInCell="1" allowOverlap="1">
                      <wp:simplePos x="0" y="0"/>
                      <wp:positionH relativeFrom="column">
                        <wp:posOffset>1769110</wp:posOffset>
                      </wp:positionH>
                      <wp:positionV relativeFrom="paragraph">
                        <wp:posOffset>86995</wp:posOffset>
                      </wp:positionV>
                      <wp:extent cx="1446530" cy="542290"/>
                      <wp:effectExtent l="4445" t="0" r="15875" b="10160"/>
                      <wp:wrapNone/>
                      <wp:docPr id="43" name="组合 43"/>
                      <wp:cNvGraphicFramePr/>
                      <a:graphic xmlns:a="http://schemas.openxmlformats.org/drawingml/2006/main">
                        <a:graphicData uri="http://schemas.microsoft.com/office/word/2010/wordprocessingGroup">
                          <wpg:wgp>
                            <wpg:cNvGrpSpPr/>
                            <wpg:grpSpPr>
                              <a:xfrm>
                                <a:off x="0" y="0"/>
                                <a:ext cx="1446530" cy="542290"/>
                                <a:chOff x="5797" y="812507"/>
                                <a:chExt cx="2278" cy="854"/>
                              </a:xfrm>
                            </wpg:grpSpPr>
                            <wps:wsp>
                              <wps:cNvPr id="44" name="直接箭头连接符 17"/>
                              <wps:cNvCnPr>
                                <a:stCxn id="16" idx="2"/>
                                <a:endCxn id="18" idx="0"/>
                              </wps:cNvCnPr>
                              <wps:spPr>
                                <a:xfrm>
                                  <a:off x="6929" y="812507"/>
                                  <a:ext cx="8" cy="374"/>
                                </a:xfrm>
                                <a:prstGeom prst="straightConnector1">
                                  <a:avLst/>
                                </a:prstGeom>
                                <a:ln w="9525">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45" name="文本框 18"/>
                              <wps:cNvSpPr txBox="1"/>
                              <wps:spPr>
                                <a:xfrm>
                                  <a:off x="5797" y="812881"/>
                                  <a:ext cx="2279" cy="481"/>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3E1B3D91">
                                    <w:pPr>
                                      <w:keepNext w:val="0"/>
                                      <w:keepLines w:val="0"/>
                                      <w:pageBreakBefore w:val="0"/>
                                      <w:widowControl w:val="0"/>
                                      <w:kinsoku/>
                                      <w:wordWrap w:val="0"/>
                                      <w:overflowPunct/>
                                      <w:topLinePunct w:val="0"/>
                                      <w:bidi w:val="0"/>
                                      <w:adjustRightInd/>
                                      <w:snapToGrid/>
                                      <w:spacing w:line="300" w:lineRule="exact"/>
                                      <w:ind w:left="0" w:leftChars="0" w:firstLine="0" w:firstLineChars="0"/>
                                      <w:jc w:val="center"/>
                                      <w:textAlignment w:val="auto"/>
                                      <w:rPr>
                                        <w:rFonts w:hint="default" w:eastAsia="宋体"/>
                                        <w:lang w:val="en-US" w:eastAsia="zh-CN"/>
                                      </w:rPr>
                                    </w:pPr>
                                    <w:r>
                                      <w:rPr>
                                        <w:rFonts w:hint="eastAsia"/>
                                        <w:lang w:val="en-US" w:eastAsia="zh-CN"/>
                                      </w:rPr>
                                      <w:t>破碎废水</w:t>
                                    </w:r>
                                  </w:p>
                                  <w:p w14:paraId="5348FFE8">
                                    <w:pPr>
                                      <w:rPr>
                                        <w:rFonts w:hint="default"/>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139.3pt;margin-top:6.85pt;height:42.7pt;width:113.9pt;z-index:251662336;mso-width-relative:page;mso-height-relative:page;" coordorigin="5797,812507" coordsize="2278,854" o:gfxdata="UEsDBAoAAAAAAIdO4kAAAAAAAAAAAAAAAAAEAAAAZHJzL1BLAwQUAAAACACHTuJAvy19DtoAAAAJ&#10;AQAADwAAAGRycy9kb3ducmV2LnhtbE2PQU/CQBCF7yb+h82YeJPdBSlQuyWGqCdiIpgYb0s7tA3d&#10;2aa7tPDvHU96nLwv732TrS+uFQP2ofFkQE8UCKTClw1VBj73rw9LECFaKm3rCQ1cMcA6v73JbFr6&#10;kT5w2MVKcAmF1BqoY+xSKUNRo7Nh4jskzo6+dzby2Vey7O3I5a6VU6US6WxDvFDbDjc1Fqfd2Rl4&#10;G+34PNMvw/Z03Fy/9/P3r61GY+7vtHoCEfES/2D41Wd1yNnp4M9UBtEamC6WCaMczBYgGJir5BHE&#10;wcBqpUHmmfz/Qf4DUEsDBBQAAAAIAIdO4kBJRPUwngMAAB8IAAAOAAAAZHJzL2Uyb0RvYy54bWy9&#10;VUtvGzcQvhfIfyB4j1e71uqx8Dpw5dgoYDQG3CJnist9IFySJSmv3HPQ9lT0lEuKAgWanJKecuuh&#10;vyZOf0aG5EqWLDcIEiA6rIYzw+HMN6+DB8uWo0umTSNFjuO9AUZMUFk0osrx99+d3J9gZCwRBeFS&#10;sBxfMYMfHN776qBTGUtkLXnBNAIjwmSdynFtrcqiyNCatcTsScUECEupW2LhqKuo0KQD6y2PksFg&#10;FHVSF0pLyowB7nEQ4t6i/hiDsiwbyo4lXbRM2GBVM04shGTqRhl86L0tS0bto7I0zCKeY4jU+i88&#10;AvTcfaPDA5JVmqi6ob0L5GNcuBVTSxoBj65NHRNL0EI3O6bahmppZGn3qGyjEIhHBKKIB7ewOdVy&#10;oXwsVdZVag06JOoW6p9sln57ea5RU+R4uI+RIC1k/N0/T9/+9gsCBqDTqSoDpVOtLtS57hlVOLmA&#10;l6Vu3T+EgpYe16s1rmxpEQVmPByO0n2AnIIsHSbJtAee1pAddy0dT8cYgXQSJ+lgHNJC64e9gSQZ&#10;Q1W625N06ITR6uHI+bd2p1NQk+YGKPN5QF3URDGPv3EYrIAaroF6/ub61xfv/n799q83//37h6Nf&#10;vUSxd9+5Andm4lw7eIydLYXHOR5h+IeYkxAlE8VaBEF6kYcHQtsw4Q4GMnAH5qNpMt0Bb4V9j9v+&#10;eBs3kilt7CmTLXJEjo3VpKlqO5NCQNdIHUPgJCOXZ8YGwFcXHFvIk4Zz4JOMC9TleJomKWSIwEAo&#10;oRGBbBUUlREVRoRXMGmo1d6ikbwp3G132ehqPuMaXRLXn/7Xp3dLzT19TEwd9LwogGdJwx+KAtkr&#10;BYVLtJZdf58LqJIb0Bw1l8WVL2HPhzpx1f0lCgaQCZ11/ezn699fXf/5E4onzk/3PBSJ6yxkl19L&#10;1ysr/v8ke7NTJhOvTbJVsqFPoBJcnwyDaN0nO/nWkOQPZXgL/600nfhfD/OWWiiF0X462M20S+E6&#10;03NO6JNdC+DtHWmzy/myxypkEGkZ5rhR9KQBu2fE2HOiYXDDjIHVZh/Bp+QS6lL2FEa11D/exXf6&#10;MCZAilEHiwCK9ocF0Qwj/o2AATKF6eU2hz8M03ECB70pmW9KxKKdSajlGJaoop50+pavyFLL9jFs&#10;wCP3KoiIoPB2jqFlAjmzYT3BBqXs6Mgrwa5QxJ6JC0Wd6dCBRwsry8Y3501190Xvi9vPRtgbflz2&#10;O84tps2z17/Z64fv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BEGAABbQ29udGVudF9UeXBlc10ueG1sUEsBAhQACgAAAAAAh07iQAAAAAAAAAAA&#10;AAAAAAYAAAAAAAAAAAAQAAAA8wQAAF9yZWxzL1BLAQIUABQAAAAIAIdO4kCKFGY80QAAAJQBAAAL&#10;AAAAAAAAAAEAIAAAABcFAABfcmVscy8ucmVsc1BLAQIUAAoAAAAAAIdO4kAAAAAAAAAAAAAAAAAE&#10;AAAAAAAAAAAAEAAAAAAAAABkcnMvUEsBAhQAFAAAAAgAh07iQL8tfQ7aAAAACQEAAA8AAAAAAAAA&#10;AQAgAAAAIgAAAGRycy9kb3ducmV2LnhtbFBLAQIUABQAAAAIAIdO4kBJRPUwngMAAB8IAAAOAAAA&#10;AAAAAAEAIAAAACkBAABkcnMvZTJvRG9jLnhtbFBLBQYAAAAABgAGAFkBAAA5BwAAAAA=&#10;">
                      <o:lock v:ext="edit" aspectratio="f"/>
                      <v:shape id="直接箭头连接符 17" o:spid="_x0000_s1026" o:spt="32" type="#_x0000_t32" style="position:absolute;left:6929;top:812507;height:374;width:8;" filled="f" stroked="t" coordsize="21600,21600" o:gfxdata="UEsDBAoAAAAAAIdO4kAAAAAAAAAAAAAAAAAEAAAAZHJzL1BLAwQUAAAACACHTuJAoNOBf7wAAADb&#10;AAAADwAAAGRycy9kb3ducmV2LnhtbEWPUWvCQBCE3wv9D8cW+tZcDGmR6OmDIBiwlKo/YMmtSTC3&#10;F3Nr1H/fKwg+DjPzDTNf3lynRhpC69nAJElBEVfetlwbOOzXH1NQQZAtdp7JwJ0CLBevL3MsrL/y&#10;L407qVWEcCjQQCPSF1qHqiGHIfE9cfSOfnAoUQ61tgNeI9x1OkvTL+2w5bjQYE+rhqrT7uIMZOVZ&#10;7uttKeOPfH6fXbbNy74y5v1tks5ACd3kGX60N9ZAnsP/l/gD9OI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TgX+8AAAA&#10;2wAAAA8AAAAAAAAAAQAgAAAAIgAAAGRycy9kb3ducmV2LnhtbFBLAQIUABQAAAAIAIdO4kAzLwWe&#10;OwAAADkAAAAQAAAAAAAAAAEAIAAAAAsBAABkcnMvc2hhcGV4bWwueG1sUEsFBgAAAAAGAAYAWwEA&#10;ALUDAAAAAA==&#10;">
                        <v:fill on="f" focussize="0,0"/>
                        <v:stroke color="#000000 [3213]" joinstyle="round" endarrow="open"/>
                        <v:imagedata o:title=""/>
                        <o:lock v:ext="edit" aspectratio="f"/>
                      </v:shape>
                      <v:shape id="文本框 18" o:spid="_x0000_s1026" o:spt="202" type="#_x0000_t202" style="position:absolute;left:5797;top:812881;height:481;width:2279;" fillcolor="#FFFFFF [3201]" filled="t" stroked="t" coordsize="21600,21600" o:gfxdata="UEsDBAoAAAAAAIdO4kAAAAAAAAAAAAAAAAAEAAAAZHJzL1BLAwQUAAAACACHTuJA/zAOo7cAAADb&#10;AAAADwAAAGRycy9kb3ducmV2LnhtbEWPzQrCMBCE74LvEFbwpqm/SDUKCoJ4U3vxtjRrW2w2JYlW&#10;394IgsdhZr5hVpuXqcWTnK8sKxgNExDEudUVFwqyy36wAOEDssbaMil4k4fNuttZYaptyyd6nkMh&#10;IoR9igrKEJpUSp+XZNAPbUMcvZt1BkOUrpDaYRvhppbjJJlLgxXHhRIb2pWU388Po+Aw34YrZfqo&#10;J+OJbTOZu1vtler3RskSRKBX+Id/7YNWMJ3B90v8AXL9A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MA6jtwAAANsAAAAP&#10;AAAAAAAAAAEAIAAAACIAAABkcnMvZG93bnJldi54bWxQSwECFAAUAAAACACHTuJAMy8FnjsAAAA5&#10;AAAAEAAAAAAAAAABACAAAAAGAQAAZHJzL3NoYXBleG1sLnhtbFBLBQYAAAAABgAGAFsBAACwAwAA&#10;AAA=&#10;">
                        <v:fill on="t" focussize="0,0"/>
                        <v:stroke weight="0.5pt" color="#000000 [3204]" joinstyle="round"/>
                        <v:imagedata o:title=""/>
                        <o:lock v:ext="edit" aspectratio="f"/>
                        <v:textbox>
                          <w:txbxContent>
                            <w:p w14:paraId="3E1B3D91">
                              <w:pPr>
                                <w:keepNext w:val="0"/>
                                <w:keepLines w:val="0"/>
                                <w:pageBreakBefore w:val="0"/>
                                <w:widowControl w:val="0"/>
                                <w:kinsoku/>
                                <w:wordWrap w:val="0"/>
                                <w:overflowPunct/>
                                <w:topLinePunct w:val="0"/>
                                <w:bidi w:val="0"/>
                                <w:adjustRightInd/>
                                <w:snapToGrid/>
                                <w:spacing w:line="300" w:lineRule="exact"/>
                                <w:ind w:left="0" w:leftChars="0" w:firstLine="0" w:firstLineChars="0"/>
                                <w:jc w:val="center"/>
                                <w:textAlignment w:val="auto"/>
                                <w:rPr>
                                  <w:rFonts w:hint="default" w:eastAsia="宋体"/>
                                  <w:lang w:val="en-US" w:eastAsia="zh-CN"/>
                                </w:rPr>
                              </w:pPr>
                              <w:r>
                                <w:rPr>
                                  <w:rFonts w:hint="eastAsia"/>
                                  <w:lang w:val="en-US" w:eastAsia="zh-CN"/>
                                </w:rPr>
                                <w:t>破碎废水</w:t>
                              </w:r>
                            </w:p>
                            <w:p w14:paraId="5348FFE8">
                              <w:pPr>
                                <w:rPr>
                                  <w:rFonts w:hint="default"/>
                                  <w:lang w:val="en-US" w:eastAsia="zh-CN"/>
                                </w:rPr>
                              </w:pPr>
                            </w:p>
                          </w:txbxContent>
                        </v:textbox>
                      </v:shape>
                    </v:group>
                  </w:pict>
                </mc:Fallback>
              </mc:AlternateContent>
            </w:r>
          </w:p>
          <w:p w14:paraId="4B134D63">
            <w:pPr>
              <w:pStyle w:val="56"/>
              <w:keepNext w:val="0"/>
              <w:keepLines w:val="0"/>
              <w:suppressLineNumbers w:val="0"/>
              <w:spacing w:before="0" w:beforeAutospacing="0" w:after="0" w:afterAutospacing="0"/>
              <w:ind w:left="0" w:right="0" w:firstLine="0" w:firstLineChars="0"/>
              <w:rPr>
                <w:rFonts w:hint="eastAsia" w:eastAsia="宋体"/>
                <w:color w:val="000000" w:themeColor="text1"/>
                <w:lang w:eastAsia="zh-CN"/>
                <w14:textFill>
                  <w14:solidFill>
                    <w14:schemeClr w14:val="tx1"/>
                  </w14:solidFill>
                </w14:textFill>
              </w:rPr>
            </w:pPr>
          </w:p>
          <w:p w14:paraId="382C5D1B">
            <w:pPr>
              <w:pStyle w:val="56"/>
              <w:keepNext w:val="0"/>
              <w:keepLines w:val="0"/>
              <w:suppressLineNumbers w:val="0"/>
              <w:spacing w:before="0" w:beforeAutospacing="0" w:after="0" w:afterAutospacing="0"/>
              <w:ind w:left="0" w:right="0" w:firstLine="0" w:firstLineChars="0"/>
              <w:rPr>
                <w:rFonts w:hint="eastAsia" w:eastAsia="宋体"/>
                <w:color w:val="000000" w:themeColor="text1"/>
                <w:lang w:eastAsia="zh-CN"/>
                <w14:textFill>
                  <w14:solidFill>
                    <w14:schemeClr w14:val="tx1"/>
                  </w14:solidFill>
                </w14:textFill>
              </w:rPr>
            </w:pPr>
            <w:r>
              <w:rPr>
                <w:rFonts w:hint="default"/>
                <w:color w:val="000000" w:themeColor="text1"/>
                <w:sz w:val="24"/>
                <w14:textFill>
                  <w14:solidFill>
                    <w14:schemeClr w14:val="tx1"/>
                  </w14:solidFill>
                </w14:textFill>
              </w:rPr>
              <mc:AlternateContent>
                <mc:Choice Requires="wps">
                  <w:drawing>
                    <wp:anchor distT="0" distB="0" distL="114300" distR="114300" simplePos="0" relativeHeight="251668480" behindDoc="0" locked="0" layoutInCell="1" allowOverlap="1">
                      <wp:simplePos x="0" y="0"/>
                      <wp:positionH relativeFrom="column">
                        <wp:posOffset>3312160</wp:posOffset>
                      </wp:positionH>
                      <wp:positionV relativeFrom="paragraph">
                        <wp:posOffset>151130</wp:posOffset>
                      </wp:positionV>
                      <wp:extent cx="503555" cy="342900"/>
                      <wp:effectExtent l="0" t="0" r="0" b="0"/>
                      <wp:wrapNone/>
                      <wp:docPr id="79" name="文本框 79"/>
                      <wp:cNvGraphicFramePr/>
                      <a:graphic xmlns:a="http://schemas.openxmlformats.org/drawingml/2006/main">
                        <a:graphicData uri="http://schemas.microsoft.com/office/word/2010/wordprocessingShape">
                          <wps:wsp>
                            <wps:cNvSpPr txBox="1"/>
                            <wps:spPr>
                              <a:xfrm>
                                <a:off x="0" y="0"/>
                                <a:ext cx="503555" cy="3429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DFA4374">
                                  <w:pPr>
                                    <w:pStyle w:val="46"/>
                                    <w:bidi w:val="0"/>
                                    <w:rPr>
                                      <w:rFonts w:hint="default"/>
                                      <w:lang w:val="en-US" w:eastAsia="zh-CN"/>
                                    </w:rPr>
                                  </w:pPr>
                                  <w:r>
                                    <w:rPr>
                                      <w:rFonts w:hint="eastAsia"/>
                                      <w:lang w:val="en-US" w:eastAsia="zh-CN"/>
                                    </w:rPr>
                                    <w:t>污泥</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0.8pt;margin-top:11.9pt;height:27pt;width:39.65pt;z-index:251668480;mso-width-relative:page;mso-height-relative:page;" filled="f" stroked="f" coordsize="21600,21600" o:gfxdata="UEsDBAoAAAAAAIdO4kAAAAAAAAAAAAAAAAAEAAAAZHJzL1BLAwQUAAAACACHTuJAwiWYAdsAAAAJ&#10;AQAADwAAAGRycy9kb3ducmV2LnhtbE2Py07DMBBF90j8gzVI7KidoKYhzaRCkSokBIuWbtg5sZtE&#10;tcchdh/w9ZhVWY7m6N5zy9XFGnbSkx8cISQzAUxT69RAHcLuY/2QA/NBkpLGkUb41h5W1e1NKQvl&#10;zrTRp23oWAwhX0iEPoSx4Ny3vbbSz9yoKf72brIyxHPquJrkOYZbw1MhMm7lQLGhl6Oue90etkeL&#10;8Fqv3+WmSW3+Y+qXt/3z+LX7nCPe3yViCSzoS7jC8Kcf1aGKTo07kvLMIMzTJIsoQvoYJ0QgE+IJ&#10;WIOwWOTAq5L/X1D9AlBLAwQUAAAACACHTuJAMdh6zj4CAABnBAAADgAAAGRycy9lMm9Eb2MueG1s&#10;rVTNbtswDL4P2DsIui92ftwuQZwia5BhQLEWyIadFVmODUiiJimxswfY3qCnXXbfc+U5RslJGnQ7&#10;9LCLTJEUye8j6elNqyTZCetq0Dnt91JKhOZQ1HqT08+flm/eUuI80wWToEVO98LRm9nrV9PGTMQA&#10;KpCFsASDaDdpTE4r780kSRyvhGKuB0ZoNJZgFfN4tZuksKzB6EomgzS9ShqwhbHAhXOoXXRGeoxo&#10;XxIQyrLmYgF8q4T2XVQrJPMIyVW1cXQWqy1Lwf19WTrhicwpIvXxxCQor8OZzKZssrHMVDU/lsBe&#10;UsIzTIrVGpOeQy2YZ2Rr679CqZpbcFD6HgeVdEAiI4iinz7jZlUxIyIWpNqZM+nu/4XlH3cPltRF&#10;Tq/HlGimsOOHxx+Hn78Pv74T1CFBjXET9FsZ9PTtO2hxbE56h8qAuy2tCl9ERNCO9O7P9IrWE47K&#10;LB1mWUYJR9NwNBinkf7k6bGxzr8XoEgQcmqxe5FUtrtzHgtB15NLyKVhWUsZOyg1aXJ6NczS+OBs&#10;wRdS48MAoSs1SL5dt0dcayj2CMtCNxnO8GWNye+Y8w/M4iggElwWf49HKQGTwFGipAL77V/64I8d&#10;QislDY5WTt3XLbOCEvlBY+/G/dEozGK8jLLrAV7spWV9adFbdQs4vX1cS8OjGPy9PImlBfUFd2oe&#10;sqKJaY65c+pP4q3vBh53kov5PDrh9Bnm7/TK8BC6o3O+9VDWkelAU8fNkT2cv9iA466EAb+8R6+n&#10;/8Ps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MIlmAHbAAAACQEAAA8AAAAAAAAAAQAgAAAAIgAA&#10;AGRycy9kb3ducmV2LnhtbFBLAQIUABQAAAAIAIdO4kAx2HrOPgIAAGcEAAAOAAAAAAAAAAEAIAAA&#10;ACoBAABkcnMvZTJvRG9jLnhtbFBLBQYAAAAABgAGAFkBAADaBQAAAAA=&#10;">
                      <v:fill on="f" focussize="0,0"/>
                      <v:stroke on="f" weight="0.5pt"/>
                      <v:imagedata o:title=""/>
                      <o:lock v:ext="edit" aspectratio="f"/>
                      <v:textbox>
                        <w:txbxContent>
                          <w:p w14:paraId="7DFA4374">
                            <w:pPr>
                              <w:pStyle w:val="46"/>
                              <w:bidi w:val="0"/>
                              <w:rPr>
                                <w:rFonts w:hint="default"/>
                                <w:lang w:val="en-US" w:eastAsia="zh-CN"/>
                              </w:rPr>
                            </w:pPr>
                            <w:r>
                              <w:rPr>
                                <w:rFonts w:hint="eastAsia"/>
                                <w:lang w:val="en-US" w:eastAsia="zh-CN"/>
                              </w:rPr>
                              <w:t>污泥</w:t>
                            </w:r>
                          </w:p>
                        </w:txbxContent>
                      </v:textbox>
                    </v:shape>
                  </w:pict>
                </mc:Fallback>
              </mc:AlternateContent>
            </w:r>
            <w:r>
              <w:rPr>
                <w:rFonts w:hint="default"/>
                <w:color w:val="000000" w:themeColor="text1"/>
                <w:sz w:val="24"/>
                <w14:textFill>
                  <w14:solidFill>
                    <w14:schemeClr w14:val="tx1"/>
                  </w14:solidFill>
                </w14:textFill>
              </w:rPr>
              <mc:AlternateContent>
                <mc:Choice Requires="wpg">
                  <w:drawing>
                    <wp:anchor distT="0" distB="0" distL="114300" distR="114300" simplePos="0" relativeHeight="251663360" behindDoc="0" locked="0" layoutInCell="1" allowOverlap="1">
                      <wp:simplePos x="0" y="0"/>
                      <wp:positionH relativeFrom="column">
                        <wp:posOffset>1769110</wp:posOffset>
                      </wp:positionH>
                      <wp:positionV relativeFrom="paragraph">
                        <wp:posOffset>123190</wp:posOffset>
                      </wp:positionV>
                      <wp:extent cx="1446530" cy="542290"/>
                      <wp:effectExtent l="4445" t="0" r="15875" b="10160"/>
                      <wp:wrapNone/>
                      <wp:docPr id="47" name="组合 47"/>
                      <wp:cNvGraphicFramePr/>
                      <a:graphic xmlns:a="http://schemas.openxmlformats.org/drawingml/2006/main">
                        <a:graphicData uri="http://schemas.microsoft.com/office/word/2010/wordprocessingGroup">
                          <wpg:wgp>
                            <wpg:cNvGrpSpPr/>
                            <wpg:grpSpPr>
                              <a:xfrm>
                                <a:off x="0" y="0"/>
                                <a:ext cx="1446530" cy="542290"/>
                                <a:chOff x="5797" y="812507"/>
                                <a:chExt cx="2278" cy="854"/>
                              </a:xfrm>
                            </wpg:grpSpPr>
                            <wps:wsp>
                              <wps:cNvPr id="48" name="直接箭头连接符 17"/>
                              <wps:cNvCnPr>
                                <a:stCxn id="16" idx="2"/>
                                <a:endCxn id="18" idx="0"/>
                              </wps:cNvCnPr>
                              <wps:spPr>
                                <a:xfrm>
                                  <a:off x="6929" y="812507"/>
                                  <a:ext cx="8" cy="374"/>
                                </a:xfrm>
                                <a:prstGeom prst="straightConnector1">
                                  <a:avLst/>
                                </a:prstGeom>
                                <a:ln w="9525">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49" name="文本框 18"/>
                              <wps:cNvSpPr txBox="1"/>
                              <wps:spPr>
                                <a:xfrm>
                                  <a:off x="5797" y="812881"/>
                                  <a:ext cx="2279" cy="481"/>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92B2AE8">
                                    <w:pPr>
                                      <w:keepNext w:val="0"/>
                                      <w:keepLines w:val="0"/>
                                      <w:pageBreakBefore w:val="0"/>
                                      <w:widowControl w:val="0"/>
                                      <w:kinsoku/>
                                      <w:wordWrap w:val="0"/>
                                      <w:overflowPunct/>
                                      <w:topLinePunct w:val="0"/>
                                      <w:bidi w:val="0"/>
                                      <w:adjustRightInd/>
                                      <w:snapToGrid/>
                                      <w:spacing w:line="300" w:lineRule="exact"/>
                                      <w:ind w:left="0" w:leftChars="0" w:firstLine="0" w:firstLineChars="0"/>
                                      <w:jc w:val="center"/>
                                      <w:textAlignment w:val="auto"/>
                                      <w:rPr>
                                        <w:rFonts w:hint="default" w:eastAsia="宋体"/>
                                        <w:lang w:val="en-US" w:eastAsia="zh-CN"/>
                                      </w:rPr>
                                    </w:pPr>
                                    <w:r>
                                      <w:rPr>
                                        <w:rFonts w:hint="eastAsia"/>
                                        <w:lang w:val="en-US" w:eastAsia="zh-CN"/>
                                      </w:rPr>
                                      <w:t>絮凝沉淀池</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139.3pt;margin-top:9.7pt;height:42.7pt;width:113.9pt;z-index:251663360;mso-width-relative:page;mso-height-relative:page;" coordorigin="5797,812507" coordsize="2278,854" o:gfxdata="UEsDBAoAAAAAAIdO4kAAAAAAAAAAAAAAAAAEAAAAZHJzL1BLAwQUAAAACACHTuJAs3ivT9oAAAAK&#10;AQAADwAAAGRycy9kb3ducmV2LnhtbE2PQU/DMAyF70j8h8hI3FjSsZVSmk5oAk4TEhsS4uY1Xlut&#10;Saoma7d/jznBzfZ7ev5esTrbTow0hNY7DclMgSBXedO6WsPn7vUuAxEiOoOdd6ThQgFW5fVVgbnx&#10;k/ugcRtrwSEu5KihibHPpQxVQxbDzPfkWDv4wWLkdailGXDicNvJuVKptNg6/tBgT+uGquP2ZDW8&#10;TTg93ycv4+Z4WF++d8v3r01CWt/eJOoJRKRz/DPDLz6jQ8lMe39yJohOw/whS9nKwuMCBBuWKuVh&#10;zwe1yECWhfxfofwBUEsDBBQAAAAIAIdO4kDc3P0znQMAAB8IAAAOAAAAZHJzL2Uyb0RvYy54bWy9&#10;VU1vGzcQvRfofyB4r6Vd63NhOXDl2ChgNAbcImeKy/1Ad0mWpLxyz0HbU9FTLikKFGhySnrKrYf+&#10;mjj9GX3krmTJcougBarDiuQMZzhv3swcPVrVFbkWxpZKzmh00KdESK7SUuYz+uUXZ59MKLGOyZRV&#10;SooZvRGWPjr++KOjRiciVoWqUmEIjEibNHpGC+d00utZXoia2QOlhYQwU6ZmDluT91LDGlivq17c&#10;7496jTKpNooLa3F62gppZ9F8iEGVZSUXp4ovayFda9WIijmEZItSW3ocXptlgrsnWWaFI9WMIlIX&#10;vnCC9cJ/e8dHLMkN00XJuyewD3nCvZhqVko43Zg6ZY6RpSn3TNUlN8qqzB1wVffaQAIiiCLq38Pm&#10;3KilDrHkSZPrDehI1D3U/7VZ/vn1pSFlOqODMSWS1cj4+9+fvfvxe4IDoNPoPIHSudFX+tJ0B3m7&#10;8wGvMlP7f4RCVgHXmw2uYuUIx2E0GIyGh4CcQzYcxPG0A54XyI6/NhxP4R7SSRQP+8ExS3jxuDMQ&#10;x2Ow0t+eDAf+Vb21455/3+Y5jQYn7R1Q9r8BdVUwLQL+1mOwBgpP6YB68fb2h5fvf3vz7te3f/7x&#10;s1+/fkWiDrdwZy4vjYfHuvlKBpyjEcU/Yo5b8gmZbkSwHEQBHoS2ZcJvLDLwAOajaTzdA2+NfYfb&#10;4XgXN5ZoY925UDXxixm1zrAyL9xcSYmqUSZC4Cxh1xfWtYCvL/hjqc7KqsI5SypJmhmdDuMhMsTQ&#10;EDIUIpa1BqmszClhVY5Ow50JFq2qytTf9petyRfzypBr5usz/Lr07qh516fMFq1eELXgOVZWj2VK&#10;3I0GcZkxqunuVxIsuQPNrxYqvQkUDufgiWf3/0EYZKclzO3z725/en37y7ckmvh3evcglq8s4laf&#10;Kl8r6/O/SfZ2pUwmQZsl62SjTuDL18mgFW3qZC/fBkn+pwzv4L+TprPw62DeUWupMDoc9vcz7VO4&#10;yfSiYvyrfQt47QNpc6vFqsOqzSAxqu3jVvOzEnYvmHWXzKBxo8dgtLkn+GSVAi9Vt6KkUOabh869&#10;PtoEpJQ0GAQg7ddLZgQl1WcSDWSK7uUnR9gMhuMYG7MtWWxL5LKeK3A5whDVPCy9vqvWy8yo+ikm&#10;4In3ChGTHL5nFCXTLueuHU+YoFycnAQlzArN3IW80tybbivwZOlUVobivGN3R/pA7tAbMTdCu+xm&#10;nB9M2/ugfzfXj/8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EAYAAFtDb250ZW50X1R5cGVzXS54bWxQSwECFAAKAAAAAACHTuJAAAAAAAAAAAAA&#10;AAAABgAAAAAAAAAAABAAAADyBAAAX3JlbHMvUEsBAhQAFAAAAAgAh07iQIoUZjzRAAAAlAEAAAsA&#10;AAAAAAAAAQAgAAAAFgUAAF9yZWxzLy5yZWxzUEsBAhQACgAAAAAAh07iQAAAAAAAAAAAAAAAAAQA&#10;AAAAAAAAAAAQAAAAAAAAAGRycy9QSwECFAAUAAAACACHTuJAs3ivT9oAAAAKAQAADwAAAAAAAAAB&#10;ACAAAAAiAAAAZHJzL2Rvd25yZXYueG1sUEsBAhQAFAAAAAgAh07iQNzc/TOdAwAAHwgAAA4AAAAA&#10;AAAAAQAgAAAAKQEAAGRycy9lMm9Eb2MueG1sUEsFBgAAAAAGAAYAWQEAADgHAAAAAA==&#10;">
                      <o:lock v:ext="edit" aspectratio="f"/>
                      <v:shape id="直接箭头连接符 17" o:spid="_x0000_s1026" o:spt="32" type="#_x0000_t32" style="position:absolute;left:6929;top:812507;height:374;width:8;" filled="f" stroked="t" coordsize="21600,21600" o:gfxdata="UEsDBAoAAAAAAIdO4kAAAAAAAAAAAAAAAAAEAAAAZHJzL1BLAwQUAAAACACHTuJAIZ6LerkAAADb&#10;AAAADwAAAGRycy9kb3ducmV2LnhtbEVPzYrCMBC+C/sOYQRvNrWoLF2jB0HYgous+gBDM7bFZlKb&#10;serbbw7CHj++/9Xm6Vo1UB8azwZmSQqKuPS24crA+bSbfoIKgmyx9UwGXhRgs/4YrTC3/sG/NByl&#10;UjGEQ44GapEu1zqUNTkMie+II3fxvUOJsK+07fERw12rszRdaocNx4YaO9rWVF6Pd2cgK27y2u0L&#10;GQ6y+Lm5bD8vutKYyXiWfoESesq/+O3+tgbmcWz8En+AXv8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Gei3q5AAAA2wAA&#10;AA8AAAAAAAAAAQAgAAAAIgAAAGRycy9kb3ducmV2LnhtbFBLAQIUABQAAAAIAIdO4kAzLwWeOwAA&#10;ADkAAAAQAAAAAAAAAAEAIAAAAAgBAABkcnMvc2hhcGV4bWwueG1sUEsFBgAAAAAGAAYAWwEAALID&#10;AAAAAA==&#10;">
                        <v:fill on="f" focussize="0,0"/>
                        <v:stroke color="#000000 [3213]" joinstyle="round" endarrow="open"/>
                        <v:imagedata o:title=""/>
                        <o:lock v:ext="edit" aspectratio="f"/>
                      </v:shape>
                      <v:shape id="文本框 18" o:spid="_x0000_s1026" o:spt="202" type="#_x0000_t202" style="position:absolute;left:5797;top:812881;height:481;width:2279;" fillcolor="#FFFFFF [3201]" filled="t" stroked="t" coordsize="21600,21600" o:gfxdata="UEsDBAoAAAAAAIdO4kAAAAAAAAAAAAAAAAAEAAAAZHJzL1BLAwQUAAAACACHTuJAfn0EprcAAADb&#10;AAAADwAAAGRycy9kb3ducmV2LnhtbEWPzQrCMBCE74LvEFbwpqk/iFajoCCIN7UXb0uztsVmU5Jo&#10;9e2NIHgcZuYbZrV5mVo8yfnKsoLRMAFBnFtdcaEgu+wHcxA+IGusLZOCN3nYrLudFabatnyi5zkU&#10;IkLYp6igDKFJpfR5SQb90DbE0btZZzBE6QqpHbYRbmo5TpKZNFhxXCixoV1J+f38MAoOs224UqaP&#10;ejKe2DaTubvVXql+b5QsQQR6hX/41z5oBdMFfL/EHyDX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fQSmtwAAANsAAAAP&#10;AAAAAAAAAAEAIAAAACIAAABkcnMvZG93bnJldi54bWxQSwECFAAUAAAACACHTuJAMy8FnjsAAAA5&#10;AAAAEAAAAAAAAAABACAAAAAGAQAAZHJzL3NoYXBleG1sLnhtbFBLBQYAAAAABgAGAFsBAACwAwAA&#10;AAA=&#10;">
                        <v:fill on="t" focussize="0,0"/>
                        <v:stroke weight="0.5pt" color="#000000 [3204]" joinstyle="round"/>
                        <v:imagedata o:title=""/>
                        <o:lock v:ext="edit" aspectratio="f"/>
                        <v:textbox>
                          <w:txbxContent>
                            <w:p w14:paraId="792B2AE8">
                              <w:pPr>
                                <w:keepNext w:val="0"/>
                                <w:keepLines w:val="0"/>
                                <w:pageBreakBefore w:val="0"/>
                                <w:widowControl w:val="0"/>
                                <w:kinsoku/>
                                <w:wordWrap w:val="0"/>
                                <w:overflowPunct/>
                                <w:topLinePunct w:val="0"/>
                                <w:bidi w:val="0"/>
                                <w:adjustRightInd/>
                                <w:snapToGrid/>
                                <w:spacing w:line="300" w:lineRule="exact"/>
                                <w:ind w:left="0" w:leftChars="0" w:firstLine="0" w:firstLineChars="0"/>
                                <w:jc w:val="center"/>
                                <w:textAlignment w:val="auto"/>
                                <w:rPr>
                                  <w:rFonts w:hint="default" w:eastAsia="宋体"/>
                                  <w:lang w:val="en-US" w:eastAsia="zh-CN"/>
                                </w:rPr>
                              </w:pPr>
                              <w:r>
                                <w:rPr>
                                  <w:rFonts w:hint="eastAsia"/>
                                  <w:lang w:val="en-US" w:eastAsia="zh-CN"/>
                                </w:rPr>
                                <w:t>絮凝沉淀池</w:t>
                              </w:r>
                            </w:p>
                          </w:txbxContent>
                        </v:textbox>
                      </v:shape>
                    </v:group>
                  </w:pict>
                </mc:Fallback>
              </mc:AlternateContent>
            </w:r>
          </w:p>
          <w:p w14:paraId="7A94BDC2">
            <w:pPr>
              <w:pStyle w:val="56"/>
              <w:keepNext w:val="0"/>
              <w:keepLines w:val="0"/>
              <w:suppressLineNumbers w:val="0"/>
              <w:spacing w:before="0" w:beforeAutospacing="0" w:after="0" w:afterAutospacing="0"/>
              <w:ind w:left="0" w:right="0" w:firstLine="0" w:firstLineChars="0"/>
              <w:rPr>
                <w:rFonts w:hint="eastAsia" w:eastAsia="宋体"/>
                <w:color w:val="000000" w:themeColor="text1"/>
                <w:lang w:eastAsia="zh-CN"/>
                <w14:textFill>
                  <w14:solidFill>
                    <w14:schemeClr w14:val="tx1"/>
                  </w14:solidFill>
                </w14:textFill>
              </w:rPr>
            </w:pPr>
            <w:r>
              <w:rPr>
                <w:rFonts w:hint="default"/>
                <w:sz w:val="24"/>
              </w:rPr>
              <mc:AlternateContent>
                <mc:Choice Requires="wps">
                  <w:drawing>
                    <wp:anchor distT="0" distB="0" distL="114300" distR="114300" simplePos="0" relativeHeight="251676672" behindDoc="0" locked="0" layoutInCell="1" allowOverlap="1">
                      <wp:simplePos x="0" y="0"/>
                      <wp:positionH relativeFrom="column">
                        <wp:posOffset>3326130</wp:posOffset>
                      </wp:positionH>
                      <wp:positionV relativeFrom="paragraph">
                        <wp:posOffset>140970</wp:posOffset>
                      </wp:positionV>
                      <wp:extent cx="419100" cy="638810"/>
                      <wp:effectExtent l="0" t="48895" r="16510" b="248285"/>
                      <wp:wrapNone/>
                      <wp:docPr id="10" name="肘形连接符 10"/>
                      <wp:cNvGraphicFramePr/>
                      <a:graphic xmlns:a="http://schemas.openxmlformats.org/drawingml/2006/main">
                        <a:graphicData uri="http://schemas.microsoft.com/office/word/2010/wordprocessingShape">
                          <wps:wsp>
                            <wps:cNvCnPr>
                              <a:stCxn id="76" idx="2"/>
                              <a:endCxn id="49" idx="3"/>
                            </wps:cNvCnPr>
                            <wps:spPr>
                              <a:xfrm rot="5400000" flipH="1">
                                <a:off x="4464685" y="2104390"/>
                                <a:ext cx="419100" cy="638810"/>
                              </a:xfrm>
                              <a:prstGeom prst="bentConnector4">
                                <a:avLst>
                                  <a:gd name="adj1" fmla="val -56818"/>
                                  <a:gd name="adj2" fmla="val 75348"/>
                                </a:avLst>
                              </a:prstGeom>
                              <a:ln w="9525">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5" type="#_x0000_t35" style="position:absolute;left:0pt;flip:x;margin-left:261.9pt;margin-top:11.1pt;height:50.3pt;width:33pt;rotation:-5898240f;z-index:251676672;mso-width-relative:page;mso-height-relative:page;" filled="f" stroked="t" coordsize="21600,21600" o:gfxdata="UEsDBAoAAAAAAIdO4kAAAAAAAAAAAAAAAAAEAAAAZHJzL1BLAwQUAAAACACHTuJAOFjSntgAAAAK&#10;AQAADwAAAGRycy9kb3ducmV2LnhtbE2PwU7DMAyG70i8Q2QkbixdUFHpmk4DMQkJLnRIu6aNaSsa&#10;pzRZV94ec4Kj7U+/v7/YLm4QM06h96RhvUpAIDXe9tRqeD/sbzIQIRqyZvCEGr4xwLa8vChMbv2Z&#10;3nCuYis4hEJuNHQxjrmUoenQmbDyIxLfPvzkTORxaqWdzJnD3SBVktxJZ3riD50Z8bHD5rM6OQ1f&#10;z3GqluVpt9sfHug4t+lL/TpqfX21TjYgIi7xD4ZffVaHkp1qfyIbxKAhVbesHjUopUAwkGb3vKiZ&#10;VCoDWRbyf4XyB1BLAwQUAAAACACHTuJArtfr2FYCAAB7BAAADgAAAGRycy9lMm9Eb2MueG1srVRN&#10;jtMwFN4jcQfL+2maNu2kUdNZtAwsEFQCDuA6TmLkP9mept1yANasWCDBiisgTgPMMXh20qEMm1nQ&#10;RWrnPX/vve/7nOXVQQq0Z9ZxrUqcjsYYMUV1xVVT4jevry9yjJwnqiJCK1biI3P4avX40bIzBZvo&#10;VouKWQQgyhWdKXHrvSmSxNGWSeJG2jAFwVpbSTxsbZNUlnSALkUyGY/nSadtZaymzDl4u+mDeEC0&#10;DwHUdc0p22h6I5nyPaplgngYybXcOLyK3dY1o/5lXTvmkSgxTOrjE4rAeheeyWpJisYS03I6tEAe&#10;0sK9mSThCoreQW2IJ+jG8n+gJKdWO137EdUy6QeJjMAU6fgeN69aYlicBah25o509/9g6Yv91iJe&#10;gROAEkUkKH777sOPb59uv3/8+f7zr69fEESAps64ArLXamvDoM6vDyoevJxj+D+UeNKzyVR1CmWL&#10;ITQNoeQviLBxpgc71FYiq0GdWTYOP4xqwc0z6CqyCjwhKJBl82yezzA6QrF0nE0Xg4Ds4BENCeki&#10;DYcpJMyned53npAiFAhdG+v8U6YlCosS78A+a60U2ETbLJYi++fORyWrgQ5SvU2hHynAGHsi0MVs&#10;nqf54JyzpMl50uVsmsUcKD5AwupUPuArfc2FiP4TCnUlXswmMBolcKdq8DIspQFdnGowIqKBy0q9&#10;jT06LXgVTkchbLNbC4ugNTB0z14gGyQ6TwulN8S1fV4M9SN4wsUTVSF/NKA9sVZ3USxSCDVo1ssU&#10;BNvp6ri1Jy3Bk7HQcH+C6c/38fSfb8bq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DhY0p7YAAAA&#10;CgEAAA8AAAAAAAAAAQAgAAAAIgAAAGRycy9kb3ducmV2LnhtbFBLAQIUABQAAAAIAIdO4kCu1+vY&#10;VgIAAHsEAAAOAAAAAAAAAAEAIAAAACcBAABkcnMvZTJvRG9jLnhtbFBLBQYAAAAABgAGAFkBAADv&#10;BQAAAAA=&#10;" adj="-12273,16275">
                      <v:fill on="f" focussize="0,0"/>
                      <v:stroke color="#000000 [3213]" joinstyle="round" endarrow="open"/>
                      <v:imagedata o:title=""/>
                      <o:lock v:ext="edit" aspectratio="f"/>
                    </v:shape>
                  </w:pict>
                </mc:Fallback>
              </mc:AlternateContent>
            </w:r>
            <w:r>
              <w:rPr>
                <w:rFonts w:hint="default"/>
                <w:color w:val="000000" w:themeColor="text1"/>
                <w:sz w:val="24"/>
                <w14:textFill>
                  <w14:solidFill>
                    <w14:schemeClr w14:val="tx1"/>
                  </w14:solidFill>
                </w14:textFill>
              </w:rPr>
              <mc:AlternateContent>
                <mc:Choice Requires="wps">
                  <w:drawing>
                    <wp:anchor distT="0" distB="0" distL="114300" distR="114300" simplePos="0" relativeHeight="251665408" behindDoc="0" locked="0" layoutInCell="1" allowOverlap="1">
                      <wp:simplePos x="0" y="0"/>
                      <wp:positionH relativeFrom="column">
                        <wp:posOffset>657225</wp:posOffset>
                      </wp:positionH>
                      <wp:positionV relativeFrom="paragraph">
                        <wp:posOffset>5715</wp:posOffset>
                      </wp:positionV>
                      <wp:extent cx="1113155" cy="495300"/>
                      <wp:effectExtent l="0" t="0" r="0" b="0"/>
                      <wp:wrapNone/>
                      <wp:docPr id="75" name="文本框 75"/>
                      <wp:cNvGraphicFramePr/>
                      <a:graphic xmlns:a="http://schemas.openxmlformats.org/drawingml/2006/main">
                        <a:graphicData uri="http://schemas.microsoft.com/office/word/2010/wordprocessingShape">
                          <wps:wsp>
                            <wps:cNvSpPr txBox="1"/>
                            <wps:spPr>
                              <a:xfrm>
                                <a:off x="0" y="0"/>
                                <a:ext cx="1113155" cy="4953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EDC5924">
                                  <w:pPr>
                                    <w:pStyle w:val="46"/>
                                    <w:bidi w:val="0"/>
                                    <w:rPr>
                                      <w:rFonts w:hint="default"/>
                                      <w:lang w:val="en-US" w:eastAsia="zh-CN"/>
                                    </w:rPr>
                                  </w:pPr>
                                  <w:r>
                                    <w:rPr>
                                      <w:rFonts w:hint="eastAsia"/>
                                      <w:lang w:val="en-US" w:eastAsia="zh-CN"/>
                                    </w:rPr>
                                    <w:t>聚合氯化铝、聚丙烯酰胺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1.75pt;margin-top:0.45pt;height:39pt;width:87.65pt;z-index:251665408;mso-width-relative:page;mso-height-relative:page;" filled="f" stroked="f" coordsize="21600,21600" o:gfxdata="UEsDBAoAAAAAAIdO4kAAAAAAAAAAAAAAAAAEAAAAZHJzL1BLAwQUAAAACACHTuJAWvuKCNgAAAAH&#10;AQAADwAAAGRycy9kb3ducmV2LnhtbE2PzU7DMBCE70i8g7WVuFG7QaVpiFOhSBUSgkNLL9w28TaJ&#10;Gtshdn/g6VlO5Tia0cw3+epie3GiMXTeaZhNFQhytTedazTsPtb3KYgQ0RnsvSMN3xRgVdze5JgZ&#10;f3YbOm1jI7jEhQw1tDEOmZShbslimPqBHHt7P1qMLMdGmhHPXG57mSj1KC12jhdaHKhsqT5sj1bD&#10;a7l+x02V2PSnL1/e9s/D1+5zrvXdZKaeQES6xGsY/vAZHQpmqvzRmSB61uphzlENSxBsJ4uUn1Qa&#10;FukSZJHL//zFL1BLAwQUAAAACACHTuJAFwW7NT0CAABoBAAADgAAAGRycy9lMm9Eb2MueG1srVTN&#10;btQwEL4j8Q6W7zSbdrfQVbPV0qoIqaKVCuLsdZwmku0xtrdJeQB4A05cuPNcfQ4+O7vbqnDogYsz&#10;9vx+38zk+GQwmt0qHzqyFS/3JpwpK6nu7E3FP308f/WGsxCFrYUmqyp+pwI/Wbx8cdy7udqnlnSt&#10;PEMQG+a9q3gbo5sXRZCtMiLskVMWyoa8ERFXf1PUXvSIbnSxP5kcFj352nmSKgS8no1KvononxOQ&#10;mqaT6ozk2igbx6heaREBKbSdC3yRq20aJeNl0wQVma44kMZ8IgnkVTqLxbGY33jh2k5uShDPKeEJ&#10;JiM6i6S7UGciCrb23V+hTCc9BWriniRTjEAyI0BRTp5wc90KpzIWUB3cjvTw/8LKD7dXnnV1xV/P&#10;OLPCoOP3P77f//x9/+sbwxsI6l2Yw+7awTIOb2nA2GzfAx4T7qHxJn2BiEEPeu929KohMpmcyvKg&#10;nCGNhG56NDuYZP6LB2/nQ3ynyLAkVNyjfZlVcXsRIiqB6dYkJbN03mmdW6gt6yt+eDCbZIedBh7a&#10;wjFhGGtNUhxWwwbYiuo74PI0jkZw8rxD8gsR4pXwmAVAwbbESxyNJiShjcRZS/7rv96TPVoELWc9&#10;Zqvi4ctaeMWZfm/RvKNyOk3DmC/T2et9XPxjzeqxxq7NKWF8S+ylk1lM9lFvxcaT+YylWqasUAkr&#10;kbvicSuexnHisZRSLZfZCOPnRLyw106m0COdy3WkpstMJ5pGbjbsYQBzAzbLkib88T1bPfwgFn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WvuKCNgAAAAHAQAADwAAAAAAAAABACAAAAAiAAAAZHJz&#10;L2Rvd25yZXYueG1sUEsBAhQAFAAAAAgAh07iQBcFuzU9AgAAaAQAAA4AAAAAAAAAAQAgAAAAJwEA&#10;AGRycy9lMm9Eb2MueG1sUEsFBgAAAAAGAAYAWQEAANYFAAAAAA==&#10;">
                      <v:fill on="f" focussize="0,0"/>
                      <v:stroke on="f" weight="0.5pt"/>
                      <v:imagedata o:title=""/>
                      <o:lock v:ext="edit" aspectratio="f"/>
                      <v:textbox>
                        <w:txbxContent>
                          <w:p w14:paraId="0EDC5924">
                            <w:pPr>
                              <w:pStyle w:val="46"/>
                              <w:bidi w:val="0"/>
                              <w:rPr>
                                <w:rFonts w:hint="default"/>
                                <w:lang w:val="en-US" w:eastAsia="zh-CN"/>
                              </w:rPr>
                            </w:pPr>
                            <w:r>
                              <w:rPr>
                                <w:rFonts w:hint="eastAsia"/>
                                <w:lang w:val="en-US" w:eastAsia="zh-CN"/>
                              </w:rPr>
                              <w:t>聚合氯化铝、聚丙烯酰胺</w:t>
                            </w:r>
                          </w:p>
                        </w:txbxContent>
                      </v:textbox>
                    </v:shape>
                  </w:pict>
                </mc:Fallback>
              </mc:AlternateContent>
            </w:r>
            <w:r>
              <w:rPr>
                <w:rFonts w:hint="default"/>
                <w:color w:val="000000" w:themeColor="text1"/>
                <w:sz w:val="24"/>
                <w14:textFill>
                  <w14:solidFill>
                    <w14:schemeClr w14:val="tx1"/>
                  </w14:solidFill>
                </w14:textFill>
              </w:rPr>
              <mc:AlternateContent>
                <mc:Choice Requires="wps">
                  <w:drawing>
                    <wp:anchor distT="0" distB="0" distL="114300" distR="114300" simplePos="0" relativeHeight="251667456" behindDoc="0" locked="0" layoutInCell="1" allowOverlap="1">
                      <wp:simplePos x="0" y="0"/>
                      <wp:positionH relativeFrom="column">
                        <wp:posOffset>3232785</wp:posOffset>
                      </wp:positionH>
                      <wp:positionV relativeFrom="paragraph">
                        <wp:posOffset>174625</wp:posOffset>
                      </wp:positionV>
                      <wp:extent cx="672465" cy="189865"/>
                      <wp:effectExtent l="0" t="4445" r="51435" b="15240"/>
                      <wp:wrapNone/>
                      <wp:docPr id="77" name="肘形连接符 77"/>
                      <wp:cNvGraphicFramePr/>
                      <a:graphic xmlns:a="http://schemas.openxmlformats.org/drawingml/2006/main">
                        <a:graphicData uri="http://schemas.microsoft.com/office/word/2010/wordprocessingShape">
                          <wps:wsp>
                            <wps:cNvCnPr/>
                            <wps:spPr>
                              <a:xfrm>
                                <a:off x="4698365" y="6871970"/>
                                <a:ext cx="672465" cy="189865"/>
                              </a:xfrm>
                              <a:prstGeom prst="bentConnector2">
                                <a:avLst/>
                              </a:prstGeom>
                              <a:ln w="9525">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3" type="#_x0000_t33" style="position:absolute;left:0pt;margin-left:254.55pt;margin-top:13.75pt;height:14.95pt;width:52.95pt;z-index:251667456;mso-width-relative:page;mso-height-relative:page;" filled="f" stroked="t" coordsize="21600,21600" o:gfxdata="UEsDBAoAAAAAAIdO4kAAAAAAAAAAAAAAAAAEAAAAZHJzL1BLAwQUAAAACACHTuJAQepdZtYAAAAJ&#10;AQAADwAAAGRycy9kb3ducmV2LnhtbE2Py07DMBBF90j8gzVI7KjtiPQR4lSiEqrorgX203hIosZ2&#10;iN20/D3DCpaje3Tn3HJ9db2YaIxd8Ab0TIEgXwfb+cbA+9vLwxJETOgt9sGTgW+KsK5ub0osbLj4&#10;PU2H1Agu8bFAA21KQyFlrFtyGGdhIM/ZZxgdJj7HRtoRL1zuepkpNZcOO88fWhxo01J9Opydgd34&#10;ccqc0tv9Rk3bL/2Mu+wVjbm/0+oJRKJr+oPhV5/VoWKnYzh7G0VvIFcrzaiBbJGDYGCucx535GTx&#10;CLIq5f8F1Q9QSwMEFAAAAAgAh07iQFFjGaIFAgAAzwMAAA4AAABkcnMvZTJvRG9jLnhtbK1TzY7T&#10;MBC+I/EOlu80bdntT9R0Dy3LBUEl4AGmjpNYcmxr7G3aKw/AmRMHJDjtKyCeBtjHYOyEXVgueyAH&#10;Z+yZ+Wa+z+PVxbHV7CDRK2sKPhmNOZNG2FKZuuBv31w+WXDmA5gStDWy4Cfp+cX68aNV53I5tY3V&#10;pURGIMbnnSt4E4LLs8yLRrbgR9ZJQ87KYguBtlhnJUJH6K3OpuPxLOsslg6tkN7T6bZ38gERHwJo&#10;q0oJubXiqpUm9KgoNQSi5BvlPF+nbqtKivCqqrwMTBecmIa0UhGy93HN1ivIawTXKDG0AA9p4R6n&#10;FpShordQWwjArlD9A9UqgdbbKoyEbbOeSFKEWEzG97R53YCTiQtJ7d2t6P7/wYqXhx0yVRZ8PufM&#10;QEs3fvPuw/evn26+ffzx/vPP6y+MPCRT53xO0Ruzw2Hn3Q4j52OFbfwTG3Ys+NlsuXg6O+fsVPDZ&#10;Yj5ZzgeZ5TEwQQGz+fQs+gUFTBbLBdmEmN0BOfThubQti0bB93TJG2sMXabFaZIZDi986JN+B8cO&#10;jL1UWtM55NqwruDL82ksBDSnFc0Hma0jrt7UnIGu6QGIgAnRW63KmB2TPdb7jUZ2gDg26Rta/Css&#10;lt6Cb/q45IphkAdQ+pkpWTg50hMQbTfka0NMo5S9eNHa2/KUNE3ndM9Ji2Em4yD9uU/Zd+9w/Q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6l1m1gAAAAkBAAAPAAAAAAAAAAEAIAAAACIAAABkcnMv&#10;ZG93bnJldi54bWxQSwECFAAUAAAACACHTuJAUWMZogUCAADPAwAADgAAAAAAAAABACAAAAAlAQAA&#10;ZHJzL2Uyb0RvYy54bWxQSwUGAAAAAAYABgBZAQAAnAUAAAAA&#10;">
                      <v:fill on="f" focussize="0,0"/>
                      <v:stroke color="#000000 [3213]" joinstyle="round" endarrow="open"/>
                      <v:imagedata o:title=""/>
                      <o:lock v:ext="edit" aspectratio="f"/>
                    </v:shape>
                  </w:pict>
                </mc:Fallback>
              </mc:AlternateContent>
            </w:r>
            <w:r>
              <w:rPr>
                <w:rFonts w:hint="default"/>
                <w:color w:val="000000" w:themeColor="text1"/>
                <w:sz w:val="24"/>
                <w14:textFill>
                  <w14:solidFill>
                    <w14:schemeClr w14:val="tx1"/>
                  </w14:solidFill>
                </w14:textFill>
              </w:rPr>
              <mc:AlternateContent>
                <mc:Choice Requires="wps">
                  <w:drawing>
                    <wp:anchor distT="0" distB="0" distL="114300" distR="114300" simplePos="0" relativeHeight="251671552" behindDoc="0" locked="0" layoutInCell="1" allowOverlap="1">
                      <wp:simplePos x="0" y="0"/>
                      <wp:positionH relativeFrom="column">
                        <wp:posOffset>4131310</wp:posOffset>
                      </wp:positionH>
                      <wp:positionV relativeFrom="paragraph">
                        <wp:posOffset>173990</wp:posOffset>
                      </wp:positionV>
                      <wp:extent cx="503555" cy="342900"/>
                      <wp:effectExtent l="0" t="0" r="0" b="0"/>
                      <wp:wrapNone/>
                      <wp:docPr id="83" name="文本框 83"/>
                      <wp:cNvGraphicFramePr/>
                      <a:graphic xmlns:a="http://schemas.openxmlformats.org/drawingml/2006/main">
                        <a:graphicData uri="http://schemas.microsoft.com/office/word/2010/wordprocessingShape">
                          <wps:wsp>
                            <wps:cNvSpPr txBox="1"/>
                            <wps:spPr>
                              <a:xfrm>
                                <a:off x="0" y="0"/>
                                <a:ext cx="503555" cy="3429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ADA3825">
                                  <w:pPr>
                                    <w:pStyle w:val="46"/>
                                    <w:bidi w:val="0"/>
                                    <w:rPr>
                                      <w:rFonts w:hint="default"/>
                                      <w:lang w:val="en-US" w:eastAsia="zh-CN"/>
                                    </w:rPr>
                                  </w:pPr>
                                  <w:r>
                                    <w:rPr>
                                      <w:rFonts w:hint="eastAsia"/>
                                      <w:lang w:val="en-US" w:eastAsia="zh-CN"/>
                                    </w:rPr>
                                    <w:t>污泥</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5.3pt;margin-top:13.7pt;height:27pt;width:39.65pt;z-index:251671552;mso-width-relative:page;mso-height-relative:page;" filled="f" stroked="f" coordsize="21600,21600" o:gfxdata="UEsDBAoAAAAAAIdO4kAAAAAAAAAAAAAAAAAEAAAAZHJzL1BLAwQUAAAACACHTuJAti2hRdsAAAAJ&#10;AQAADwAAAGRycy9kb3ducmV2LnhtbE2Py07DMBBF90j8gzVI7KidqE3TEKdCkSokBIuWbthNYjeJ&#10;sMchdh/w9ZhVWY7u0b1nyvXFGnbSkx8cSUhmApim1qmBOgn7981DDswHJIXGkZbwrT2sq9ubEgvl&#10;zrTVp13oWCwhX6CEPoSx4Ny3vbboZ27UFLODmyyGeE4dVxOeY7k1PBUi4xYHigs9jrrudfu5O1oJ&#10;L/XmDbdNavMfUz+/Hp7Gr/3HQsr7u0Q8Agv6Eq4w/OlHdaiiU+OOpDwzErKFyCIqIV3OgUVgma5W&#10;wBoJeTIHXpX8/wfVL1BLAwQUAAAACACHTuJAV2SGaD4CAABnBAAADgAAAGRycy9lMm9Eb2MueG1s&#10;rVTNbtswDL4P2DsIui92/ro2iFNkDTIMCNYC2bCzIsuxAUnUJCV29gDbG/S0y+57rjzHKNlJg26H&#10;HnaRKZIi+X0kPb1tlCR7YV0FOqP9XkqJ0BzySm8z+vnT8s01Jc4znTMJWmT0IBy9nb1+Na3NRAyg&#10;BJkLSzCIdpPaZLT03kySxPFSKOZ6YIRGYwFWMY9Xu01yy2qMrmQySNOrpAabGwtcOIfaRWukXUT7&#10;koBQFBUXC+A7JbRvo1ohmUdIrqyMo7NYbVEI7u+LwglPZEYRqY8nJkF5E85kNmWTrWWmrHhXAntJ&#10;Cc8wKVZpTHoOtWCekZ2t/gqlKm7BQeF7HFTSAomMIIp++oybdcmMiFiQamfOpLv/F5Z/3D9YUuUZ&#10;vR5SopnCjh8ffxx//j7++k5QhwTVxk3Qb23Q0zfvoMGxOekdKgPuprAqfBERQTvSezjTKxpPOCrH&#10;6XA8HlPC0TQcDW7SSH/y9NhY598LUCQIGbXYvUgq26+cx0LQ9eQScmlYVlLGDkpN6oxeDcdpfHC2&#10;4Aup8WGA0JYaJN9smg7XBvIDwrLQToYzfFlh8hVz/oFZHAVEgsvi7/EoJGAS6CRKSrDf/qUP/tgh&#10;tFJS42hl1H3dMSsokR809u6mPxqFWYyX0fjtAC/20rK5tOidugOc3j6upeFRDP5ensTCgvqCOzUP&#10;WdHENMfcGfUn8c63A487ycV8Hp1w+gzzK702PIRu6ZzvPBRVZDrQ1HLTsYfzFxvQ7UoY8Mt79Hr6&#10;P8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LYtoUXbAAAACQEAAA8AAAAAAAAAAQAgAAAAIgAA&#10;AGRycy9kb3ducmV2LnhtbFBLAQIUABQAAAAIAIdO4kBXZIZoPgIAAGcEAAAOAAAAAAAAAAEAIAAA&#10;ACoBAABkcnMvZTJvRG9jLnhtbFBLBQYAAAAABgAGAFkBAADaBQAAAAA=&#10;">
                      <v:fill on="f" focussize="0,0"/>
                      <v:stroke on="f" weight="0.5pt"/>
                      <v:imagedata o:title=""/>
                      <o:lock v:ext="edit" aspectratio="f"/>
                      <v:textbox>
                        <w:txbxContent>
                          <w:p w14:paraId="2ADA3825">
                            <w:pPr>
                              <w:pStyle w:val="46"/>
                              <w:bidi w:val="0"/>
                              <w:rPr>
                                <w:rFonts w:hint="default"/>
                                <w:lang w:val="en-US" w:eastAsia="zh-CN"/>
                              </w:rPr>
                            </w:pPr>
                            <w:r>
                              <w:rPr>
                                <w:rFonts w:hint="eastAsia"/>
                                <w:lang w:val="en-US" w:eastAsia="zh-CN"/>
                              </w:rPr>
                              <w:t>污泥</w:t>
                            </w:r>
                          </w:p>
                        </w:txbxContent>
                      </v:textbox>
                    </v:shape>
                  </w:pict>
                </mc:Fallback>
              </mc:AlternateContent>
            </w:r>
            <w:r>
              <w:rPr>
                <w:rFonts w:hint="default"/>
                <w:color w:val="000000" w:themeColor="text1"/>
                <w:sz w:val="24"/>
                <w14:textFill>
                  <w14:solidFill>
                    <w14:schemeClr w14:val="tx1"/>
                  </w14:solidFill>
                </w14:textFill>
              </w:rPr>
              <mc:AlternateContent>
                <mc:Choice Requires="wps">
                  <w:drawing>
                    <wp:anchor distT="0" distB="0" distL="114300" distR="114300" simplePos="0" relativeHeight="251670528" behindDoc="0" locked="0" layoutInCell="1" allowOverlap="1">
                      <wp:simplePos x="0" y="0"/>
                      <wp:positionH relativeFrom="column">
                        <wp:posOffset>4578985</wp:posOffset>
                      </wp:positionH>
                      <wp:positionV relativeFrom="paragraph">
                        <wp:posOffset>260350</wp:posOffset>
                      </wp:positionV>
                      <wp:extent cx="647700" cy="561340"/>
                      <wp:effectExtent l="4445" t="4445" r="14605" b="5715"/>
                      <wp:wrapNone/>
                      <wp:docPr id="82" name="文本框 82"/>
                      <wp:cNvGraphicFramePr/>
                      <a:graphic xmlns:a="http://schemas.openxmlformats.org/drawingml/2006/main">
                        <a:graphicData uri="http://schemas.microsoft.com/office/word/2010/wordprocessingShape">
                          <wps:wsp>
                            <wps:cNvSpPr txBox="1"/>
                            <wps:spPr>
                              <a:xfrm>
                                <a:off x="0" y="0"/>
                                <a:ext cx="647700" cy="56134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0637221">
                                  <w:pPr>
                                    <w:keepNext w:val="0"/>
                                    <w:keepLines w:val="0"/>
                                    <w:pageBreakBefore w:val="0"/>
                                    <w:widowControl w:val="0"/>
                                    <w:kinsoku/>
                                    <w:wordWrap w:val="0"/>
                                    <w:overflowPunct/>
                                    <w:topLinePunct w:val="0"/>
                                    <w:bidi w:val="0"/>
                                    <w:adjustRightInd/>
                                    <w:snapToGrid/>
                                    <w:spacing w:line="300" w:lineRule="exact"/>
                                    <w:ind w:left="0" w:leftChars="0" w:firstLine="0" w:firstLineChars="0"/>
                                    <w:jc w:val="center"/>
                                    <w:textAlignment w:val="auto"/>
                                    <w:rPr>
                                      <w:rFonts w:hint="default" w:eastAsia="宋体"/>
                                      <w:lang w:val="en-US" w:eastAsia="zh-CN"/>
                                    </w:rPr>
                                  </w:pPr>
                                  <w:r>
                                    <w:rPr>
                                      <w:rFonts w:hint="eastAsia"/>
                                      <w:lang w:val="en-US" w:eastAsia="zh-CN"/>
                                    </w:rPr>
                                    <w:t>一般固废间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0.55pt;margin-top:20.5pt;height:44.2pt;width:51pt;z-index:251670528;mso-width-relative:page;mso-height-relative:page;" fillcolor="#FFFFFF [3201]" filled="t" stroked="t" coordsize="21600,21600" o:gfxdata="UEsDBAoAAAAAAIdO4kAAAAAAAAAAAAAAAAAEAAAAZHJzL1BLAwQUAAAACACHTuJAu4ubsNYAAAAK&#10;AQAADwAAAGRycy9kb3ducmV2LnhtbE2PwU7DMAyG70i8Q2QkbixNOo1Rmk4CCQlxY/TCLWu8tqJx&#10;qiRbx9tjTnC0/en399e7i5/EGWMaAxlQqwIEUhfcSL2B9uPlbgsiZUvOToHQwDcm2DXXV7WtXFjo&#10;Hc/73AsOoVRZA0POcyVl6gb0Nq3CjMS3Y4jeZh5jL120C4f7Seqi2EhvR+IPg53xecDua3/yBl43&#10;T/kTW/fmSl2GpZVdPE7JmNsbVTyCyHjJfzD86rM6NOx0CCdySUwG7rVSjBpYK+7EwFaXvDgwqR/W&#10;IJta/q/Q/ABQSwMEFAAAAAgAh07iQIOwmcRaAgAAuAQAAA4AAABkcnMvZTJvRG9jLnhtbK1US27b&#10;MBDdF+gdCO4b2Y7zqRE5cBO4KBA0AdKia5qiLKL8laQtpQdobtBVN933XDlHHynb+XWRRbWghjOj&#10;NzNvZnRy2mlF1sIHaU1Jh3sDSoThtpJmWdLPn+ZvjikJkZmKKWtESW9EoKfT169OWjcRI9tYVQlP&#10;AGLCpHUlbWJ0k6IIvBGahT3rhIGxtl6ziKtfFpVnLdC1KkaDwWHRWl85b7kIAdrz3kg3iP4lgLau&#10;JRfnlq+0MLFH9UKxiJJCI12g05xtXQseL+s6iEhUSVFpzCeCQF6ks5iesMnSM9dIvkmBvSSFJzVp&#10;Jg2C7qDOWWRk5eUzKC25t8HWcY9bXfSFZEZQxXDwhJvrhjmRawHVwe1ID/8Pln9cX3kiq5Iejygx&#10;TKPjdz9v7379ufv9g0AHgloXJvC7dvCM3TvbYWy2+gBlqrurvU5vVERgB703O3pFFwmH8nB8dDSA&#10;hcN0cDjcH2f6i/uPnQ/xvbCaJKGkHt3LpLL1RYhIBK5blxQrWCWruVQqX/xycaY8WTN0ep6flCM+&#10;eeSmDGmRyf7BICM/siXsHcRCMf71OQLwlAFs4qSvPUmxW3Qboha2ugFP3vajFhyfS+BesBCvmMds&#10;gQBsX7zEUSuLZOxGoqSx/vu/9MkfLYeVkhazWtLwbcW8oER9MBiGt8MxuCQxX8YHRyNc/EPL4qHF&#10;rPSZBUlD7LnjWUz+UW3F2lv9BUs6S1FhYoYjdknjVjyL/QZhybmYzbITxtmxeGGuHU/QqSXGzlbR&#10;1jK3LtHUc7NhDwOd27NZvrQxD+/Z6/6HM/0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u4ubsNYA&#10;AAAKAQAADwAAAAAAAAABACAAAAAiAAAAZHJzL2Rvd25yZXYueG1sUEsBAhQAFAAAAAgAh07iQIOw&#10;mcRaAgAAuAQAAA4AAAAAAAAAAQAgAAAAJQEAAGRycy9lMm9Eb2MueG1sUEsFBgAAAAAGAAYAWQEA&#10;APEFAAAAAA==&#10;">
                      <v:fill on="t" focussize="0,0"/>
                      <v:stroke weight="0.5pt" color="#000000 [3204]" joinstyle="round"/>
                      <v:imagedata o:title=""/>
                      <o:lock v:ext="edit" aspectratio="f"/>
                      <v:textbox>
                        <w:txbxContent>
                          <w:p w14:paraId="60637221">
                            <w:pPr>
                              <w:keepNext w:val="0"/>
                              <w:keepLines w:val="0"/>
                              <w:pageBreakBefore w:val="0"/>
                              <w:widowControl w:val="0"/>
                              <w:kinsoku/>
                              <w:wordWrap w:val="0"/>
                              <w:overflowPunct/>
                              <w:topLinePunct w:val="0"/>
                              <w:bidi w:val="0"/>
                              <w:adjustRightInd/>
                              <w:snapToGrid/>
                              <w:spacing w:line="300" w:lineRule="exact"/>
                              <w:ind w:left="0" w:leftChars="0" w:firstLine="0" w:firstLineChars="0"/>
                              <w:jc w:val="center"/>
                              <w:textAlignment w:val="auto"/>
                              <w:rPr>
                                <w:rFonts w:hint="default" w:eastAsia="宋体"/>
                                <w:lang w:val="en-US" w:eastAsia="zh-CN"/>
                              </w:rPr>
                            </w:pPr>
                            <w:r>
                              <w:rPr>
                                <w:rFonts w:hint="eastAsia"/>
                                <w:lang w:val="en-US" w:eastAsia="zh-CN"/>
                              </w:rPr>
                              <w:t>一般固废间</w:t>
                            </w:r>
                          </w:p>
                        </w:txbxContent>
                      </v:textbox>
                    </v:shape>
                  </w:pict>
                </mc:Fallback>
              </mc:AlternateContent>
            </w:r>
            <w:r>
              <w:rPr>
                <w:rFonts w:hint="default"/>
                <w:color w:val="000000" w:themeColor="text1"/>
                <w:sz w:val="24"/>
                <w14:textFill>
                  <w14:solidFill>
                    <w14:schemeClr w14:val="tx1"/>
                  </w14:solidFill>
                </w14:textFill>
              </w:rPr>
              <mc:AlternateContent>
                <mc:Choice Requires="wps">
                  <w:drawing>
                    <wp:anchor distT="0" distB="0" distL="114300" distR="114300" simplePos="0" relativeHeight="251664384" behindDoc="0" locked="0" layoutInCell="1" allowOverlap="1">
                      <wp:simplePos x="0" y="0"/>
                      <wp:positionH relativeFrom="column">
                        <wp:posOffset>1102360</wp:posOffset>
                      </wp:positionH>
                      <wp:positionV relativeFrom="paragraph">
                        <wp:posOffset>240665</wp:posOffset>
                      </wp:positionV>
                      <wp:extent cx="657225" cy="0"/>
                      <wp:effectExtent l="0" t="48895" r="9525" b="65405"/>
                      <wp:wrapNone/>
                      <wp:docPr id="74" name="直接箭头连接符 74"/>
                      <wp:cNvGraphicFramePr/>
                      <a:graphic xmlns:a="http://schemas.openxmlformats.org/drawingml/2006/main">
                        <a:graphicData uri="http://schemas.microsoft.com/office/word/2010/wordprocessingShape">
                          <wps:wsp>
                            <wps:cNvCnPr/>
                            <wps:spPr>
                              <a:xfrm>
                                <a:off x="2308225" y="6842760"/>
                                <a:ext cx="657225" cy="0"/>
                              </a:xfrm>
                              <a:prstGeom prst="straightConnector1">
                                <a:avLst/>
                              </a:prstGeom>
                              <a:ln w="9525">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86.8pt;margin-top:18.95pt;height:0pt;width:51.75pt;z-index:251664384;mso-width-relative:page;mso-height-relative:page;" filled="f" stroked="t" coordsize="21600,21600" o:gfxdata="UEsDBAoAAAAAAIdO4kAAAAAAAAAAAAAAAAAEAAAAZHJzL1BLAwQUAAAACACHTuJAoJxPcdcAAAAJ&#10;AQAADwAAAGRycy9kb3ducmV2LnhtbE2PwU6DQBCG7ya+w2ZMvNkFqsUiSw8mPZDUGKsPsIUpENlZ&#10;yk5p+/aO8WCP/8yXf77JV2fXqwnH0HkyEM8iUEiVrztqDHx9rh+eQQW2VNveExq4YIBVcXuT26z2&#10;J/rAacuNkhIKmTXQMg+Z1qFq0dkw8wOS7PZ+dJYljo2uR3uSctfrJIoW2tmO5EJrB3xtsfreHp2B&#10;pDzwZb0peXrnp7eDSzaP5VAZc38XRy+gGM/8D8OvvqhDIU47f6Q6qF5yOl8IamCeLkEJkKRpDGr3&#10;N9BFrq8/KH4AUEsDBBQAAAAIAIdO4kAXpAlbBQIAANQDAAAOAAAAZHJzL2Uyb0RvYy54bWytU82O&#10;0zAQviPxDpbvNG3Y/lA13UPLckFQCXgA13ESS45tzXib9iV4ASROwAk47Z2ngeUxGDthF5bLHsjB&#10;GXtmvpnv83h1fmwNOyhA7WzBJ6MxZ8pKV2pbF/zN64tHC84wCFsK46wq+EkhP18/fLDq/FLlrnGm&#10;VMAIxOKy8wVvQvDLLEPZqFbgyHllyVk5aEWgLdRZCaIj9NZk+Xg8yzoHpQcnFSKdbnsnHxDhPoCu&#10;qrRUWycvW2VDjwrKiECUsNEe+Tp1W1VKhpdVhSowU3BiGtJKRcjexzVbr8SyBuEbLYcWxH1auMOp&#10;FdpS0RuorQiCXYL+B6rVEhy6Koyka7OeSFKEWEzGd7R51QivEheSGv2N6Pj/YOWLww6YLgs+P+PM&#10;ipZu/Prd1Y+3H6+/fvn+4ernt/fR/vyJkZ/E6jwuKWdjdzDs0O8gMj9W0MY/cWLHguePx4s8n3J2&#10;KvhscZbPZ4PY6hiYpIDZdJ78kgKSK7vF8IDhmXIti0bBMYDQdRM2zlq6UQeTpLU4PMdAXVDi74TY&#10;gHUX2ph0scayruBPprEPKWhYKxoSMltPhNHWnAlT0yuQARIiOqPLmB1xEOr9xgA7iDg76YsKULW/&#10;wmLprcCmj0uufqqC0OapLVk4eRJVALhuyDeWYKKSvXbR2rvylCRN53TZqdAwmHGa/tyn7NvHuP4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oJxPcdcAAAAJAQAADwAAAAAAAAABACAAAAAiAAAAZHJz&#10;L2Rvd25yZXYueG1sUEsBAhQAFAAAAAgAh07iQBekCVsFAgAA1AMAAA4AAAAAAAAAAQAgAAAAJgEA&#10;AGRycy9lMm9Eb2MueG1sUEsFBgAAAAAGAAYAWQEAAJ0FAAAAAA==&#10;">
                      <v:fill on="f" focussize="0,0"/>
                      <v:stroke color="#000000 [3213]" joinstyle="round" endarrow="open"/>
                      <v:imagedata o:title=""/>
                      <o:lock v:ext="edit" aspectratio="f"/>
                    </v:shape>
                  </w:pict>
                </mc:Fallback>
              </mc:AlternateContent>
            </w:r>
          </w:p>
          <w:p w14:paraId="75043276">
            <w:pPr>
              <w:pStyle w:val="56"/>
              <w:keepNext w:val="0"/>
              <w:keepLines w:val="0"/>
              <w:suppressLineNumbers w:val="0"/>
              <w:spacing w:before="0" w:beforeAutospacing="0" w:after="0" w:afterAutospacing="0"/>
              <w:ind w:left="0" w:right="0" w:firstLine="0" w:firstLineChars="0"/>
              <w:rPr>
                <w:rFonts w:hint="eastAsia" w:eastAsia="宋体"/>
                <w:color w:val="000000" w:themeColor="text1"/>
                <w:lang w:eastAsia="zh-CN"/>
                <w14:textFill>
                  <w14:solidFill>
                    <w14:schemeClr w14:val="tx1"/>
                  </w14:solidFill>
                </w14:textFill>
              </w:rPr>
            </w:pPr>
            <w:r>
              <w:rPr>
                <w:rFonts w:hint="default"/>
                <w:color w:val="000000" w:themeColor="text1"/>
                <w:sz w:val="24"/>
                <w14:textFill>
                  <w14:solidFill>
                    <w14:schemeClr w14:val="tx1"/>
                  </w14:solidFill>
                </w14:textFill>
              </w:rPr>
              <mc:AlternateContent>
                <mc:Choice Requires="wps">
                  <w:drawing>
                    <wp:anchor distT="0" distB="0" distL="114300" distR="114300" simplePos="0" relativeHeight="251669504" behindDoc="0" locked="0" layoutInCell="1" allowOverlap="1">
                      <wp:simplePos x="0" y="0"/>
                      <wp:positionH relativeFrom="column">
                        <wp:posOffset>4178935</wp:posOffset>
                      </wp:positionH>
                      <wp:positionV relativeFrom="paragraph">
                        <wp:posOffset>250825</wp:posOffset>
                      </wp:positionV>
                      <wp:extent cx="349885" cy="3810"/>
                      <wp:effectExtent l="0" t="48260" r="12065" b="62230"/>
                      <wp:wrapNone/>
                      <wp:docPr id="81" name="直接箭头连接符 81"/>
                      <wp:cNvGraphicFramePr/>
                      <a:graphic xmlns:a="http://schemas.openxmlformats.org/drawingml/2006/main">
                        <a:graphicData uri="http://schemas.microsoft.com/office/word/2010/wordprocessingShape">
                          <wps:wsp>
                            <wps:cNvCnPr>
                              <a:stCxn id="76" idx="3"/>
                            </wps:cNvCnPr>
                            <wps:spPr>
                              <a:xfrm flipV="1">
                                <a:off x="5663565" y="7134860"/>
                                <a:ext cx="349885" cy="3810"/>
                              </a:xfrm>
                              <a:prstGeom prst="straightConnector1">
                                <a:avLst/>
                              </a:prstGeom>
                              <a:ln w="9525">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329.05pt;margin-top:19.75pt;height:0.3pt;width:27.55pt;z-index:251669504;mso-width-relative:page;mso-height-relative:page;" filled="f" stroked="t" coordsize="21600,21600" o:gfxdata="UEsDBAoAAAAAAIdO4kAAAAAAAAAAAAAAAAAEAAAAZHJzL1BLAwQUAAAACACHTuJAT9JQydgAAAAJ&#10;AQAADwAAAGRycy9kb3ducmV2LnhtbE2PMU/DMBCFdyT+g3VIbNR225QScukAYoKFglR1c+MjTont&#10;YLtN+PeYCcbT+/Ted9Vmsj07U4iddwhyJoCRa7zuXIvw/vZ0swYWk3Ja9d4RwjdF2NSXF5UqtR/d&#10;K523qWW5xMVSIZiUhpLz2BiyKs78QC5nHz5YlfIZWq6DGnO57flciBW3qnN5waiBHgw1n9uTRdi9&#10;iH0x+WCO+6+lee4e293RjojXV1LcA0s0pT8YfvWzOtTZ6eBPTkfWI6yKtcwowuKuAJaBW7mYAzsg&#10;LIUEXlf8/wf1D1BLAwQUAAAACACHTuJAs84vFCACAAAIBAAADgAAAGRycy9lMm9Eb2MueG1srVPL&#10;ctMwFN0zwz9otCfOo3FdT5wuEsqGgczw2CuybGtGr7lS4+Qn+AFmWAErYNU9XwPlM7iSQ1vKpgu8&#10;sK987zm69+hocb7XiuwEeGlNRSejMSXCcFtL01b0zeuLJwUlPjBTM2WNqOhBeHq+fPxo0btSTG1n&#10;VS2AIInxZe8q2oXgyizzvBOa+ZF1wmCysaBZwCW0WQ2sR3atsul4nGe9hdqB5cJ7/LsekvTICA8h&#10;tE0juVhbfqmFCQMrCMUCjuQ76Txdpm6bRvDwsmm8CERVFCcN6Y2bYLyN72y5YGULzHWSH1tgD2nh&#10;3kyaSYOb3lCtWWDkEuQ/VFpysN42YcStzoZBkiI4xWR8T5tXHXMizYJSe3cjuv9/tPzFbgNE1hUt&#10;JpQYpvHEr99f/Xz36frb1x8fr359/xDjL58J5lGs3vkSMSuzgTiuD6u9SfDTnOJ3X9FZLMv+qosL&#10;7wbEvgFNGiXdWzRfkgxFIIib5/lsns8pOVT0dDI7KfLj6Yh9IDwSn5wVBeY5FsyKScpmrIyEsRUH&#10;PjwTVpMYVNQHYLLtwsoagy6wMGzGds99iA3eAiLY2AupVDKDMqSv6Nl8GrdiaPAGjYWhdiiSNy0l&#10;TLV4c3iA1L63StYRnfSAdrtSQHYs+i09SQ5U6m5ZbHHNfDfUpdTgxMCkempqEg4OD4IB2P6IV+ao&#10;6iBklHRr68MG/qiNBkljHc0cHXh3ndC3F3j5G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E/SUMnY&#10;AAAACQEAAA8AAAAAAAAAAQAgAAAAIgAAAGRycy9kb3ducmV2LnhtbFBLAQIUABQAAAAIAIdO4kCz&#10;zi8UIAIAAAgEAAAOAAAAAAAAAAEAIAAAACcBAABkcnMvZTJvRG9jLnhtbFBLBQYAAAAABgAGAFkB&#10;AAC5BQAAAAA=&#10;">
                      <v:fill on="f" focussize="0,0"/>
                      <v:stroke color="#000000 [3213]" joinstyle="round" endarrow="open"/>
                      <v:imagedata o:title=""/>
                      <o:lock v:ext="edit" aspectratio="f"/>
                    </v:shape>
                  </w:pict>
                </mc:Fallback>
              </mc:AlternateContent>
            </w:r>
            <w:r>
              <w:rPr>
                <w:rFonts w:hint="default"/>
                <w:color w:val="000000" w:themeColor="text1"/>
                <w:sz w:val="24"/>
                <w14:textFill>
                  <w14:solidFill>
                    <w14:schemeClr w14:val="tx1"/>
                  </w14:solidFill>
                </w14:textFill>
              </w:rPr>
              <mc:AlternateContent>
                <mc:Choice Requires="wps">
                  <w:drawing>
                    <wp:anchor distT="0" distB="0" distL="114300" distR="114300" simplePos="0" relativeHeight="251666432" behindDoc="0" locked="0" layoutInCell="1" allowOverlap="1">
                      <wp:simplePos x="0" y="0"/>
                      <wp:positionH relativeFrom="column">
                        <wp:posOffset>3531235</wp:posOffset>
                      </wp:positionH>
                      <wp:positionV relativeFrom="paragraph">
                        <wp:posOffset>101600</wp:posOffset>
                      </wp:positionV>
                      <wp:extent cx="647700" cy="305435"/>
                      <wp:effectExtent l="4445" t="4445" r="14605" b="13970"/>
                      <wp:wrapNone/>
                      <wp:docPr id="76" name="文本框 76"/>
                      <wp:cNvGraphicFramePr/>
                      <a:graphic xmlns:a="http://schemas.openxmlformats.org/drawingml/2006/main">
                        <a:graphicData uri="http://schemas.microsoft.com/office/word/2010/wordprocessingShape">
                          <wps:wsp>
                            <wps:cNvSpPr txBox="1"/>
                            <wps:spPr>
                              <a:xfrm>
                                <a:off x="0" y="0"/>
                                <a:ext cx="647700" cy="3054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16FD826">
                                  <w:pPr>
                                    <w:keepNext w:val="0"/>
                                    <w:keepLines w:val="0"/>
                                    <w:pageBreakBefore w:val="0"/>
                                    <w:widowControl w:val="0"/>
                                    <w:kinsoku/>
                                    <w:wordWrap w:val="0"/>
                                    <w:overflowPunct/>
                                    <w:topLinePunct w:val="0"/>
                                    <w:bidi w:val="0"/>
                                    <w:adjustRightInd/>
                                    <w:snapToGrid/>
                                    <w:spacing w:line="300" w:lineRule="exact"/>
                                    <w:ind w:left="0" w:leftChars="0" w:firstLine="0" w:firstLineChars="0"/>
                                    <w:jc w:val="center"/>
                                    <w:textAlignment w:val="auto"/>
                                    <w:rPr>
                                      <w:rFonts w:hint="default" w:eastAsia="宋体"/>
                                      <w:lang w:val="en-US" w:eastAsia="zh-CN"/>
                                    </w:rPr>
                                  </w:pPr>
                                  <w:r>
                                    <w:rPr>
                                      <w:rFonts w:hint="eastAsia"/>
                                      <w:lang w:val="en-US" w:eastAsia="zh-CN"/>
                                    </w:rPr>
                                    <w:t>压滤机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8.05pt;margin-top:8pt;height:24.05pt;width:51pt;z-index:251666432;mso-width-relative:page;mso-height-relative:page;" fillcolor="#FFFFFF [3201]" filled="t" stroked="t" coordsize="21600,21600" o:gfxdata="UEsDBAoAAAAAAIdO4kAAAAAAAAAAAAAAAAAEAAAAZHJzL1BLAwQUAAAACACHTuJAgmG9SNUAAAAJ&#10;AQAADwAAAGRycy9kb3ducmV2LnhtbE2PQU/DMAyF70j8h8hI3FjajUZTaToJJCTEjdHLblnjtRWJ&#10;UyXZOv495gQ32+/p+XvN7uqduGBMUyAN5aoAgdQHO9Ggoft8fdiCSNmQNS4QavjGBLv29qYxtQ0L&#10;feBlnwfBIZRqo2HMea6lTP2I3qRVmJFYO4XoTeY1DtJGs3C4d3JdFEp6MxF/GM2MLyP2X/uz1/Cm&#10;nvMBO/tuN+tNWDrZx5NLWt/flcUTiIzX/GeGX3xGh5aZjuFMNgmnoapUyVYWFHdig6q2fDjy8FiC&#10;bBv5v0H7A1BLAwQUAAAACACHTuJAAmlj9FcCAAC4BAAADgAAAGRycy9lMm9Eb2MueG1srVTNbhMx&#10;EL4j8Q6W72Q3bX4g6qYKiYKQKlqpIM6O15u1sD3GdrJbHgDegBMX7jxXn4Oxd5P+ceiBHJz5yzcz&#10;38zk7LzViuyF8xJMQYeDnBJhOJTSbAv66eP61WtKfGCmZAqMKOiN8PR8/vLFWWNn4gRqUKVwBEGM&#10;nzW2oHUIdpZlntdCMz8AKww6K3CaBVTdNisdaxBdq+wkzydZA660DrjwHq2rzkl7RPccQKgqycUK&#10;+E4LEzpUJxQL2JKvpfV0nqqtKsHDZVV5EYgqKHYa0otJUN7EN5ufsdnWMVtL3pfAnlPCo540kwaT&#10;HqFWLDCyc/IJlJbcgYcqDDjorGskMYJdDPNH3FzXzIrUC1Lt7ZF0//9g+Yf9lSOyLOh0QolhGid+&#10;+/PH7a8/t7+/E7QhQY31M4y7thgZ2rfQ4toc7B6Nse+2cjp+Y0cE/UjvzZFe0QbC0TgZTac5eji6&#10;TvPx6HQcUbK7H1vnwzsBmkShoA6nl0hl+wsfutBDSMzlQclyLZVKittulsqRPcNJr9OnR38Qpgxp&#10;sJLTcZ6QH/gi9hFioxj/8hQBq1UGi46cdL1HKbSbtidqA+UN8uSgWzVv+Voi7gXz4Yo53C0kAK8v&#10;XOJTKcBioJcoqcF9+5c9xuPI0UtJg7taUP91x5ygRL03uAxvhqMRwoakjMbTE1Tcfc/mvsfs9BKQ&#10;pCHeueVJjPFBHcTKgf6MR7qIWdHFDMfcBQ0HcRm6C8Ij52KxSEG4zpaFC3NteYSOIzGw2AWoZBpd&#10;pKnjpmcPFzoNvz++eDH39RR194cz/w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CCYb1I1QAAAAkB&#10;AAAPAAAAAAAAAAEAIAAAACIAAABkcnMvZG93bnJldi54bWxQSwECFAAUAAAACACHTuJAAmlj9FcC&#10;AAC4BAAADgAAAAAAAAABACAAAAAkAQAAZHJzL2Uyb0RvYy54bWxQSwUGAAAAAAYABgBZAQAA7QUA&#10;AAAA&#10;">
                      <v:fill on="t" focussize="0,0"/>
                      <v:stroke weight="0.5pt" color="#000000 [3204]" joinstyle="round"/>
                      <v:imagedata o:title=""/>
                      <o:lock v:ext="edit" aspectratio="f"/>
                      <v:textbox>
                        <w:txbxContent>
                          <w:p w14:paraId="216FD826">
                            <w:pPr>
                              <w:keepNext w:val="0"/>
                              <w:keepLines w:val="0"/>
                              <w:pageBreakBefore w:val="0"/>
                              <w:widowControl w:val="0"/>
                              <w:kinsoku/>
                              <w:wordWrap w:val="0"/>
                              <w:overflowPunct/>
                              <w:topLinePunct w:val="0"/>
                              <w:bidi w:val="0"/>
                              <w:adjustRightInd/>
                              <w:snapToGrid/>
                              <w:spacing w:line="300" w:lineRule="exact"/>
                              <w:ind w:left="0" w:leftChars="0" w:firstLine="0" w:firstLineChars="0"/>
                              <w:jc w:val="center"/>
                              <w:textAlignment w:val="auto"/>
                              <w:rPr>
                                <w:rFonts w:hint="default" w:eastAsia="宋体"/>
                                <w:lang w:val="en-US" w:eastAsia="zh-CN"/>
                              </w:rPr>
                            </w:pPr>
                            <w:r>
                              <w:rPr>
                                <w:rFonts w:hint="eastAsia"/>
                                <w:lang w:val="en-US" w:eastAsia="zh-CN"/>
                              </w:rPr>
                              <w:t>压滤机</w:t>
                            </w:r>
                          </w:p>
                        </w:txbxContent>
                      </v:textbox>
                    </v:shape>
                  </w:pict>
                </mc:Fallback>
              </mc:AlternateContent>
            </w:r>
          </w:p>
          <w:p w14:paraId="160B9304">
            <w:pPr>
              <w:pStyle w:val="56"/>
              <w:keepNext w:val="0"/>
              <w:keepLines w:val="0"/>
              <w:suppressLineNumbers w:val="0"/>
              <w:spacing w:before="0" w:beforeAutospacing="0" w:after="0" w:afterAutospacing="0"/>
              <w:ind w:left="0" w:right="0" w:firstLine="0" w:firstLineChars="0"/>
              <w:rPr>
                <w:rFonts w:hint="eastAsia" w:eastAsia="宋体"/>
                <w:color w:val="000000" w:themeColor="text1"/>
                <w:lang w:eastAsia="zh-CN"/>
                <w14:textFill>
                  <w14:solidFill>
                    <w14:schemeClr w14:val="tx1"/>
                  </w14:solidFill>
                </w14:textFill>
              </w:rPr>
            </w:pPr>
          </w:p>
          <w:p w14:paraId="0A254FDF">
            <w:pPr>
              <w:pStyle w:val="56"/>
              <w:keepNext w:val="0"/>
              <w:keepLines w:val="0"/>
              <w:suppressLineNumbers w:val="0"/>
              <w:spacing w:before="0" w:beforeAutospacing="0" w:after="0" w:afterAutospacing="0"/>
              <w:ind w:left="0" w:right="0" w:firstLine="0" w:firstLineChars="0"/>
              <w:rPr>
                <w:rFonts w:hint="eastAsia" w:eastAsia="宋体"/>
                <w:color w:val="000000" w:themeColor="text1"/>
                <w:lang w:eastAsia="zh-CN"/>
                <w14:textFill>
                  <w14:solidFill>
                    <w14:schemeClr w14:val="tx1"/>
                  </w14:solidFill>
                </w14:textFill>
              </w:rPr>
            </w:pPr>
            <w:r>
              <w:rPr>
                <w:rFonts w:hint="default"/>
                <w:color w:val="000000" w:themeColor="text1"/>
                <w:sz w:val="24"/>
                <w14:textFill>
                  <w14:solidFill>
                    <w14:schemeClr w14:val="tx1"/>
                  </w14:solidFill>
                </w14:textFill>
              </w:rPr>
              <mc:AlternateContent>
                <mc:Choice Requires="wps">
                  <w:drawing>
                    <wp:anchor distT="0" distB="0" distL="114300" distR="114300" simplePos="0" relativeHeight="251677696" behindDoc="0" locked="0" layoutInCell="1" allowOverlap="1">
                      <wp:simplePos x="0" y="0"/>
                      <wp:positionH relativeFrom="column">
                        <wp:posOffset>3125470</wp:posOffset>
                      </wp:positionH>
                      <wp:positionV relativeFrom="paragraph">
                        <wp:posOffset>132080</wp:posOffset>
                      </wp:positionV>
                      <wp:extent cx="640715" cy="304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640715"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DAE70E">
                                  <w:pPr>
                                    <w:pStyle w:val="46"/>
                                    <w:bidi w:val="0"/>
                                    <w:rPr>
                                      <w:rFonts w:hint="default"/>
                                      <w:lang w:val="en-US" w:eastAsia="zh-CN"/>
                                    </w:rPr>
                                  </w:pPr>
                                  <w:r>
                                    <w:rPr>
                                      <w:rFonts w:hint="eastAsia"/>
                                      <w:lang w:val="en-US" w:eastAsia="zh-CN"/>
                                    </w:rPr>
                                    <w:t>压滤水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6.1pt;margin-top:10.4pt;height:24pt;width:50.45pt;z-index:251677696;mso-width-relative:page;mso-height-relative:page;" filled="f" stroked="f" coordsize="21600,21600" o:gfxdata="UEsDBAoAAAAAAIdO4kAAAAAAAAAAAAAAAAAEAAAAZHJzL1BLAwQUAAAACACHTuJA+el8x9oAAAAJ&#10;AQAADwAAAGRycy9kb3ducmV2LnhtbE2Py07DMBBF90j8gzVI7KgdQ6s0xKlQpAoJwaKlG3ZO7CYR&#10;9jjE7gO+nmFVlqM5uvfccnX2jh3tFIeACrKZAGaxDWbATsHufX2XA4tJo9EuoFXwbSOsquurUhcm&#10;nHBjj9vUMQrBWGgFfUpjwXlse+t1nIXRIv32YfI60Tl13Ez6ROHecSnEgns9IDX0erR1b9vP7cEr&#10;eKnXb3rTSJ//uPr5df80fu0+5krd3mTiEViy53SB4U+f1KEipyYc0ETmFDwspSRUgRQ0gYD58j4D&#10;1ihY5DnwquT/F1S/UEsDBBQAAAAIAIdO4kC6OPZfPAIAAGcEAAAOAAAAZHJzL2Uyb0RvYy54bWyt&#10;VMFu1DAQvSPxD5bvNNnttpRVs9XSqgipopUK4ux1nCaS7TG2t0n5APgDTly48139Dp6d3W1VOPTA&#10;xRnPjGfmvZnJ8clgNLtVPnRkKz7ZKzlTVlLd2ZuKf/p4/uqIsxCFrYUmqyp+pwI/Wbx8cdy7uZpS&#10;S7pWniGIDfPeVbyN0c2LIshWGRH2yCkLY0PeiIirvylqL3pEN7qYluVh0ZOvnSepQoD2bDTyTUT/&#10;nIDUNJ1UZyTXRtk4RvVKiwhIoe1c4ItcbdMoGS+bJqjIdMWBNOYTSSCv0lksjsX8xgvXdnJTgnhO&#10;CU8wGdFZJN2FOhNRsLXv/gplOukpUBP3JJliBJIZAYpJ+YSb61Y4lbGA6uB2pIf/F1Z+uL3yrKsx&#10;CVPOrDDo+P2P7/c/f9//+sagA0G9C3P4XTt4xuEtDXDe6gOUCffQeJO+QMRgB713O3rVEJmE8nBW&#10;vp4ccCZh2i9nR2Wmv3h47HyI7xQZloSKe3QvkypuL0JEIXDduqRcls47rXMHtWU9EuwflPnBzoIX&#10;2uJhgjCWmqQ4rIYNrhXVd4DlaZyM4OR5h+QXIsQr4TEKQIJliZc4Gk1IQhuJs5b813/pkz86BCtn&#10;PUar4uHLWnjFmX5v0bs3k9kszWK+zA5eT3Hxjy2rxxa7NqeE6Z1gLZ3MYvKPeis2nsxn7NQyZYVJ&#10;WIncFY9b8TSOA4+dlGq5zE6YPifihb12MoUe6VyuIzVdZjrRNHKzYQ/zlxuw2ZU04I/v2evh/7D4&#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npfMfaAAAACQEAAA8AAAAAAAAAAQAgAAAAIgAAAGRy&#10;cy9kb3ducmV2LnhtbFBLAQIUABQAAAAIAIdO4kC6OPZfPAIAAGcEAAAOAAAAAAAAAAEAIAAAACkB&#10;AABkcnMvZTJvRG9jLnhtbFBLBQYAAAAABgAGAFkBAADXBQAAAAA=&#10;">
                      <v:fill on="f" focussize="0,0"/>
                      <v:stroke on="f" weight="0.5pt"/>
                      <v:imagedata o:title=""/>
                      <o:lock v:ext="edit" aspectratio="f"/>
                      <v:textbox>
                        <w:txbxContent>
                          <w:p w14:paraId="65DAE70E">
                            <w:pPr>
                              <w:pStyle w:val="46"/>
                              <w:bidi w:val="0"/>
                              <w:rPr>
                                <w:rFonts w:hint="default"/>
                                <w:lang w:val="en-US" w:eastAsia="zh-CN"/>
                              </w:rPr>
                            </w:pPr>
                            <w:r>
                              <w:rPr>
                                <w:rFonts w:hint="eastAsia"/>
                                <w:lang w:val="en-US" w:eastAsia="zh-CN"/>
                              </w:rPr>
                              <w:t>压滤水</w:t>
                            </w:r>
                          </w:p>
                        </w:txbxContent>
                      </v:textbox>
                    </v:shape>
                  </w:pict>
                </mc:Fallback>
              </mc:AlternateContent>
            </w:r>
            <w:r>
              <w:rPr>
                <w:rFonts w:hint="default"/>
                <w:color w:val="000000" w:themeColor="text1"/>
                <w14:textFill>
                  <w14:solidFill>
                    <w14:schemeClr w14:val="tx1"/>
                  </w14:solidFill>
                </w14:textFill>
              </w:rPr>
              <mc:AlternateContent>
                <mc:Choice Requires="wps">
                  <w:drawing>
                    <wp:anchor distT="0" distB="0" distL="114300" distR="114300" simplePos="0" relativeHeight="251672576" behindDoc="0" locked="0" layoutInCell="1" allowOverlap="1">
                      <wp:simplePos x="0" y="0"/>
                      <wp:positionH relativeFrom="column">
                        <wp:posOffset>4869180</wp:posOffset>
                      </wp:positionH>
                      <wp:positionV relativeFrom="paragraph">
                        <wp:posOffset>43815</wp:posOffset>
                      </wp:positionV>
                      <wp:extent cx="5080" cy="237490"/>
                      <wp:effectExtent l="45720" t="0" r="63500" b="10160"/>
                      <wp:wrapNone/>
                      <wp:docPr id="109" name="直接箭头连接符 109"/>
                      <wp:cNvGraphicFramePr/>
                      <a:graphic xmlns:a="http://schemas.openxmlformats.org/drawingml/2006/main">
                        <a:graphicData uri="http://schemas.microsoft.com/office/word/2010/wordprocessingShape">
                          <wps:wsp>
                            <wps:cNvCnPr/>
                            <wps:spPr>
                              <a:xfrm>
                                <a:off x="0" y="0"/>
                                <a:ext cx="5080" cy="237490"/>
                              </a:xfrm>
                              <a:prstGeom prst="straightConnector1">
                                <a:avLst/>
                              </a:prstGeom>
                              <a:ln w="9525">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383.4pt;margin-top:3.45pt;height:18.7pt;width:0.4pt;z-index:251672576;mso-width-relative:page;mso-height-relative:page;" filled="f" stroked="t" coordsize="21600,21600" o:gfxdata="UEsDBAoAAAAAAIdO4kAAAAAAAAAAAAAAAAAEAAAAZHJzL1BLAwQUAAAACACHTuJAXVNw49cAAAAI&#10;AQAADwAAAGRycy9kb3ducmV2LnhtbE2PwU7DMBBE70j8g7VI3KjTEJw2xOkBqYdIRYjCB7jxkkTE&#10;6zTepu3fY05wHM1o5k25ubhBzDiF3pOG5SIBgdR421Or4fNj+7ACEdiQNYMn1HDFAJvq9qY0hfVn&#10;esd5z62IJRQKo6FjHgspQ9OhM2HhR6ToffnJGY5yaqWdzDmWu0GmSaKkMz3Fhc6M+NJh870/OQ1p&#10;feTrdlfz/MZPr0eX7rJ6bLS+v1smzyAYL/wXhl/8iA5VZDr4E9kgBg25UhGdNag1iOjnKlcgDhqy&#10;7BFkVcr/B6ofUEsDBBQAAAAIAIdO4kBvmN/G/AEAAM0DAAAOAAAAZHJzL2Uyb0RvYy54bWytU82O&#10;0zAQviPxDpbvNGmhsK2a7qFluSCoBDyA6ziJJf9pxtu0L8ELIHECTsBp7zwNLI/B2CldWC57IIdk&#10;7PF84++bL4vzvTVspwC1dxUfj0rOlJO+1q6t+JvXFw/OOMMoXC2Md6riB4X8fHn/3qIPczXxnTe1&#10;AkYgDud9qHgXY5gXBcpOWYEjH5SjZOPBikhLaIsaRE/o1hSTsnxc9B7qAF4qRNpdD0l+RIS7APqm&#10;0VKtvby0ysUBFZQRkShhpwPyZb5t0ygZXzYNqshMxYlpzG9qQvE2vYvlQsxbEKHT8ngFcZcr3OJk&#10;hXbU9AS1FlGwS9D/QFktwaNv4kh6WwxEsiLEYlze0uZVJ4LKXEhqDCfR8f/Byhe7DTBdkxPKGWdO&#10;WBr59burH28/Xn/98v3D1c9v71P8+RNLB0iuPuCcqlZuA8cVhg0k7vsGbPoSK7bPEh9OEqt9ZJI2&#10;p+UZSS8pMXn45NEsD6C4KQ2A8ZnylqWg4hhB6LaLK+8cjdLDOIssds8xUnMq/F2Q+jp/oY3JEzWO&#10;9RWfTSdTaibIpQ25g0IbiCm6ljNhWrK/jJAR0Rtdp+qEg9BuVwbYTiTT5CcRp25/HUut1wK74VxO&#10;DXaKQpunrmbxEEhMAeD7Y71xBJMEHCRL0dbXh6xk3qcp50ZHRyYb/bnO1Td/4fIX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XVNw49cAAAAIAQAADwAAAAAAAAABACAAAAAiAAAAZHJzL2Rvd25yZXYu&#10;eG1sUEsBAhQAFAAAAAgAh07iQG+Y38b8AQAAzQMAAA4AAAAAAAAAAQAgAAAAJgEAAGRycy9lMm9E&#10;b2MueG1sUEsFBgAAAAAGAAYAWQEAAJQFAAAAAA==&#10;">
                      <v:fill on="f" focussize="0,0"/>
                      <v:stroke color="#000000 [3213]" joinstyle="round" endarrow="open"/>
                      <v:imagedata o:title=""/>
                      <o:lock v:ext="edit" aspectratio="f"/>
                    </v:shape>
                  </w:pict>
                </mc:Fallback>
              </mc:AlternateContent>
            </w:r>
          </w:p>
          <w:p w14:paraId="7A4B47E1">
            <w:pPr>
              <w:pStyle w:val="56"/>
              <w:keepNext w:val="0"/>
              <w:keepLines w:val="0"/>
              <w:suppressLineNumbers w:val="0"/>
              <w:spacing w:before="0" w:beforeAutospacing="0" w:after="0" w:afterAutospacing="0"/>
              <w:ind w:left="0" w:right="0" w:firstLine="0" w:firstLineChars="0"/>
              <w:rPr>
                <w:rFonts w:hint="eastAsia" w:eastAsia="宋体"/>
                <w:color w:val="000000" w:themeColor="text1"/>
                <w:lang w:eastAsia="zh-CN"/>
                <w14:textFill>
                  <w14:solidFill>
                    <w14:schemeClr w14:val="tx1"/>
                  </w14:solidFill>
                </w14:textFill>
              </w:rPr>
            </w:pPr>
            <w:r>
              <w:rPr>
                <w:rFonts w:hint="default"/>
                <w:color w:val="000000" w:themeColor="text1"/>
                <w:sz w:val="24"/>
                <w14:textFill>
                  <w14:solidFill>
                    <w14:schemeClr w14:val="tx1"/>
                  </w14:solidFill>
                </w14:textFill>
              </w:rPr>
              <mc:AlternateContent>
                <mc:Choice Requires="wps">
                  <w:drawing>
                    <wp:anchor distT="0" distB="0" distL="114300" distR="114300" simplePos="0" relativeHeight="251673600" behindDoc="0" locked="0" layoutInCell="1" allowOverlap="1">
                      <wp:simplePos x="0" y="0"/>
                      <wp:positionH relativeFrom="column">
                        <wp:posOffset>4398010</wp:posOffset>
                      </wp:positionH>
                      <wp:positionV relativeFrom="paragraph">
                        <wp:posOffset>46990</wp:posOffset>
                      </wp:positionV>
                      <wp:extent cx="857250" cy="305435"/>
                      <wp:effectExtent l="0" t="0" r="0" b="0"/>
                      <wp:wrapNone/>
                      <wp:docPr id="113" name="文本框 113"/>
                      <wp:cNvGraphicFramePr/>
                      <a:graphic xmlns:a="http://schemas.openxmlformats.org/drawingml/2006/main">
                        <a:graphicData uri="http://schemas.microsoft.com/office/word/2010/wordprocessingShape">
                          <wps:wsp>
                            <wps:cNvSpPr txBox="1"/>
                            <wps:spPr>
                              <a:xfrm>
                                <a:off x="0" y="0"/>
                                <a:ext cx="857250" cy="30543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E0A4AF">
                                  <w:pPr>
                                    <w:keepNext w:val="0"/>
                                    <w:keepLines w:val="0"/>
                                    <w:pageBreakBefore w:val="0"/>
                                    <w:widowControl w:val="0"/>
                                    <w:kinsoku/>
                                    <w:wordWrap w:val="0"/>
                                    <w:overflowPunct/>
                                    <w:topLinePunct w:val="0"/>
                                    <w:bidi w:val="0"/>
                                    <w:adjustRightInd/>
                                    <w:snapToGrid/>
                                    <w:spacing w:line="300" w:lineRule="exact"/>
                                    <w:ind w:left="0" w:leftChars="0" w:firstLine="0" w:firstLineChars="0"/>
                                    <w:jc w:val="center"/>
                                    <w:textAlignment w:val="auto"/>
                                    <w:rPr>
                                      <w:rFonts w:hint="default" w:eastAsia="宋体"/>
                                      <w:lang w:val="en-US" w:eastAsia="zh-CN"/>
                                    </w:rPr>
                                  </w:pPr>
                                  <w:r>
                                    <w:rPr>
                                      <w:rFonts w:hint="eastAsia"/>
                                      <w:lang w:val="en-US" w:eastAsia="zh-CN"/>
                                    </w:rPr>
                                    <w:t>委托处置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6.3pt;margin-top:3.7pt;height:24.05pt;width:67.5pt;z-index:251673600;mso-width-relative:page;mso-height-relative:page;" filled="f" stroked="f" coordsize="21600,21600" o:gfxdata="UEsDBAoAAAAAAIdO4kAAAAAAAAAAAAAAAAAEAAAAZHJzL1BLAwQUAAAACACHTuJA5OXMh9kAAAAI&#10;AQAADwAAAGRycy9kb3ducmV2LnhtbE2PzU7DMBCE70i8g7VI3KjTiKQhzaZCkSokBIeWXrg5sZtE&#10;jdchdn/g6VlO5Tia0cw3xepiB3Eyk+8dIcxnEQhDjdM9tQi7j/VDBsIHRVoNjgzCt/GwKm9vCpVr&#10;d6aNOW1DK7iEfK4QuhDGXErfdMYqP3OjIfb2brIqsJxaqSd15nI7yDiKUmlVT7zQqdFUnWkO26NF&#10;eK3W72pTxzb7GaqXt/3z+LX7TBDv7+bREkQwl3ANwx8+o0PJTLU7kvZiQEif4pSjCItHEOxn8YJ1&#10;jZAkCciykP8PlL9QSwMEFAAAAAgAh07iQD6/ANU6AgAAaQQAAA4AAABkcnMvZTJvRG9jLnhtbK1U&#10;wW4TMRC9I/EPlu90kyYpJeqmCo2CkCpaKSDOjtfbXcn2GNvpbvkA+IOeuHDnu/IdPO8maSkceuDi&#10;jGcmb/zezOzZeWs0u1U+1GRzPjwacKaspKK2Nzn/9HH56pSzEIUthCarcn6nAj+fvXxx1ripOqaK&#10;dKE8A4gN08blvIrRTbMsyEoZEY7IKYtgSd6IiKu/yQovGqAbnR0PBidZQ75wnqQKAd5FH+Q7RP8c&#10;QCrLWqoFyY1RNvaoXmkRQSlUtQt81r22LJWMV2UZVGQ652AauxNFYK/Tmc3OxPTGC1fVcvcE8Zwn&#10;POFkRG1R9AC1EFGwja//gjK19BSojEeSTNYT6RQBi+HgiTarSjjVcYHUwR1ED/8PVn64vfasLjAJ&#10;wxFnVhi0fHv/ffvj1/bnN5ackKhxYYrMlUNubN9Si/S9P8CZmLelN+kXnBjiEPjuILBqI5Nwnk5e&#10;H08QkQiNBpPxaJJQsoc/Ox/iO0WGJSPnHv3rZBW3lyH2qfuUVMvSsta666G2rMn5yQjwf0QAri1q&#10;JAr9U5MV23W747Wm4g60PPWzEZxc1ih+KUK8Fh7DgPdiXeIVjlITitDO4qwi//Vf/pSPHiHKWYPh&#10;ynn4shFecabfW3TvzXA8BmzsLmOIgot/HFk/jtiNuSDM7xCL6WRnpvyo92bpyXzGVs1TVYSElaid&#10;87g3L2I/8thKqebzLgnz50S8tCsnE3Qv2nwTqaw7pZNMvTY79TCBXa9225JG/PG9y3r4Qsx+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OTlzIfZAAAACAEAAA8AAAAAAAAAAQAgAAAAIgAAAGRycy9k&#10;b3ducmV2LnhtbFBLAQIUABQAAAAIAIdO4kA+vwDVOgIAAGkEAAAOAAAAAAAAAAEAIAAAACgBAABk&#10;cnMvZTJvRG9jLnhtbFBLBQYAAAAABgAGAFkBAADUBQAAAAA=&#10;">
                      <v:fill on="f" focussize="0,0"/>
                      <v:stroke on="f" weight="0.5pt"/>
                      <v:imagedata o:title=""/>
                      <o:lock v:ext="edit" aspectratio="f"/>
                      <v:textbox>
                        <w:txbxContent>
                          <w:p w14:paraId="11E0A4AF">
                            <w:pPr>
                              <w:keepNext w:val="0"/>
                              <w:keepLines w:val="0"/>
                              <w:pageBreakBefore w:val="0"/>
                              <w:widowControl w:val="0"/>
                              <w:kinsoku/>
                              <w:wordWrap w:val="0"/>
                              <w:overflowPunct/>
                              <w:topLinePunct w:val="0"/>
                              <w:bidi w:val="0"/>
                              <w:adjustRightInd/>
                              <w:snapToGrid/>
                              <w:spacing w:line="300" w:lineRule="exact"/>
                              <w:ind w:left="0" w:leftChars="0" w:firstLine="0" w:firstLineChars="0"/>
                              <w:jc w:val="center"/>
                              <w:textAlignment w:val="auto"/>
                              <w:rPr>
                                <w:rFonts w:hint="default" w:eastAsia="宋体"/>
                                <w:lang w:val="en-US" w:eastAsia="zh-CN"/>
                              </w:rPr>
                            </w:pPr>
                            <w:r>
                              <w:rPr>
                                <w:rFonts w:hint="eastAsia"/>
                                <w:lang w:val="en-US" w:eastAsia="zh-CN"/>
                              </w:rPr>
                              <w:t>委托处置</w:t>
                            </w:r>
                          </w:p>
                        </w:txbxContent>
                      </v:textbox>
                    </v:shape>
                  </w:pict>
                </mc:Fallback>
              </mc:AlternateContent>
            </w:r>
          </w:p>
          <w:p w14:paraId="4DC1C3A4">
            <w:pPr>
              <w:pStyle w:val="39"/>
              <w:keepNext w:val="0"/>
              <w:keepLines w:val="0"/>
              <w:suppressLineNumbers w:val="0"/>
              <w:bidi w:val="0"/>
              <w:spacing w:before="0" w:beforeAutospacing="0" w:after="0" w:afterAutospacing="0"/>
              <w:ind w:left="0" w:right="0"/>
              <w:rPr>
                <w:rFonts w:hint="eastAsia"/>
              </w:rPr>
            </w:pPr>
            <w:r>
              <w:rPr>
                <w:rFonts w:hint="eastAsia"/>
              </w:rPr>
              <w:t>图4-1  本项目污水处理设施工艺流程图</w:t>
            </w:r>
          </w:p>
          <w:p w14:paraId="02CCAD35">
            <w:pPr>
              <w:keepNext w:val="0"/>
              <w:keepLines w:val="0"/>
              <w:suppressLineNumbers w:val="0"/>
              <w:bidi w:val="0"/>
              <w:spacing w:before="0" w:beforeAutospacing="0" w:after="0" w:afterAutospacing="0"/>
              <w:ind w:left="0" w:right="0"/>
              <w:rPr>
                <w:rFonts w:hint="default"/>
                <w:lang w:val="en-US" w:eastAsia="zh-CN"/>
              </w:rPr>
            </w:pPr>
            <w:r>
              <w:rPr>
                <w:rFonts w:hint="eastAsia"/>
              </w:rPr>
              <w:t>本项目</w:t>
            </w:r>
            <w:r>
              <w:rPr>
                <w:rFonts w:hint="eastAsia"/>
                <w:lang w:val="en-US" w:eastAsia="zh-CN"/>
              </w:rPr>
              <w:t>破碎</w:t>
            </w:r>
            <w:r>
              <w:rPr>
                <w:rFonts w:hint="eastAsia"/>
              </w:rPr>
              <w:t>废水经</w:t>
            </w:r>
            <w:r>
              <w:rPr>
                <w:rFonts w:hint="eastAsia"/>
                <w:lang w:val="en-US" w:eastAsia="zh-CN"/>
              </w:rPr>
              <w:t>集水管道进入絮凝沉淀池絮凝区</w:t>
            </w:r>
            <w:r>
              <w:rPr>
                <w:rFonts w:hint="eastAsia"/>
              </w:rPr>
              <w:t>；</w:t>
            </w:r>
            <w:r>
              <w:rPr>
                <w:rFonts w:hint="eastAsia"/>
                <w:lang w:val="en-US" w:eastAsia="zh-CN"/>
              </w:rPr>
              <w:t>在进口处通过投加聚合氯化铝混凝剂及聚丙烯酰胺助凝剂后停留约15min，对废水进行絮凝处理。项目污水中的污染物在聚合氯化铝及聚丙烯酰胺作用下絮凝成团。絮凝后的废水进入沉淀区内二次沉淀，二次沉淀后上清液使用管道泵入破碎机后回用。絮凝沉淀池内污泥经压滤机压滤，污泥的含水率控制在60%以下，压滤后废水进入絮凝沉淀池内二次沉淀，二次沉淀后上清液使用管道泵入破碎机后回用。</w:t>
            </w:r>
          </w:p>
          <w:p w14:paraId="635379CC">
            <w:pPr>
              <w:keepNext w:val="0"/>
              <w:keepLines w:val="0"/>
              <w:suppressLineNumbers w:val="0"/>
              <w:bidi w:val="0"/>
              <w:spacing w:before="0" w:beforeAutospacing="0" w:after="0" w:afterAutospacing="0"/>
              <w:ind w:left="0" w:right="0"/>
              <w:rPr>
                <w:rFonts w:hint="eastAsia"/>
              </w:rPr>
            </w:pPr>
            <w:r>
              <w:rPr>
                <w:rFonts w:hint="eastAsia"/>
              </w:rPr>
              <w:t>根据《排污许可证申请与核发技术规范废弃资源加工工业》（HJ</w:t>
            </w:r>
            <w:r>
              <w:rPr>
                <w:rFonts w:hint="eastAsia"/>
                <w:lang w:val="en-US" w:eastAsia="zh-CN"/>
              </w:rPr>
              <w:t>1034</w:t>
            </w:r>
            <w:r>
              <w:rPr>
                <w:rFonts w:hint="eastAsia"/>
              </w:rPr>
              <w:t>-20</w:t>
            </w:r>
            <w:r>
              <w:rPr>
                <w:rFonts w:hint="eastAsia"/>
                <w:lang w:val="en-US" w:eastAsia="zh-CN"/>
              </w:rPr>
              <w:t>19</w:t>
            </w:r>
            <w:r>
              <w:rPr>
                <w:rFonts w:hint="eastAsia"/>
              </w:rPr>
              <w:t>）表</w:t>
            </w:r>
            <w:r>
              <w:rPr>
                <w:rFonts w:hint="eastAsia"/>
                <w:lang w:val="en-US" w:eastAsia="zh-CN"/>
              </w:rPr>
              <w:t>A.</w:t>
            </w:r>
            <w:r>
              <w:rPr>
                <w:rFonts w:hint="eastAsia"/>
              </w:rPr>
              <w:t>2废弃资源加工工业排污单位废水污染防治可行技术参考表，</w:t>
            </w:r>
            <w:r>
              <w:rPr>
                <w:rFonts w:hint="eastAsia"/>
                <w:lang w:val="en-US" w:eastAsia="zh-CN"/>
              </w:rPr>
              <w:t>本项目废水环保措施可行性分析见下表。</w:t>
            </w:r>
          </w:p>
          <w:p w14:paraId="3D5AFF31">
            <w:pPr>
              <w:pStyle w:val="39"/>
              <w:keepNext w:val="0"/>
              <w:keepLines w:val="0"/>
              <w:suppressLineNumbers w:val="0"/>
              <w:bidi w:val="0"/>
              <w:spacing w:before="0" w:beforeAutospacing="0" w:after="0" w:afterAutospacing="0"/>
              <w:ind w:left="0" w:right="0"/>
              <w:rPr>
                <w:rFonts w:hint="eastAsia"/>
              </w:rPr>
            </w:pPr>
            <w:r>
              <w:rPr>
                <w:rFonts w:hint="eastAsia"/>
              </w:rPr>
              <w:t>表4</w:t>
            </w:r>
            <w:r>
              <w:rPr>
                <w:rFonts w:hint="eastAsia"/>
                <w:lang w:val="en-US" w:eastAsia="zh-CN"/>
              </w:rPr>
              <w:t>-11</w:t>
            </w:r>
            <w:r>
              <w:rPr>
                <w:rFonts w:hint="eastAsia"/>
              </w:rPr>
              <w:t xml:space="preserve">  本项目废水环保措施可行性分析表</w:t>
            </w:r>
          </w:p>
          <w:tbl>
            <w:tblPr>
              <w:tblStyle w:val="1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67"/>
              <w:gridCol w:w="944"/>
              <w:gridCol w:w="1614"/>
              <w:gridCol w:w="1217"/>
              <w:gridCol w:w="1148"/>
              <w:gridCol w:w="1136"/>
              <w:gridCol w:w="872"/>
              <w:gridCol w:w="1074"/>
            </w:tblGrid>
            <w:tr w14:paraId="671DC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5" w:hRule="atLeast"/>
                <w:jc w:val="center"/>
              </w:trPr>
              <w:tc>
                <w:tcPr>
                  <w:tcW w:w="744" w:type="dxa"/>
                  <w:vMerge w:val="restart"/>
                  <w:noWrap w:val="0"/>
                  <w:vAlign w:val="center"/>
                </w:tcPr>
                <w:p w14:paraId="52398989">
                  <w:pPr>
                    <w:pStyle w:val="46"/>
                    <w:keepNext w:val="0"/>
                    <w:keepLines w:val="0"/>
                    <w:suppressLineNumbers w:val="0"/>
                    <w:spacing w:before="0" w:beforeAutospacing="0" w:after="0" w:afterAutospacing="0"/>
                    <w:ind w:left="21" w:right="21"/>
                    <w:rPr>
                      <w:rFonts w:hint="default" w:eastAsia="宋体"/>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废弃资源种类</w:t>
                  </w:r>
                </w:p>
              </w:tc>
              <w:tc>
                <w:tcPr>
                  <w:tcW w:w="916" w:type="dxa"/>
                  <w:vMerge w:val="restart"/>
                  <w:noWrap w:val="0"/>
                  <w:vAlign w:val="center"/>
                </w:tcPr>
                <w:p w14:paraId="572BE731">
                  <w:pPr>
                    <w:pStyle w:val="46"/>
                    <w:keepNext w:val="0"/>
                    <w:keepLines w:val="0"/>
                    <w:suppressLineNumbers w:val="0"/>
                    <w:spacing w:before="0" w:beforeAutospacing="0" w:after="0" w:afterAutospacing="0"/>
                    <w:ind w:left="21" w:right="21"/>
                    <w:rPr>
                      <w:rFonts w:hint="default" w:eastAsia="宋体"/>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废水类别</w:t>
                  </w:r>
                </w:p>
              </w:tc>
              <w:tc>
                <w:tcPr>
                  <w:tcW w:w="1567" w:type="dxa"/>
                  <w:vMerge w:val="restart"/>
                  <w:noWrap w:val="0"/>
                  <w:vAlign w:val="center"/>
                </w:tcPr>
                <w:p w14:paraId="01BD3BDE">
                  <w:pPr>
                    <w:pStyle w:val="46"/>
                    <w:keepNext w:val="0"/>
                    <w:keepLines w:val="0"/>
                    <w:suppressLineNumbers w:val="0"/>
                    <w:spacing w:before="0" w:beforeAutospacing="0" w:after="0" w:afterAutospacing="0"/>
                    <w:ind w:left="21" w:right="21"/>
                    <w:rPr>
                      <w:rFonts w:hint="default" w:eastAsia="宋体"/>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污染物种类</w:t>
                  </w:r>
                </w:p>
              </w:tc>
              <w:tc>
                <w:tcPr>
                  <w:tcW w:w="3399" w:type="dxa"/>
                  <w:gridSpan w:val="3"/>
                  <w:noWrap w:val="0"/>
                  <w:vAlign w:val="center"/>
                </w:tcPr>
                <w:p w14:paraId="6230861F">
                  <w:pPr>
                    <w:pStyle w:val="46"/>
                    <w:keepNext w:val="0"/>
                    <w:keepLines w:val="0"/>
                    <w:suppressLineNumbers w:val="0"/>
                    <w:spacing w:before="0" w:beforeAutospacing="0" w:after="0" w:afterAutospacing="0"/>
                    <w:ind w:left="21" w:right="21"/>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污染防治设施</w:t>
                  </w:r>
                </w:p>
              </w:tc>
              <w:tc>
                <w:tcPr>
                  <w:tcW w:w="847" w:type="dxa"/>
                  <w:vMerge w:val="restart"/>
                  <w:noWrap w:val="0"/>
                  <w:vAlign w:val="center"/>
                </w:tcPr>
                <w:p w14:paraId="0C745461">
                  <w:pPr>
                    <w:pStyle w:val="46"/>
                    <w:keepNext w:val="0"/>
                    <w:keepLines w:val="0"/>
                    <w:suppressLineNumbers w:val="0"/>
                    <w:spacing w:before="0" w:beforeAutospacing="0" w:after="0" w:afterAutospacing="0"/>
                    <w:ind w:left="21" w:right="21"/>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排放去向</w:t>
                  </w:r>
                </w:p>
              </w:tc>
              <w:tc>
                <w:tcPr>
                  <w:tcW w:w="1042" w:type="dxa"/>
                  <w:vMerge w:val="restart"/>
                  <w:noWrap w:val="0"/>
                  <w:vAlign w:val="center"/>
                </w:tcPr>
                <w:p w14:paraId="24406927">
                  <w:pPr>
                    <w:pStyle w:val="46"/>
                    <w:keepNext w:val="0"/>
                    <w:keepLines w:val="0"/>
                    <w:suppressLineNumbers w:val="0"/>
                    <w:spacing w:before="0" w:beforeAutospacing="0" w:after="0" w:afterAutospacing="0"/>
                    <w:ind w:left="21" w:right="21"/>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排放口类型</w:t>
                  </w:r>
                </w:p>
              </w:tc>
            </w:tr>
            <w:tr w14:paraId="58218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15" w:hRule="atLeast"/>
                <w:jc w:val="center"/>
              </w:trPr>
              <w:tc>
                <w:tcPr>
                  <w:tcW w:w="744" w:type="dxa"/>
                  <w:vMerge w:val="continue"/>
                  <w:noWrap w:val="0"/>
                  <w:vAlign w:val="center"/>
                </w:tcPr>
                <w:p w14:paraId="4FBB96B6">
                  <w:pPr>
                    <w:pStyle w:val="46"/>
                    <w:keepNext w:val="0"/>
                    <w:keepLines w:val="0"/>
                    <w:suppressLineNumbers w:val="0"/>
                    <w:spacing w:before="0" w:beforeAutospacing="0" w:after="0" w:afterAutospacing="0"/>
                    <w:ind w:left="21" w:right="21"/>
                    <w:rPr>
                      <w:b/>
                      <w:bCs/>
                      <w:color w:val="000000" w:themeColor="text1"/>
                      <w14:textFill>
                        <w14:solidFill>
                          <w14:schemeClr w14:val="tx1"/>
                        </w14:solidFill>
                      </w14:textFill>
                    </w:rPr>
                  </w:pPr>
                </w:p>
              </w:tc>
              <w:tc>
                <w:tcPr>
                  <w:tcW w:w="916" w:type="dxa"/>
                  <w:vMerge w:val="continue"/>
                  <w:noWrap w:val="0"/>
                  <w:vAlign w:val="center"/>
                </w:tcPr>
                <w:p w14:paraId="6A51138A">
                  <w:pPr>
                    <w:pStyle w:val="46"/>
                    <w:keepNext w:val="0"/>
                    <w:keepLines w:val="0"/>
                    <w:suppressLineNumbers w:val="0"/>
                    <w:spacing w:before="0" w:beforeAutospacing="0" w:after="0" w:afterAutospacing="0"/>
                    <w:ind w:left="21" w:right="21"/>
                    <w:rPr>
                      <w:b/>
                      <w:bCs/>
                      <w:color w:val="000000" w:themeColor="text1"/>
                      <w14:textFill>
                        <w14:solidFill>
                          <w14:schemeClr w14:val="tx1"/>
                        </w14:solidFill>
                      </w14:textFill>
                    </w:rPr>
                  </w:pPr>
                </w:p>
              </w:tc>
              <w:tc>
                <w:tcPr>
                  <w:tcW w:w="1567" w:type="dxa"/>
                  <w:vMerge w:val="continue"/>
                  <w:noWrap w:val="0"/>
                  <w:vAlign w:val="center"/>
                </w:tcPr>
                <w:p w14:paraId="73D5E137">
                  <w:pPr>
                    <w:pStyle w:val="46"/>
                    <w:keepNext w:val="0"/>
                    <w:keepLines w:val="0"/>
                    <w:suppressLineNumbers w:val="0"/>
                    <w:spacing w:before="0" w:beforeAutospacing="0" w:after="0" w:afterAutospacing="0"/>
                    <w:ind w:left="21" w:right="21"/>
                    <w:rPr>
                      <w:rFonts w:hint="eastAsia"/>
                      <w:b/>
                      <w:bCs/>
                      <w:color w:val="000000" w:themeColor="text1"/>
                      <w14:textFill>
                        <w14:solidFill>
                          <w14:schemeClr w14:val="tx1"/>
                        </w14:solidFill>
                      </w14:textFill>
                    </w:rPr>
                  </w:pPr>
                </w:p>
              </w:tc>
              <w:tc>
                <w:tcPr>
                  <w:tcW w:w="1315" w:type="dxa"/>
                  <w:noWrap w:val="0"/>
                  <w:vAlign w:val="center"/>
                </w:tcPr>
                <w:p w14:paraId="3A45E339">
                  <w:pPr>
                    <w:pStyle w:val="46"/>
                    <w:keepNext w:val="0"/>
                    <w:keepLines w:val="0"/>
                    <w:suppressLineNumbers w:val="0"/>
                    <w:spacing w:before="0" w:beforeAutospacing="0" w:after="0" w:afterAutospacing="0"/>
                    <w:ind w:left="21" w:right="21"/>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推荐可行工艺</w:t>
                  </w:r>
                </w:p>
              </w:tc>
              <w:tc>
                <w:tcPr>
                  <w:tcW w:w="1148" w:type="dxa"/>
                  <w:noWrap w:val="0"/>
                  <w:vAlign w:val="center"/>
                </w:tcPr>
                <w:p w14:paraId="7639F03C">
                  <w:pPr>
                    <w:pStyle w:val="46"/>
                    <w:keepNext w:val="0"/>
                    <w:keepLines w:val="0"/>
                    <w:suppressLineNumbers w:val="0"/>
                    <w:spacing w:before="0" w:beforeAutospacing="0" w:after="0" w:afterAutospacing="0"/>
                    <w:ind w:left="21" w:right="21"/>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本项目污水处理工艺</w:t>
                  </w:r>
                </w:p>
              </w:tc>
              <w:tc>
                <w:tcPr>
                  <w:tcW w:w="936" w:type="dxa"/>
                  <w:noWrap w:val="0"/>
                  <w:vAlign w:val="center"/>
                </w:tcPr>
                <w:p w14:paraId="203AAFCE">
                  <w:pPr>
                    <w:pStyle w:val="46"/>
                    <w:keepNext w:val="0"/>
                    <w:keepLines w:val="0"/>
                    <w:suppressLineNumbers w:val="0"/>
                    <w:spacing w:before="0" w:beforeAutospacing="0" w:after="0" w:afterAutospacing="0"/>
                    <w:ind w:left="21" w:right="21"/>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是否为可行技术</w:t>
                  </w:r>
                </w:p>
              </w:tc>
              <w:tc>
                <w:tcPr>
                  <w:tcW w:w="847" w:type="dxa"/>
                  <w:vMerge w:val="continue"/>
                  <w:noWrap w:val="0"/>
                  <w:vAlign w:val="center"/>
                </w:tcPr>
                <w:p w14:paraId="5221649A">
                  <w:pPr>
                    <w:pStyle w:val="46"/>
                    <w:keepNext w:val="0"/>
                    <w:keepLines w:val="0"/>
                    <w:suppressLineNumbers w:val="0"/>
                    <w:spacing w:before="0" w:beforeAutospacing="0" w:after="0" w:afterAutospacing="0"/>
                    <w:ind w:left="21" w:right="21"/>
                    <w:rPr>
                      <w:color w:val="000000" w:themeColor="text1"/>
                      <w14:textFill>
                        <w14:solidFill>
                          <w14:schemeClr w14:val="tx1"/>
                        </w14:solidFill>
                      </w14:textFill>
                    </w:rPr>
                  </w:pPr>
                </w:p>
              </w:tc>
              <w:tc>
                <w:tcPr>
                  <w:tcW w:w="1042" w:type="dxa"/>
                  <w:vMerge w:val="continue"/>
                  <w:noWrap w:val="0"/>
                  <w:vAlign w:val="center"/>
                </w:tcPr>
                <w:p w14:paraId="392BB967">
                  <w:pPr>
                    <w:pStyle w:val="46"/>
                    <w:keepNext w:val="0"/>
                    <w:keepLines w:val="0"/>
                    <w:suppressLineNumbers w:val="0"/>
                    <w:spacing w:before="0" w:beforeAutospacing="0" w:after="0" w:afterAutospacing="0"/>
                    <w:ind w:left="21" w:right="21"/>
                    <w:rPr>
                      <w:color w:val="000000" w:themeColor="text1"/>
                      <w14:textFill>
                        <w14:solidFill>
                          <w14:schemeClr w14:val="tx1"/>
                        </w14:solidFill>
                      </w14:textFill>
                    </w:rPr>
                  </w:pPr>
                </w:p>
              </w:tc>
            </w:tr>
            <w:tr w14:paraId="214E3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44" w:type="dxa"/>
                  <w:noWrap w:val="0"/>
                  <w:vAlign w:val="center"/>
                </w:tcPr>
                <w:p w14:paraId="401BB23C">
                  <w:pPr>
                    <w:pStyle w:val="46"/>
                    <w:keepNext w:val="0"/>
                    <w:keepLines w:val="0"/>
                    <w:suppressLineNumbers w:val="0"/>
                    <w:spacing w:before="0" w:beforeAutospacing="0" w:after="0" w:afterAutospacing="0"/>
                    <w:ind w:left="21" w:right="21"/>
                    <w:rPr>
                      <w:rFonts w:hint="eastAsia" w:eastAsia="宋体"/>
                      <w:color w:val="000000" w:themeColor="text1"/>
                      <w:lang w:eastAsia="zh-CN"/>
                      <w14:textFill>
                        <w14:solidFill>
                          <w14:schemeClr w14:val="tx1"/>
                        </w14:solidFill>
                      </w14:textFill>
                    </w:rPr>
                  </w:pPr>
                  <w:r>
                    <w:rPr>
                      <w:rFonts w:hint="eastAsia"/>
                      <w:color w:val="000000" w:themeColor="text1"/>
                      <w:lang w:val="en-US" w:eastAsia="zh-CN"/>
                      <w14:textFill>
                        <w14:solidFill>
                          <w14:schemeClr w14:val="tx1"/>
                        </w14:solidFill>
                      </w14:textFill>
                    </w:rPr>
                    <w:t>废塑料</w:t>
                  </w:r>
                </w:p>
              </w:tc>
              <w:tc>
                <w:tcPr>
                  <w:tcW w:w="916" w:type="dxa"/>
                  <w:noWrap w:val="0"/>
                  <w:vAlign w:val="center"/>
                </w:tcPr>
                <w:p w14:paraId="089997FC">
                  <w:pPr>
                    <w:pStyle w:val="46"/>
                    <w:keepNext w:val="0"/>
                    <w:keepLines w:val="0"/>
                    <w:suppressLineNumbers w:val="0"/>
                    <w:spacing w:before="0" w:beforeAutospacing="0" w:after="0" w:afterAutospacing="0"/>
                    <w:ind w:left="21" w:right="21"/>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综合废水</w:t>
                  </w:r>
                </w:p>
              </w:tc>
              <w:tc>
                <w:tcPr>
                  <w:tcW w:w="1567" w:type="dxa"/>
                  <w:noWrap w:val="0"/>
                  <w:vAlign w:val="center"/>
                </w:tcPr>
                <w:p w14:paraId="589866F8">
                  <w:pPr>
                    <w:pStyle w:val="46"/>
                    <w:keepNext w:val="0"/>
                    <w:keepLines w:val="0"/>
                    <w:suppressLineNumbers w:val="0"/>
                    <w:spacing w:before="0" w:beforeAutospacing="0" w:after="0" w:afterAutospacing="0"/>
                    <w:ind w:left="21" w:right="21"/>
                    <w:rPr>
                      <w:rFonts w:hint="default" w:eastAsia="宋体"/>
                      <w:color w:val="000000" w:themeColor="text1"/>
                      <w:lang w:val="en-US" w:eastAsia="zh-CN"/>
                      <w14:textFill>
                        <w14:solidFill>
                          <w14:schemeClr w14:val="tx1"/>
                        </w14:solidFill>
                      </w14:textFill>
                    </w:rPr>
                  </w:pPr>
                  <w:r>
                    <w:rPr>
                      <w:color w:val="000000" w:themeColor="text1"/>
                      <w14:textFill>
                        <w14:solidFill>
                          <w14:schemeClr w14:val="tx1"/>
                        </w14:solidFill>
                      </w14:textFill>
                    </w:rPr>
                    <w:t>悬浮物、化学需氧量、</w:t>
                  </w:r>
                  <w:r>
                    <w:rPr>
                      <w:rFonts w:hint="eastAsia"/>
                      <w:color w:val="000000" w:themeColor="text1"/>
                      <w:lang w:val="en-US" w:eastAsia="zh-CN"/>
                      <w14:textFill>
                        <w14:solidFill>
                          <w14:schemeClr w14:val="tx1"/>
                        </w14:solidFill>
                      </w14:textFill>
                    </w:rPr>
                    <w:t>石油类、氨氮</w:t>
                  </w:r>
                </w:p>
              </w:tc>
              <w:tc>
                <w:tcPr>
                  <w:tcW w:w="1315" w:type="dxa"/>
                  <w:noWrap w:val="0"/>
                  <w:vAlign w:val="center"/>
                </w:tcPr>
                <w:p w14:paraId="2DCC5F12">
                  <w:pPr>
                    <w:pStyle w:val="46"/>
                    <w:keepNext w:val="0"/>
                    <w:keepLines w:val="0"/>
                    <w:suppressLineNumbers w:val="0"/>
                    <w:spacing w:before="0" w:beforeAutospacing="0" w:after="0" w:afterAutospacing="0"/>
                    <w:ind w:left="21" w:right="21"/>
                    <w:rPr>
                      <w:rFonts w:hint="default" w:eastAsia="宋体"/>
                      <w:color w:val="000000" w:themeColor="text1"/>
                      <w:lang w:val="en-US" w:eastAsia="zh-CN"/>
                      <w14:textFill>
                        <w14:solidFill>
                          <w14:schemeClr w14:val="tx1"/>
                        </w14:solidFill>
                      </w14:textFill>
                    </w:rPr>
                  </w:pPr>
                  <w:r>
                    <w:rPr>
                      <w:color w:val="000000" w:themeColor="text1"/>
                      <w14:textFill>
                        <w14:solidFill>
                          <w14:schemeClr w14:val="tx1"/>
                        </w14:solidFill>
                      </w14:textFill>
                    </w:rPr>
                    <w:t>预处理</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沉淀，气浮，混凝，调节</w:t>
                  </w:r>
                </w:p>
              </w:tc>
              <w:tc>
                <w:tcPr>
                  <w:tcW w:w="1148" w:type="dxa"/>
                  <w:noWrap w:val="0"/>
                  <w:vAlign w:val="center"/>
                </w:tcPr>
                <w:p w14:paraId="4E9C474F">
                  <w:pPr>
                    <w:pStyle w:val="46"/>
                    <w:keepNext w:val="0"/>
                    <w:keepLines w:val="0"/>
                    <w:suppressLineNumbers w:val="0"/>
                    <w:spacing w:before="0" w:beforeAutospacing="0" w:after="0" w:afterAutospacing="0"/>
                    <w:ind w:left="21" w:right="21"/>
                    <w:rPr>
                      <w:rFonts w:hint="default" w:eastAsia="宋体"/>
                      <w:color w:val="000000" w:themeColor="text1"/>
                      <w:lang w:val="en-US" w:eastAsia="zh-CN"/>
                      <w14:textFill>
                        <w14:solidFill>
                          <w14:schemeClr w14:val="tx1"/>
                        </w14:solidFill>
                      </w14:textFill>
                    </w:rPr>
                  </w:pPr>
                  <w:r>
                    <w:rPr>
                      <w:rFonts w:hint="default"/>
                      <w:color w:val="000000" w:themeColor="text1"/>
                      <w14:textFill>
                        <w14:solidFill>
                          <w14:schemeClr w14:val="tx1"/>
                        </w14:solidFill>
                      </w14:textFill>
                    </w:rPr>
                    <w:t>絮凝沉淀</w:t>
                  </w:r>
                </w:p>
              </w:tc>
              <w:tc>
                <w:tcPr>
                  <w:tcW w:w="936" w:type="dxa"/>
                  <w:noWrap w:val="0"/>
                  <w:vAlign w:val="center"/>
                </w:tcPr>
                <w:p w14:paraId="7A1324AA">
                  <w:pPr>
                    <w:pStyle w:val="46"/>
                    <w:keepNext w:val="0"/>
                    <w:keepLines w:val="0"/>
                    <w:suppressLineNumbers w:val="0"/>
                    <w:spacing w:before="0" w:beforeAutospacing="0" w:after="0" w:afterAutospacing="0"/>
                    <w:ind w:left="21" w:right="21"/>
                    <w:rPr>
                      <w:color w:val="000000" w:themeColor="text1"/>
                      <w14:textFill>
                        <w14:solidFill>
                          <w14:schemeClr w14:val="tx1"/>
                        </w14:solidFill>
                      </w14:textFill>
                    </w:rPr>
                  </w:pPr>
                  <w:r>
                    <w:rPr>
                      <w:rFonts w:hint="eastAsia"/>
                      <w:color w:val="000000" w:themeColor="text1"/>
                      <w14:textFill>
                        <w14:solidFill>
                          <w14:schemeClr w14:val="tx1"/>
                        </w14:solidFill>
                      </w14:textFill>
                    </w:rPr>
                    <w:t>是</w:t>
                  </w:r>
                </w:p>
              </w:tc>
              <w:tc>
                <w:tcPr>
                  <w:tcW w:w="847" w:type="dxa"/>
                  <w:noWrap w:val="0"/>
                  <w:vAlign w:val="center"/>
                </w:tcPr>
                <w:p w14:paraId="659562A4">
                  <w:pPr>
                    <w:pStyle w:val="46"/>
                    <w:keepNext w:val="0"/>
                    <w:keepLines w:val="0"/>
                    <w:suppressLineNumbers w:val="0"/>
                    <w:spacing w:before="0" w:beforeAutospacing="0" w:after="0" w:afterAutospacing="0"/>
                    <w:ind w:left="21" w:right="21"/>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经预处理后厂内回用，不外排</w:t>
                  </w:r>
                </w:p>
              </w:tc>
              <w:tc>
                <w:tcPr>
                  <w:tcW w:w="1042" w:type="dxa"/>
                  <w:noWrap w:val="0"/>
                  <w:vAlign w:val="center"/>
                </w:tcPr>
                <w:p w14:paraId="04C15FAC">
                  <w:pPr>
                    <w:pStyle w:val="46"/>
                    <w:keepNext w:val="0"/>
                    <w:keepLines w:val="0"/>
                    <w:suppressLineNumbers w:val="0"/>
                    <w:spacing w:before="0" w:beforeAutospacing="0" w:after="0" w:afterAutospacing="0"/>
                    <w:ind w:left="21" w:right="21"/>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不外排，无排放口</w:t>
                  </w:r>
                </w:p>
              </w:tc>
            </w:tr>
          </w:tbl>
          <w:p w14:paraId="49C45507">
            <w:pPr>
              <w:keepNext w:val="0"/>
              <w:keepLines w:val="0"/>
              <w:suppressLineNumbers w:val="0"/>
              <w:bidi w:val="0"/>
              <w:spacing w:before="0" w:beforeAutospacing="0" w:after="0" w:afterAutospacing="0"/>
              <w:ind w:left="0" w:right="0"/>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由上表可知，本项目破碎废水采用“</w:t>
            </w:r>
            <w:r>
              <w:rPr>
                <w:rFonts w:hint="default"/>
                <w:color w:val="000000" w:themeColor="text1"/>
                <w14:textFill>
                  <w14:solidFill>
                    <w14:schemeClr w14:val="tx1"/>
                  </w14:solidFill>
                </w14:textFill>
              </w:rPr>
              <w:t>絮凝沉淀</w:t>
            </w:r>
            <w:r>
              <w:rPr>
                <w:rFonts w:hint="eastAsia"/>
                <w:color w:val="000000" w:themeColor="text1"/>
                <w:lang w:val="en-US" w:eastAsia="zh-CN"/>
                <w14:textFill>
                  <w14:solidFill>
                    <w14:schemeClr w14:val="tx1"/>
                  </w14:solidFill>
                </w14:textFill>
              </w:rPr>
              <w:t>”预处理后回用于生产，为废塑料加工行业综合废水中废水可行的预处理工艺。</w:t>
            </w:r>
          </w:p>
          <w:p w14:paraId="6B5A0E72">
            <w:pPr>
              <w:pStyle w:val="56"/>
              <w:keepNext w:val="0"/>
              <w:keepLines w:val="0"/>
              <w:suppressLineNumbers w:val="0"/>
              <w:spacing w:before="0" w:beforeAutospacing="0" w:after="0" w:afterAutospacing="0"/>
              <w:ind w:left="0" w:right="0" w:firstLine="482"/>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（2）污水处理效率及处理工艺可行性分析</w:t>
            </w:r>
          </w:p>
          <w:p w14:paraId="2709E99A">
            <w:pPr>
              <w:pStyle w:val="56"/>
              <w:keepNext w:val="0"/>
              <w:keepLines w:val="0"/>
              <w:suppressLineNumbers w:val="0"/>
              <w:spacing w:before="0" w:beforeAutospacing="0" w:after="0" w:afterAutospacing="0"/>
              <w:ind w:left="0" w:right="0" w:firstLine="480"/>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参考《排放源统计调查产排污核算方法和系数手册》</w:t>
            </w:r>
            <w:r>
              <w:rPr>
                <w:rFonts w:hint="eastAsia"/>
                <w:color w:val="000000" w:themeColor="text1"/>
                <w14:textFill>
                  <w14:solidFill>
                    <w14:schemeClr w14:val="tx1"/>
                  </w14:solidFill>
                </w14:textFill>
              </w:rPr>
              <w:t>中末端治理技术去除率（%），可知本项目</w:t>
            </w:r>
            <w:r>
              <w:rPr>
                <w:rFonts w:hint="eastAsia"/>
                <w:color w:val="000000" w:themeColor="text1"/>
                <w:lang w:val="en-US" w:eastAsia="zh-CN"/>
                <w14:textFill>
                  <w14:solidFill>
                    <w14:schemeClr w14:val="tx1"/>
                  </w14:solidFill>
                </w14:textFill>
              </w:rPr>
              <w:t>絮凝沉淀池</w:t>
            </w:r>
            <w:r>
              <w:rPr>
                <w:rFonts w:hint="eastAsia"/>
                <w:color w:val="000000" w:themeColor="text1"/>
                <w14:textFill>
                  <w14:solidFill>
                    <w14:schemeClr w14:val="tx1"/>
                  </w14:solidFill>
                </w14:textFill>
              </w:rPr>
              <w:t>对废水污染物的处理效率详见下表。</w:t>
            </w:r>
          </w:p>
          <w:p w14:paraId="2AAF2817">
            <w:pPr>
              <w:pStyle w:val="39"/>
              <w:keepNext w:val="0"/>
              <w:keepLines w:val="0"/>
              <w:suppressLineNumbers w:val="0"/>
              <w:bidi w:val="0"/>
              <w:spacing w:before="0" w:beforeAutospacing="0" w:after="0" w:afterAutospacing="0"/>
              <w:ind w:left="0" w:right="0"/>
              <w:rPr>
                <w:rFonts w:hint="default"/>
              </w:rPr>
            </w:pPr>
            <w:r>
              <w:rPr>
                <w:rFonts w:hint="default"/>
              </w:rPr>
              <w:t>表</w:t>
            </w:r>
            <w:r>
              <w:rPr>
                <w:rFonts w:hint="eastAsia"/>
              </w:rPr>
              <w:t>4-</w:t>
            </w:r>
            <w:r>
              <w:rPr>
                <w:rFonts w:hint="eastAsia"/>
                <w:lang w:val="en-US" w:eastAsia="zh-CN"/>
              </w:rPr>
              <w:t>12</w:t>
            </w:r>
            <w:r>
              <w:rPr>
                <w:rFonts w:hint="eastAsia"/>
              </w:rPr>
              <w:t xml:space="preserve"> </w:t>
            </w:r>
            <w:r>
              <w:rPr>
                <w:rFonts w:hint="default"/>
              </w:rPr>
              <w:t xml:space="preserve"> </w:t>
            </w:r>
            <w:r>
              <w:rPr>
                <w:rFonts w:hint="eastAsia"/>
              </w:rPr>
              <w:t>污水处理设施处理效率一览表</w:t>
            </w:r>
          </w:p>
          <w:tbl>
            <w:tblPr>
              <w:tblStyle w:val="19"/>
              <w:tblW w:w="5000" w:type="pct"/>
              <w:jc w:val="center"/>
              <w:tblLayout w:type="fixed"/>
              <w:tblCellMar>
                <w:top w:w="0" w:type="dxa"/>
                <w:left w:w="0" w:type="dxa"/>
                <w:bottom w:w="0" w:type="dxa"/>
                <w:right w:w="0" w:type="dxa"/>
              </w:tblCellMar>
            </w:tblPr>
            <w:tblGrid>
              <w:gridCol w:w="1403"/>
              <w:gridCol w:w="1743"/>
              <w:gridCol w:w="1119"/>
              <w:gridCol w:w="991"/>
              <w:gridCol w:w="768"/>
              <w:gridCol w:w="751"/>
              <w:gridCol w:w="815"/>
              <w:gridCol w:w="1192"/>
            </w:tblGrid>
            <w:tr w14:paraId="6CFD05B8">
              <w:tblPrEx>
                <w:tblCellMar>
                  <w:top w:w="0" w:type="dxa"/>
                  <w:left w:w="0" w:type="dxa"/>
                  <w:bottom w:w="0" w:type="dxa"/>
                  <w:right w:w="0" w:type="dxa"/>
                </w:tblCellMar>
              </w:tblPrEx>
              <w:trPr>
                <w:trHeight w:val="345" w:hRule="atLeast"/>
                <w:jc w:val="center"/>
              </w:trPr>
              <w:tc>
                <w:tcPr>
                  <w:tcW w:w="2952" w:type="dxa"/>
                  <w:gridSpan w:val="2"/>
                  <w:tcBorders>
                    <w:top w:val="single" w:color="000000" w:sz="4" w:space="0"/>
                    <w:left w:val="single" w:color="000000" w:sz="4" w:space="0"/>
                    <w:bottom w:val="single" w:color="000000" w:sz="4" w:space="0"/>
                    <w:right w:val="single" w:color="000000" w:sz="4" w:space="0"/>
                  </w:tcBorders>
                  <w:noWrap w:val="0"/>
                  <w:vAlign w:val="center"/>
                </w:tcPr>
                <w:p w14:paraId="54A2E3A8">
                  <w:pPr>
                    <w:pStyle w:val="46"/>
                    <w:keepNext w:val="0"/>
                    <w:keepLines w:val="0"/>
                    <w:suppressLineNumbers w:val="0"/>
                    <w:spacing w:before="0" w:beforeAutospacing="0" w:after="0" w:afterAutospacing="0"/>
                    <w:ind w:left="21" w:right="21"/>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项目</w:t>
                  </w:r>
                </w:p>
              </w:tc>
              <w:tc>
                <w:tcPr>
                  <w:tcW w:w="1050" w:type="dxa"/>
                  <w:tcBorders>
                    <w:top w:val="single" w:color="000000" w:sz="4" w:space="0"/>
                    <w:left w:val="single" w:color="000000" w:sz="4" w:space="0"/>
                    <w:bottom w:val="single" w:color="000000" w:sz="4" w:space="0"/>
                    <w:right w:val="single" w:color="000000" w:sz="4" w:space="0"/>
                  </w:tcBorders>
                  <w:noWrap w:val="0"/>
                  <w:vAlign w:val="center"/>
                </w:tcPr>
                <w:p w14:paraId="2B24AB79">
                  <w:pPr>
                    <w:pStyle w:val="46"/>
                    <w:keepNext w:val="0"/>
                    <w:keepLines w:val="0"/>
                    <w:suppressLineNumbers w:val="0"/>
                    <w:spacing w:before="0" w:beforeAutospacing="0" w:after="0" w:afterAutospacing="0"/>
                    <w:ind w:left="21" w:right="21"/>
                    <w:rPr>
                      <w:b/>
                      <w:bCs/>
                      <w:color w:val="auto"/>
                    </w:rPr>
                  </w:pPr>
                  <w:r>
                    <w:rPr>
                      <w:b/>
                      <w:bCs/>
                      <w:color w:val="auto"/>
                    </w:rPr>
                    <w:t>CODcr</w:t>
                  </w:r>
                </w:p>
              </w:tc>
              <w:tc>
                <w:tcPr>
                  <w:tcW w:w="930" w:type="dxa"/>
                  <w:tcBorders>
                    <w:top w:val="single" w:color="000000" w:sz="4" w:space="0"/>
                    <w:left w:val="single" w:color="000000" w:sz="4" w:space="0"/>
                    <w:bottom w:val="single" w:color="000000" w:sz="4" w:space="0"/>
                    <w:right w:val="single" w:color="000000" w:sz="4" w:space="0"/>
                  </w:tcBorders>
                  <w:noWrap w:val="0"/>
                  <w:vAlign w:val="center"/>
                </w:tcPr>
                <w:p w14:paraId="62C0906F">
                  <w:pPr>
                    <w:pStyle w:val="46"/>
                    <w:keepNext w:val="0"/>
                    <w:keepLines w:val="0"/>
                    <w:suppressLineNumbers w:val="0"/>
                    <w:spacing w:before="0" w:beforeAutospacing="0" w:after="0" w:afterAutospacing="0"/>
                    <w:ind w:left="21" w:right="21"/>
                    <w:rPr>
                      <w:b/>
                      <w:bCs/>
                      <w:color w:val="auto"/>
                    </w:rPr>
                  </w:pPr>
                  <w:r>
                    <w:rPr>
                      <w:b/>
                      <w:bCs/>
                      <w:color w:val="auto"/>
                    </w:rPr>
                    <w:t>NH</w:t>
                  </w:r>
                  <w:r>
                    <w:rPr>
                      <w:b/>
                      <w:bCs/>
                      <w:color w:val="auto"/>
                      <w:vertAlign w:val="subscript"/>
                    </w:rPr>
                    <w:t>3</w:t>
                  </w:r>
                  <w:r>
                    <w:rPr>
                      <w:b/>
                      <w:bCs/>
                      <w:color w:val="auto"/>
                    </w:rPr>
                    <w:t>-N</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470BCD0D">
                  <w:pPr>
                    <w:pStyle w:val="46"/>
                    <w:keepNext w:val="0"/>
                    <w:keepLines w:val="0"/>
                    <w:suppressLineNumbers w:val="0"/>
                    <w:spacing w:before="0" w:beforeAutospacing="0" w:after="0" w:afterAutospacing="0"/>
                    <w:ind w:left="21" w:right="21"/>
                    <w:rPr>
                      <w:b/>
                      <w:bCs/>
                      <w:color w:val="auto"/>
                    </w:rPr>
                  </w:pPr>
                  <w:r>
                    <w:rPr>
                      <w:b/>
                      <w:bCs/>
                      <w:color w:val="auto"/>
                    </w:rPr>
                    <w:t>SS</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4C3A3D13">
                  <w:pPr>
                    <w:pStyle w:val="46"/>
                    <w:keepNext w:val="0"/>
                    <w:keepLines w:val="0"/>
                    <w:suppressLineNumbers w:val="0"/>
                    <w:spacing w:before="0" w:beforeAutospacing="0" w:after="0" w:afterAutospacing="0"/>
                    <w:ind w:left="21" w:right="21"/>
                    <w:rPr>
                      <w:rFonts w:hint="eastAsia"/>
                      <w:b/>
                      <w:bCs/>
                      <w:color w:val="auto"/>
                    </w:rPr>
                  </w:pPr>
                  <w:r>
                    <w:rPr>
                      <w:rFonts w:hint="eastAsia"/>
                      <w:b/>
                      <w:bCs/>
                      <w:color w:val="auto"/>
                    </w:rPr>
                    <w:t>TP</w:t>
                  </w:r>
                </w:p>
              </w:tc>
              <w:tc>
                <w:tcPr>
                  <w:tcW w:w="765" w:type="dxa"/>
                  <w:tcBorders>
                    <w:top w:val="single" w:color="000000" w:sz="4" w:space="0"/>
                    <w:left w:val="single" w:color="000000" w:sz="4" w:space="0"/>
                    <w:bottom w:val="single" w:color="000000" w:sz="4" w:space="0"/>
                    <w:right w:val="single" w:color="000000" w:sz="4" w:space="0"/>
                  </w:tcBorders>
                  <w:noWrap w:val="0"/>
                  <w:vAlign w:val="center"/>
                </w:tcPr>
                <w:p w14:paraId="56E97886">
                  <w:pPr>
                    <w:pStyle w:val="46"/>
                    <w:keepNext w:val="0"/>
                    <w:keepLines w:val="0"/>
                    <w:suppressLineNumbers w:val="0"/>
                    <w:spacing w:before="0" w:beforeAutospacing="0" w:after="0" w:afterAutospacing="0"/>
                    <w:ind w:left="21" w:right="21"/>
                    <w:rPr>
                      <w:b/>
                      <w:bCs/>
                      <w:color w:val="auto"/>
                    </w:rPr>
                  </w:pPr>
                  <w:r>
                    <w:rPr>
                      <w:b/>
                      <w:bCs/>
                      <w:color w:val="auto"/>
                    </w:rPr>
                    <w:t>TN</w:t>
                  </w:r>
                </w:p>
              </w:tc>
              <w:tc>
                <w:tcPr>
                  <w:tcW w:w="1119" w:type="dxa"/>
                  <w:tcBorders>
                    <w:top w:val="single" w:color="000000" w:sz="4" w:space="0"/>
                    <w:left w:val="single" w:color="000000" w:sz="4" w:space="0"/>
                    <w:bottom w:val="single" w:color="000000" w:sz="4" w:space="0"/>
                    <w:right w:val="single" w:color="000000" w:sz="4" w:space="0"/>
                  </w:tcBorders>
                  <w:noWrap w:val="0"/>
                  <w:vAlign w:val="center"/>
                </w:tcPr>
                <w:p w14:paraId="674B1EFF">
                  <w:pPr>
                    <w:pStyle w:val="46"/>
                    <w:keepNext w:val="0"/>
                    <w:keepLines w:val="0"/>
                    <w:suppressLineNumbers w:val="0"/>
                    <w:spacing w:before="0" w:beforeAutospacing="0" w:after="0" w:afterAutospacing="0"/>
                    <w:ind w:left="21" w:right="21"/>
                    <w:rPr>
                      <w:b/>
                      <w:bCs/>
                      <w:color w:val="auto"/>
                    </w:rPr>
                  </w:pPr>
                  <w:r>
                    <w:rPr>
                      <w:b/>
                      <w:bCs/>
                      <w:color w:val="auto"/>
                    </w:rPr>
                    <w:t>动植物油</w:t>
                  </w:r>
                </w:p>
              </w:tc>
            </w:tr>
            <w:tr w14:paraId="7C148844">
              <w:tblPrEx>
                <w:tblCellMar>
                  <w:top w:w="0" w:type="dxa"/>
                  <w:left w:w="0" w:type="dxa"/>
                  <w:bottom w:w="0" w:type="dxa"/>
                  <w:right w:w="0" w:type="dxa"/>
                </w:tblCellMar>
              </w:tblPrEx>
              <w:trPr>
                <w:trHeight w:val="283" w:hRule="atLeast"/>
                <w:jc w:val="center"/>
              </w:trPr>
              <w:tc>
                <w:tcPr>
                  <w:tcW w:w="2952" w:type="dxa"/>
                  <w:gridSpan w:val="2"/>
                  <w:tcBorders>
                    <w:top w:val="single" w:color="000000" w:sz="4" w:space="0"/>
                    <w:left w:val="single" w:color="000000" w:sz="4" w:space="0"/>
                    <w:bottom w:val="single" w:color="000000" w:sz="4" w:space="0"/>
                    <w:right w:val="single" w:color="000000" w:sz="4" w:space="0"/>
                  </w:tcBorders>
                  <w:noWrap w:val="0"/>
                  <w:vAlign w:val="center"/>
                </w:tcPr>
                <w:p w14:paraId="1613A875">
                  <w:pPr>
                    <w:pStyle w:val="46"/>
                    <w:keepNext w:val="0"/>
                    <w:keepLines w:val="0"/>
                    <w:suppressLineNumbers w:val="0"/>
                    <w:spacing w:before="0" w:beforeAutospacing="0" w:after="0" w:afterAutospacing="0"/>
                    <w:ind w:left="21" w:right="21"/>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进水水质（</w:t>
                  </w:r>
                  <w:r>
                    <w:rPr>
                      <w:color w:val="000000" w:themeColor="text1"/>
                      <w14:textFill>
                        <w14:solidFill>
                          <w14:schemeClr w14:val="tx1"/>
                        </w14:solidFill>
                      </w14:textFill>
                    </w:rPr>
                    <w:t>mg/L</w:t>
                  </w:r>
                  <w:r>
                    <w:rPr>
                      <w:rFonts w:hint="eastAsia"/>
                      <w:color w:val="000000" w:themeColor="text1"/>
                      <w14:textFill>
                        <w14:solidFill>
                          <w14:schemeClr w14:val="tx1"/>
                        </w14:solidFill>
                      </w14:textFill>
                    </w:rPr>
                    <w:t>）</w:t>
                  </w:r>
                </w:p>
              </w:tc>
              <w:tc>
                <w:tcPr>
                  <w:tcW w:w="1050" w:type="dxa"/>
                  <w:tcBorders>
                    <w:top w:val="single" w:color="000000" w:sz="4" w:space="0"/>
                    <w:left w:val="single" w:color="000000" w:sz="4" w:space="0"/>
                    <w:bottom w:val="single" w:color="000000" w:sz="4" w:space="0"/>
                    <w:right w:val="single" w:color="000000" w:sz="4" w:space="0"/>
                  </w:tcBorders>
                  <w:noWrap w:val="0"/>
                  <w:vAlign w:val="center"/>
                </w:tcPr>
                <w:p w14:paraId="53B1A8F3">
                  <w:pPr>
                    <w:pStyle w:val="61"/>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420</w:t>
                  </w:r>
                </w:p>
              </w:tc>
              <w:tc>
                <w:tcPr>
                  <w:tcW w:w="930" w:type="dxa"/>
                  <w:tcBorders>
                    <w:top w:val="single" w:color="000000" w:sz="4" w:space="0"/>
                    <w:left w:val="single" w:color="000000" w:sz="4" w:space="0"/>
                    <w:bottom w:val="single" w:color="000000" w:sz="4" w:space="0"/>
                    <w:right w:val="single" w:color="000000" w:sz="4" w:space="0"/>
                  </w:tcBorders>
                  <w:noWrap w:val="0"/>
                  <w:vAlign w:val="center"/>
                </w:tcPr>
                <w:p w14:paraId="794E9DD0">
                  <w:pPr>
                    <w:pStyle w:val="61"/>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21.2</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6E38DC02">
                  <w:pPr>
                    <w:pStyle w:val="61"/>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280</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4930BCEC">
                  <w:pPr>
                    <w:pStyle w:val="61"/>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1.2</w:t>
                  </w:r>
                </w:p>
              </w:tc>
              <w:tc>
                <w:tcPr>
                  <w:tcW w:w="765" w:type="dxa"/>
                  <w:tcBorders>
                    <w:top w:val="single" w:color="000000" w:sz="4" w:space="0"/>
                    <w:left w:val="single" w:color="000000" w:sz="4" w:space="0"/>
                    <w:bottom w:val="single" w:color="000000" w:sz="4" w:space="0"/>
                    <w:right w:val="single" w:color="000000" w:sz="4" w:space="0"/>
                  </w:tcBorders>
                  <w:noWrap w:val="0"/>
                  <w:vAlign w:val="center"/>
                </w:tcPr>
                <w:p w14:paraId="65F16685">
                  <w:pPr>
                    <w:pStyle w:val="61"/>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32.5</w:t>
                  </w:r>
                </w:p>
              </w:tc>
              <w:tc>
                <w:tcPr>
                  <w:tcW w:w="1119" w:type="dxa"/>
                  <w:tcBorders>
                    <w:top w:val="single" w:color="000000" w:sz="4" w:space="0"/>
                    <w:left w:val="single" w:color="000000" w:sz="4" w:space="0"/>
                    <w:bottom w:val="single" w:color="000000" w:sz="4" w:space="0"/>
                    <w:right w:val="single" w:color="000000" w:sz="4" w:space="0"/>
                  </w:tcBorders>
                  <w:noWrap w:val="0"/>
                  <w:vAlign w:val="center"/>
                </w:tcPr>
                <w:p w14:paraId="0419106D">
                  <w:pPr>
                    <w:pStyle w:val="61"/>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18.5</w:t>
                  </w:r>
                </w:p>
              </w:tc>
            </w:tr>
            <w:tr w14:paraId="77FBF8B1">
              <w:tblPrEx>
                <w:tblCellMar>
                  <w:top w:w="0" w:type="dxa"/>
                  <w:left w:w="0" w:type="dxa"/>
                  <w:bottom w:w="0" w:type="dxa"/>
                  <w:right w:w="0" w:type="dxa"/>
                </w:tblCellMar>
              </w:tblPrEx>
              <w:trPr>
                <w:trHeight w:val="283" w:hRule="atLeast"/>
                <w:jc w:val="center"/>
              </w:trPr>
              <w:tc>
                <w:tcPr>
                  <w:tcW w:w="1317" w:type="dxa"/>
                  <w:vMerge w:val="restart"/>
                  <w:tcBorders>
                    <w:top w:val="single" w:color="000000" w:sz="4" w:space="0"/>
                    <w:left w:val="single" w:color="000000" w:sz="4" w:space="0"/>
                    <w:bottom w:val="single" w:color="000000" w:sz="4" w:space="0"/>
                    <w:right w:val="single" w:color="000000" w:sz="4" w:space="0"/>
                  </w:tcBorders>
                  <w:noWrap w:val="0"/>
                  <w:vAlign w:val="center"/>
                </w:tcPr>
                <w:p w14:paraId="7B87F541">
                  <w:pPr>
                    <w:pStyle w:val="46"/>
                    <w:keepNext w:val="0"/>
                    <w:keepLines w:val="0"/>
                    <w:suppressLineNumbers w:val="0"/>
                    <w:spacing w:before="0" w:beforeAutospacing="0" w:after="0" w:afterAutospacing="0"/>
                    <w:ind w:left="21" w:right="21"/>
                    <w:rPr>
                      <w:rFonts w:hint="eastAsia"/>
                      <w:color w:val="000000" w:themeColor="text1"/>
                      <w14:textFill>
                        <w14:solidFill>
                          <w14:schemeClr w14:val="tx1"/>
                        </w14:solidFill>
                      </w14:textFill>
                    </w:rPr>
                  </w:pPr>
                  <w:r>
                    <w:rPr>
                      <w:rFonts w:hint="default"/>
                      <w:color w:val="000000" w:themeColor="text1"/>
                      <w14:textFill>
                        <w14:solidFill>
                          <w14:schemeClr w14:val="tx1"/>
                        </w14:solidFill>
                      </w14:textFill>
                    </w:rPr>
                    <w:t>絮凝沉淀</w:t>
                  </w:r>
                </w:p>
              </w:tc>
              <w:tc>
                <w:tcPr>
                  <w:tcW w:w="1635" w:type="dxa"/>
                  <w:tcBorders>
                    <w:top w:val="single" w:color="000000" w:sz="4" w:space="0"/>
                    <w:left w:val="single" w:color="000000" w:sz="4" w:space="0"/>
                    <w:bottom w:val="single" w:color="000000" w:sz="4" w:space="0"/>
                    <w:right w:val="single" w:color="000000" w:sz="4" w:space="0"/>
                  </w:tcBorders>
                  <w:noWrap w:val="0"/>
                  <w:vAlign w:val="center"/>
                </w:tcPr>
                <w:p w14:paraId="479F6651">
                  <w:pPr>
                    <w:pStyle w:val="46"/>
                    <w:keepNext w:val="0"/>
                    <w:keepLines w:val="0"/>
                    <w:suppressLineNumbers w:val="0"/>
                    <w:spacing w:before="0" w:beforeAutospacing="0" w:after="0" w:afterAutospacing="0"/>
                    <w:ind w:left="21" w:right="21"/>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去除率（</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w:t>
                  </w:r>
                </w:p>
              </w:tc>
              <w:tc>
                <w:tcPr>
                  <w:tcW w:w="1050" w:type="dxa"/>
                  <w:tcBorders>
                    <w:top w:val="single" w:color="000000" w:sz="4" w:space="0"/>
                    <w:left w:val="single" w:color="000000" w:sz="4" w:space="0"/>
                    <w:bottom w:val="single" w:color="000000" w:sz="4" w:space="0"/>
                    <w:right w:val="single" w:color="000000" w:sz="4" w:space="0"/>
                  </w:tcBorders>
                  <w:noWrap w:val="0"/>
                  <w:vAlign w:val="center"/>
                </w:tcPr>
                <w:p w14:paraId="3DA02E8F">
                  <w:pPr>
                    <w:pStyle w:val="61"/>
                    <w:keepNext w:val="0"/>
                    <w:keepLines w:val="0"/>
                    <w:suppressLineNumbers w:val="0"/>
                    <w:bidi w:val="0"/>
                    <w:spacing w:before="0" w:beforeAutospacing="0" w:after="0" w:afterAutospacing="0"/>
                    <w:ind w:left="0" w:right="0"/>
                    <w:rPr>
                      <w:rFonts w:hint="default" w:eastAsia="宋体"/>
                      <w:color w:val="auto"/>
                      <w:lang w:val="en-US" w:eastAsia="zh-CN"/>
                    </w:rPr>
                  </w:pPr>
                  <w:r>
                    <w:rPr>
                      <w:rFonts w:hint="eastAsia"/>
                      <w:color w:val="auto"/>
                      <w:lang w:val="en-US" w:eastAsia="zh-CN"/>
                    </w:rPr>
                    <w:t>40</w:t>
                  </w:r>
                </w:p>
              </w:tc>
              <w:tc>
                <w:tcPr>
                  <w:tcW w:w="930" w:type="dxa"/>
                  <w:tcBorders>
                    <w:top w:val="single" w:color="000000" w:sz="4" w:space="0"/>
                    <w:left w:val="single" w:color="000000" w:sz="4" w:space="0"/>
                    <w:bottom w:val="single" w:color="000000" w:sz="4" w:space="0"/>
                    <w:right w:val="single" w:color="000000" w:sz="4" w:space="0"/>
                  </w:tcBorders>
                  <w:noWrap w:val="0"/>
                  <w:vAlign w:val="center"/>
                </w:tcPr>
                <w:p w14:paraId="4D59C11F">
                  <w:pPr>
                    <w:pStyle w:val="61"/>
                    <w:keepNext w:val="0"/>
                    <w:keepLines w:val="0"/>
                    <w:suppressLineNumbers w:val="0"/>
                    <w:bidi w:val="0"/>
                    <w:spacing w:before="0" w:beforeAutospacing="0" w:after="0" w:afterAutospacing="0"/>
                    <w:ind w:left="0" w:right="0"/>
                    <w:rPr>
                      <w:rFonts w:hint="default"/>
                      <w:color w:val="auto"/>
                    </w:rPr>
                  </w:pPr>
                  <w:r>
                    <w:rPr>
                      <w:rFonts w:hint="default"/>
                      <w:color w:val="auto"/>
                    </w:rPr>
                    <w:t>/</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21617A7C">
                  <w:pPr>
                    <w:pStyle w:val="61"/>
                    <w:keepNext w:val="0"/>
                    <w:keepLines w:val="0"/>
                    <w:suppressLineNumbers w:val="0"/>
                    <w:bidi w:val="0"/>
                    <w:spacing w:before="0" w:beforeAutospacing="0" w:after="0" w:afterAutospacing="0"/>
                    <w:ind w:left="0" w:right="0"/>
                    <w:rPr>
                      <w:rFonts w:hint="default" w:eastAsia="宋体"/>
                      <w:color w:val="auto"/>
                      <w:lang w:val="en-US" w:eastAsia="zh-CN"/>
                    </w:rPr>
                  </w:pPr>
                  <w:r>
                    <w:rPr>
                      <w:rFonts w:hint="eastAsia"/>
                      <w:color w:val="auto"/>
                      <w:lang w:val="en-US" w:eastAsia="zh-CN"/>
                    </w:rPr>
                    <w:t>90</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6C64385C">
                  <w:pPr>
                    <w:pStyle w:val="61"/>
                    <w:keepNext w:val="0"/>
                    <w:keepLines w:val="0"/>
                    <w:suppressLineNumbers w:val="0"/>
                    <w:bidi w:val="0"/>
                    <w:spacing w:before="0" w:beforeAutospacing="0" w:after="0" w:afterAutospacing="0"/>
                    <w:ind w:left="0" w:right="0"/>
                    <w:rPr>
                      <w:rFonts w:hint="default" w:eastAsia="宋体"/>
                      <w:color w:val="auto"/>
                      <w:lang w:val="en-US" w:eastAsia="zh-CN"/>
                    </w:rPr>
                  </w:pPr>
                  <w:r>
                    <w:rPr>
                      <w:rFonts w:hint="eastAsia"/>
                      <w:color w:val="auto"/>
                      <w:lang w:val="en-US" w:eastAsia="zh-CN"/>
                    </w:rPr>
                    <w:t>85</w:t>
                  </w:r>
                </w:p>
              </w:tc>
              <w:tc>
                <w:tcPr>
                  <w:tcW w:w="765" w:type="dxa"/>
                  <w:tcBorders>
                    <w:top w:val="single" w:color="000000" w:sz="4" w:space="0"/>
                    <w:left w:val="single" w:color="000000" w:sz="4" w:space="0"/>
                    <w:bottom w:val="single" w:color="000000" w:sz="4" w:space="0"/>
                    <w:right w:val="single" w:color="000000" w:sz="4" w:space="0"/>
                  </w:tcBorders>
                  <w:noWrap w:val="0"/>
                  <w:vAlign w:val="center"/>
                </w:tcPr>
                <w:p w14:paraId="2E504575">
                  <w:pPr>
                    <w:pStyle w:val="61"/>
                    <w:keepNext w:val="0"/>
                    <w:keepLines w:val="0"/>
                    <w:suppressLineNumbers w:val="0"/>
                    <w:bidi w:val="0"/>
                    <w:spacing w:before="0" w:beforeAutospacing="0" w:after="0" w:afterAutospacing="0"/>
                    <w:ind w:left="0" w:right="0"/>
                    <w:rPr>
                      <w:rFonts w:hint="default"/>
                      <w:color w:val="auto"/>
                    </w:rPr>
                  </w:pPr>
                  <w:r>
                    <w:rPr>
                      <w:rFonts w:hint="default"/>
                      <w:color w:val="auto"/>
                    </w:rPr>
                    <w:t>/</w:t>
                  </w:r>
                </w:p>
              </w:tc>
              <w:tc>
                <w:tcPr>
                  <w:tcW w:w="1119" w:type="dxa"/>
                  <w:tcBorders>
                    <w:top w:val="single" w:color="000000" w:sz="4" w:space="0"/>
                    <w:left w:val="single" w:color="000000" w:sz="4" w:space="0"/>
                    <w:bottom w:val="single" w:color="000000" w:sz="4" w:space="0"/>
                    <w:right w:val="single" w:color="000000" w:sz="4" w:space="0"/>
                  </w:tcBorders>
                  <w:noWrap w:val="0"/>
                  <w:vAlign w:val="center"/>
                </w:tcPr>
                <w:p w14:paraId="7122065A">
                  <w:pPr>
                    <w:pStyle w:val="61"/>
                    <w:keepNext w:val="0"/>
                    <w:keepLines w:val="0"/>
                    <w:suppressLineNumbers w:val="0"/>
                    <w:bidi w:val="0"/>
                    <w:spacing w:before="0" w:beforeAutospacing="0" w:after="0" w:afterAutospacing="0"/>
                    <w:ind w:left="0" w:right="0"/>
                    <w:rPr>
                      <w:rFonts w:hint="default" w:eastAsia="宋体"/>
                      <w:color w:val="auto"/>
                      <w:lang w:val="en-US" w:eastAsia="zh-CN"/>
                    </w:rPr>
                  </w:pPr>
                  <w:r>
                    <w:rPr>
                      <w:rFonts w:hint="eastAsia"/>
                      <w:color w:val="auto"/>
                      <w:lang w:val="en-US" w:eastAsia="zh-CN"/>
                    </w:rPr>
                    <w:t>50</w:t>
                  </w:r>
                </w:p>
              </w:tc>
            </w:tr>
            <w:tr w14:paraId="20183EA3">
              <w:tblPrEx>
                <w:tblCellMar>
                  <w:top w:w="0" w:type="dxa"/>
                  <w:left w:w="0" w:type="dxa"/>
                  <w:bottom w:w="0" w:type="dxa"/>
                  <w:right w:w="0" w:type="dxa"/>
                </w:tblCellMar>
              </w:tblPrEx>
              <w:trPr>
                <w:trHeight w:val="525" w:hRule="atLeast"/>
                <w:jc w:val="center"/>
              </w:trPr>
              <w:tc>
                <w:tcPr>
                  <w:tcW w:w="1317" w:type="dxa"/>
                  <w:vMerge w:val="continue"/>
                  <w:tcBorders>
                    <w:top w:val="single" w:color="000000" w:sz="4" w:space="0"/>
                    <w:left w:val="single" w:color="000000" w:sz="4" w:space="0"/>
                    <w:bottom w:val="single" w:color="000000" w:sz="4" w:space="0"/>
                    <w:right w:val="single" w:color="000000" w:sz="4" w:space="0"/>
                  </w:tcBorders>
                  <w:noWrap w:val="0"/>
                  <w:vAlign w:val="center"/>
                </w:tcPr>
                <w:p w14:paraId="615E50EE">
                  <w:pPr>
                    <w:pStyle w:val="46"/>
                    <w:keepNext w:val="0"/>
                    <w:keepLines w:val="0"/>
                    <w:suppressLineNumbers w:val="0"/>
                    <w:spacing w:before="0" w:beforeAutospacing="0" w:after="0" w:afterAutospacing="0"/>
                    <w:ind w:left="21" w:right="21"/>
                    <w:rPr>
                      <w:rFonts w:hint="eastAsia"/>
                      <w:color w:val="000000" w:themeColor="text1"/>
                      <w14:textFill>
                        <w14:solidFill>
                          <w14:schemeClr w14:val="tx1"/>
                        </w14:solidFill>
                      </w14:textFill>
                    </w:rPr>
                  </w:pPr>
                </w:p>
              </w:tc>
              <w:tc>
                <w:tcPr>
                  <w:tcW w:w="1635" w:type="dxa"/>
                  <w:tcBorders>
                    <w:top w:val="single" w:color="000000" w:sz="4" w:space="0"/>
                    <w:left w:val="single" w:color="000000" w:sz="4" w:space="0"/>
                    <w:bottom w:val="single" w:color="000000" w:sz="4" w:space="0"/>
                    <w:right w:val="single" w:color="000000" w:sz="4" w:space="0"/>
                  </w:tcBorders>
                  <w:noWrap w:val="0"/>
                  <w:vAlign w:val="center"/>
                </w:tcPr>
                <w:p w14:paraId="15492927">
                  <w:pPr>
                    <w:pStyle w:val="46"/>
                    <w:keepNext w:val="0"/>
                    <w:keepLines w:val="0"/>
                    <w:suppressLineNumbers w:val="0"/>
                    <w:spacing w:before="0" w:beforeAutospacing="0" w:after="0" w:afterAutospacing="0"/>
                    <w:ind w:left="21" w:right="21"/>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出水浓度（</w:t>
                  </w:r>
                  <w:r>
                    <w:rPr>
                      <w:color w:val="000000" w:themeColor="text1"/>
                      <w14:textFill>
                        <w14:solidFill>
                          <w14:schemeClr w14:val="tx1"/>
                        </w14:solidFill>
                      </w14:textFill>
                    </w:rPr>
                    <w:t>mg/L</w:t>
                  </w:r>
                  <w:r>
                    <w:rPr>
                      <w:rFonts w:hint="eastAsia"/>
                      <w:color w:val="000000" w:themeColor="text1"/>
                      <w14:textFill>
                        <w14:solidFill>
                          <w14:schemeClr w14:val="tx1"/>
                        </w14:solidFill>
                      </w14:textFill>
                    </w:rPr>
                    <w:t>）</w:t>
                  </w:r>
                </w:p>
              </w:tc>
              <w:tc>
                <w:tcPr>
                  <w:tcW w:w="1050" w:type="dxa"/>
                  <w:tcBorders>
                    <w:top w:val="single" w:color="000000" w:sz="4" w:space="0"/>
                    <w:left w:val="single" w:color="000000" w:sz="4" w:space="0"/>
                    <w:bottom w:val="single" w:color="000000" w:sz="4" w:space="0"/>
                    <w:right w:val="single" w:color="000000" w:sz="4" w:space="0"/>
                  </w:tcBorders>
                  <w:noWrap w:val="0"/>
                  <w:vAlign w:val="center"/>
                </w:tcPr>
                <w:p w14:paraId="0F55189B">
                  <w:pPr>
                    <w:pStyle w:val="61"/>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252</w:t>
                  </w:r>
                </w:p>
              </w:tc>
              <w:tc>
                <w:tcPr>
                  <w:tcW w:w="930" w:type="dxa"/>
                  <w:tcBorders>
                    <w:top w:val="single" w:color="000000" w:sz="4" w:space="0"/>
                    <w:left w:val="single" w:color="000000" w:sz="4" w:space="0"/>
                    <w:bottom w:val="single" w:color="000000" w:sz="4" w:space="0"/>
                    <w:right w:val="single" w:color="000000" w:sz="4" w:space="0"/>
                  </w:tcBorders>
                  <w:noWrap w:val="0"/>
                  <w:vAlign w:val="center"/>
                </w:tcPr>
                <w:p w14:paraId="5E416625">
                  <w:pPr>
                    <w:pStyle w:val="61"/>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21.2</w:t>
                  </w:r>
                </w:p>
              </w:tc>
              <w:tc>
                <w:tcPr>
                  <w:tcW w:w="720" w:type="dxa"/>
                  <w:tcBorders>
                    <w:top w:val="single" w:color="000000" w:sz="4" w:space="0"/>
                    <w:left w:val="single" w:color="000000" w:sz="4" w:space="0"/>
                    <w:bottom w:val="single" w:color="000000" w:sz="4" w:space="0"/>
                    <w:right w:val="single" w:color="000000" w:sz="4" w:space="0"/>
                  </w:tcBorders>
                  <w:noWrap w:val="0"/>
                  <w:vAlign w:val="center"/>
                </w:tcPr>
                <w:p w14:paraId="67642ADC">
                  <w:pPr>
                    <w:pStyle w:val="61"/>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28</w:t>
                  </w:r>
                </w:p>
              </w:tc>
              <w:tc>
                <w:tcPr>
                  <w:tcW w:w="705" w:type="dxa"/>
                  <w:tcBorders>
                    <w:top w:val="single" w:color="000000" w:sz="4" w:space="0"/>
                    <w:left w:val="single" w:color="000000" w:sz="4" w:space="0"/>
                    <w:bottom w:val="single" w:color="000000" w:sz="4" w:space="0"/>
                    <w:right w:val="single" w:color="000000" w:sz="4" w:space="0"/>
                  </w:tcBorders>
                  <w:noWrap w:val="0"/>
                  <w:vAlign w:val="center"/>
                </w:tcPr>
                <w:p w14:paraId="194BC784">
                  <w:pPr>
                    <w:pStyle w:val="61"/>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0.18</w:t>
                  </w:r>
                </w:p>
              </w:tc>
              <w:tc>
                <w:tcPr>
                  <w:tcW w:w="765" w:type="dxa"/>
                  <w:tcBorders>
                    <w:top w:val="single" w:color="000000" w:sz="4" w:space="0"/>
                    <w:left w:val="single" w:color="000000" w:sz="4" w:space="0"/>
                    <w:bottom w:val="single" w:color="000000" w:sz="4" w:space="0"/>
                    <w:right w:val="single" w:color="000000" w:sz="4" w:space="0"/>
                  </w:tcBorders>
                  <w:noWrap w:val="0"/>
                  <w:vAlign w:val="center"/>
                </w:tcPr>
                <w:p w14:paraId="78E76D86">
                  <w:pPr>
                    <w:pStyle w:val="61"/>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32.5</w:t>
                  </w:r>
                </w:p>
              </w:tc>
              <w:tc>
                <w:tcPr>
                  <w:tcW w:w="1119" w:type="dxa"/>
                  <w:tcBorders>
                    <w:top w:val="single" w:color="000000" w:sz="4" w:space="0"/>
                    <w:left w:val="single" w:color="000000" w:sz="4" w:space="0"/>
                    <w:bottom w:val="single" w:color="000000" w:sz="4" w:space="0"/>
                    <w:right w:val="single" w:color="000000" w:sz="4" w:space="0"/>
                  </w:tcBorders>
                  <w:noWrap w:val="0"/>
                  <w:vAlign w:val="center"/>
                </w:tcPr>
                <w:p w14:paraId="23E388F3">
                  <w:pPr>
                    <w:pStyle w:val="61"/>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9.25</w:t>
                  </w:r>
                </w:p>
              </w:tc>
            </w:tr>
          </w:tbl>
          <w:p w14:paraId="3F8D3BC4">
            <w:pPr>
              <w:keepNext w:val="0"/>
              <w:keepLines w:val="0"/>
              <w:suppressLineNumbers w:val="0"/>
              <w:bidi w:val="0"/>
              <w:spacing w:before="0" w:beforeAutospacing="0" w:after="0" w:afterAutospacing="0"/>
              <w:ind w:left="0" w:right="0"/>
              <w:rPr>
                <w:rFonts w:hint="default"/>
                <w:lang w:val="en-US" w:eastAsia="zh-CN"/>
              </w:rPr>
            </w:pPr>
            <w:r>
              <w:rPr>
                <w:rFonts w:hint="eastAsia"/>
              </w:rPr>
              <w:t>根据《排污许可证申请与核发技术规范</w:t>
            </w:r>
            <w:r>
              <w:rPr>
                <w:rFonts w:hint="eastAsia"/>
                <w:lang w:val="en-US" w:eastAsia="zh-CN"/>
              </w:rPr>
              <w:t xml:space="preserve"> </w:t>
            </w:r>
            <w:r>
              <w:rPr>
                <w:rFonts w:hint="eastAsia"/>
              </w:rPr>
              <w:t>废弃资源加工工业》（HJ</w:t>
            </w:r>
            <w:r>
              <w:rPr>
                <w:rFonts w:hint="eastAsia"/>
                <w:lang w:val="en-US" w:eastAsia="zh-CN"/>
              </w:rPr>
              <w:t>1034</w:t>
            </w:r>
            <w:r>
              <w:rPr>
                <w:rFonts w:hint="eastAsia"/>
              </w:rPr>
              <w:t>-20</w:t>
            </w:r>
            <w:r>
              <w:rPr>
                <w:rFonts w:hint="eastAsia"/>
                <w:lang w:val="en-US" w:eastAsia="zh-CN"/>
              </w:rPr>
              <w:t>19</w:t>
            </w:r>
            <w:r>
              <w:rPr>
                <w:rFonts w:hint="eastAsia"/>
              </w:rPr>
              <w:t>）表</w:t>
            </w:r>
            <w:r>
              <w:rPr>
                <w:rFonts w:hint="eastAsia"/>
                <w:lang w:val="en-US" w:eastAsia="zh-CN"/>
              </w:rPr>
              <w:t>27</w:t>
            </w:r>
            <w:r>
              <w:rPr>
                <w:rFonts w:hint="eastAsia"/>
              </w:rPr>
              <w:t>其他废弃资源加工工业排污单位废水类别、污染物种类及污染防治设施一览表</w:t>
            </w:r>
            <w:r>
              <w:rPr>
                <w:rFonts w:hint="eastAsia"/>
                <w:lang w:eastAsia="zh-CN"/>
              </w:rPr>
              <w:t>，</w:t>
            </w:r>
            <w:r>
              <w:rPr>
                <w:rFonts w:hint="eastAsia"/>
                <w:lang w:val="en-US" w:eastAsia="zh-CN"/>
              </w:rPr>
              <w:t>可知生产废水经处理后可在厂内回用不外排。项目废塑料破碎工序对水质要求较低，破碎</w:t>
            </w:r>
            <w:r>
              <w:rPr>
                <w:rFonts w:hint="eastAsia"/>
              </w:rPr>
              <w:t>废水各污染物经</w:t>
            </w:r>
            <w:r>
              <w:rPr>
                <w:rFonts w:hint="eastAsia"/>
                <w:lang w:val="en-US" w:eastAsia="zh-CN"/>
              </w:rPr>
              <w:t>絮凝沉淀池</w:t>
            </w:r>
            <w:r>
              <w:rPr>
                <w:rFonts w:hint="eastAsia"/>
              </w:rPr>
              <w:t>处理后，</w:t>
            </w:r>
            <w:r>
              <w:rPr>
                <w:rFonts w:hint="eastAsia"/>
                <w:lang w:val="en-US" w:eastAsia="zh-CN"/>
              </w:rPr>
              <w:t>出水污染物浓度较低</w:t>
            </w:r>
            <w:r>
              <w:rPr>
                <w:rFonts w:hint="eastAsia"/>
                <w:lang w:eastAsia="zh-CN"/>
              </w:rPr>
              <w:t>，</w:t>
            </w:r>
            <w:r>
              <w:rPr>
                <w:rFonts w:hint="eastAsia"/>
                <w:lang w:val="en-US" w:eastAsia="zh-CN"/>
              </w:rPr>
              <w:t>可以满足企业破碎用水要求，可用于企业废塑料破碎工序。</w:t>
            </w:r>
          </w:p>
          <w:p w14:paraId="05B3093A">
            <w:pPr>
              <w:keepNext w:val="0"/>
              <w:keepLines w:val="0"/>
              <w:suppressLineNumbers w:val="0"/>
              <w:bidi w:val="0"/>
              <w:spacing w:before="0" w:beforeAutospacing="0" w:after="0" w:afterAutospacing="0"/>
              <w:ind w:left="0" w:right="0"/>
              <w:rPr>
                <w:rFonts w:hint="eastAsia"/>
              </w:rPr>
            </w:pPr>
            <w:r>
              <w:rPr>
                <w:rFonts w:hint="eastAsia"/>
                <w:lang w:val="en-US" w:eastAsia="zh-CN"/>
              </w:rPr>
              <w:t>本项目絮凝沉淀池最大容积为2.5m³，废塑料每2d破碎一次，每次废水产生量约1.674t，水力停留时间为4h</w:t>
            </w:r>
            <w:r>
              <w:rPr>
                <w:rFonts w:hint="eastAsia"/>
                <w:lang w:eastAsia="zh-CN"/>
              </w:rPr>
              <w:t>，</w:t>
            </w:r>
            <w:r>
              <w:rPr>
                <w:rFonts w:hint="eastAsia"/>
                <w:lang w:val="en-US" w:eastAsia="zh-CN"/>
              </w:rPr>
              <w:t>絮凝沉淀池处理能力能满足破碎废水处理要求</w:t>
            </w:r>
            <w:r>
              <w:rPr>
                <w:rFonts w:hint="eastAsia"/>
              </w:rPr>
              <w:t>。本项目</w:t>
            </w:r>
            <w:r>
              <w:rPr>
                <w:rFonts w:hint="eastAsia"/>
                <w:lang w:val="en-US" w:eastAsia="zh-CN"/>
              </w:rPr>
              <w:t>破碎废水采用絮凝沉淀池处理</w:t>
            </w:r>
            <w:r>
              <w:rPr>
                <w:rFonts w:hint="eastAsia"/>
              </w:rPr>
              <w:t>工艺可行。</w:t>
            </w:r>
          </w:p>
          <w:p w14:paraId="6951FF6F">
            <w:pPr>
              <w:keepNext w:val="0"/>
              <w:keepLines w:val="0"/>
              <w:suppressLineNumbers w:val="0"/>
              <w:bidi w:val="0"/>
              <w:spacing w:before="0" w:beforeAutospacing="0" w:after="0" w:afterAutospacing="0"/>
              <w:ind w:left="0" w:right="0"/>
              <w:rPr>
                <w:rFonts w:hint="default"/>
                <w:b/>
                <w:bCs/>
                <w:color w:val="000000" w:themeColor="text1"/>
                <w14:textFill>
                  <w14:solidFill>
                    <w14:schemeClr w14:val="tx1"/>
                  </w14:solidFill>
                </w14:textFill>
              </w:rPr>
            </w:pPr>
            <w:r>
              <w:rPr>
                <w:rFonts w:hint="eastAsia"/>
                <w:b/>
                <w:bCs/>
                <w:color w:val="000000" w:themeColor="text1"/>
                <w:lang w:val="en-US" w:eastAsia="zh-CN"/>
                <w14:textFill>
                  <w14:solidFill>
                    <w14:schemeClr w14:val="tx1"/>
                  </w14:solidFill>
                </w14:textFill>
              </w:rPr>
              <w:t>4</w:t>
            </w:r>
            <w:r>
              <w:rPr>
                <w:rFonts w:hint="eastAsia"/>
                <w:b/>
                <w:bCs/>
                <w:color w:val="000000" w:themeColor="text1"/>
                <w14:textFill>
                  <w14:solidFill>
                    <w14:schemeClr w14:val="tx1"/>
                  </w14:solidFill>
                </w14:textFill>
              </w:rPr>
              <w:t>、</w:t>
            </w:r>
            <w:r>
              <w:rPr>
                <w:rFonts w:hint="default"/>
                <w:b/>
                <w:bCs/>
                <w:color w:val="000000" w:themeColor="text1"/>
                <w14:textFill>
                  <w14:solidFill>
                    <w14:schemeClr w14:val="tx1"/>
                  </w14:solidFill>
                </w14:textFill>
              </w:rPr>
              <w:t>废水类别、污染物及污染治理设施信息</w:t>
            </w:r>
          </w:p>
          <w:p w14:paraId="245B2791">
            <w:pPr>
              <w:keepNext w:val="0"/>
              <w:keepLines w:val="0"/>
              <w:suppressLineNumbers w:val="0"/>
              <w:bidi w:val="0"/>
              <w:spacing w:before="0" w:beforeAutospacing="0" w:after="0" w:afterAutospacing="0"/>
              <w:ind w:left="0" w:right="0"/>
              <w:rPr>
                <w:rFonts w:hint="default"/>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本项目外排废水为生活污水，</w:t>
            </w:r>
            <w:r>
              <w:rPr>
                <w:rFonts w:hint="default"/>
                <w:color w:val="000000" w:themeColor="text1"/>
                <w14:textFill>
                  <w14:solidFill>
                    <w14:schemeClr w14:val="tx1"/>
                  </w14:solidFill>
                </w14:textFill>
              </w:rPr>
              <w:t>废水类别、污染物及污染治理设施信息表见表</w:t>
            </w:r>
            <w:r>
              <w:rPr>
                <w:rFonts w:hint="eastAsia"/>
                <w:color w:val="000000" w:themeColor="text1"/>
                <w14:textFill>
                  <w14:solidFill>
                    <w14:schemeClr w14:val="tx1"/>
                  </w14:solidFill>
                </w14:textFill>
              </w:rPr>
              <w:t>4-</w:t>
            </w:r>
            <w:r>
              <w:rPr>
                <w:rFonts w:hint="eastAsia"/>
                <w:color w:val="000000" w:themeColor="text1"/>
                <w:lang w:val="en-US" w:eastAsia="zh-CN"/>
                <w14:textFill>
                  <w14:solidFill>
                    <w14:schemeClr w14:val="tx1"/>
                  </w14:solidFill>
                </w14:textFill>
              </w:rPr>
              <w:t>13</w:t>
            </w:r>
            <w:r>
              <w:rPr>
                <w:rFonts w:hint="default"/>
                <w:color w:val="000000" w:themeColor="text1"/>
                <w14:textFill>
                  <w14:solidFill>
                    <w14:schemeClr w14:val="tx1"/>
                  </w14:solidFill>
                </w14:textFill>
              </w:rPr>
              <w:t>。</w:t>
            </w:r>
          </w:p>
          <w:p w14:paraId="711F7186">
            <w:pPr>
              <w:pStyle w:val="43"/>
              <w:keepNext w:val="0"/>
              <w:keepLines w:val="0"/>
              <w:suppressLineNumbers w:val="0"/>
              <w:spacing w:before="0" w:beforeAutospacing="0" w:after="0" w:afterAutospacing="0"/>
              <w:ind w:left="0" w:right="0"/>
              <w:rPr>
                <w:rFonts w:hint="default"/>
                <w:color w:val="000000" w:themeColor="text1"/>
                <w14:textFill>
                  <w14:solidFill>
                    <w14:schemeClr w14:val="tx1"/>
                  </w14:solidFill>
                </w14:textFill>
              </w:rPr>
            </w:pPr>
            <w:r>
              <w:rPr>
                <w:color w:val="000000" w:themeColor="text1"/>
                <w14:textFill>
                  <w14:solidFill>
                    <w14:schemeClr w14:val="tx1"/>
                  </w14:solidFill>
                </w14:textFill>
              </w:rPr>
              <w:t>表4-</w:t>
            </w:r>
            <w:r>
              <w:rPr>
                <w:rFonts w:hint="eastAsia"/>
                <w:color w:val="000000" w:themeColor="text1"/>
                <w:lang w:val="en-US" w:eastAsia="zh-CN"/>
                <w14:textFill>
                  <w14:solidFill>
                    <w14:schemeClr w14:val="tx1"/>
                  </w14:solidFill>
                </w14:textFill>
              </w:rPr>
              <w:t xml:space="preserve">13  </w:t>
            </w:r>
            <w:r>
              <w:rPr>
                <w:color w:val="000000" w:themeColor="text1"/>
                <w14:textFill>
                  <w14:solidFill>
                    <w14:schemeClr w14:val="tx1"/>
                  </w14:solidFill>
                </w14:textFill>
              </w:rPr>
              <w:t>废水类别、污染物及污染治理设施信息表</w:t>
            </w:r>
          </w:p>
          <w:tbl>
            <w:tblPr>
              <w:tblStyle w:val="1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67"/>
              <w:gridCol w:w="834"/>
              <w:gridCol w:w="1604"/>
              <w:gridCol w:w="1150"/>
              <w:gridCol w:w="951"/>
              <w:gridCol w:w="991"/>
              <w:gridCol w:w="991"/>
              <w:gridCol w:w="916"/>
              <w:gridCol w:w="767"/>
            </w:tblGrid>
            <w:tr w14:paraId="3B98A3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23" w:type="pct"/>
                  <w:vMerge w:val="restart"/>
                  <w:noWrap/>
                  <w:vAlign w:val="center"/>
                </w:tcPr>
                <w:p w14:paraId="015DFA2C">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r>
                    <w:rPr>
                      <w:rFonts w:hint="default"/>
                      <w:b/>
                      <w:bCs/>
                      <w:color w:val="000000" w:themeColor="text1"/>
                      <w14:textFill>
                        <w14:solidFill>
                          <w14:schemeClr w14:val="tx1"/>
                        </w14:solidFill>
                      </w14:textFill>
                    </w:rPr>
                    <w:t>序号</w:t>
                  </w:r>
                </w:p>
              </w:tc>
              <w:tc>
                <w:tcPr>
                  <w:tcW w:w="475" w:type="pct"/>
                  <w:vMerge w:val="restart"/>
                  <w:noWrap/>
                  <w:vAlign w:val="center"/>
                </w:tcPr>
                <w:p w14:paraId="6DC46150">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r>
                    <w:rPr>
                      <w:rFonts w:hint="default"/>
                      <w:b/>
                      <w:bCs/>
                      <w:color w:val="000000" w:themeColor="text1"/>
                      <w14:textFill>
                        <w14:solidFill>
                          <w14:schemeClr w14:val="tx1"/>
                        </w14:solidFill>
                      </w14:textFill>
                    </w:rPr>
                    <w:t>废水</w:t>
                  </w:r>
                </w:p>
                <w:p w14:paraId="62178AEB">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r>
                    <w:rPr>
                      <w:rFonts w:hint="default"/>
                      <w:b/>
                      <w:bCs/>
                      <w:color w:val="000000" w:themeColor="text1"/>
                      <w14:textFill>
                        <w14:solidFill>
                          <w14:schemeClr w14:val="tx1"/>
                        </w14:solidFill>
                      </w14:textFill>
                    </w:rPr>
                    <w:t>类别</w:t>
                  </w:r>
                </w:p>
              </w:tc>
              <w:tc>
                <w:tcPr>
                  <w:tcW w:w="913" w:type="pct"/>
                  <w:vMerge w:val="restart"/>
                  <w:noWrap/>
                  <w:vAlign w:val="center"/>
                </w:tcPr>
                <w:p w14:paraId="1BBE2B90">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r>
                    <w:rPr>
                      <w:rFonts w:hint="default"/>
                      <w:b/>
                      <w:bCs/>
                      <w:color w:val="000000" w:themeColor="text1"/>
                      <w14:textFill>
                        <w14:solidFill>
                          <w14:schemeClr w14:val="tx1"/>
                        </w14:solidFill>
                      </w14:textFill>
                    </w:rPr>
                    <w:t>污染物</w:t>
                  </w:r>
                </w:p>
                <w:p w14:paraId="1B8EDE3B">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r>
                    <w:rPr>
                      <w:rFonts w:hint="default"/>
                      <w:b/>
                      <w:bCs/>
                      <w:color w:val="000000" w:themeColor="text1"/>
                      <w14:textFill>
                        <w14:solidFill>
                          <w14:schemeClr w14:val="tx1"/>
                        </w14:solidFill>
                      </w14:textFill>
                    </w:rPr>
                    <w:t>种类</w:t>
                  </w:r>
                </w:p>
              </w:tc>
              <w:tc>
                <w:tcPr>
                  <w:tcW w:w="655" w:type="pct"/>
                  <w:vMerge w:val="restart"/>
                  <w:noWrap/>
                  <w:vAlign w:val="center"/>
                </w:tcPr>
                <w:p w14:paraId="52129ADE">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r>
                    <w:rPr>
                      <w:rFonts w:hint="default"/>
                      <w:b/>
                      <w:bCs/>
                      <w:color w:val="000000" w:themeColor="text1"/>
                      <w14:textFill>
                        <w14:solidFill>
                          <w14:schemeClr w14:val="tx1"/>
                        </w14:solidFill>
                      </w14:textFill>
                    </w:rPr>
                    <w:t>排放去向</w:t>
                  </w:r>
                </w:p>
              </w:tc>
              <w:tc>
                <w:tcPr>
                  <w:tcW w:w="542" w:type="pct"/>
                  <w:vMerge w:val="restart"/>
                  <w:noWrap/>
                  <w:vAlign w:val="center"/>
                </w:tcPr>
                <w:p w14:paraId="1E14B05C">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r>
                    <w:rPr>
                      <w:rFonts w:hint="default"/>
                      <w:b/>
                      <w:bCs/>
                      <w:color w:val="000000" w:themeColor="text1"/>
                      <w14:textFill>
                        <w14:solidFill>
                          <w14:schemeClr w14:val="tx1"/>
                        </w14:solidFill>
                      </w14:textFill>
                    </w:rPr>
                    <w:t>排放</w:t>
                  </w:r>
                </w:p>
                <w:p w14:paraId="3E85E370">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r>
                    <w:rPr>
                      <w:rFonts w:hint="default"/>
                      <w:b/>
                      <w:bCs/>
                      <w:color w:val="000000" w:themeColor="text1"/>
                      <w14:textFill>
                        <w14:solidFill>
                          <w14:schemeClr w14:val="tx1"/>
                        </w14:solidFill>
                      </w14:textFill>
                    </w:rPr>
                    <w:t>规律</w:t>
                  </w:r>
                </w:p>
              </w:tc>
              <w:tc>
                <w:tcPr>
                  <w:tcW w:w="1651" w:type="pct"/>
                  <w:gridSpan w:val="3"/>
                  <w:noWrap/>
                  <w:vAlign w:val="center"/>
                </w:tcPr>
                <w:p w14:paraId="4469EE6D">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r>
                    <w:rPr>
                      <w:rFonts w:hint="default"/>
                      <w:b/>
                      <w:bCs/>
                      <w:color w:val="000000" w:themeColor="text1"/>
                      <w14:textFill>
                        <w14:solidFill>
                          <w14:schemeClr w14:val="tx1"/>
                        </w14:solidFill>
                      </w14:textFill>
                    </w:rPr>
                    <w:t>污染治理设施</w:t>
                  </w:r>
                </w:p>
              </w:tc>
              <w:tc>
                <w:tcPr>
                  <w:tcW w:w="436" w:type="pct"/>
                  <w:vMerge w:val="restart"/>
                  <w:noWrap/>
                  <w:vAlign w:val="center"/>
                </w:tcPr>
                <w:p w14:paraId="459A75E8">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r>
                    <w:rPr>
                      <w:rFonts w:hint="default"/>
                      <w:b/>
                      <w:bCs/>
                      <w:color w:val="000000" w:themeColor="text1"/>
                      <w14:textFill>
                        <w14:solidFill>
                          <w14:schemeClr w14:val="tx1"/>
                        </w14:solidFill>
                      </w14:textFill>
                    </w:rPr>
                    <w:t>排放口类型</w:t>
                  </w:r>
                </w:p>
              </w:tc>
            </w:tr>
            <w:tr w14:paraId="6FDCC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23" w:type="pct"/>
                  <w:vMerge w:val="continue"/>
                  <w:noWrap/>
                  <w:vAlign w:val="center"/>
                </w:tcPr>
                <w:p w14:paraId="5B2D31F5">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p>
              </w:tc>
              <w:tc>
                <w:tcPr>
                  <w:tcW w:w="475" w:type="pct"/>
                  <w:vMerge w:val="continue"/>
                  <w:noWrap/>
                  <w:vAlign w:val="center"/>
                </w:tcPr>
                <w:p w14:paraId="7E0213D1">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p>
              </w:tc>
              <w:tc>
                <w:tcPr>
                  <w:tcW w:w="913" w:type="pct"/>
                  <w:vMerge w:val="continue"/>
                  <w:noWrap/>
                  <w:vAlign w:val="center"/>
                </w:tcPr>
                <w:p w14:paraId="6D1C28EE">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p>
              </w:tc>
              <w:tc>
                <w:tcPr>
                  <w:tcW w:w="655" w:type="pct"/>
                  <w:vMerge w:val="continue"/>
                  <w:noWrap/>
                  <w:vAlign w:val="center"/>
                </w:tcPr>
                <w:p w14:paraId="2B2B9E75">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p>
              </w:tc>
              <w:tc>
                <w:tcPr>
                  <w:tcW w:w="542" w:type="pct"/>
                  <w:vMerge w:val="continue"/>
                  <w:noWrap/>
                  <w:vAlign w:val="center"/>
                </w:tcPr>
                <w:p w14:paraId="23C87EE8">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p>
              </w:tc>
              <w:tc>
                <w:tcPr>
                  <w:tcW w:w="565" w:type="pct"/>
                  <w:noWrap/>
                  <w:vAlign w:val="center"/>
                </w:tcPr>
                <w:p w14:paraId="77376C27">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r>
                    <w:rPr>
                      <w:rFonts w:hint="default"/>
                      <w:b/>
                      <w:bCs/>
                      <w:color w:val="000000" w:themeColor="text1"/>
                      <w14:textFill>
                        <w14:solidFill>
                          <w14:schemeClr w14:val="tx1"/>
                        </w14:solidFill>
                      </w14:textFill>
                    </w:rPr>
                    <w:t>污染治理设施名称</w:t>
                  </w:r>
                </w:p>
              </w:tc>
              <w:tc>
                <w:tcPr>
                  <w:tcW w:w="565" w:type="pct"/>
                  <w:noWrap/>
                  <w:vAlign w:val="center"/>
                </w:tcPr>
                <w:p w14:paraId="789102DB">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r>
                    <w:rPr>
                      <w:rFonts w:hint="default"/>
                      <w:b/>
                      <w:bCs/>
                      <w:color w:val="000000" w:themeColor="text1"/>
                      <w14:textFill>
                        <w14:solidFill>
                          <w14:schemeClr w14:val="tx1"/>
                        </w14:solidFill>
                      </w14:textFill>
                    </w:rPr>
                    <w:t>污染治理设施工艺</w:t>
                  </w:r>
                </w:p>
              </w:tc>
              <w:tc>
                <w:tcPr>
                  <w:tcW w:w="519" w:type="pct"/>
                  <w:noWrap/>
                  <w:vAlign w:val="center"/>
                </w:tcPr>
                <w:p w14:paraId="5644642F">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r>
                    <w:rPr>
                      <w:rFonts w:hint="default"/>
                      <w:b/>
                      <w:bCs/>
                      <w:color w:val="000000" w:themeColor="text1"/>
                      <w14:textFill>
                        <w14:solidFill>
                          <w14:schemeClr w14:val="tx1"/>
                        </w14:solidFill>
                      </w14:textFill>
                    </w:rPr>
                    <w:t>是否为可行技术</w:t>
                  </w:r>
                </w:p>
              </w:tc>
              <w:tc>
                <w:tcPr>
                  <w:tcW w:w="436" w:type="pct"/>
                  <w:vMerge w:val="continue"/>
                  <w:noWrap/>
                  <w:vAlign w:val="center"/>
                </w:tcPr>
                <w:p w14:paraId="18B200F6">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p>
              </w:tc>
            </w:tr>
            <w:tr w14:paraId="14838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23" w:type="pct"/>
                  <w:noWrap/>
                  <w:vAlign w:val="center"/>
                </w:tcPr>
                <w:p w14:paraId="055D1ADD">
                  <w:pPr>
                    <w:pStyle w:val="40"/>
                    <w:keepNext w:val="0"/>
                    <w:keepLines w:val="0"/>
                    <w:suppressLineNumbers w:val="0"/>
                    <w:spacing w:before="33" w:beforeAutospacing="0" w:after="33" w:afterAutospacing="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1</w:t>
                  </w:r>
                </w:p>
              </w:tc>
              <w:tc>
                <w:tcPr>
                  <w:tcW w:w="783" w:type="dxa"/>
                  <w:noWrap/>
                  <w:vAlign w:val="center"/>
                </w:tcPr>
                <w:p w14:paraId="7E53D500">
                  <w:pPr>
                    <w:pStyle w:val="40"/>
                    <w:keepNext w:val="0"/>
                    <w:keepLines w:val="0"/>
                    <w:suppressLineNumbers w:val="0"/>
                    <w:spacing w:before="33" w:beforeAutospacing="0" w:after="33" w:afterAutospacing="0"/>
                    <w:ind w:left="24" w:leftChars="10" w:right="24" w:rightChars="10" w:firstLine="0" w:firstLineChars="0"/>
                    <w:rPr>
                      <w:rFonts w:hint="default" w:eastAsia="宋体"/>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生活污水</w:t>
                  </w:r>
                </w:p>
              </w:tc>
              <w:tc>
                <w:tcPr>
                  <w:tcW w:w="1506" w:type="dxa"/>
                  <w:noWrap/>
                  <w:vAlign w:val="center"/>
                </w:tcPr>
                <w:p w14:paraId="214621F9">
                  <w:pPr>
                    <w:pStyle w:val="40"/>
                    <w:keepNext w:val="0"/>
                    <w:keepLines w:val="0"/>
                    <w:suppressLineNumbers w:val="0"/>
                    <w:spacing w:before="33" w:beforeAutospacing="0" w:after="33" w:afterAutospacing="0"/>
                    <w:ind w:left="24" w:leftChars="10" w:right="24" w:rightChars="10" w:firstLine="0" w:firstLineChars="0"/>
                    <w:rPr>
                      <w:rFonts w:hint="default" w:eastAsia="宋体"/>
                      <w:color w:val="000000" w:themeColor="text1"/>
                      <w:lang w:val="en-US" w:eastAsia="zh-CN"/>
                      <w14:textFill>
                        <w14:solidFill>
                          <w14:schemeClr w14:val="tx1"/>
                        </w14:solidFill>
                      </w14:textFill>
                    </w:rPr>
                  </w:pPr>
                  <w:r>
                    <w:rPr>
                      <w:rFonts w:hint="eastAsia"/>
                      <w:color w:val="000000" w:themeColor="text1"/>
                      <w14:textFill>
                        <w14:solidFill>
                          <w14:schemeClr w14:val="tx1"/>
                        </w14:solidFill>
                      </w14:textFill>
                    </w:rPr>
                    <w:t>pH、</w:t>
                  </w:r>
                  <w:r>
                    <w:rPr>
                      <w:rFonts w:hint="default"/>
                      <w:color w:val="000000" w:themeColor="text1"/>
                      <w14:textFill>
                        <w14:solidFill>
                          <w14:schemeClr w14:val="tx1"/>
                        </w14:solidFill>
                      </w14:textFill>
                    </w:rPr>
                    <w:t>COD</w:t>
                  </w:r>
                  <w:r>
                    <w:rPr>
                      <w:rFonts w:hint="default"/>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BOD</w:t>
                  </w:r>
                  <w:r>
                    <w:rPr>
                      <w:rFonts w:hint="eastAsia"/>
                      <w:color w:val="000000" w:themeColor="text1"/>
                      <w:highlight w:val="none"/>
                      <w:vertAlign w:val="subscript"/>
                      <w14:textFill>
                        <w14:solidFill>
                          <w14:schemeClr w14:val="tx1"/>
                        </w14:solidFill>
                      </w14:textFill>
                    </w:rPr>
                    <w:t>5</w:t>
                  </w:r>
                  <w:r>
                    <w:rPr>
                      <w:rFonts w:hint="default"/>
                      <w:color w:val="000000" w:themeColor="text1"/>
                      <w:highlight w:val="none"/>
                      <w14:textFill>
                        <w14:solidFill>
                          <w14:schemeClr w14:val="tx1"/>
                        </w14:solidFill>
                      </w14:textFill>
                    </w:rPr>
                    <w:t>、NH</w:t>
                  </w:r>
                  <w:r>
                    <w:rPr>
                      <w:rFonts w:hint="default"/>
                      <w:color w:val="000000" w:themeColor="text1"/>
                      <w:highlight w:val="none"/>
                      <w:vertAlign w:val="subscript"/>
                      <w14:textFill>
                        <w14:solidFill>
                          <w14:schemeClr w14:val="tx1"/>
                        </w14:solidFill>
                      </w14:textFill>
                    </w:rPr>
                    <w:t>3</w:t>
                  </w:r>
                  <w:r>
                    <w:rPr>
                      <w:rFonts w:hint="default"/>
                      <w:color w:val="000000" w:themeColor="text1"/>
                      <w:highlight w:val="none"/>
                      <w14:textFill>
                        <w14:solidFill>
                          <w14:schemeClr w14:val="tx1"/>
                        </w14:solidFill>
                      </w14:textFill>
                    </w:rPr>
                    <w:t>-N</w:t>
                  </w:r>
                  <w:r>
                    <w:rPr>
                      <w:rFonts w:hint="default"/>
                      <w:color w:val="000000" w:themeColor="text1"/>
                      <w14:textFill>
                        <w14:solidFill>
                          <w14:schemeClr w14:val="tx1"/>
                        </w14:solidFill>
                      </w14:textFill>
                    </w:rPr>
                    <w:t>、SS</w:t>
                  </w:r>
                  <w:r>
                    <w:rPr>
                      <w:rFonts w:hint="eastAsia"/>
                      <w:color w:val="000000" w:themeColor="text1"/>
                      <w:lang w:eastAsia="zh-CN"/>
                      <w14:textFill>
                        <w14:solidFill>
                          <w14:schemeClr w14:val="tx1"/>
                        </w14:solidFill>
                      </w14:textFill>
                    </w:rPr>
                    <w:t>、</w:t>
                  </w:r>
                </w:p>
              </w:tc>
              <w:tc>
                <w:tcPr>
                  <w:tcW w:w="655" w:type="pct"/>
                  <w:noWrap/>
                  <w:vAlign w:val="center"/>
                </w:tcPr>
                <w:p w14:paraId="76922B85">
                  <w:pPr>
                    <w:pStyle w:val="40"/>
                    <w:keepNext w:val="0"/>
                    <w:keepLines w:val="0"/>
                    <w:suppressLineNumbers w:val="0"/>
                    <w:spacing w:before="33" w:beforeAutospacing="0" w:after="33" w:afterAutospacing="0"/>
                    <w:rPr>
                      <w:rFonts w:hint="default"/>
                      <w:color w:val="000000" w:themeColor="text1"/>
                      <w14:textFill>
                        <w14:solidFill>
                          <w14:schemeClr w14:val="tx1"/>
                        </w14:solidFill>
                      </w14:textFill>
                    </w:rPr>
                  </w:pPr>
                  <w:r>
                    <w:rPr>
                      <w:rFonts w:hint="eastAsia"/>
                      <w:color w:val="000000" w:themeColor="text1"/>
                      <w:highlight w:val="none"/>
                      <w:lang w:val="en-US" w:eastAsia="zh-CN"/>
                      <w14:textFill>
                        <w14:solidFill>
                          <w14:schemeClr w14:val="tx1"/>
                        </w14:solidFill>
                      </w14:textFill>
                    </w:rPr>
                    <w:t>八公山</w:t>
                  </w:r>
                  <w:r>
                    <w:rPr>
                      <w:rFonts w:hint="eastAsia"/>
                      <w:color w:val="000000" w:themeColor="text1"/>
                      <w:highlight w:val="none"/>
                      <w14:textFill>
                        <w14:solidFill>
                          <w14:schemeClr w14:val="tx1"/>
                        </w14:solidFill>
                      </w14:textFill>
                    </w:rPr>
                    <w:t>污水处理厂</w:t>
                  </w:r>
                </w:p>
              </w:tc>
              <w:tc>
                <w:tcPr>
                  <w:tcW w:w="542" w:type="pct"/>
                  <w:noWrap/>
                  <w:vAlign w:val="center"/>
                </w:tcPr>
                <w:p w14:paraId="208AB3D6">
                  <w:pPr>
                    <w:pStyle w:val="40"/>
                    <w:keepNext w:val="0"/>
                    <w:keepLines w:val="0"/>
                    <w:suppressLineNumbers w:val="0"/>
                    <w:spacing w:before="33" w:beforeAutospacing="0" w:after="33" w:afterAutospacing="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间断性排放</w:t>
                  </w:r>
                </w:p>
              </w:tc>
              <w:tc>
                <w:tcPr>
                  <w:tcW w:w="565" w:type="pct"/>
                  <w:noWrap/>
                  <w:vAlign w:val="center"/>
                </w:tcPr>
                <w:p w14:paraId="564C34AA">
                  <w:pPr>
                    <w:pStyle w:val="40"/>
                    <w:keepNext w:val="0"/>
                    <w:keepLines w:val="0"/>
                    <w:suppressLineNumbers w:val="0"/>
                    <w:spacing w:before="33" w:beforeAutospacing="0" w:after="33" w:afterAutospacing="0"/>
                    <w:rPr>
                      <w:rFonts w:hint="default" w:eastAsia="宋体"/>
                      <w:color w:val="000000" w:themeColor="text1"/>
                      <w:lang w:val="en-US" w:eastAsia="zh-CN"/>
                      <w14:textFill>
                        <w14:solidFill>
                          <w14:schemeClr w14:val="tx1"/>
                        </w14:solidFill>
                      </w14:textFill>
                    </w:rPr>
                  </w:pPr>
                  <w:r>
                    <w:rPr>
                      <w:rFonts w:hint="default"/>
                      <w:color w:val="000000" w:themeColor="text1"/>
                      <w14:textFill>
                        <w14:solidFill>
                          <w14:schemeClr w14:val="tx1"/>
                        </w14:solidFill>
                      </w14:textFill>
                    </w:rPr>
                    <w:t>化粪池</w:t>
                  </w:r>
                </w:p>
              </w:tc>
              <w:tc>
                <w:tcPr>
                  <w:tcW w:w="565" w:type="pct"/>
                  <w:noWrap/>
                  <w:vAlign w:val="center"/>
                </w:tcPr>
                <w:p w14:paraId="0F802708">
                  <w:pPr>
                    <w:pStyle w:val="40"/>
                    <w:keepNext w:val="0"/>
                    <w:keepLines w:val="0"/>
                    <w:suppressLineNumbers w:val="0"/>
                    <w:spacing w:before="33" w:beforeAutospacing="0" w:after="33" w:afterAutospacing="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生化</w:t>
                  </w:r>
                </w:p>
              </w:tc>
              <w:tc>
                <w:tcPr>
                  <w:tcW w:w="519" w:type="pct"/>
                  <w:noWrap/>
                  <w:vAlign w:val="center"/>
                </w:tcPr>
                <w:p w14:paraId="0E9D7D76">
                  <w:pPr>
                    <w:pStyle w:val="40"/>
                    <w:keepNext w:val="0"/>
                    <w:keepLines w:val="0"/>
                    <w:suppressLineNumbers w:val="0"/>
                    <w:spacing w:before="33" w:beforeAutospacing="0" w:after="33" w:afterAutospacing="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可行</w:t>
                  </w:r>
                </w:p>
              </w:tc>
              <w:tc>
                <w:tcPr>
                  <w:tcW w:w="436" w:type="pct"/>
                  <w:noWrap/>
                  <w:vAlign w:val="center"/>
                </w:tcPr>
                <w:p w14:paraId="32CF2E3A">
                  <w:pPr>
                    <w:pStyle w:val="40"/>
                    <w:keepNext w:val="0"/>
                    <w:keepLines w:val="0"/>
                    <w:suppressLineNumbers w:val="0"/>
                    <w:spacing w:before="33" w:beforeAutospacing="0" w:after="33" w:afterAutospacing="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一般排放口</w:t>
                  </w:r>
                </w:p>
              </w:tc>
            </w:tr>
          </w:tbl>
          <w:p w14:paraId="3BFC825E">
            <w:pPr>
              <w:pStyle w:val="43"/>
              <w:keepNext w:val="0"/>
              <w:keepLines w:val="0"/>
              <w:suppressLineNumbers w:val="0"/>
              <w:spacing w:before="0" w:beforeAutospacing="0" w:after="0" w:afterAutospacing="0"/>
              <w:ind w:left="0" w:right="0"/>
              <w:rPr>
                <w:rFonts w:hint="default"/>
                <w:color w:val="000000" w:themeColor="text1"/>
                <w14:textFill>
                  <w14:solidFill>
                    <w14:schemeClr w14:val="tx1"/>
                  </w14:solidFill>
                </w14:textFill>
              </w:rPr>
            </w:pPr>
            <w:r>
              <w:rPr>
                <w:color w:val="000000" w:themeColor="text1"/>
                <w14:textFill>
                  <w14:solidFill>
                    <w14:schemeClr w14:val="tx1"/>
                  </w14:solidFill>
                </w14:textFill>
              </w:rPr>
              <w:t>表4-</w:t>
            </w:r>
            <w:r>
              <w:rPr>
                <w:rFonts w:hint="eastAsia"/>
                <w:color w:val="000000" w:themeColor="text1"/>
                <w:lang w:val="en-US" w:eastAsia="zh-CN"/>
                <w14:textFill>
                  <w14:solidFill>
                    <w14:schemeClr w14:val="tx1"/>
                  </w14:solidFill>
                </w14:textFill>
              </w:rPr>
              <w:t>14</w:t>
            </w:r>
            <w:r>
              <w:rPr>
                <w:rFonts w:hint="eastAsia"/>
                <w:color w:val="000000" w:themeColor="text1"/>
                <w:lang w:eastAsia="zh-CN"/>
                <w14:textFill>
                  <w14:solidFill>
                    <w14:schemeClr w14:val="tx1"/>
                  </w14:solidFill>
                </w14:textFill>
              </w:rPr>
              <w:t xml:space="preserve">  </w:t>
            </w:r>
            <w:r>
              <w:rPr>
                <w:color w:val="000000" w:themeColor="text1"/>
                <w14:textFill>
                  <w14:solidFill>
                    <w14:schemeClr w14:val="tx1"/>
                  </w14:solidFill>
                </w14:textFill>
              </w:rPr>
              <w:t>废水排放口基本情况表</w:t>
            </w:r>
          </w:p>
          <w:tbl>
            <w:tblPr>
              <w:tblStyle w:val="1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71"/>
              <w:gridCol w:w="1054"/>
              <w:gridCol w:w="1143"/>
              <w:gridCol w:w="1186"/>
              <w:gridCol w:w="856"/>
              <w:gridCol w:w="761"/>
              <w:gridCol w:w="833"/>
              <w:gridCol w:w="880"/>
              <w:gridCol w:w="1290"/>
            </w:tblGrid>
            <w:tr w14:paraId="0F23F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39" w:type="pct"/>
                  <w:noWrap/>
                  <w:vAlign w:val="center"/>
                </w:tcPr>
                <w:p w14:paraId="1D423D3E">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排放口编号</w:t>
                  </w:r>
                </w:p>
              </w:tc>
              <w:tc>
                <w:tcPr>
                  <w:tcW w:w="600" w:type="pct"/>
                  <w:noWrap/>
                  <w:vAlign w:val="center"/>
                </w:tcPr>
                <w:p w14:paraId="54749822">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排放口名称</w:t>
                  </w:r>
                </w:p>
              </w:tc>
              <w:tc>
                <w:tcPr>
                  <w:tcW w:w="651" w:type="pct"/>
                  <w:noWrap/>
                  <w:vAlign w:val="center"/>
                </w:tcPr>
                <w:p w14:paraId="17F1C2B7">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排放口地理坐标</w:t>
                  </w:r>
                </w:p>
              </w:tc>
              <w:tc>
                <w:tcPr>
                  <w:tcW w:w="676" w:type="pct"/>
                  <w:noWrap/>
                  <w:vAlign w:val="center"/>
                </w:tcPr>
                <w:p w14:paraId="51A744EC">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污染物</w:t>
                  </w:r>
                </w:p>
              </w:tc>
              <w:tc>
                <w:tcPr>
                  <w:tcW w:w="488" w:type="pct"/>
                  <w:noWrap/>
                  <w:vAlign w:val="center"/>
                </w:tcPr>
                <w:p w14:paraId="187FCBE4">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排放方式</w:t>
                  </w:r>
                </w:p>
              </w:tc>
              <w:tc>
                <w:tcPr>
                  <w:tcW w:w="433" w:type="pct"/>
                  <w:noWrap/>
                  <w:vAlign w:val="center"/>
                </w:tcPr>
                <w:p w14:paraId="23117642">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排放去向</w:t>
                  </w:r>
                </w:p>
              </w:tc>
              <w:tc>
                <w:tcPr>
                  <w:tcW w:w="474" w:type="pct"/>
                  <w:noWrap/>
                  <w:vAlign w:val="center"/>
                </w:tcPr>
                <w:p w14:paraId="61D6366B">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排放规律</w:t>
                  </w:r>
                </w:p>
              </w:tc>
              <w:tc>
                <w:tcPr>
                  <w:tcW w:w="501" w:type="pct"/>
                  <w:noWrap/>
                  <w:vAlign w:val="center"/>
                </w:tcPr>
                <w:p w14:paraId="6D207C93">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排放口类型</w:t>
                  </w:r>
                </w:p>
              </w:tc>
              <w:tc>
                <w:tcPr>
                  <w:tcW w:w="735" w:type="pct"/>
                  <w:noWrap/>
                  <w:vAlign w:val="center"/>
                </w:tcPr>
                <w:p w14:paraId="748B0109">
                  <w:pPr>
                    <w:pStyle w:val="40"/>
                    <w:keepNext w:val="0"/>
                    <w:keepLines w:val="0"/>
                    <w:suppressLineNumbers w:val="0"/>
                    <w:spacing w:before="33" w:beforeAutospacing="0" w:after="33" w:afterAutospacing="0"/>
                    <w:rPr>
                      <w:rFonts w:hint="default"/>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排放标准</w:t>
                  </w:r>
                </w:p>
              </w:tc>
            </w:tr>
            <w:tr w14:paraId="2A201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39" w:type="pct"/>
                  <w:noWrap/>
                  <w:vAlign w:val="center"/>
                </w:tcPr>
                <w:p w14:paraId="1F1E4116">
                  <w:pPr>
                    <w:pStyle w:val="40"/>
                    <w:keepNext w:val="0"/>
                    <w:keepLines w:val="0"/>
                    <w:suppressLineNumbers w:val="0"/>
                    <w:spacing w:before="33" w:beforeAutospacing="0" w:after="33" w:afterAutospacing="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DW001</w:t>
                  </w:r>
                </w:p>
              </w:tc>
              <w:tc>
                <w:tcPr>
                  <w:tcW w:w="600" w:type="pct"/>
                  <w:noWrap/>
                  <w:vAlign w:val="center"/>
                </w:tcPr>
                <w:p w14:paraId="435590E7">
                  <w:pPr>
                    <w:pStyle w:val="40"/>
                    <w:keepNext w:val="0"/>
                    <w:keepLines w:val="0"/>
                    <w:suppressLineNumbers w:val="0"/>
                    <w:spacing w:before="33" w:beforeAutospacing="0" w:after="33" w:afterAutospacing="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废水总排口</w:t>
                  </w:r>
                </w:p>
              </w:tc>
              <w:tc>
                <w:tcPr>
                  <w:tcW w:w="651" w:type="pct"/>
                  <w:noWrap/>
                  <w:vAlign w:val="center"/>
                </w:tcPr>
                <w:p w14:paraId="3B8FFED1">
                  <w:pPr>
                    <w:pStyle w:val="46"/>
                    <w:keepNext w:val="0"/>
                    <w:keepLines w:val="0"/>
                    <w:suppressLineNumbers w:val="0"/>
                    <w:bidi w:val="0"/>
                    <w:spacing w:before="0" w:beforeAutospacing="0" w:after="0" w:afterAutospacing="0"/>
                    <w:rPr>
                      <w:color w:val="000000" w:themeColor="text1"/>
                      <w14:textFill>
                        <w14:solidFill>
                          <w14:schemeClr w14:val="tx1"/>
                        </w14:solidFill>
                      </w14:textFill>
                    </w:rPr>
                  </w:pPr>
                  <w:r>
                    <w:rPr>
                      <w:rFonts w:hint="default"/>
                      <w:color w:val="000000" w:themeColor="text1"/>
                      <w:highlight w:val="none"/>
                      <w14:textFill>
                        <w14:solidFill>
                          <w14:schemeClr w14:val="tx1"/>
                        </w14:solidFill>
                      </w14:textFill>
                    </w:rPr>
                    <w:t>116.890910</w:t>
                  </w:r>
                  <w:r>
                    <w:rPr>
                      <w:rFonts w:hint="eastAsia"/>
                      <w:color w:val="000000" w:themeColor="text1"/>
                      <w:highlight w:val="none"/>
                      <w:lang w:eastAsia="zh-CN"/>
                      <w14:textFill>
                        <w14:solidFill>
                          <w14:schemeClr w14:val="tx1"/>
                        </w14:solidFill>
                      </w14:textFill>
                    </w:rPr>
                    <w:t>,</w:t>
                  </w:r>
                  <w:r>
                    <w:rPr>
                      <w:rFonts w:hint="default"/>
                      <w:color w:val="000000" w:themeColor="text1"/>
                      <w:highlight w:val="none"/>
                      <w14:textFill>
                        <w14:solidFill>
                          <w14:schemeClr w14:val="tx1"/>
                        </w14:solidFill>
                      </w14:textFill>
                    </w:rPr>
                    <w:t>32.563184</w:t>
                  </w:r>
                </w:p>
              </w:tc>
              <w:tc>
                <w:tcPr>
                  <w:tcW w:w="676" w:type="pct"/>
                  <w:noWrap/>
                  <w:vAlign w:val="center"/>
                </w:tcPr>
                <w:p w14:paraId="1CACB951">
                  <w:pPr>
                    <w:pStyle w:val="40"/>
                    <w:keepNext w:val="0"/>
                    <w:keepLines w:val="0"/>
                    <w:suppressLineNumbers w:val="0"/>
                    <w:spacing w:before="33" w:beforeAutospacing="0" w:after="33" w:afterAutospacing="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pH</w:t>
                  </w:r>
                  <w:r>
                    <w:rPr>
                      <w:rFonts w:hint="eastAsia"/>
                      <w:color w:val="000000" w:themeColor="text1"/>
                      <w14:textFill>
                        <w14:solidFill>
                          <w14:schemeClr w14:val="tx1"/>
                        </w14:solidFill>
                      </w14:textFill>
                    </w:rPr>
                    <w:t>、</w:t>
                  </w:r>
                  <w:r>
                    <w:rPr>
                      <w:rFonts w:hint="default"/>
                      <w:color w:val="000000" w:themeColor="text1"/>
                      <w14:textFill>
                        <w14:solidFill>
                          <w14:schemeClr w14:val="tx1"/>
                        </w14:solidFill>
                      </w14:textFill>
                    </w:rPr>
                    <w:t>COD、氨氮</w:t>
                  </w:r>
                  <w:r>
                    <w:rPr>
                      <w:rFonts w:hint="eastAsia"/>
                      <w:color w:val="000000" w:themeColor="text1"/>
                      <w14:textFill>
                        <w14:solidFill>
                          <w14:schemeClr w14:val="tx1"/>
                        </w14:solidFill>
                      </w14:textFill>
                    </w:rPr>
                    <w:t>、</w:t>
                  </w:r>
                  <w:r>
                    <w:rPr>
                      <w:rFonts w:hint="default"/>
                      <w:color w:val="000000" w:themeColor="text1"/>
                      <w14:textFill>
                        <w14:solidFill>
                          <w14:schemeClr w14:val="tx1"/>
                        </w14:solidFill>
                      </w14:textFill>
                    </w:rPr>
                    <w:t>SS</w:t>
                  </w:r>
                  <w:r>
                    <w:rPr>
                      <w:rFonts w:hint="eastAsia"/>
                      <w:color w:val="000000" w:themeColor="text1"/>
                      <w14:textFill>
                        <w14:solidFill>
                          <w14:schemeClr w14:val="tx1"/>
                        </w14:solidFill>
                      </w14:textFill>
                    </w:rPr>
                    <w:t>、</w:t>
                  </w:r>
                  <w:r>
                    <w:rPr>
                      <w:rFonts w:hint="default"/>
                      <w:color w:val="000000" w:themeColor="text1"/>
                      <w:highlight w:val="none"/>
                      <w14:textFill>
                        <w14:solidFill>
                          <w14:schemeClr w14:val="tx1"/>
                        </w14:solidFill>
                      </w14:textFill>
                    </w:rPr>
                    <w:t>BOD</w:t>
                  </w:r>
                  <w:r>
                    <w:rPr>
                      <w:rFonts w:hint="default"/>
                      <w:color w:val="000000" w:themeColor="text1"/>
                      <w:highlight w:val="none"/>
                      <w:vertAlign w:val="subscript"/>
                      <w14:textFill>
                        <w14:solidFill>
                          <w14:schemeClr w14:val="tx1"/>
                        </w14:solidFill>
                      </w14:textFill>
                    </w:rPr>
                    <w:t>5</w:t>
                  </w:r>
                </w:p>
              </w:tc>
              <w:tc>
                <w:tcPr>
                  <w:tcW w:w="488" w:type="pct"/>
                  <w:noWrap/>
                  <w:vAlign w:val="center"/>
                </w:tcPr>
                <w:p w14:paraId="1519C83C">
                  <w:pPr>
                    <w:pStyle w:val="40"/>
                    <w:keepNext w:val="0"/>
                    <w:keepLines w:val="0"/>
                    <w:suppressLineNumbers w:val="0"/>
                    <w:spacing w:before="33" w:beforeAutospacing="0" w:after="33" w:afterAutospacing="0"/>
                    <w:rPr>
                      <w:rFonts w:hint="default"/>
                      <w:color w:val="000000" w:themeColor="text1"/>
                      <w14:textFill>
                        <w14:solidFill>
                          <w14:schemeClr w14:val="tx1"/>
                        </w14:solidFill>
                      </w14:textFill>
                    </w:rPr>
                  </w:pPr>
                  <w:r>
                    <w:rPr>
                      <w:rFonts w:hint="default"/>
                      <w:color w:val="000000" w:themeColor="text1"/>
                      <w14:textFill>
                        <w14:solidFill>
                          <w14:schemeClr w14:val="tx1"/>
                        </w14:solidFill>
                      </w14:textFill>
                    </w:rPr>
                    <w:t>间接排放</w:t>
                  </w:r>
                </w:p>
              </w:tc>
              <w:tc>
                <w:tcPr>
                  <w:tcW w:w="433" w:type="pct"/>
                  <w:noWrap/>
                  <w:vAlign w:val="center"/>
                </w:tcPr>
                <w:p w14:paraId="3659BC84">
                  <w:pPr>
                    <w:pStyle w:val="40"/>
                    <w:keepNext w:val="0"/>
                    <w:keepLines w:val="0"/>
                    <w:suppressLineNumbers w:val="0"/>
                    <w:spacing w:before="33" w:beforeAutospacing="0" w:after="33" w:afterAutospacing="0"/>
                    <w:rPr>
                      <w:rFonts w:hint="default"/>
                      <w:color w:val="000000" w:themeColor="text1"/>
                      <w14:textFill>
                        <w14:solidFill>
                          <w14:schemeClr w14:val="tx1"/>
                        </w14:solidFill>
                      </w14:textFill>
                    </w:rPr>
                  </w:pPr>
                  <w:r>
                    <w:rPr>
                      <w:rFonts w:hint="eastAsia"/>
                      <w:color w:val="000000" w:themeColor="text1"/>
                      <w:highlight w:val="none"/>
                      <w:lang w:val="en-US" w:eastAsia="zh-CN"/>
                      <w14:textFill>
                        <w14:solidFill>
                          <w14:schemeClr w14:val="tx1"/>
                        </w14:solidFill>
                      </w14:textFill>
                    </w:rPr>
                    <w:t>八公山</w:t>
                  </w:r>
                  <w:r>
                    <w:rPr>
                      <w:rFonts w:hint="eastAsia"/>
                      <w:color w:val="000000" w:themeColor="text1"/>
                      <w:highlight w:val="none"/>
                      <w14:textFill>
                        <w14:solidFill>
                          <w14:schemeClr w14:val="tx1"/>
                        </w14:solidFill>
                      </w14:textFill>
                    </w:rPr>
                    <w:t>污水处理厂</w:t>
                  </w:r>
                </w:p>
              </w:tc>
              <w:tc>
                <w:tcPr>
                  <w:tcW w:w="474" w:type="pct"/>
                  <w:noWrap/>
                  <w:vAlign w:val="center"/>
                </w:tcPr>
                <w:p w14:paraId="3007D40A">
                  <w:pPr>
                    <w:pStyle w:val="40"/>
                    <w:keepNext w:val="0"/>
                    <w:keepLines w:val="0"/>
                    <w:suppressLineNumbers w:val="0"/>
                    <w:spacing w:before="33" w:beforeAutospacing="0" w:after="33" w:afterAutospacing="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间断排放</w:t>
                  </w:r>
                </w:p>
              </w:tc>
              <w:tc>
                <w:tcPr>
                  <w:tcW w:w="501" w:type="pct"/>
                  <w:noWrap/>
                  <w:vAlign w:val="center"/>
                </w:tcPr>
                <w:p w14:paraId="7FCFEBF1">
                  <w:pPr>
                    <w:pStyle w:val="40"/>
                    <w:keepNext w:val="0"/>
                    <w:keepLines w:val="0"/>
                    <w:suppressLineNumbers w:val="0"/>
                    <w:spacing w:before="33" w:beforeAutospacing="0" w:after="33" w:afterAutospacing="0"/>
                    <w:rPr>
                      <w:rFonts w:hint="default"/>
                      <w:color w:val="000000" w:themeColor="text1"/>
                      <w14:textFill>
                        <w14:solidFill>
                          <w14:schemeClr w14:val="tx1"/>
                        </w14:solidFill>
                      </w14:textFill>
                    </w:rPr>
                  </w:pPr>
                  <w:r>
                    <w:rPr>
                      <w:rFonts w:hint="eastAsia"/>
                      <w:color w:val="000000" w:themeColor="text1"/>
                      <w14:textFill>
                        <w14:solidFill>
                          <w14:schemeClr w14:val="tx1"/>
                        </w14:solidFill>
                      </w14:textFill>
                    </w:rPr>
                    <w:t>一般排放口</w:t>
                  </w:r>
                </w:p>
              </w:tc>
              <w:tc>
                <w:tcPr>
                  <w:tcW w:w="735" w:type="pct"/>
                  <w:noWrap/>
                  <w:vAlign w:val="center"/>
                </w:tcPr>
                <w:p w14:paraId="1AC20FC0">
                  <w:pPr>
                    <w:pStyle w:val="40"/>
                    <w:keepNext w:val="0"/>
                    <w:keepLines w:val="0"/>
                    <w:suppressLineNumbers w:val="0"/>
                    <w:spacing w:before="33" w:beforeAutospacing="0" w:after="33" w:afterAutospacing="0"/>
                    <w:rPr>
                      <w:rFonts w:hint="default" w:eastAsia="宋体"/>
                      <w:color w:val="000000" w:themeColor="text1"/>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八公山</w:t>
                  </w:r>
                  <w:r>
                    <w:rPr>
                      <w:rFonts w:hint="eastAsia"/>
                      <w:color w:val="000000" w:themeColor="text1"/>
                      <w:highlight w:val="none"/>
                      <w14:textFill>
                        <w14:solidFill>
                          <w14:schemeClr w14:val="tx1"/>
                        </w14:solidFill>
                      </w14:textFill>
                    </w:rPr>
                    <w:t>污水处理厂</w:t>
                  </w:r>
                  <w:r>
                    <w:rPr>
                      <w:rFonts w:hint="eastAsia"/>
                      <w:color w:val="000000" w:themeColor="text1"/>
                      <w:highlight w:val="none"/>
                      <w:lang w:val="en-US" w:eastAsia="zh-CN"/>
                      <w14:textFill>
                        <w14:solidFill>
                          <w14:schemeClr w14:val="tx1"/>
                        </w14:solidFill>
                      </w14:textFill>
                    </w:rPr>
                    <w:t>接管限值</w:t>
                  </w:r>
                </w:p>
              </w:tc>
            </w:tr>
          </w:tbl>
          <w:p w14:paraId="0C2A4FA1">
            <w:pPr>
              <w:keepNext w:val="0"/>
              <w:keepLines w:val="0"/>
              <w:suppressLineNumbers w:val="0"/>
              <w:bidi w:val="0"/>
              <w:spacing w:before="0" w:beforeAutospacing="0" w:after="0" w:afterAutospacing="0"/>
              <w:ind w:left="0" w:right="0"/>
              <w:rPr>
                <w:rFonts w:hint="default"/>
                <w:b/>
                <w:bCs/>
                <w:color w:val="000000" w:themeColor="text1"/>
                <w14:textFill>
                  <w14:solidFill>
                    <w14:schemeClr w14:val="tx1"/>
                  </w14:solidFill>
                </w14:textFill>
              </w:rPr>
            </w:pPr>
            <w:r>
              <w:rPr>
                <w:rFonts w:hint="eastAsia"/>
                <w:b/>
                <w:bCs/>
                <w:color w:val="000000" w:themeColor="text1"/>
                <w:lang w:val="en-US" w:eastAsia="zh-CN"/>
                <w14:textFill>
                  <w14:solidFill>
                    <w14:schemeClr w14:val="tx1"/>
                  </w14:solidFill>
                </w14:textFill>
              </w:rPr>
              <w:t>5、生活污水</w:t>
            </w:r>
            <w:r>
              <w:rPr>
                <w:rFonts w:hint="default"/>
                <w:b/>
                <w:bCs/>
                <w:color w:val="000000" w:themeColor="text1"/>
                <w14:textFill>
                  <w14:solidFill>
                    <w14:schemeClr w14:val="tx1"/>
                  </w14:solidFill>
                </w14:textFill>
              </w:rPr>
              <w:t>处理依托</w:t>
            </w:r>
            <w:r>
              <w:rPr>
                <w:rFonts w:hint="eastAsia"/>
                <w:b/>
                <w:bCs/>
                <w:color w:val="000000" w:themeColor="text1"/>
                <w14:textFill>
                  <w14:solidFill>
                    <w14:schemeClr w14:val="tx1"/>
                  </w14:solidFill>
                </w14:textFill>
              </w:rPr>
              <w:t>污水处理厂处理</w:t>
            </w:r>
            <w:r>
              <w:rPr>
                <w:rFonts w:hint="default"/>
                <w:b/>
                <w:bCs/>
                <w:color w:val="000000" w:themeColor="text1"/>
                <w14:textFill>
                  <w14:solidFill>
                    <w14:schemeClr w14:val="tx1"/>
                  </w14:solidFill>
                </w14:textFill>
              </w:rPr>
              <w:t>可行性</w:t>
            </w:r>
            <w:r>
              <w:rPr>
                <w:rFonts w:hint="eastAsia"/>
                <w:b/>
                <w:bCs/>
                <w:color w:val="000000" w:themeColor="text1"/>
                <w14:textFill>
                  <w14:solidFill>
                    <w14:schemeClr w14:val="tx1"/>
                  </w14:solidFill>
                </w14:textFill>
              </w:rPr>
              <w:t>分析</w:t>
            </w:r>
          </w:p>
          <w:p w14:paraId="12C47272">
            <w:pPr>
              <w:keepNext w:val="0"/>
              <w:keepLines w:val="0"/>
              <w:suppressLineNumbers w:val="0"/>
              <w:bidi w:val="0"/>
              <w:spacing w:before="0" w:beforeAutospacing="0" w:after="0" w:afterAutospacing="0"/>
              <w:ind w:left="0" w:right="0"/>
              <w:rPr>
                <w:rFonts w:hint="eastAsia"/>
                <w:b/>
                <w:bCs/>
                <w:color w:val="000000" w:themeColor="text1"/>
                <w:highlight w:val="none"/>
                <w:lang w:eastAsia="zh-CN"/>
                <w14:textFill>
                  <w14:solidFill>
                    <w14:schemeClr w14:val="tx1"/>
                  </w14:solidFill>
                </w14:textFill>
              </w:rPr>
            </w:pPr>
            <w:r>
              <w:rPr>
                <w:rFonts w:hint="eastAsia"/>
                <w:b/>
                <w:bCs/>
                <w:color w:val="000000" w:themeColor="text1"/>
                <w:highlight w:val="none"/>
                <w:lang w:eastAsia="zh-CN"/>
                <w14:textFill>
                  <w14:solidFill>
                    <w14:schemeClr w14:val="tx1"/>
                  </w14:solidFill>
                </w14:textFill>
              </w:rPr>
              <w:t>（</w:t>
            </w:r>
            <w:r>
              <w:rPr>
                <w:rFonts w:hint="eastAsia"/>
                <w:b/>
                <w:bCs/>
                <w:color w:val="000000" w:themeColor="text1"/>
                <w:highlight w:val="none"/>
                <w:lang w:val="en-US" w:eastAsia="zh-CN"/>
                <w14:textFill>
                  <w14:solidFill>
                    <w14:schemeClr w14:val="tx1"/>
                  </w14:solidFill>
                </w14:textFill>
              </w:rPr>
              <w:t>1</w:t>
            </w:r>
            <w:r>
              <w:rPr>
                <w:rFonts w:hint="eastAsia"/>
                <w:b/>
                <w:bCs/>
                <w:color w:val="000000" w:themeColor="text1"/>
                <w:highlight w:val="none"/>
                <w:lang w:eastAsia="zh-CN"/>
                <w14:textFill>
                  <w14:solidFill>
                    <w14:schemeClr w14:val="tx1"/>
                  </w14:solidFill>
                </w14:textFill>
              </w:rPr>
              <w:t>）</w:t>
            </w:r>
            <w:r>
              <w:rPr>
                <w:rFonts w:hint="eastAsia"/>
                <w:b/>
                <w:bCs/>
                <w:color w:val="000000" w:themeColor="text1"/>
                <w:highlight w:val="none"/>
                <w14:textFill>
                  <w14:solidFill>
                    <w14:schemeClr w14:val="tx1"/>
                  </w14:solidFill>
                </w14:textFill>
              </w:rPr>
              <w:t>八公山</w:t>
            </w:r>
            <w:r>
              <w:rPr>
                <w:rFonts w:hint="default"/>
                <w:b/>
                <w:bCs/>
                <w:color w:val="000000" w:themeColor="text1"/>
                <w:highlight w:val="none"/>
                <w14:textFill>
                  <w14:solidFill>
                    <w14:schemeClr w14:val="tx1"/>
                  </w14:solidFill>
                </w14:textFill>
              </w:rPr>
              <w:t>污水处理厂现状</w:t>
            </w:r>
          </w:p>
          <w:p w14:paraId="44093131">
            <w:pPr>
              <w:keepNext w:val="0"/>
              <w:keepLines w:val="0"/>
              <w:suppressLineNumbers w:val="0"/>
              <w:bidi w:val="0"/>
              <w:spacing w:before="0" w:beforeAutospacing="0" w:after="0" w:afterAutospacing="0"/>
              <w:ind w:left="0" w:right="0"/>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八公山污水处理厂（即淮南市西部污水处理厂）</w:t>
            </w:r>
            <w:r>
              <w:rPr>
                <w:rFonts w:hint="default"/>
                <w:color w:val="000000" w:themeColor="text1"/>
                <w:highlight w:val="none"/>
                <w14:textFill>
                  <w14:solidFill>
                    <w14:schemeClr w14:val="tx1"/>
                  </w14:solidFill>
                </w14:textFill>
              </w:rPr>
              <w:t>位于</w:t>
            </w:r>
            <w:r>
              <w:rPr>
                <w:rFonts w:hint="eastAsia"/>
                <w:color w:val="000000" w:themeColor="text1"/>
                <w:highlight w:val="none"/>
                <w14:textFill>
                  <w14:solidFill>
                    <w14:schemeClr w14:val="tx1"/>
                  </w14:solidFill>
                </w14:textFill>
              </w:rPr>
              <w:t>八公山区北郊，东临蔡新路，北临皖淮机械厂铁路专用线</w:t>
            </w:r>
            <w:r>
              <w:rPr>
                <w:rFonts w:hint="default"/>
                <w:color w:val="000000" w:themeColor="text1"/>
                <w:highlight w:val="none"/>
                <w14:textFill>
                  <w14:solidFill>
                    <w14:schemeClr w14:val="tx1"/>
                  </w14:solidFill>
                </w14:textFill>
              </w:rPr>
              <w:t>，于200</w:t>
            </w:r>
            <w:r>
              <w:rPr>
                <w:rFonts w:hint="eastAsia"/>
                <w:color w:val="000000" w:themeColor="text1"/>
                <w:highlight w:val="none"/>
                <w14:textFill>
                  <w14:solidFill>
                    <w14:schemeClr w14:val="tx1"/>
                  </w14:solidFill>
                </w14:textFill>
              </w:rPr>
              <w:t>3</w:t>
            </w:r>
            <w:r>
              <w:rPr>
                <w:rFonts w:hint="default"/>
                <w:color w:val="000000" w:themeColor="text1"/>
                <w:highlight w:val="none"/>
                <w14:textFill>
                  <w14:solidFill>
                    <w14:schemeClr w14:val="tx1"/>
                  </w14:solidFill>
                </w14:textFill>
              </w:rPr>
              <w:t>年</w:t>
            </w:r>
            <w:r>
              <w:rPr>
                <w:rFonts w:hint="eastAsia"/>
                <w:color w:val="000000" w:themeColor="text1"/>
                <w:highlight w:val="none"/>
                <w14:textFill>
                  <w14:solidFill>
                    <w14:schemeClr w14:val="tx1"/>
                  </w14:solidFill>
                </w14:textFill>
              </w:rPr>
              <w:t>3</w:t>
            </w:r>
            <w:r>
              <w:rPr>
                <w:rFonts w:hint="default"/>
                <w:color w:val="000000" w:themeColor="text1"/>
                <w:highlight w:val="none"/>
                <w14:textFill>
                  <w14:solidFill>
                    <w14:schemeClr w14:val="tx1"/>
                  </w14:solidFill>
                </w14:textFill>
              </w:rPr>
              <w:t>月</w:t>
            </w:r>
            <w:r>
              <w:rPr>
                <w:rFonts w:hint="eastAsia"/>
                <w:color w:val="000000" w:themeColor="text1"/>
                <w:highlight w:val="none"/>
                <w14:textFill>
                  <w14:solidFill>
                    <w14:schemeClr w14:val="tx1"/>
                  </w14:solidFill>
                </w14:textFill>
              </w:rPr>
              <w:t>5日取得环评批复（环监</w:t>
            </w:r>
            <w:r>
              <w:rPr>
                <w:rFonts w:hint="eastAsia"/>
                <w:color w:val="000000" w:themeColor="text1"/>
                <w:highlight w:val="none"/>
                <w:lang w:eastAsia="zh-CN"/>
                <w14:textFill>
                  <w14:solidFill>
                    <w14:schemeClr w14:val="tx1"/>
                  </w14:solidFill>
                </w14:textFill>
              </w:rPr>
              <w:t>〔</w:t>
            </w:r>
            <w:r>
              <w:rPr>
                <w:rFonts w:hint="eastAsia"/>
                <w:color w:val="000000" w:themeColor="text1"/>
                <w:highlight w:val="none"/>
                <w14:textFill>
                  <w14:solidFill>
                    <w14:schemeClr w14:val="tx1"/>
                  </w14:solidFill>
                </w14:textFill>
              </w:rPr>
              <w:t>2003</w:t>
            </w:r>
            <w:r>
              <w:rPr>
                <w:rFonts w:hint="eastAsia"/>
                <w:color w:val="000000" w:themeColor="text1"/>
                <w:highlight w:val="none"/>
                <w:lang w:eastAsia="zh-CN"/>
                <w14:textFill>
                  <w14:solidFill>
                    <w14:schemeClr w14:val="tx1"/>
                  </w14:solidFill>
                </w14:textFill>
              </w:rPr>
              <w:t>〕</w:t>
            </w:r>
            <w:r>
              <w:rPr>
                <w:rFonts w:hint="eastAsia"/>
                <w:color w:val="000000" w:themeColor="text1"/>
                <w:highlight w:val="none"/>
                <w14:textFill>
                  <w14:solidFill>
                    <w14:schemeClr w14:val="tx1"/>
                  </w14:solidFill>
                </w14:textFill>
              </w:rPr>
              <w:t>31号）</w:t>
            </w:r>
            <w:r>
              <w:rPr>
                <w:rFonts w:hint="default"/>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服务范围为淮南市西部八公山</w:t>
            </w:r>
            <w:r>
              <w:rPr>
                <w:rFonts w:hint="default"/>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谢家集区和李郢孜镇，共计集污面积约19.5k</w:t>
            </w:r>
            <w:r>
              <w:rPr>
                <w:rFonts w:hint="eastAsia"/>
                <w:color w:val="000000" w:themeColor="text1"/>
                <w:highlight w:val="none"/>
                <w:lang w:val="en-US" w:eastAsia="zh-CN"/>
                <w14:textFill>
                  <w14:solidFill>
                    <w14:schemeClr w14:val="tx1"/>
                  </w14:solidFill>
                </w14:textFill>
              </w:rPr>
              <w:t>㎡</w:t>
            </w:r>
            <w:r>
              <w:rPr>
                <w:rFonts w:hint="eastAsia"/>
                <w:color w:val="000000" w:themeColor="text1"/>
                <w:highlight w:val="none"/>
                <w14:textFill>
                  <w14:solidFill>
                    <w14:schemeClr w14:val="tx1"/>
                  </w14:solidFill>
                </w14:textFill>
              </w:rPr>
              <w:t>，服务范围内污水总量约10万</w:t>
            </w:r>
            <w:r>
              <w:rPr>
                <w:rFonts w:hint="eastAsia"/>
                <w:color w:val="000000" w:themeColor="text1"/>
                <w:highlight w:val="none"/>
                <w:lang w:val="en-US" w:eastAsia="zh-CN"/>
                <w14:textFill>
                  <w14:solidFill>
                    <w14:schemeClr w14:val="tx1"/>
                  </w14:solidFill>
                </w14:textFill>
              </w:rPr>
              <w:t>m³</w:t>
            </w:r>
            <w:r>
              <w:rPr>
                <w:rFonts w:hint="eastAsia"/>
                <w:color w:val="000000" w:themeColor="text1"/>
                <w:highlight w:val="none"/>
                <w14:textFill>
                  <w14:solidFill>
                    <w14:schemeClr w14:val="tx1"/>
                  </w14:solidFill>
                </w14:textFill>
              </w:rPr>
              <w:t>/d。污水处理厂污水分别经粗格栅</w:t>
            </w:r>
            <w:r>
              <w:rPr>
                <w:rFonts w:hint="default"/>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细格栅</w:t>
            </w:r>
            <w:r>
              <w:rPr>
                <w:rFonts w:hint="default"/>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沉砂池预处理后由厌氧池</w:t>
            </w:r>
            <w:r>
              <w:rPr>
                <w:rFonts w:hint="default"/>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氧化沟进行生化处理，污水经厌氧池</w:t>
            </w:r>
            <w:r>
              <w:rPr>
                <w:rFonts w:hint="default"/>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氧化沟和二沉池处理后排放，二沉池污泥一部分回流至厌氧沟，剩余污泥经浓缩脱水一体化设备浓缩脱水为泥饼后外运。</w:t>
            </w:r>
          </w:p>
          <w:p w14:paraId="38B2A71C">
            <w:pPr>
              <w:keepNext w:val="0"/>
              <w:keepLines w:val="0"/>
              <w:suppressLineNumbers w:val="0"/>
              <w:bidi w:val="0"/>
              <w:spacing w:before="0" w:beforeAutospacing="0" w:after="0" w:afterAutospacing="0"/>
              <w:ind w:left="0" w:leftChars="0" w:right="0" w:firstLine="0" w:firstLineChars="0"/>
              <w:jc w:val="center"/>
              <w:rPr>
                <w:rFonts w:hint="eastAsia"/>
                <w:color w:val="000000" w:themeColor="text1"/>
                <w:highlight w:val="none"/>
                <w:lang w:eastAsia="zh-CN"/>
                <w14:textFill>
                  <w14:solidFill>
                    <w14:schemeClr w14:val="tx1"/>
                  </w14:solidFill>
                </w14:textFill>
              </w:rPr>
            </w:pPr>
            <w:r>
              <w:rPr>
                <w:rFonts w:hint="default"/>
                <w:color w:val="000000" w:themeColor="text1"/>
                <w:highlight w:val="none"/>
                <w14:textFill>
                  <w14:solidFill>
                    <w14:schemeClr w14:val="tx1"/>
                  </w14:solidFill>
                </w14:textFill>
              </w:rPr>
              <w:drawing>
                <wp:inline distT="0" distB="0" distL="114300" distR="114300">
                  <wp:extent cx="4930775" cy="1623695"/>
                  <wp:effectExtent l="0" t="0" r="3175" b="14605"/>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22"/>
                          <a:stretch>
                            <a:fillRect/>
                          </a:stretch>
                        </pic:blipFill>
                        <pic:spPr>
                          <a:xfrm>
                            <a:off x="0" y="0"/>
                            <a:ext cx="4930775" cy="1623695"/>
                          </a:xfrm>
                          <a:prstGeom prst="rect">
                            <a:avLst/>
                          </a:prstGeom>
                          <a:noFill/>
                          <a:ln>
                            <a:noFill/>
                          </a:ln>
                        </pic:spPr>
                      </pic:pic>
                    </a:graphicData>
                  </a:graphic>
                </wp:inline>
              </w:drawing>
            </w:r>
          </w:p>
          <w:p w14:paraId="12B34CD8">
            <w:pPr>
              <w:pStyle w:val="47"/>
              <w:keepNext w:val="0"/>
              <w:keepLines w:val="0"/>
              <w:pageBreakBefore w:val="0"/>
              <w:widowControl w:val="0"/>
              <w:suppressLineNumbers w:val="0"/>
              <w:kinsoku/>
              <w:wordWrap w:val="0"/>
              <w:overflowPunct/>
              <w:topLinePunct w:val="0"/>
              <w:autoSpaceDE/>
              <w:autoSpaceDN/>
              <w:bidi w:val="0"/>
              <w:adjustRightInd/>
              <w:snapToGrid/>
              <w:spacing w:before="0" w:beforeAutospacing="0" w:after="0" w:afterAutospacing="0"/>
              <w:ind w:left="0" w:right="0" w:firstLine="0" w:firstLineChars="0"/>
              <w:textAlignment w:val="auto"/>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图</w:t>
            </w:r>
            <w:r>
              <w:rPr>
                <w:rFonts w:hint="eastAsia"/>
                <w:color w:val="000000" w:themeColor="text1"/>
                <w:highlight w:val="none"/>
                <w:lang w:val="en-US" w:eastAsia="zh-CN"/>
                <w14:textFill>
                  <w14:solidFill>
                    <w14:schemeClr w14:val="tx1"/>
                  </w14:solidFill>
                </w14:textFill>
              </w:rPr>
              <w:t>4-2</w:t>
            </w:r>
            <w:r>
              <w:rPr>
                <w:rFonts w:hint="eastAsia"/>
                <w:color w:val="000000" w:themeColor="text1"/>
                <w:highlight w:val="none"/>
                <w14:textFill>
                  <w14:solidFill>
                    <w14:schemeClr w14:val="tx1"/>
                  </w14:solidFill>
                </w14:textFill>
              </w:rPr>
              <w:t xml:space="preserve">  污水处理厂污水处理工艺流程简图</w:t>
            </w:r>
          </w:p>
          <w:p w14:paraId="388946A3">
            <w:pPr>
              <w:keepNext w:val="0"/>
              <w:keepLines w:val="0"/>
              <w:suppressLineNumbers w:val="0"/>
              <w:spacing w:before="0" w:beforeAutospacing="0" w:after="0" w:afterAutospacing="0"/>
              <w:ind w:left="0" w:right="0" w:firstLine="480"/>
              <w:rPr>
                <w:rFonts w:hint="default"/>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2014年淮南首创水务八公山污水处理厂提标改造工程已经淮南市发展和改革委员会同意立项。处理能力仍为10万</w:t>
            </w:r>
            <w:r>
              <w:rPr>
                <w:rFonts w:hint="eastAsia"/>
                <w:color w:val="000000" w:themeColor="text1"/>
                <w:highlight w:val="none"/>
                <w:lang w:val="en-US" w:eastAsia="zh-CN"/>
                <w14:textFill>
                  <w14:solidFill>
                    <w14:schemeClr w14:val="tx1"/>
                  </w14:solidFill>
                </w14:textFill>
              </w:rPr>
              <w:t>m³</w:t>
            </w:r>
            <w:r>
              <w:rPr>
                <w:rFonts w:hint="eastAsia"/>
                <w:color w:val="000000" w:themeColor="text1"/>
                <w:highlight w:val="none"/>
                <w14:textFill>
                  <w14:solidFill>
                    <w14:schemeClr w14:val="tx1"/>
                  </w14:solidFill>
                </w14:textFill>
              </w:rPr>
              <w:t>/d，本次提标改造污水处理设计采用ARP/SSH+絮凝沉淀滤布滤池过滤工艺，设计出水达到《城镇污水处理厂污染物排放标准》（GB18918－2002）一级A标准。主要工程内容为：将厌氧池改造为ARP/SSH，新增絮凝沉淀滤布滤池、反冲洗废水池、变配电间和加药间等，以及对现有氧化沟、回流泵房进行改造。</w:t>
            </w:r>
          </w:p>
          <w:p w14:paraId="5A35BBFA">
            <w:pPr>
              <w:keepNext w:val="0"/>
              <w:keepLines w:val="0"/>
              <w:suppressLineNumbers w:val="0"/>
              <w:bidi w:val="0"/>
              <w:spacing w:before="0" w:beforeAutospacing="0" w:after="0" w:afterAutospacing="0"/>
              <w:ind w:left="0" w:right="0"/>
              <w:rPr>
                <w:rFonts w:hint="eastAsia"/>
                <w:b/>
                <w:bCs/>
                <w:color w:val="000000" w:themeColor="text1"/>
                <w:highlight w:val="none"/>
                <w:lang w:eastAsia="zh-CN"/>
                <w14:textFill>
                  <w14:solidFill>
                    <w14:schemeClr w14:val="tx1"/>
                  </w14:solidFill>
                </w14:textFill>
              </w:rPr>
            </w:pPr>
            <w:r>
              <w:rPr>
                <w:rFonts w:hint="eastAsia"/>
                <w:b/>
                <w:bCs/>
                <w:color w:val="000000" w:themeColor="text1"/>
                <w:highlight w:val="none"/>
                <w:lang w:eastAsia="zh-CN"/>
                <w14:textFill>
                  <w14:solidFill>
                    <w14:schemeClr w14:val="tx1"/>
                  </w14:solidFill>
                </w14:textFill>
              </w:rPr>
              <w:t>（</w:t>
            </w:r>
            <w:r>
              <w:rPr>
                <w:rFonts w:hint="eastAsia"/>
                <w:b/>
                <w:bCs/>
                <w:color w:val="000000" w:themeColor="text1"/>
                <w:highlight w:val="none"/>
                <w:lang w:val="en-US" w:eastAsia="zh-CN"/>
                <w14:textFill>
                  <w14:solidFill>
                    <w14:schemeClr w14:val="tx1"/>
                  </w14:solidFill>
                </w14:textFill>
              </w:rPr>
              <w:t>2</w:t>
            </w:r>
            <w:r>
              <w:rPr>
                <w:rFonts w:hint="eastAsia"/>
                <w:b/>
                <w:bCs/>
                <w:color w:val="000000" w:themeColor="text1"/>
                <w:highlight w:val="none"/>
                <w:lang w:eastAsia="zh-CN"/>
                <w14:textFill>
                  <w14:solidFill>
                    <w14:schemeClr w14:val="tx1"/>
                  </w14:solidFill>
                </w14:textFill>
              </w:rPr>
              <w:t>）依托设施可行性分析</w:t>
            </w:r>
          </w:p>
          <w:p w14:paraId="18B0E019">
            <w:pPr>
              <w:keepNext w:val="0"/>
              <w:keepLines w:val="0"/>
              <w:suppressLineNumbers w:val="0"/>
              <w:bidi w:val="0"/>
              <w:spacing w:before="0" w:beforeAutospacing="0" w:after="0" w:afterAutospacing="0"/>
              <w:ind w:left="0" w:right="0"/>
              <w:rPr>
                <w:rFonts w:hint="default"/>
                <w:b/>
                <w:bCs/>
                <w:color w:val="000000" w:themeColor="text1"/>
                <w:highlight w:val="none"/>
                <w:lang w:val="en-US" w:eastAsia="zh-CN"/>
                <w14:textFill>
                  <w14:solidFill>
                    <w14:schemeClr w14:val="tx1"/>
                  </w14:solidFill>
                </w14:textFill>
              </w:rPr>
            </w:pPr>
            <w:r>
              <w:rPr>
                <w:rFonts w:hint="eastAsia"/>
                <w:b/>
                <w:bCs/>
                <w:color w:val="000000" w:themeColor="text1"/>
                <w:highlight w:val="none"/>
                <w:lang w:val="en-US" w:eastAsia="zh-CN"/>
                <w14:textFill>
                  <w14:solidFill>
                    <w14:schemeClr w14:val="tx1"/>
                  </w14:solidFill>
                </w14:textFill>
              </w:rPr>
              <w:t>①从水量角度分析</w:t>
            </w:r>
          </w:p>
          <w:p w14:paraId="2477BCAA">
            <w:pPr>
              <w:keepNext w:val="0"/>
              <w:keepLines w:val="0"/>
              <w:suppressLineNumbers w:val="0"/>
              <w:bidi w:val="0"/>
              <w:spacing w:before="0" w:beforeAutospacing="0" w:after="0" w:afterAutospacing="0"/>
              <w:ind w:left="0" w:right="0"/>
              <w:rPr>
                <w:rFonts w:hint="eastAsia"/>
                <w:color w:val="000000" w:themeColor="text1"/>
                <w:highlight w:val="none"/>
                <w14:textFill>
                  <w14:solidFill>
                    <w14:schemeClr w14:val="tx1"/>
                  </w14:solidFill>
                </w14:textFill>
              </w:rPr>
            </w:pPr>
            <w:r>
              <w:rPr>
                <w:rFonts w:hint="eastAsia"/>
                <w:color w:val="000000" w:themeColor="text1"/>
                <w:highlight w:val="none"/>
                <w:lang w:eastAsia="zh-CN"/>
                <w14:textFill>
                  <w14:solidFill>
                    <w14:schemeClr w14:val="tx1"/>
                  </w14:solidFill>
                </w14:textFill>
              </w:rPr>
              <w:t>本</w:t>
            </w:r>
            <w:r>
              <w:rPr>
                <w:rFonts w:hint="eastAsia"/>
                <w:color w:val="000000" w:themeColor="text1"/>
                <w:highlight w:val="none"/>
                <w14:textFill>
                  <w14:solidFill>
                    <w14:schemeClr w14:val="tx1"/>
                  </w14:solidFill>
                </w14:textFill>
              </w:rPr>
              <w:t>项目</w:t>
            </w:r>
            <w:r>
              <w:rPr>
                <w:rFonts w:hint="eastAsia" w:eastAsia="宋体"/>
                <w:color w:val="000000" w:themeColor="text1"/>
                <w:lang w:val="en-US" w:eastAsia="zh-CN"/>
                <w14:textFill>
                  <w14:solidFill>
                    <w14:schemeClr w14:val="tx1"/>
                  </w14:solidFill>
                </w14:textFill>
              </w:rPr>
              <w:t>生活污水</w:t>
            </w:r>
            <w:r>
              <w:rPr>
                <w:rFonts w:hint="eastAsia"/>
                <w:color w:val="000000" w:themeColor="text1"/>
                <w:highlight w:val="none"/>
                <w14:textFill>
                  <w14:solidFill>
                    <w14:schemeClr w14:val="tx1"/>
                  </w14:solidFill>
                </w14:textFill>
              </w:rPr>
              <w:t>经</w:t>
            </w:r>
            <w:r>
              <w:rPr>
                <w:rFonts w:hint="eastAsia"/>
                <w:color w:val="000000" w:themeColor="text1"/>
                <w:highlight w:val="none"/>
                <w:lang w:val="en-US" w:eastAsia="zh-CN"/>
                <w14:textFill>
                  <w14:solidFill>
                    <w14:schemeClr w14:val="tx1"/>
                  </w14:solidFill>
                </w14:textFill>
              </w:rPr>
              <w:t>化粪池</w:t>
            </w:r>
            <w:r>
              <w:rPr>
                <w:rFonts w:hint="eastAsia"/>
                <w:color w:val="000000" w:themeColor="text1"/>
                <w:highlight w:val="none"/>
                <w14:textFill>
                  <w14:solidFill>
                    <w14:schemeClr w14:val="tx1"/>
                  </w14:solidFill>
                </w14:textFill>
              </w:rPr>
              <w:t>后满足</w:t>
            </w:r>
            <w:r>
              <w:rPr>
                <w:rFonts w:hint="default"/>
                <w:color w:val="000000" w:themeColor="text1"/>
                <w:highlight w:val="none"/>
                <w14:textFill>
                  <w14:solidFill>
                    <w14:schemeClr w14:val="tx1"/>
                  </w14:solidFill>
                </w14:textFill>
              </w:rPr>
              <w:t>《污水综合排放标准》（GB8978-1996）三级标准和</w:t>
            </w:r>
            <w:r>
              <w:rPr>
                <w:rFonts w:hint="eastAsia"/>
                <w:color w:val="000000" w:themeColor="text1"/>
                <w:highlight w:val="none"/>
                <w:lang w:eastAsia="zh-CN"/>
                <w14:textFill>
                  <w14:solidFill>
                    <w14:schemeClr w14:val="tx1"/>
                  </w14:solidFill>
                </w14:textFill>
              </w:rPr>
              <w:t>八公山污水处理厂</w:t>
            </w:r>
            <w:r>
              <w:rPr>
                <w:rFonts w:hint="default"/>
                <w:color w:val="000000" w:themeColor="text1"/>
                <w:highlight w:val="none"/>
                <w14:textFill>
                  <w14:solidFill>
                    <w14:schemeClr w14:val="tx1"/>
                  </w14:solidFill>
                </w14:textFill>
              </w:rPr>
              <w:t>接管</w:t>
            </w:r>
            <w:r>
              <w:rPr>
                <w:rFonts w:hint="eastAsia"/>
                <w:color w:val="000000" w:themeColor="text1"/>
                <w:highlight w:val="none"/>
                <w:lang w:val="en-US" w:eastAsia="zh-CN"/>
                <w14:textFill>
                  <w14:solidFill>
                    <w14:schemeClr w14:val="tx1"/>
                  </w14:solidFill>
                </w14:textFill>
              </w:rPr>
              <w:t>现在</w:t>
            </w:r>
            <w:r>
              <w:rPr>
                <w:rFonts w:hint="eastAsia"/>
                <w:color w:val="000000" w:themeColor="text1"/>
                <w:highlight w:val="none"/>
                <w14:textFill>
                  <w14:solidFill>
                    <w14:schemeClr w14:val="tx1"/>
                  </w14:solidFill>
                </w14:textFill>
              </w:rPr>
              <w:t>进水水质要求，项目排放</w:t>
            </w:r>
            <w:r>
              <w:rPr>
                <w:rFonts w:hint="eastAsia"/>
                <w:color w:val="000000" w:themeColor="text1"/>
                <w:highlight w:val="none"/>
                <w:lang w:eastAsia="zh-CN"/>
                <w14:textFill>
                  <w14:solidFill>
                    <w14:schemeClr w14:val="tx1"/>
                  </w14:solidFill>
                </w14:textFill>
              </w:rPr>
              <w:t>废</w:t>
            </w:r>
            <w:r>
              <w:rPr>
                <w:rFonts w:hint="eastAsia"/>
                <w:color w:val="000000" w:themeColor="text1"/>
                <w:highlight w:val="none"/>
                <w14:textFill>
                  <w14:solidFill>
                    <w14:schemeClr w14:val="tx1"/>
                  </w14:solidFill>
                </w14:textFill>
              </w:rPr>
              <w:t>水量为</w:t>
            </w:r>
            <w:r>
              <w:rPr>
                <w:rFonts w:hint="eastAsia"/>
                <w:color w:val="000000" w:themeColor="text1"/>
                <w:highlight w:val="none"/>
                <w:lang w:val="en-US" w:eastAsia="zh-CN"/>
                <w14:textFill>
                  <w14:solidFill>
                    <w14:schemeClr w14:val="tx1"/>
                  </w14:solidFill>
                </w14:textFill>
              </w:rPr>
              <w:t>1.846m³</w:t>
            </w:r>
            <w:r>
              <w:rPr>
                <w:rFonts w:hint="eastAsia"/>
                <w:color w:val="000000" w:themeColor="text1"/>
                <w:highlight w:val="none"/>
                <w14:textFill>
                  <w14:solidFill>
                    <w14:schemeClr w14:val="tx1"/>
                  </w14:solidFill>
                </w14:textFill>
              </w:rPr>
              <w:t>/d，占</w:t>
            </w:r>
            <w:r>
              <w:rPr>
                <w:rFonts w:hint="eastAsia"/>
                <w:color w:val="000000" w:themeColor="text1"/>
                <w:highlight w:val="none"/>
                <w:lang w:eastAsia="zh-CN"/>
                <w14:textFill>
                  <w14:solidFill>
                    <w14:schemeClr w14:val="tx1"/>
                  </w14:solidFill>
                </w14:textFill>
              </w:rPr>
              <w:t>八公山污水处理厂</w:t>
            </w:r>
            <w:r>
              <w:rPr>
                <w:rFonts w:hint="eastAsia"/>
                <w:color w:val="000000" w:themeColor="text1"/>
                <w:highlight w:val="none"/>
                <w14:textFill>
                  <w14:solidFill>
                    <w14:schemeClr w14:val="tx1"/>
                  </w14:solidFill>
                </w14:textFill>
              </w:rPr>
              <w:t>设计处理能力10万</w:t>
            </w:r>
            <w:r>
              <w:rPr>
                <w:rFonts w:hint="eastAsia"/>
                <w:color w:val="000000" w:themeColor="text1"/>
                <w:highlight w:val="none"/>
                <w:lang w:val="en-US" w:eastAsia="zh-CN"/>
                <w14:textFill>
                  <w14:solidFill>
                    <w14:schemeClr w14:val="tx1"/>
                  </w14:solidFill>
                </w14:textFill>
              </w:rPr>
              <w:t>m³</w:t>
            </w:r>
            <w:r>
              <w:rPr>
                <w:rFonts w:hint="eastAsia"/>
                <w:color w:val="000000" w:themeColor="text1"/>
                <w:highlight w:val="none"/>
                <w14:textFill>
                  <w14:solidFill>
                    <w14:schemeClr w14:val="tx1"/>
                  </w14:solidFill>
                </w14:textFill>
              </w:rPr>
              <w:t>/d的</w:t>
            </w:r>
            <w:r>
              <w:rPr>
                <w:rFonts w:hint="eastAsia"/>
                <w:color w:val="000000" w:themeColor="text1"/>
                <w:highlight w:val="none"/>
                <w:lang w:val="en-US" w:eastAsia="zh-CN"/>
                <w14:textFill>
                  <w14:solidFill>
                    <w14:schemeClr w14:val="tx1"/>
                  </w14:solidFill>
                </w14:textFill>
              </w:rPr>
              <w:t>0.0018</w:t>
            </w:r>
            <w:r>
              <w:rPr>
                <w:rFonts w:hint="eastAsia"/>
                <w:color w:val="000000" w:themeColor="text1"/>
                <w:highlight w:val="none"/>
                <w14:textFill>
                  <w14:solidFill>
                    <w14:schemeClr w14:val="tx1"/>
                  </w14:solidFill>
                </w14:textFill>
              </w:rPr>
              <w:t>%，水量</w:t>
            </w:r>
            <w:r>
              <w:rPr>
                <w:rFonts w:hint="eastAsia"/>
                <w:color w:val="000000" w:themeColor="text1"/>
                <w:highlight w:val="none"/>
                <w:lang w:val="en-US" w:eastAsia="zh-CN"/>
                <w14:textFill>
                  <w14:solidFill>
                    <w14:schemeClr w14:val="tx1"/>
                  </w14:solidFill>
                </w14:textFill>
              </w:rPr>
              <w:t>占比很小</w:t>
            </w:r>
            <w:r>
              <w:rPr>
                <w:rFonts w:hint="eastAsia"/>
                <w:color w:val="000000" w:themeColor="text1"/>
                <w:highlight w:val="none"/>
                <w14:textFill>
                  <w14:solidFill>
                    <w14:schemeClr w14:val="tx1"/>
                  </w14:solidFill>
                </w14:textFill>
              </w:rPr>
              <w:t>。污水处理厂的处理能力远远大于污水产生量，因此本项目产生的污水不会对污水处理厂造成冲击影响。</w:t>
            </w:r>
          </w:p>
          <w:p w14:paraId="4BABDA10">
            <w:pPr>
              <w:keepNext w:val="0"/>
              <w:keepLines w:val="0"/>
              <w:suppressLineNumbers w:val="0"/>
              <w:bidi w:val="0"/>
              <w:spacing w:before="0" w:beforeAutospacing="0" w:after="0" w:afterAutospacing="0"/>
              <w:ind w:left="0" w:right="0"/>
              <w:rPr>
                <w:rFonts w:hint="eastAsia"/>
                <w:b/>
                <w:bCs/>
                <w:color w:val="000000" w:themeColor="text1"/>
                <w:highlight w:val="none"/>
                <w:lang w:eastAsia="zh-CN"/>
                <w14:textFill>
                  <w14:solidFill>
                    <w14:schemeClr w14:val="tx1"/>
                  </w14:solidFill>
                </w14:textFill>
              </w:rPr>
            </w:pPr>
            <w:r>
              <w:rPr>
                <w:rFonts w:hint="eastAsia"/>
                <w:b/>
                <w:bCs/>
                <w:color w:val="000000" w:themeColor="text1"/>
                <w:highlight w:val="none"/>
                <w:lang w:eastAsia="zh-CN"/>
                <w14:textFill>
                  <w14:solidFill>
                    <w14:schemeClr w14:val="tx1"/>
                  </w14:solidFill>
                </w14:textFill>
              </w:rPr>
              <w:t>②从水质角度分析</w:t>
            </w:r>
          </w:p>
          <w:p w14:paraId="0C43E2DF">
            <w:pPr>
              <w:keepNext w:val="0"/>
              <w:keepLines w:val="0"/>
              <w:suppressLineNumbers w:val="0"/>
              <w:bidi w:val="0"/>
              <w:spacing w:before="0" w:beforeAutospacing="0" w:after="0" w:afterAutospacing="0"/>
              <w:ind w:left="0" w:right="0"/>
              <w:rPr>
                <w:rFonts w:hint="default"/>
                <w:color w:val="000000" w:themeColor="text1"/>
                <w:highlight w:val="none"/>
                <w14:textFill>
                  <w14:solidFill>
                    <w14:schemeClr w14:val="tx1"/>
                  </w14:solidFill>
                </w14:textFill>
              </w:rPr>
            </w:pPr>
            <w:r>
              <w:rPr>
                <w:rFonts w:hint="eastAsia"/>
                <w:color w:val="0000FF"/>
                <w:highlight w:val="none"/>
              </w:rPr>
              <w:t>拟建项目排水水质</w:t>
            </w:r>
            <w:r>
              <w:rPr>
                <w:rFonts w:hint="eastAsia"/>
                <w:color w:val="0000FF"/>
                <w:highlight w:val="none"/>
                <w:lang w:val="en-US" w:eastAsia="zh-CN"/>
              </w:rPr>
              <w:t>pH、</w:t>
            </w:r>
            <w:r>
              <w:rPr>
                <w:rFonts w:hint="eastAsia"/>
                <w:color w:val="0000FF"/>
                <w:highlight w:val="none"/>
              </w:rPr>
              <w:t>COD、BOD</w:t>
            </w:r>
            <w:r>
              <w:rPr>
                <w:rFonts w:hint="eastAsia"/>
                <w:color w:val="0000FF"/>
                <w:highlight w:val="none"/>
                <w:vertAlign w:val="subscript"/>
              </w:rPr>
              <w:t>5</w:t>
            </w:r>
            <w:r>
              <w:rPr>
                <w:rFonts w:hint="eastAsia"/>
                <w:color w:val="0000FF"/>
                <w:highlight w:val="none"/>
              </w:rPr>
              <w:t>、SS、</w:t>
            </w:r>
            <w:r>
              <w:rPr>
                <w:rFonts w:hint="eastAsia"/>
                <w:color w:val="0000FF"/>
                <w:highlight w:val="none"/>
                <w:lang w:eastAsia="zh-CN"/>
              </w:rPr>
              <w:t>NH</w:t>
            </w:r>
            <w:r>
              <w:rPr>
                <w:rFonts w:hint="eastAsia"/>
                <w:color w:val="0000FF"/>
                <w:highlight w:val="none"/>
                <w:vertAlign w:val="subscript"/>
                <w:lang w:eastAsia="zh-CN"/>
              </w:rPr>
              <w:t>3</w:t>
            </w:r>
            <w:r>
              <w:rPr>
                <w:rFonts w:hint="eastAsia"/>
                <w:color w:val="0000FF"/>
                <w:highlight w:val="none"/>
                <w:lang w:eastAsia="zh-CN"/>
              </w:rPr>
              <w:t>-N</w:t>
            </w:r>
            <w:r>
              <w:rPr>
                <w:rFonts w:hint="eastAsia"/>
                <w:color w:val="0000FF"/>
                <w:highlight w:val="none"/>
                <w:lang w:val="en-US" w:eastAsia="zh-CN"/>
              </w:rPr>
              <w:t>、TN、TP</w:t>
            </w:r>
            <w:r>
              <w:rPr>
                <w:rFonts w:hint="eastAsia"/>
                <w:color w:val="0000FF"/>
                <w:highlight w:val="none"/>
              </w:rPr>
              <w:t>浓度分别约为</w:t>
            </w:r>
            <w:r>
              <w:rPr>
                <w:rFonts w:hint="eastAsia"/>
                <w:color w:val="0000FF"/>
                <w:highlight w:val="none"/>
                <w:lang w:val="en-US" w:eastAsia="zh-CN"/>
              </w:rPr>
              <w:t>6-9、122.4</w:t>
            </w:r>
            <w:r>
              <w:rPr>
                <w:rFonts w:hint="eastAsia"/>
                <w:color w:val="0000FF"/>
                <w:highlight w:val="none"/>
              </w:rPr>
              <w:t>mg/L、</w:t>
            </w:r>
            <w:r>
              <w:rPr>
                <w:rFonts w:hint="eastAsia"/>
                <w:color w:val="0000FF"/>
                <w:highlight w:val="none"/>
                <w:lang w:val="en-US" w:eastAsia="zh-CN"/>
              </w:rPr>
              <w:t>64</w:t>
            </w:r>
            <w:r>
              <w:rPr>
                <w:rFonts w:hint="eastAsia"/>
                <w:color w:val="0000FF"/>
                <w:highlight w:val="none"/>
              </w:rPr>
              <w:t>mg/L、</w:t>
            </w:r>
            <w:r>
              <w:rPr>
                <w:rFonts w:hint="eastAsia"/>
                <w:color w:val="0000FF"/>
                <w:highlight w:val="none"/>
                <w:lang w:val="en-US" w:eastAsia="zh-CN"/>
              </w:rPr>
              <w:t>80mg/L、15.3</w:t>
            </w:r>
            <w:r>
              <w:rPr>
                <w:rFonts w:hint="eastAsia"/>
                <w:color w:val="0000FF"/>
                <w:highlight w:val="none"/>
              </w:rPr>
              <w:t>mg/L、</w:t>
            </w:r>
            <w:r>
              <w:rPr>
                <w:rFonts w:hint="eastAsia"/>
                <w:color w:val="0000FF"/>
                <w:highlight w:val="none"/>
                <w:lang w:val="en-US" w:eastAsia="zh-CN"/>
              </w:rPr>
              <w:t>24.2</w:t>
            </w:r>
            <w:r>
              <w:rPr>
                <w:rFonts w:hint="eastAsia"/>
                <w:color w:val="0000FF"/>
                <w:highlight w:val="none"/>
              </w:rPr>
              <w:t>mg/L</w:t>
            </w:r>
            <w:r>
              <w:rPr>
                <w:rFonts w:hint="eastAsia"/>
                <w:color w:val="0000FF"/>
                <w:highlight w:val="none"/>
                <w:lang w:val="en-US" w:eastAsia="zh-CN"/>
              </w:rPr>
              <w:t>、2.2mg/L</w:t>
            </w:r>
            <w:r>
              <w:rPr>
                <w:rFonts w:hint="eastAsia"/>
                <w:color w:val="000000" w:themeColor="text1"/>
                <w:highlight w:val="none"/>
                <w14:textFill>
                  <w14:solidFill>
                    <w14:schemeClr w14:val="tx1"/>
                  </w14:solidFill>
                </w14:textFill>
              </w:rPr>
              <w:t>可以满足</w:t>
            </w:r>
            <w:r>
              <w:rPr>
                <w:rFonts w:hint="eastAsia"/>
                <w:color w:val="000000" w:themeColor="text1"/>
                <w:highlight w:val="none"/>
                <w:lang w:eastAsia="zh-CN"/>
                <w14:textFill>
                  <w14:solidFill>
                    <w14:schemeClr w14:val="tx1"/>
                  </w14:solidFill>
                </w14:textFill>
              </w:rPr>
              <w:t>八公山污水处理厂</w:t>
            </w:r>
            <w:r>
              <w:rPr>
                <w:rFonts w:hint="eastAsia"/>
                <w:color w:val="000000" w:themeColor="text1"/>
                <w:highlight w:val="none"/>
                <w14:textFill>
                  <w14:solidFill>
                    <w14:schemeClr w14:val="tx1"/>
                  </w14:solidFill>
                </w14:textFill>
              </w:rPr>
              <w:t>的进水水质</w:t>
            </w:r>
            <w:r>
              <w:rPr>
                <w:rFonts w:hint="eastAsia"/>
                <w:color w:val="000000" w:themeColor="text1"/>
                <w:highlight w:val="none"/>
                <w:lang w:val="en-US" w:eastAsia="zh-CN"/>
                <w14:textFill>
                  <w14:solidFill>
                    <w14:schemeClr w14:val="tx1"/>
                  </w14:solidFill>
                </w14:textFill>
              </w:rPr>
              <w:t>及</w:t>
            </w:r>
            <w:r>
              <w:rPr>
                <w:rFonts w:hint="eastAsia"/>
                <w:color w:val="000000" w:themeColor="text1"/>
                <w:highlight w:val="none"/>
                <w:lang w:eastAsia="zh-CN"/>
                <w14:textFill>
                  <w14:solidFill>
                    <w14:schemeClr w14:val="tx1"/>
                  </w14:solidFill>
                </w14:textFill>
              </w:rPr>
              <w:t>《污水综合排放标准》（GB 8978-1996）三级标准</w:t>
            </w:r>
            <w:r>
              <w:rPr>
                <w:rFonts w:hint="eastAsia"/>
                <w:color w:val="000000" w:themeColor="text1"/>
                <w:highlight w:val="none"/>
                <w14:textFill>
                  <w14:solidFill>
                    <w14:schemeClr w14:val="tx1"/>
                  </w14:solidFill>
                </w14:textFill>
              </w:rPr>
              <w:t>要求，废水对</w:t>
            </w:r>
            <w:r>
              <w:rPr>
                <w:rFonts w:hint="eastAsia"/>
                <w:color w:val="000000" w:themeColor="text1"/>
                <w:highlight w:val="none"/>
                <w:lang w:eastAsia="zh-CN"/>
                <w14:textFill>
                  <w14:solidFill>
                    <w14:schemeClr w14:val="tx1"/>
                  </w14:solidFill>
                </w14:textFill>
              </w:rPr>
              <w:t>八公山污水处理厂</w:t>
            </w:r>
            <w:r>
              <w:rPr>
                <w:rFonts w:hint="eastAsia"/>
                <w:color w:val="000000" w:themeColor="text1"/>
                <w:highlight w:val="none"/>
                <w14:textFill>
                  <w14:solidFill>
                    <w14:schemeClr w14:val="tx1"/>
                  </w14:solidFill>
                </w14:textFill>
              </w:rPr>
              <w:t>水质不会产生冲击影响。</w:t>
            </w:r>
          </w:p>
          <w:p w14:paraId="7977C5BA">
            <w:pPr>
              <w:keepNext w:val="0"/>
              <w:keepLines w:val="0"/>
              <w:suppressLineNumbers w:val="0"/>
              <w:bidi w:val="0"/>
              <w:spacing w:before="0" w:beforeAutospacing="0" w:after="0" w:afterAutospacing="0"/>
              <w:ind w:left="0" w:right="0"/>
              <w:rPr>
                <w:rFonts w:hint="default"/>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③管网配套情况</w:t>
            </w:r>
          </w:p>
          <w:p w14:paraId="1A69B335">
            <w:pPr>
              <w:keepNext w:val="0"/>
              <w:keepLines w:val="0"/>
              <w:suppressLineNumbers w:val="0"/>
              <w:bidi w:val="0"/>
              <w:spacing w:before="0" w:beforeAutospacing="0" w:after="0" w:afterAutospacing="0"/>
              <w:ind w:left="0" w:right="0"/>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本项目位于</w:t>
            </w:r>
            <w:r>
              <w:rPr>
                <w:rFonts w:hint="eastAsia"/>
                <w:color w:val="000000" w:themeColor="text1"/>
                <w:highlight w:val="none"/>
                <w:lang w:eastAsia="zh-CN"/>
                <w14:textFill>
                  <w14:solidFill>
                    <w14:schemeClr w14:val="tx1"/>
                  </w14:solidFill>
                </w14:textFill>
              </w:rPr>
              <w:t>八公山污水处理厂</w:t>
            </w:r>
            <w:r>
              <w:rPr>
                <w:rFonts w:hint="eastAsia"/>
                <w:color w:val="000000" w:themeColor="text1"/>
                <w:highlight w:val="none"/>
                <w14:textFill>
                  <w14:solidFill>
                    <w14:schemeClr w14:val="tx1"/>
                  </w14:solidFill>
                </w14:textFill>
              </w:rPr>
              <w:t>收水范围内。</w:t>
            </w:r>
          </w:p>
          <w:p w14:paraId="372E41C9">
            <w:pPr>
              <w:keepNext w:val="0"/>
              <w:keepLines w:val="0"/>
              <w:suppressLineNumbers w:val="0"/>
              <w:bidi w:val="0"/>
              <w:spacing w:before="0" w:beforeAutospacing="0" w:after="0" w:afterAutospacing="0"/>
              <w:ind w:left="0" w:right="0"/>
              <w:rPr>
                <w:rFonts w:hint="eastAsia"/>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综上所述，从水量、水质、管网配套建设等方面考虑，</w:t>
            </w:r>
            <w:r>
              <w:rPr>
                <w:rFonts w:hint="eastAsia"/>
                <w:color w:val="000000" w:themeColor="text1"/>
                <w:highlight w:val="none"/>
                <w:lang w:eastAsia="zh-CN"/>
                <w14:textFill>
                  <w14:solidFill>
                    <w14:schemeClr w14:val="tx1"/>
                  </w14:solidFill>
                </w14:textFill>
              </w:rPr>
              <w:t>八公山污水处理厂</w:t>
            </w:r>
            <w:r>
              <w:rPr>
                <w:rFonts w:hint="eastAsia"/>
                <w:color w:val="000000" w:themeColor="text1"/>
                <w:highlight w:val="none"/>
                <w14:textFill>
                  <w14:solidFill>
                    <w14:schemeClr w14:val="tx1"/>
                  </w14:solidFill>
                </w14:textFill>
              </w:rPr>
              <w:t>接纳拟建工程废水是较为可靠的。</w:t>
            </w:r>
          </w:p>
          <w:p w14:paraId="5FFEBCEF">
            <w:pPr>
              <w:keepNext w:val="0"/>
              <w:keepLines w:val="0"/>
              <w:suppressLineNumbers w:val="0"/>
              <w:spacing w:before="24" w:beforeAutospacing="0" w:after="24" w:afterAutospacing="0"/>
              <w:ind w:left="0" w:right="0" w:firstLine="480"/>
              <w:rPr>
                <w:rFonts w:hint="default"/>
                <w:b/>
                <w:bCs/>
                <w:color w:val="000000" w:themeColor="text1"/>
                <w:highlight w:val="none"/>
                <w14:textFill>
                  <w14:solidFill>
                    <w14:schemeClr w14:val="tx1"/>
                  </w14:solidFill>
                </w14:textFill>
              </w:rPr>
            </w:pPr>
            <w:r>
              <w:rPr>
                <w:rFonts w:hint="eastAsia"/>
                <w:b/>
                <w:bCs/>
                <w:color w:val="000000" w:themeColor="text1"/>
                <w:highlight w:val="none"/>
                <w:lang w:val="en-US" w:eastAsia="zh-CN"/>
                <w14:textFill>
                  <w14:solidFill>
                    <w14:schemeClr w14:val="tx1"/>
                  </w14:solidFill>
                </w14:textFill>
              </w:rPr>
              <w:t>6</w:t>
            </w:r>
            <w:r>
              <w:rPr>
                <w:rFonts w:hint="eastAsia"/>
                <w:b/>
                <w:bCs/>
                <w:color w:val="000000" w:themeColor="text1"/>
                <w:highlight w:val="none"/>
                <w14:textFill>
                  <w14:solidFill>
                    <w14:schemeClr w14:val="tx1"/>
                  </w14:solidFill>
                </w14:textFill>
              </w:rPr>
              <w:t>、废水污染物监测计划</w:t>
            </w:r>
          </w:p>
          <w:p w14:paraId="5F04D5AB">
            <w:pPr>
              <w:keepNext w:val="0"/>
              <w:keepLines w:val="0"/>
              <w:suppressLineNumbers w:val="0"/>
              <w:bidi w:val="0"/>
              <w:spacing w:before="0" w:beforeAutospacing="0" w:after="0" w:afterAutospacing="0"/>
              <w:ind w:left="0" w:right="0"/>
              <w:rPr>
                <w:rFonts w:hint="eastAsia"/>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根据</w:t>
            </w:r>
            <w:r>
              <w:rPr>
                <w:rFonts w:hint="eastAsia"/>
                <w:color w:val="000000" w:themeColor="text1"/>
                <w14:textFill>
                  <w14:solidFill>
                    <w14:schemeClr w14:val="tx1"/>
                  </w14:solidFill>
                </w14:textFill>
              </w:rPr>
              <w:t>《排污许可证申请与核发技术规范</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废弃资源加工工业》（HJ</w:t>
            </w:r>
            <w:r>
              <w:rPr>
                <w:rFonts w:hint="eastAsia"/>
                <w:color w:val="000000" w:themeColor="text1"/>
                <w:lang w:val="en-US" w:eastAsia="zh-CN"/>
                <w14:textFill>
                  <w14:solidFill>
                    <w14:schemeClr w14:val="tx1"/>
                  </w14:solidFill>
                </w14:textFill>
              </w:rPr>
              <w:t>1034</w:t>
            </w:r>
            <w:r>
              <w:rPr>
                <w:rFonts w:hint="eastAsia"/>
                <w:color w:val="000000" w:themeColor="text1"/>
                <w14:textFill>
                  <w14:solidFill>
                    <w14:schemeClr w14:val="tx1"/>
                  </w14:solidFill>
                </w14:textFill>
              </w:rPr>
              <w:t>-20</w:t>
            </w:r>
            <w:r>
              <w:rPr>
                <w:rFonts w:hint="eastAsia"/>
                <w:color w:val="000000" w:themeColor="text1"/>
                <w:lang w:val="en-US" w:eastAsia="zh-CN"/>
                <w14:textFill>
                  <w14:solidFill>
                    <w14:schemeClr w14:val="tx1"/>
                  </w14:solidFill>
                </w14:textFill>
              </w:rPr>
              <w:t>19</w:t>
            </w:r>
            <w:r>
              <w:rPr>
                <w:rFonts w:hint="eastAsia"/>
                <w:color w:val="000000" w:themeColor="text1"/>
                <w14:textFill>
                  <w14:solidFill>
                    <w14:schemeClr w14:val="tx1"/>
                  </w14:solidFill>
                </w14:textFill>
              </w:rPr>
              <w:t>）</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排污单位自行监测技术指南</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总则</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（HJ</w:t>
            </w:r>
            <w:r>
              <w:rPr>
                <w:rFonts w:hint="eastAsia"/>
                <w:color w:val="000000" w:themeColor="text1"/>
                <w:lang w:val="en-US" w:eastAsia="zh-CN"/>
                <w14:textFill>
                  <w14:solidFill>
                    <w14:schemeClr w14:val="tx1"/>
                  </w14:solidFill>
                </w14:textFill>
              </w:rPr>
              <w:t>819</w:t>
            </w:r>
            <w:r>
              <w:rPr>
                <w:rFonts w:hint="eastAsia"/>
                <w:color w:val="000000" w:themeColor="text1"/>
                <w14:textFill>
                  <w14:solidFill>
                    <w14:schemeClr w14:val="tx1"/>
                  </w14:solidFill>
                </w14:textFill>
              </w:rPr>
              <w:t>-20</w:t>
            </w:r>
            <w:r>
              <w:rPr>
                <w:rFonts w:hint="eastAsia"/>
                <w:color w:val="000000" w:themeColor="text1"/>
                <w:lang w:val="en-US" w:eastAsia="zh-CN"/>
                <w14:textFill>
                  <w14:solidFill>
                    <w14:schemeClr w14:val="tx1"/>
                  </w14:solidFill>
                </w14:textFill>
              </w:rPr>
              <w:t>17</w:t>
            </w: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，本项目外排污水仅为生活污水，不需进行监测，只需说明去向，项目生活污水经厂区化粪池处理后由园区污水管网进入淮南首创八公山污水处理厂。</w:t>
            </w:r>
          </w:p>
          <w:p w14:paraId="1D0D2F99">
            <w:pPr>
              <w:keepNext w:val="0"/>
              <w:keepLines w:val="0"/>
              <w:suppressLineNumbers w:val="0"/>
              <w:bidi w:val="0"/>
              <w:spacing w:before="0" w:beforeAutospacing="0" w:after="0" w:afterAutospacing="0"/>
              <w:ind w:left="0" w:right="0"/>
              <w:rPr>
                <w:rFonts w:hint="default"/>
                <w:b/>
                <w:bCs/>
                <w:color w:val="000000" w:themeColor="text1"/>
                <w14:textFill>
                  <w14:solidFill>
                    <w14:schemeClr w14:val="tx1"/>
                  </w14:solidFill>
                </w14:textFill>
              </w:rPr>
            </w:pPr>
            <w:r>
              <w:rPr>
                <w:rFonts w:hint="eastAsia"/>
                <w:b/>
                <w:bCs/>
                <w:color w:val="000000" w:themeColor="text1"/>
                <w:lang w:val="en-US" w:eastAsia="zh-CN"/>
                <w14:textFill>
                  <w14:solidFill>
                    <w14:schemeClr w14:val="tx1"/>
                  </w14:solidFill>
                </w14:textFill>
              </w:rPr>
              <w:t>7、</w:t>
            </w:r>
            <w:r>
              <w:rPr>
                <w:rFonts w:hint="default"/>
                <w:b/>
                <w:bCs/>
                <w:color w:val="000000" w:themeColor="text1"/>
                <w14:textFill>
                  <w14:solidFill>
                    <w14:schemeClr w14:val="tx1"/>
                  </w14:solidFill>
                </w14:textFill>
              </w:rPr>
              <w:t>地表水环境影响评价结论</w:t>
            </w:r>
          </w:p>
          <w:p w14:paraId="32CE0C29">
            <w:pPr>
              <w:keepNext w:val="0"/>
              <w:keepLines w:val="0"/>
              <w:suppressLineNumbers w:val="0"/>
              <w:bidi w:val="0"/>
              <w:spacing w:before="0" w:beforeAutospacing="0" w:after="0" w:afterAutospacing="0"/>
              <w:ind w:left="0" w:right="0"/>
              <w:rPr>
                <w:rFonts w:hint="eastAsia"/>
                <w:color w:val="000000" w:themeColor="text1"/>
                <w14:textFill>
                  <w14:solidFill>
                    <w14:schemeClr w14:val="tx1"/>
                  </w14:solidFill>
                </w14:textFill>
              </w:rPr>
            </w:pPr>
            <w:r>
              <w:rPr>
                <w:rFonts w:hint="default"/>
                <w:color w:val="000000" w:themeColor="text1"/>
                <w14:textFill>
                  <w14:solidFill>
                    <w14:schemeClr w14:val="tx1"/>
                  </w14:solidFill>
                </w14:textFill>
              </w:rPr>
              <w:t>本项目采用</w:t>
            </w:r>
            <w:r>
              <w:rPr>
                <w:rFonts w:hint="eastAsia"/>
                <w:color w:val="000000" w:themeColor="text1"/>
                <w:lang w:eastAsia="zh-CN"/>
                <w14:textFill>
                  <w14:solidFill>
                    <w14:schemeClr w14:val="tx1"/>
                  </w14:solidFill>
                </w14:textFill>
              </w:rPr>
              <w:t>“</w:t>
            </w:r>
            <w:r>
              <w:rPr>
                <w:rFonts w:hint="default"/>
                <w:color w:val="000000" w:themeColor="text1"/>
                <w14:textFill>
                  <w14:solidFill>
                    <w14:schemeClr w14:val="tx1"/>
                  </w14:solidFill>
                </w14:textFill>
              </w:rPr>
              <w:t>雨污分流制</w:t>
            </w:r>
            <w:r>
              <w:rPr>
                <w:rFonts w:hint="eastAsia"/>
                <w:color w:val="000000" w:themeColor="text1"/>
                <w:lang w:eastAsia="zh-CN"/>
                <w14:textFill>
                  <w14:solidFill>
                    <w14:schemeClr w14:val="tx1"/>
                  </w14:solidFill>
                </w14:textFill>
              </w:rPr>
              <w:t>”</w:t>
            </w:r>
            <w:r>
              <w:rPr>
                <w:rFonts w:hint="default"/>
                <w:color w:val="000000" w:themeColor="text1"/>
                <w14:textFill>
                  <w14:solidFill>
                    <w14:schemeClr w14:val="tx1"/>
                  </w14:solidFill>
                </w14:textFill>
              </w:rPr>
              <w:t>排水系统。雨水直接进入市政雨水管网，排入区域地表水系。项目生活污水</w:t>
            </w:r>
            <w:r>
              <w:rPr>
                <w:rFonts w:hint="eastAsia"/>
                <w:color w:val="000000" w:themeColor="text1"/>
                <w:lang w:val="en-US" w:eastAsia="zh-CN"/>
                <w14:textFill>
                  <w14:solidFill>
                    <w14:schemeClr w14:val="tx1"/>
                  </w14:solidFill>
                </w14:textFill>
              </w:rPr>
              <w:t>废水经化粪池处理后排入园区污水管网</w:t>
            </w:r>
            <w:r>
              <w:rPr>
                <w:rFonts w:hint="default"/>
                <w:color w:val="000000" w:themeColor="text1"/>
                <w14:textFill>
                  <w14:solidFill>
                    <w14:schemeClr w14:val="tx1"/>
                  </w14:solidFill>
                </w14:textFill>
              </w:rPr>
              <w:t>不直接排入区域地表水环境，</w:t>
            </w:r>
            <w:r>
              <w:rPr>
                <w:rFonts w:hint="eastAsia"/>
                <w:color w:val="000000" w:themeColor="text1"/>
                <w:lang w:val="en-US" w:eastAsia="zh-CN"/>
                <w14:textFill>
                  <w14:solidFill>
                    <w14:schemeClr w14:val="tx1"/>
                  </w14:solidFill>
                </w14:textFill>
              </w:rPr>
              <w:t>破碎废水经絮凝沉淀池处理后回用于生产不外排，</w:t>
            </w:r>
            <w:r>
              <w:rPr>
                <w:rFonts w:hint="default"/>
                <w:color w:val="000000" w:themeColor="text1"/>
                <w14:textFill>
                  <w14:solidFill>
                    <w14:schemeClr w14:val="tx1"/>
                  </w14:solidFill>
                </w14:textFill>
              </w:rPr>
              <w:t>对区域水环境质量影响较小</w:t>
            </w:r>
            <w:r>
              <w:rPr>
                <w:rFonts w:hint="eastAsia"/>
                <w:color w:val="000000" w:themeColor="text1"/>
                <w14:textFill>
                  <w14:solidFill>
                    <w14:schemeClr w14:val="tx1"/>
                  </w14:solidFill>
                </w14:textFill>
              </w:rPr>
              <w:t>。</w:t>
            </w:r>
          </w:p>
          <w:p w14:paraId="0C5E72F5">
            <w:pPr>
              <w:pStyle w:val="5"/>
              <w:suppressLineNumbers w:val="0"/>
              <w:spacing w:before="0" w:beforeAutospacing="0" w:after="0" w:afterAutospacing="0"/>
              <w:ind w:left="0" w:right="0"/>
              <w:rPr>
                <w:rFonts w:hint="eastAsia"/>
                <w:color w:val="000000" w:themeColor="text1"/>
                <w14:textFill>
                  <w14:solidFill>
                    <w14:schemeClr w14:val="tx1"/>
                  </w14:solidFill>
                </w14:textFill>
              </w:rPr>
            </w:pPr>
          </w:p>
          <w:p w14:paraId="65980F54">
            <w:pPr>
              <w:pStyle w:val="5"/>
              <w:suppressLineNumbers w:val="0"/>
              <w:spacing w:before="0" w:beforeAutospacing="0" w:after="0" w:afterAutospacing="0"/>
              <w:ind w:left="0" w:leftChars="0" w:right="0" w:firstLine="0" w:firstLineChars="0"/>
              <w:rPr>
                <w:rFonts w:hint="eastAsia"/>
                <w:lang w:eastAsia="zh-CN"/>
              </w:rPr>
            </w:pPr>
          </w:p>
        </w:tc>
      </w:tr>
    </w:tbl>
    <w:p w14:paraId="6D3298D8">
      <w:pPr>
        <w:rPr>
          <w:color w:val="auto"/>
          <w:highlight w:val="none"/>
        </w:rPr>
      </w:pPr>
    </w:p>
    <w:p w14:paraId="116C3DA7">
      <w:pPr>
        <w:pStyle w:val="2"/>
        <w:ind w:left="0" w:leftChars="0" w:firstLine="0" w:firstLineChars="0"/>
        <w:jc w:val="both"/>
        <w:rPr>
          <w:color w:val="auto"/>
          <w:highlight w:val="none"/>
        </w:rPr>
        <w:sectPr>
          <w:headerReference r:id="rId13" w:type="default"/>
          <w:footerReference r:id="rId14" w:type="default"/>
          <w:pgSz w:w="11906" w:h="16838"/>
          <w:pgMar w:top="1417" w:right="1417" w:bottom="1417" w:left="1417" w:header="737" w:footer="850" w:gutter="0"/>
          <w:pgBorders>
            <w:top w:val="none" w:sz="0" w:space="0"/>
            <w:left w:val="none" w:sz="0" w:space="0"/>
            <w:bottom w:val="none" w:sz="0" w:space="0"/>
            <w:right w:val="none" w:sz="0" w:space="0"/>
          </w:pgBorders>
          <w:pgNumType w:start="1"/>
          <w:cols w:space="0" w:num="1"/>
          <w:rtlGutter w:val="0"/>
          <w:docGrid w:type="lines" w:linePitch="336" w:charSpace="0"/>
        </w:sectPr>
      </w:pP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85"/>
        <w:gridCol w:w="11942"/>
      </w:tblGrid>
      <w:tr w14:paraId="67472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5" w:type="dxa"/>
          </w:tcPr>
          <w:p w14:paraId="779435A7">
            <w:pPr>
              <w:pStyle w:val="43"/>
              <w:keepNext w:val="0"/>
              <w:keepLines w:val="0"/>
              <w:suppressLineNumbers w:val="0"/>
              <w:bidi w:val="0"/>
              <w:spacing w:before="0" w:beforeAutospacing="0" w:after="0" w:afterAutospacing="0"/>
              <w:ind w:left="0" w:right="0"/>
              <w:jc w:val="center"/>
              <w:rPr>
                <w:rFonts w:hint="eastAsia"/>
                <w:color w:val="045CE9"/>
                <w:vertAlign w:val="baseline"/>
              </w:rPr>
            </w:pPr>
          </w:p>
        </w:tc>
        <w:tc>
          <w:tcPr>
            <w:tcW w:w="11942" w:type="dxa"/>
          </w:tcPr>
          <w:p w14:paraId="1A5AAB92">
            <w:pPr>
              <w:keepNext w:val="0"/>
              <w:keepLines w:val="0"/>
              <w:suppressLineNumbers w:val="0"/>
              <w:spacing w:before="0" w:beforeAutospacing="0" w:after="0" w:afterAutospacing="0"/>
              <w:ind w:left="0" w:right="0" w:firstLine="482"/>
              <w:jc w:val="both"/>
              <w:rPr>
                <w:rFonts w:hint="default"/>
                <w:b/>
                <w:bCs/>
                <w:color w:val="auto"/>
                <w:highlight w:val="none"/>
              </w:rPr>
            </w:pPr>
            <w:r>
              <w:rPr>
                <w:rFonts w:hint="eastAsia"/>
                <w:b/>
                <w:bCs/>
                <w:color w:val="auto"/>
                <w:highlight w:val="none"/>
              </w:rPr>
              <w:t>三、噪声</w:t>
            </w:r>
          </w:p>
          <w:p w14:paraId="67F48C0E">
            <w:pPr>
              <w:keepNext w:val="0"/>
              <w:keepLines w:val="0"/>
              <w:suppressLineNumbers w:val="0"/>
              <w:bidi w:val="0"/>
              <w:spacing w:before="0" w:beforeAutospacing="0" w:after="0" w:afterAutospacing="0"/>
              <w:ind w:left="0" w:right="0"/>
              <w:jc w:val="both"/>
              <w:rPr>
                <w:rFonts w:hint="default"/>
                <w:b/>
                <w:bCs/>
                <w:color w:val="auto"/>
              </w:rPr>
            </w:pPr>
            <w:r>
              <w:rPr>
                <w:rFonts w:hint="eastAsia"/>
                <w:b/>
                <w:bCs/>
                <w:color w:val="auto"/>
              </w:rPr>
              <w:t>1、噪声源强</w:t>
            </w:r>
          </w:p>
          <w:p w14:paraId="37973674">
            <w:pPr>
              <w:keepNext w:val="0"/>
              <w:keepLines w:val="0"/>
              <w:suppressLineNumbers w:val="0"/>
              <w:bidi w:val="0"/>
              <w:spacing w:before="0" w:beforeAutospacing="0" w:after="0" w:afterAutospacing="0"/>
              <w:ind w:left="0" w:right="0"/>
              <w:jc w:val="both"/>
              <w:rPr>
                <w:rFonts w:hint="default"/>
                <w:color w:val="auto"/>
              </w:rPr>
            </w:pPr>
            <w:r>
              <w:rPr>
                <w:rFonts w:hint="default"/>
                <w:color w:val="auto"/>
              </w:rPr>
              <w:t>本项目生产过程中的主要噪声源为</w:t>
            </w:r>
            <w:r>
              <w:rPr>
                <w:rFonts w:hint="eastAsia"/>
                <w:color w:val="auto"/>
                <w:lang w:val="en-US" w:eastAsia="zh-CN"/>
              </w:rPr>
              <w:t>拆解车间各</w:t>
            </w:r>
            <w:r>
              <w:rPr>
                <w:rFonts w:hint="eastAsia"/>
                <w:color w:val="auto"/>
              </w:rPr>
              <w:t>生产设备</w:t>
            </w:r>
            <w:r>
              <w:rPr>
                <w:rFonts w:hint="eastAsia"/>
                <w:color w:val="auto"/>
                <w:lang w:eastAsia="zh-CN"/>
              </w:rPr>
              <w:t>，</w:t>
            </w:r>
            <w:r>
              <w:rPr>
                <w:rFonts w:hint="eastAsia"/>
                <w:color w:val="auto"/>
                <w:lang w:val="en-US" w:eastAsia="zh-CN"/>
              </w:rPr>
              <w:t>均位于室内</w:t>
            </w:r>
            <w:r>
              <w:rPr>
                <w:rFonts w:hint="eastAsia"/>
                <w:color w:val="auto"/>
                <w:lang w:eastAsia="zh-CN"/>
              </w:rPr>
              <w:t>，</w:t>
            </w:r>
            <w:r>
              <w:rPr>
                <w:rFonts w:hint="eastAsia"/>
                <w:color w:val="auto"/>
                <w:lang w:val="en-US" w:eastAsia="zh-CN"/>
              </w:rPr>
              <w:t>以1#厂房西南点位为原点，</w:t>
            </w:r>
            <w:r>
              <w:rPr>
                <w:rFonts w:hint="eastAsia"/>
                <w:color w:val="auto"/>
              </w:rPr>
              <w:t>主要噪声源的噪声强度见下表：</w:t>
            </w:r>
          </w:p>
          <w:p w14:paraId="65210055">
            <w:pPr>
              <w:pStyle w:val="43"/>
              <w:keepNext w:val="0"/>
              <w:keepLines w:val="0"/>
              <w:suppressLineNumbers w:val="0"/>
              <w:bidi w:val="0"/>
              <w:spacing w:before="0" w:beforeAutospacing="0" w:after="0" w:afterAutospacing="0"/>
              <w:ind w:left="0" w:right="0"/>
              <w:jc w:val="center"/>
              <w:rPr>
                <w:color w:val="auto"/>
              </w:rPr>
            </w:pPr>
            <w:r>
              <w:rPr>
                <w:rFonts w:hint="eastAsia"/>
                <w:color w:val="auto"/>
              </w:rPr>
              <w:t>表4-</w:t>
            </w:r>
            <w:r>
              <w:rPr>
                <w:rFonts w:hint="eastAsia"/>
                <w:color w:val="auto"/>
                <w:lang w:val="en-US" w:eastAsia="zh-CN"/>
              </w:rPr>
              <w:t>15</w:t>
            </w:r>
            <w:r>
              <w:rPr>
                <w:rFonts w:hint="eastAsia"/>
                <w:color w:val="auto"/>
                <w:lang w:eastAsia="zh-CN"/>
              </w:rPr>
              <w:t xml:space="preserve">  </w:t>
            </w:r>
            <w:r>
              <w:rPr>
                <w:color w:val="auto"/>
              </w:rPr>
              <w:t>项目主要噪声源排放源强（室内）</w:t>
            </w:r>
          </w:p>
          <w:tbl>
            <w:tblPr>
              <w:tblStyle w:val="1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0" w:type="dxa"/>
                <w:bottom w:w="0" w:type="dxa"/>
                <w:right w:w="0" w:type="dxa"/>
              </w:tblCellMar>
            </w:tblPr>
            <w:tblGrid>
              <w:gridCol w:w="311"/>
              <w:gridCol w:w="268"/>
              <w:gridCol w:w="1575"/>
              <w:gridCol w:w="636"/>
              <w:gridCol w:w="312"/>
              <w:gridCol w:w="499"/>
              <w:gridCol w:w="452"/>
              <w:gridCol w:w="311"/>
              <w:gridCol w:w="358"/>
              <w:gridCol w:w="452"/>
              <w:gridCol w:w="358"/>
              <w:gridCol w:w="358"/>
              <w:gridCol w:w="498"/>
              <w:gridCol w:w="498"/>
              <w:gridCol w:w="460"/>
              <w:gridCol w:w="498"/>
              <w:gridCol w:w="498"/>
              <w:gridCol w:w="357"/>
              <w:gridCol w:w="532"/>
              <w:gridCol w:w="510"/>
              <w:gridCol w:w="480"/>
              <w:gridCol w:w="510"/>
              <w:gridCol w:w="435"/>
              <w:gridCol w:w="550"/>
            </w:tblGrid>
            <w:tr w14:paraId="5E7EC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11" w:type="dxa"/>
                  <w:vMerge w:val="restart"/>
                  <w:shd w:val="clear" w:color="auto" w:fill="auto"/>
                  <w:vAlign w:val="center"/>
                </w:tcPr>
                <w:p w14:paraId="71A4E266">
                  <w:pPr>
                    <w:pStyle w:val="61"/>
                    <w:keepNext w:val="0"/>
                    <w:keepLines w:val="0"/>
                    <w:suppressLineNumbers w:val="0"/>
                    <w:bidi w:val="0"/>
                    <w:spacing w:before="0" w:beforeAutospacing="0" w:after="0" w:afterAutospacing="0"/>
                    <w:ind w:left="0" w:right="0"/>
                    <w:rPr>
                      <w:rFonts w:hint="eastAsia"/>
                      <w:b/>
                      <w:bCs/>
                    </w:rPr>
                  </w:pPr>
                  <w:r>
                    <w:rPr>
                      <w:rFonts w:hint="eastAsia"/>
                      <w:b/>
                      <w:bCs/>
                      <w:lang w:val="en-US" w:eastAsia="zh-CN"/>
                    </w:rPr>
                    <w:t>序号</w:t>
                  </w:r>
                </w:p>
              </w:tc>
              <w:tc>
                <w:tcPr>
                  <w:tcW w:w="268" w:type="dxa"/>
                  <w:vMerge w:val="restart"/>
                  <w:shd w:val="clear" w:color="auto" w:fill="auto"/>
                  <w:vAlign w:val="center"/>
                </w:tcPr>
                <w:p w14:paraId="32F19C2D">
                  <w:pPr>
                    <w:pStyle w:val="61"/>
                    <w:keepNext w:val="0"/>
                    <w:keepLines w:val="0"/>
                    <w:suppressLineNumbers w:val="0"/>
                    <w:bidi w:val="0"/>
                    <w:spacing w:before="0" w:beforeAutospacing="0" w:after="0" w:afterAutospacing="0"/>
                    <w:ind w:left="0" w:right="0"/>
                    <w:rPr>
                      <w:rFonts w:hint="eastAsia"/>
                      <w:b/>
                      <w:bCs/>
                    </w:rPr>
                  </w:pPr>
                  <w:r>
                    <w:rPr>
                      <w:rFonts w:hint="eastAsia"/>
                      <w:b/>
                      <w:bCs/>
                      <w:lang w:val="en-US" w:eastAsia="zh-CN"/>
                    </w:rPr>
                    <w:t>建筑物名称</w:t>
                  </w:r>
                </w:p>
              </w:tc>
              <w:tc>
                <w:tcPr>
                  <w:tcW w:w="1575" w:type="dxa"/>
                  <w:vMerge w:val="restart"/>
                  <w:shd w:val="clear" w:color="auto" w:fill="auto"/>
                  <w:vAlign w:val="center"/>
                </w:tcPr>
                <w:p w14:paraId="1D4F3969">
                  <w:pPr>
                    <w:pStyle w:val="61"/>
                    <w:keepNext w:val="0"/>
                    <w:keepLines w:val="0"/>
                    <w:suppressLineNumbers w:val="0"/>
                    <w:bidi w:val="0"/>
                    <w:spacing w:before="0" w:beforeAutospacing="0" w:after="0" w:afterAutospacing="0"/>
                    <w:ind w:left="0" w:right="0"/>
                    <w:rPr>
                      <w:rFonts w:hint="eastAsia"/>
                      <w:b/>
                      <w:bCs/>
                    </w:rPr>
                  </w:pPr>
                  <w:r>
                    <w:rPr>
                      <w:rFonts w:hint="eastAsia"/>
                      <w:b/>
                      <w:bCs/>
                      <w:lang w:val="en-US" w:eastAsia="zh-CN"/>
                    </w:rPr>
                    <w:t>设备名称</w:t>
                  </w:r>
                </w:p>
              </w:tc>
              <w:tc>
                <w:tcPr>
                  <w:tcW w:w="636" w:type="dxa"/>
                  <w:vMerge w:val="restart"/>
                  <w:shd w:val="clear" w:color="auto" w:fill="auto"/>
                  <w:vAlign w:val="center"/>
                </w:tcPr>
                <w:p w14:paraId="57A36230">
                  <w:pPr>
                    <w:pStyle w:val="61"/>
                    <w:keepNext w:val="0"/>
                    <w:keepLines w:val="0"/>
                    <w:suppressLineNumbers w:val="0"/>
                    <w:bidi w:val="0"/>
                    <w:spacing w:before="0" w:beforeAutospacing="0" w:after="0" w:afterAutospacing="0"/>
                    <w:ind w:left="0" w:right="0"/>
                    <w:rPr>
                      <w:rFonts w:hint="eastAsia"/>
                      <w:b/>
                      <w:bCs/>
                    </w:rPr>
                  </w:pPr>
                  <w:r>
                    <w:rPr>
                      <w:rFonts w:hint="eastAsia"/>
                      <w:b/>
                      <w:bCs/>
                      <w:lang w:val="en-US" w:eastAsia="zh-CN"/>
                    </w:rPr>
                    <w:t>单台噪声源强声功率级</w:t>
                  </w:r>
                  <w:r>
                    <w:rPr>
                      <w:rFonts w:hint="default"/>
                      <w:b/>
                      <w:bCs/>
                      <w:lang w:val="en-US" w:eastAsia="zh-CN"/>
                    </w:rPr>
                    <w:t>dB</w:t>
                  </w:r>
                  <w:r>
                    <w:rPr>
                      <w:rFonts w:hint="eastAsia"/>
                      <w:b/>
                      <w:bCs/>
                      <w:lang w:val="en-US" w:eastAsia="zh-CN"/>
                    </w:rPr>
                    <w:t>（</w:t>
                  </w:r>
                  <w:r>
                    <w:rPr>
                      <w:rFonts w:hint="default"/>
                      <w:b/>
                      <w:bCs/>
                      <w:lang w:val="en-US" w:eastAsia="zh-CN"/>
                    </w:rPr>
                    <w:t>A</w:t>
                  </w:r>
                  <w:r>
                    <w:rPr>
                      <w:rFonts w:hint="eastAsia"/>
                      <w:b/>
                      <w:bCs/>
                      <w:lang w:val="en-US" w:eastAsia="zh-CN"/>
                    </w:rPr>
                    <w:t>）</w:t>
                  </w:r>
                </w:p>
              </w:tc>
              <w:tc>
                <w:tcPr>
                  <w:tcW w:w="312" w:type="dxa"/>
                  <w:vMerge w:val="restart"/>
                  <w:shd w:val="clear" w:color="auto" w:fill="auto"/>
                  <w:vAlign w:val="center"/>
                </w:tcPr>
                <w:p w14:paraId="05CB4B4B">
                  <w:pPr>
                    <w:pStyle w:val="61"/>
                    <w:keepNext w:val="0"/>
                    <w:keepLines w:val="0"/>
                    <w:suppressLineNumbers w:val="0"/>
                    <w:bidi w:val="0"/>
                    <w:spacing w:before="0" w:beforeAutospacing="0" w:after="0" w:afterAutospacing="0"/>
                    <w:ind w:left="0" w:right="0"/>
                    <w:rPr>
                      <w:rFonts w:hint="eastAsia"/>
                      <w:b/>
                      <w:bCs/>
                    </w:rPr>
                  </w:pPr>
                  <w:r>
                    <w:rPr>
                      <w:rFonts w:hint="eastAsia"/>
                      <w:b/>
                      <w:bCs/>
                      <w:lang w:val="en-US" w:eastAsia="zh-CN"/>
                    </w:rPr>
                    <w:t>数量</w:t>
                  </w:r>
                  <w:r>
                    <w:rPr>
                      <w:rFonts w:hint="default"/>
                      <w:b/>
                      <w:bCs/>
                      <w:lang w:val="en-US" w:eastAsia="zh-CN"/>
                    </w:rPr>
                    <w:t>/</w:t>
                  </w:r>
                  <w:r>
                    <w:rPr>
                      <w:rFonts w:hint="eastAsia"/>
                      <w:b/>
                      <w:bCs/>
                      <w:lang w:val="en-US" w:eastAsia="zh-CN"/>
                    </w:rPr>
                    <w:t>台</w:t>
                  </w:r>
                </w:p>
              </w:tc>
              <w:tc>
                <w:tcPr>
                  <w:tcW w:w="499" w:type="dxa"/>
                  <w:vMerge w:val="restart"/>
                  <w:shd w:val="clear" w:color="auto" w:fill="auto"/>
                  <w:vAlign w:val="center"/>
                </w:tcPr>
                <w:p w14:paraId="0FE0BE22">
                  <w:pPr>
                    <w:pStyle w:val="61"/>
                    <w:keepNext w:val="0"/>
                    <w:keepLines w:val="0"/>
                    <w:suppressLineNumbers w:val="0"/>
                    <w:bidi w:val="0"/>
                    <w:spacing w:before="0" w:beforeAutospacing="0" w:after="0" w:afterAutospacing="0"/>
                    <w:ind w:left="0" w:right="0"/>
                    <w:rPr>
                      <w:rFonts w:hint="eastAsia"/>
                      <w:b/>
                      <w:bCs/>
                    </w:rPr>
                  </w:pPr>
                  <w:r>
                    <w:rPr>
                      <w:rFonts w:hint="eastAsia"/>
                      <w:b/>
                      <w:bCs/>
                      <w:lang w:val="en-US" w:eastAsia="zh-CN"/>
                    </w:rPr>
                    <w:t>声源控制措施</w:t>
                  </w:r>
                </w:p>
              </w:tc>
              <w:tc>
                <w:tcPr>
                  <w:tcW w:w="1121" w:type="dxa"/>
                  <w:gridSpan w:val="3"/>
                  <w:vMerge w:val="restart"/>
                  <w:shd w:val="clear" w:color="auto" w:fill="auto"/>
                  <w:vAlign w:val="center"/>
                </w:tcPr>
                <w:p w14:paraId="28A672BB">
                  <w:pPr>
                    <w:pStyle w:val="61"/>
                    <w:keepNext w:val="0"/>
                    <w:keepLines w:val="0"/>
                    <w:suppressLineNumbers w:val="0"/>
                    <w:bidi w:val="0"/>
                    <w:spacing w:before="0" w:beforeAutospacing="0" w:after="0" w:afterAutospacing="0"/>
                    <w:ind w:left="0" w:right="0"/>
                    <w:rPr>
                      <w:rFonts w:hint="eastAsia"/>
                      <w:b/>
                      <w:bCs/>
                    </w:rPr>
                  </w:pPr>
                  <w:r>
                    <w:rPr>
                      <w:rFonts w:hint="eastAsia"/>
                      <w:b/>
                      <w:bCs/>
                      <w:lang w:val="en-US" w:eastAsia="zh-CN"/>
                    </w:rPr>
                    <w:t>空间相对位置（</w:t>
                  </w:r>
                  <w:r>
                    <w:rPr>
                      <w:rFonts w:hint="default"/>
                      <w:b/>
                      <w:bCs/>
                      <w:lang w:val="en-US" w:eastAsia="zh-CN"/>
                    </w:rPr>
                    <w:t>m</w:t>
                  </w:r>
                  <w:r>
                    <w:rPr>
                      <w:rFonts w:hint="eastAsia"/>
                      <w:b/>
                      <w:bCs/>
                      <w:lang w:val="en-US" w:eastAsia="zh-CN"/>
                    </w:rPr>
                    <w:t>）</w:t>
                  </w:r>
                </w:p>
              </w:tc>
              <w:tc>
                <w:tcPr>
                  <w:tcW w:w="1666" w:type="dxa"/>
                  <w:gridSpan w:val="4"/>
                  <w:vMerge w:val="restart"/>
                  <w:shd w:val="clear" w:color="auto" w:fill="auto"/>
                  <w:vAlign w:val="center"/>
                </w:tcPr>
                <w:p w14:paraId="6CC3D6B4">
                  <w:pPr>
                    <w:pStyle w:val="61"/>
                    <w:keepNext w:val="0"/>
                    <w:keepLines w:val="0"/>
                    <w:suppressLineNumbers w:val="0"/>
                    <w:bidi w:val="0"/>
                    <w:spacing w:before="0" w:beforeAutospacing="0" w:after="0" w:afterAutospacing="0"/>
                    <w:ind w:left="0" w:right="0"/>
                    <w:rPr>
                      <w:rFonts w:hint="eastAsia"/>
                      <w:b/>
                      <w:bCs/>
                    </w:rPr>
                  </w:pPr>
                  <w:r>
                    <w:rPr>
                      <w:rFonts w:hint="eastAsia"/>
                      <w:b/>
                      <w:bCs/>
                      <w:lang w:val="en-US" w:eastAsia="zh-CN"/>
                    </w:rPr>
                    <w:t>距室内边界距离</w:t>
                  </w:r>
                  <w:r>
                    <w:rPr>
                      <w:rFonts w:hint="default"/>
                      <w:b/>
                      <w:bCs/>
                      <w:lang w:val="en-US" w:eastAsia="zh-CN"/>
                    </w:rPr>
                    <w:t>/m</w:t>
                  </w:r>
                </w:p>
              </w:tc>
              <w:tc>
                <w:tcPr>
                  <w:tcW w:w="1954" w:type="dxa"/>
                  <w:gridSpan w:val="4"/>
                  <w:vMerge w:val="restart"/>
                  <w:shd w:val="clear" w:color="auto" w:fill="auto"/>
                  <w:vAlign w:val="center"/>
                </w:tcPr>
                <w:p w14:paraId="12B41D33">
                  <w:pPr>
                    <w:pStyle w:val="61"/>
                    <w:keepNext w:val="0"/>
                    <w:keepLines w:val="0"/>
                    <w:suppressLineNumbers w:val="0"/>
                    <w:bidi w:val="0"/>
                    <w:spacing w:before="0" w:beforeAutospacing="0" w:after="0" w:afterAutospacing="0"/>
                    <w:ind w:left="0" w:right="0"/>
                    <w:rPr>
                      <w:rFonts w:hint="eastAsia"/>
                      <w:b/>
                      <w:bCs/>
                    </w:rPr>
                  </w:pPr>
                  <w:r>
                    <w:rPr>
                      <w:rFonts w:hint="eastAsia"/>
                      <w:b/>
                      <w:bCs/>
                      <w:lang w:val="en-US" w:eastAsia="zh-CN"/>
                    </w:rPr>
                    <w:t>距室内边界声级</w:t>
                  </w:r>
                  <w:r>
                    <w:rPr>
                      <w:rFonts w:hint="default"/>
                      <w:b/>
                      <w:bCs/>
                      <w:lang w:val="en-US" w:eastAsia="zh-CN"/>
                    </w:rPr>
                    <w:t>dB</w:t>
                  </w:r>
                  <w:r>
                    <w:rPr>
                      <w:rFonts w:hint="eastAsia"/>
                      <w:b/>
                      <w:bCs/>
                      <w:lang w:val="en-US" w:eastAsia="zh-CN"/>
                    </w:rPr>
                    <w:t>（</w:t>
                  </w:r>
                  <w:r>
                    <w:rPr>
                      <w:rFonts w:hint="default"/>
                      <w:b/>
                      <w:bCs/>
                      <w:lang w:val="en-US" w:eastAsia="zh-CN"/>
                    </w:rPr>
                    <w:t>A</w:t>
                  </w:r>
                  <w:r>
                    <w:rPr>
                      <w:rFonts w:hint="eastAsia"/>
                      <w:b/>
                      <w:bCs/>
                      <w:lang w:val="en-US" w:eastAsia="zh-CN"/>
                    </w:rPr>
                    <w:t>）</w:t>
                  </w:r>
                </w:p>
              </w:tc>
              <w:tc>
                <w:tcPr>
                  <w:tcW w:w="357" w:type="dxa"/>
                  <w:vMerge w:val="restart"/>
                  <w:shd w:val="clear" w:color="auto" w:fill="auto"/>
                  <w:vAlign w:val="center"/>
                </w:tcPr>
                <w:p w14:paraId="42A3813B">
                  <w:pPr>
                    <w:pStyle w:val="61"/>
                    <w:keepNext w:val="0"/>
                    <w:keepLines w:val="0"/>
                    <w:suppressLineNumbers w:val="0"/>
                    <w:bidi w:val="0"/>
                    <w:spacing w:before="0" w:beforeAutospacing="0" w:after="0" w:afterAutospacing="0"/>
                    <w:ind w:left="0" w:right="0"/>
                    <w:rPr>
                      <w:rFonts w:hint="eastAsia"/>
                      <w:b/>
                      <w:bCs/>
                    </w:rPr>
                  </w:pPr>
                  <w:r>
                    <w:rPr>
                      <w:rFonts w:hint="eastAsia"/>
                      <w:b/>
                      <w:bCs/>
                      <w:lang w:val="en-US" w:eastAsia="zh-CN"/>
                    </w:rPr>
                    <w:t>运行时段</w:t>
                  </w:r>
                </w:p>
              </w:tc>
              <w:tc>
                <w:tcPr>
                  <w:tcW w:w="532" w:type="dxa"/>
                  <w:vMerge w:val="restart"/>
                  <w:shd w:val="clear" w:color="auto" w:fill="auto"/>
                  <w:vAlign w:val="center"/>
                </w:tcPr>
                <w:p w14:paraId="7D54B294">
                  <w:pPr>
                    <w:pStyle w:val="61"/>
                    <w:keepNext w:val="0"/>
                    <w:keepLines w:val="0"/>
                    <w:suppressLineNumbers w:val="0"/>
                    <w:bidi w:val="0"/>
                    <w:spacing w:before="0" w:beforeAutospacing="0" w:after="0" w:afterAutospacing="0"/>
                    <w:ind w:left="0" w:right="0"/>
                    <w:rPr>
                      <w:rFonts w:hint="eastAsia"/>
                      <w:b/>
                      <w:bCs/>
                    </w:rPr>
                  </w:pPr>
                  <w:r>
                    <w:rPr>
                      <w:rFonts w:hint="eastAsia"/>
                      <w:b/>
                      <w:bCs/>
                      <w:lang w:val="en-US" w:eastAsia="zh-CN"/>
                    </w:rPr>
                    <w:t>建筑物插入损失</w:t>
                  </w:r>
                  <w:r>
                    <w:rPr>
                      <w:rFonts w:hint="default"/>
                      <w:b/>
                      <w:bCs/>
                      <w:lang w:val="en-US" w:eastAsia="zh-CN"/>
                    </w:rPr>
                    <w:t>dB</w:t>
                  </w:r>
                  <w:r>
                    <w:rPr>
                      <w:rFonts w:hint="eastAsia"/>
                      <w:b/>
                      <w:bCs/>
                      <w:lang w:val="en-US" w:eastAsia="zh-CN"/>
                    </w:rPr>
                    <w:t>（</w:t>
                  </w:r>
                  <w:r>
                    <w:rPr>
                      <w:rFonts w:hint="default"/>
                      <w:b/>
                      <w:bCs/>
                      <w:lang w:val="en-US" w:eastAsia="zh-CN"/>
                    </w:rPr>
                    <w:t>A</w:t>
                  </w:r>
                  <w:r>
                    <w:rPr>
                      <w:rFonts w:hint="eastAsia"/>
                      <w:b/>
                      <w:bCs/>
                      <w:lang w:val="en-US" w:eastAsia="zh-CN"/>
                    </w:rPr>
                    <w:t>）</w:t>
                  </w:r>
                </w:p>
              </w:tc>
              <w:tc>
                <w:tcPr>
                  <w:tcW w:w="2485" w:type="dxa"/>
                  <w:gridSpan w:val="5"/>
                  <w:vMerge w:val="restart"/>
                  <w:shd w:val="clear" w:color="auto" w:fill="auto"/>
                  <w:vAlign w:val="center"/>
                </w:tcPr>
                <w:p w14:paraId="3DEAA00A">
                  <w:pPr>
                    <w:pStyle w:val="61"/>
                    <w:keepNext w:val="0"/>
                    <w:keepLines w:val="0"/>
                    <w:suppressLineNumbers w:val="0"/>
                    <w:bidi w:val="0"/>
                    <w:spacing w:before="0" w:beforeAutospacing="0" w:after="0" w:afterAutospacing="0"/>
                    <w:ind w:left="0" w:right="0"/>
                    <w:rPr>
                      <w:rFonts w:hint="eastAsia"/>
                      <w:b/>
                      <w:bCs/>
                    </w:rPr>
                  </w:pPr>
                  <w:r>
                    <w:rPr>
                      <w:rFonts w:hint="eastAsia"/>
                      <w:b/>
                      <w:bCs/>
                      <w:lang w:val="en-US" w:eastAsia="zh-CN"/>
                    </w:rPr>
                    <w:t>建筑物外损失</w:t>
                  </w:r>
                </w:p>
              </w:tc>
            </w:tr>
            <w:tr w14:paraId="18544F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11" w:type="dxa"/>
                  <w:vMerge w:val="continue"/>
                  <w:shd w:val="clear" w:color="auto" w:fill="auto"/>
                  <w:vAlign w:val="center"/>
                </w:tcPr>
                <w:p w14:paraId="78401EF1">
                  <w:pPr>
                    <w:pStyle w:val="61"/>
                    <w:keepNext w:val="0"/>
                    <w:keepLines w:val="0"/>
                    <w:suppressLineNumbers w:val="0"/>
                    <w:bidi w:val="0"/>
                    <w:spacing w:before="0" w:beforeAutospacing="0" w:after="0" w:afterAutospacing="0"/>
                    <w:ind w:left="0" w:right="0"/>
                    <w:rPr>
                      <w:rFonts w:hint="eastAsia"/>
                      <w:b/>
                      <w:bCs/>
                    </w:rPr>
                  </w:pPr>
                </w:p>
              </w:tc>
              <w:tc>
                <w:tcPr>
                  <w:tcW w:w="268" w:type="dxa"/>
                  <w:vMerge w:val="continue"/>
                  <w:shd w:val="clear" w:color="auto" w:fill="auto"/>
                  <w:vAlign w:val="center"/>
                </w:tcPr>
                <w:p w14:paraId="72A9B203">
                  <w:pPr>
                    <w:pStyle w:val="61"/>
                    <w:keepNext w:val="0"/>
                    <w:keepLines w:val="0"/>
                    <w:suppressLineNumbers w:val="0"/>
                    <w:bidi w:val="0"/>
                    <w:spacing w:before="0" w:beforeAutospacing="0" w:after="0" w:afterAutospacing="0"/>
                    <w:ind w:left="0" w:right="0"/>
                    <w:rPr>
                      <w:rFonts w:hint="eastAsia"/>
                      <w:b/>
                      <w:bCs/>
                    </w:rPr>
                  </w:pPr>
                </w:p>
              </w:tc>
              <w:tc>
                <w:tcPr>
                  <w:tcW w:w="1575" w:type="dxa"/>
                  <w:vMerge w:val="continue"/>
                  <w:shd w:val="clear" w:color="auto" w:fill="auto"/>
                  <w:vAlign w:val="center"/>
                </w:tcPr>
                <w:p w14:paraId="3F9A7A32">
                  <w:pPr>
                    <w:pStyle w:val="61"/>
                    <w:keepNext w:val="0"/>
                    <w:keepLines w:val="0"/>
                    <w:suppressLineNumbers w:val="0"/>
                    <w:bidi w:val="0"/>
                    <w:spacing w:before="0" w:beforeAutospacing="0" w:after="0" w:afterAutospacing="0"/>
                    <w:ind w:left="0" w:right="0"/>
                    <w:rPr>
                      <w:rFonts w:hint="eastAsia"/>
                      <w:b/>
                      <w:bCs/>
                    </w:rPr>
                  </w:pPr>
                </w:p>
              </w:tc>
              <w:tc>
                <w:tcPr>
                  <w:tcW w:w="636" w:type="dxa"/>
                  <w:vMerge w:val="continue"/>
                  <w:shd w:val="clear" w:color="auto" w:fill="auto"/>
                  <w:vAlign w:val="center"/>
                </w:tcPr>
                <w:p w14:paraId="3FECCEDE">
                  <w:pPr>
                    <w:pStyle w:val="61"/>
                    <w:keepNext w:val="0"/>
                    <w:keepLines w:val="0"/>
                    <w:suppressLineNumbers w:val="0"/>
                    <w:bidi w:val="0"/>
                    <w:spacing w:before="0" w:beforeAutospacing="0" w:after="0" w:afterAutospacing="0"/>
                    <w:ind w:left="0" w:right="0"/>
                    <w:rPr>
                      <w:rFonts w:hint="eastAsia"/>
                      <w:b/>
                      <w:bCs/>
                    </w:rPr>
                  </w:pPr>
                </w:p>
              </w:tc>
              <w:tc>
                <w:tcPr>
                  <w:tcW w:w="312" w:type="dxa"/>
                  <w:vMerge w:val="continue"/>
                  <w:shd w:val="clear" w:color="auto" w:fill="auto"/>
                  <w:vAlign w:val="center"/>
                </w:tcPr>
                <w:p w14:paraId="6FE54444">
                  <w:pPr>
                    <w:pStyle w:val="61"/>
                    <w:keepNext w:val="0"/>
                    <w:keepLines w:val="0"/>
                    <w:suppressLineNumbers w:val="0"/>
                    <w:bidi w:val="0"/>
                    <w:spacing w:before="0" w:beforeAutospacing="0" w:after="0" w:afterAutospacing="0"/>
                    <w:ind w:left="0" w:right="0"/>
                    <w:rPr>
                      <w:rFonts w:hint="eastAsia"/>
                      <w:b/>
                      <w:bCs/>
                    </w:rPr>
                  </w:pPr>
                </w:p>
              </w:tc>
              <w:tc>
                <w:tcPr>
                  <w:tcW w:w="499" w:type="dxa"/>
                  <w:vMerge w:val="continue"/>
                  <w:shd w:val="clear" w:color="auto" w:fill="auto"/>
                  <w:vAlign w:val="center"/>
                </w:tcPr>
                <w:p w14:paraId="62B3FB0C">
                  <w:pPr>
                    <w:pStyle w:val="61"/>
                    <w:keepNext w:val="0"/>
                    <w:keepLines w:val="0"/>
                    <w:suppressLineNumbers w:val="0"/>
                    <w:bidi w:val="0"/>
                    <w:spacing w:before="0" w:beforeAutospacing="0" w:after="0" w:afterAutospacing="0"/>
                    <w:ind w:left="0" w:right="0"/>
                    <w:rPr>
                      <w:rFonts w:hint="eastAsia"/>
                      <w:b/>
                      <w:bCs/>
                    </w:rPr>
                  </w:pPr>
                </w:p>
              </w:tc>
              <w:tc>
                <w:tcPr>
                  <w:tcW w:w="1121" w:type="dxa"/>
                  <w:gridSpan w:val="3"/>
                  <w:vMerge w:val="continue"/>
                  <w:shd w:val="clear" w:color="auto" w:fill="auto"/>
                  <w:vAlign w:val="center"/>
                </w:tcPr>
                <w:p w14:paraId="1C2780F1">
                  <w:pPr>
                    <w:pStyle w:val="61"/>
                    <w:keepNext w:val="0"/>
                    <w:keepLines w:val="0"/>
                    <w:suppressLineNumbers w:val="0"/>
                    <w:bidi w:val="0"/>
                    <w:spacing w:before="0" w:beforeAutospacing="0" w:after="0" w:afterAutospacing="0"/>
                    <w:ind w:left="0" w:right="0"/>
                    <w:rPr>
                      <w:rFonts w:hint="eastAsia"/>
                      <w:b/>
                      <w:bCs/>
                    </w:rPr>
                  </w:pPr>
                </w:p>
              </w:tc>
              <w:tc>
                <w:tcPr>
                  <w:tcW w:w="1666" w:type="dxa"/>
                  <w:gridSpan w:val="4"/>
                  <w:vMerge w:val="continue"/>
                  <w:shd w:val="clear" w:color="auto" w:fill="auto"/>
                  <w:vAlign w:val="center"/>
                </w:tcPr>
                <w:p w14:paraId="35C891E8">
                  <w:pPr>
                    <w:pStyle w:val="61"/>
                    <w:keepNext w:val="0"/>
                    <w:keepLines w:val="0"/>
                    <w:suppressLineNumbers w:val="0"/>
                    <w:bidi w:val="0"/>
                    <w:spacing w:before="0" w:beforeAutospacing="0" w:after="0" w:afterAutospacing="0"/>
                    <w:ind w:left="0" w:right="0"/>
                    <w:rPr>
                      <w:rFonts w:hint="eastAsia"/>
                      <w:b/>
                      <w:bCs/>
                    </w:rPr>
                  </w:pPr>
                </w:p>
              </w:tc>
              <w:tc>
                <w:tcPr>
                  <w:tcW w:w="1954" w:type="dxa"/>
                  <w:gridSpan w:val="4"/>
                  <w:vMerge w:val="continue"/>
                  <w:shd w:val="clear" w:color="auto" w:fill="auto"/>
                  <w:vAlign w:val="center"/>
                </w:tcPr>
                <w:p w14:paraId="1FC1790C">
                  <w:pPr>
                    <w:pStyle w:val="61"/>
                    <w:keepNext w:val="0"/>
                    <w:keepLines w:val="0"/>
                    <w:suppressLineNumbers w:val="0"/>
                    <w:bidi w:val="0"/>
                    <w:spacing w:before="0" w:beforeAutospacing="0" w:after="0" w:afterAutospacing="0"/>
                    <w:ind w:left="0" w:right="0"/>
                    <w:rPr>
                      <w:rFonts w:hint="eastAsia"/>
                      <w:b/>
                      <w:bCs/>
                    </w:rPr>
                  </w:pPr>
                </w:p>
              </w:tc>
              <w:tc>
                <w:tcPr>
                  <w:tcW w:w="357" w:type="dxa"/>
                  <w:vMerge w:val="continue"/>
                  <w:shd w:val="clear" w:color="auto" w:fill="auto"/>
                  <w:vAlign w:val="center"/>
                </w:tcPr>
                <w:p w14:paraId="58335E02">
                  <w:pPr>
                    <w:pStyle w:val="61"/>
                    <w:keepNext w:val="0"/>
                    <w:keepLines w:val="0"/>
                    <w:suppressLineNumbers w:val="0"/>
                    <w:bidi w:val="0"/>
                    <w:spacing w:before="0" w:beforeAutospacing="0" w:after="0" w:afterAutospacing="0"/>
                    <w:ind w:left="0" w:right="0"/>
                    <w:rPr>
                      <w:rFonts w:hint="eastAsia"/>
                      <w:b/>
                      <w:bCs/>
                    </w:rPr>
                  </w:pPr>
                </w:p>
              </w:tc>
              <w:tc>
                <w:tcPr>
                  <w:tcW w:w="532" w:type="dxa"/>
                  <w:vMerge w:val="continue"/>
                  <w:shd w:val="clear" w:color="auto" w:fill="auto"/>
                  <w:vAlign w:val="center"/>
                </w:tcPr>
                <w:p w14:paraId="1FF46CED">
                  <w:pPr>
                    <w:pStyle w:val="61"/>
                    <w:keepNext w:val="0"/>
                    <w:keepLines w:val="0"/>
                    <w:suppressLineNumbers w:val="0"/>
                    <w:bidi w:val="0"/>
                    <w:spacing w:before="0" w:beforeAutospacing="0" w:after="0" w:afterAutospacing="0"/>
                    <w:ind w:left="0" w:right="0"/>
                    <w:rPr>
                      <w:rFonts w:hint="eastAsia"/>
                      <w:b/>
                      <w:bCs/>
                    </w:rPr>
                  </w:pPr>
                </w:p>
              </w:tc>
              <w:tc>
                <w:tcPr>
                  <w:tcW w:w="2485" w:type="dxa"/>
                  <w:gridSpan w:val="5"/>
                  <w:vMerge w:val="continue"/>
                  <w:shd w:val="clear" w:color="auto" w:fill="auto"/>
                  <w:vAlign w:val="center"/>
                </w:tcPr>
                <w:p w14:paraId="37C2CDC5">
                  <w:pPr>
                    <w:pStyle w:val="61"/>
                    <w:keepNext w:val="0"/>
                    <w:keepLines w:val="0"/>
                    <w:suppressLineNumbers w:val="0"/>
                    <w:bidi w:val="0"/>
                    <w:spacing w:before="0" w:beforeAutospacing="0" w:after="0" w:afterAutospacing="0"/>
                    <w:ind w:left="0" w:right="0"/>
                    <w:rPr>
                      <w:rFonts w:hint="eastAsia"/>
                      <w:b/>
                      <w:bCs/>
                    </w:rPr>
                  </w:pPr>
                </w:p>
              </w:tc>
            </w:tr>
            <w:tr w14:paraId="2A194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atLeast"/>
                <w:jc w:val="center"/>
              </w:trPr>
              <w:tc>
                <w:tcPr>
                  <w:tcW w:w="311" w:type="dxa"/>
                  <w:vMerge w:val="continue"/>
                  <w:shd w:val="clear" w:color="auto" w:fill="auto"/>
                  <w:vAlign w:val="center"/>
                </w:tcPr>
                <w:p w14:paraId="63ECEF28">
                  <w:pPr>
                    <w:pStyle w:val="61"/>
                    <w:keepNext w:val="0"/>
                    <w:keepLines w:val="0"/>
                    <w:suppressLineNumbers w:val="0"/>
                    <w:bidi w:val="0"/>
                    <w:spacing w:before="0" w:beforeAutospacing="0" w:after="0" w:afterAutospacing="0"/>
                    <w:ind w:left="0" w:right="0"/>
                    <w:rPr>
                      <w:rFonts w:hint="eastAsia"/>
                      <w:b/>
                      <w:bCs/>
                    </w:rPr>
                  </w:pPr>
                </w:p>
              </w:tc>
              <w:tc>
                <w:tcPr>
                  <w:tcW w:w="268" w:type="dxa"/>
                  <w:vMerge w:val="continue"/>
                  <w:shd w:val="clear" w:color="auto" w:fill="auto"/>
                  <w:vAlign w:val="center"/>
                </w:tcPr>
                <w:p w14:paraId="27642549">
                  <w:pPr>
                    <w:pStyle w:val="61"/>
                    <w:keepNext w:val="0"/>
                    <w:keepLines w:val="0"/>
                    <w:suppressLineNumbers w:val="0"/>
                    <w:bidi w:val="0"/>
                    <w:spacing w:before="0" w:beforeAutospacing="0" w:after="0" w:afterAutospacing="0"/>
                    <w:ind w:left="0" w:right="0"/>
                    <w:rPr>
                      <w:rFonts w:hint="eastAsia"/>
                      <w:b/>
                      <w:bCs/>
                    </w:rPr>
                  </w:pPr>
                </w:p>
              </w:tc>
              <w:tc>
                <w:tcPr>
                  <w:tcW w:w="1575" w:type="dxa"/>
                  <w:vMerge w:val="continue"/>
                  <w:shd w:val="clear" w:color="auto" w:fill="auto"/>
                  <w:vAlign w:val="center"/>
                </w:tcPr>
                <w:p w14:paraId="56E03439">
                  <w:pPr>
                    <w:pStyle w:val="61"/>
                    <w:keepNext w:val="0"/>
                    <w:keepLines w:val="0"/>
                    <w:suppressLineNumbers w:val="0"/>
                    <w:bidi w:val="0"/>
                    <w:spacing w:before="0" w:beforeAutospacing="0" w:after="0" w:afterAutospacing="0"/>
                    <w:ind w:left="0" w:right="0"/>
                    <w:rPr>
                      <w:rFonts w:hint="eastAsia"/>
                      <w:b/>
                      <w:bCs/>
                    </w:rPr>
                  </w:pPr>
                </w:p>
              </w:tc>
              <w:tc>
                <w:tcPr>
                  <w:tcW w:w="636" w:type="dxa"/>
                  <w:vMerge w:val="continue"/>
                  <w:shd w:val="clear" w:color="auto" w:fill="auto"/>
                  <w:vAlign w:val="center"/>
                </w:tcPr>
                <w:p w14:paraId="2CD3D355">
                  <w:pPr>
                    <w:pStyle w:val="61"/>
                    <w:keepNext w:val="0"/>
                    <w:keepLines w:val="0"/>
                    <w:suppressLineNumbers w:val="0"/>
                    <w:bidi w:val="0"/>
                    <w:spacing w:before="0" w:beforeAutospacing="0" w:after="0" w:afterAutospacing="0"/>
                    <w:ind w:left="0" w:right="0"/>
                    <w:rPr>
                      <w:rFonts w:hint="eastAsia"/>
                      <w:b/>
                      <w:bCs/>
                    </w:rPr>
                  </w:pPr>
                </w:p>
              </w:tc>
              <w:tc>
                <w:tcPr>
                  <w:tcW w:w="312" w:type="dxa"/>
                  <w:vMerge w:val="continue"/>
                  <w:shd w:val="clear" w:color="auto" w:fill="auto"/>
                  <w:vAlign w:val="center"/>
                </w:tcPr>
                <w:p w14:paraId="002BF977">
                  <w:pPr>
                    <w:pStyle w:val="61"/>
                    <w:keepNext w:val="0"/>
                    <w:keepLines w:val="0"/>
                    <w:suppressLineNumbers w:val="0"/>
                    <w:bidi w:val="0"/>
                    <w:spacing w:before="0" w:beforeAutospacing="0" w:after="0" w:afterAutospacing="0"/>
                    <w:ind w:left="0" w:right="0"/>
                    <w:rPr>
                      <w:rFonts w:hint="eastAsia"/>
                      <w:b/>
                      <w:bCs/>
                    </w:rPr>
                  </w:pPr>
                </w:p>
              </w:tc>
              <w:tc>
                <w:tcPr>
                  <w:tcW w:w="499" w:type="dxa"/>
                  <w:vMerge w:val="continue"/>
                  <w:shd w:val="clear" w:color="auto" w:fill="auto"/>
                  <w:vAlign w:val="center"/>
                </w:tcPr>
                <w:p w14:paraId="17AEB1C2">
                  <w:pPr>
                    <w:pStyle w:val="61"/>
                    <w:keepNext w:val="0"/>
                    <w:keepLines w:val="0"/>
                    <w:suppressLineNumbers w:val="0"/>
                    <w:bidi w:val="0"/>
                    <w:spacing w:before="0" w:beforeAutospacing="0" w:after="0" w:afterAutospacing="0"/>
                    <w:ind w:left="0" w:right="0"/>
                    <w:rPr>
                      <w:rFonts w:hint="eastAsia"/>
                      <w:b/>
                      <w:bCs/>
                    </w:rPr>
                  </w:pPr>
                </w:p>
              </w:tc>
              <w:tc>
                <w:tcPr>
                  <w:tcW w:w="1121" w:type="dxa"/>
                  <w:gridSpan w:val="3"/>
                  <w:vMerge w:val="continue"/>
                  <w:shd w:val="clear" w:color="auto" w:fill="auto"/>
                  <w:vAlign w:val="center"/>
                </w:tcPr>
                <w:p w14:paraId="7F0709F9">
                  <w:pPr>
                    <w:pStyle w:val="61"/>
                    <w:keepNext w:val="0"/>
                    <w:keepLines w:val="0"/>
                    <w:suppressLineNumbers w:val="0"/>
                    <w:bidi w:val="0"/>
                    <w:spacing w:before="0" w:beforeAutospacing="0" w:after="0" w:afterAutospacing="0"/>
                    <w:ind w:left="0" w:right="0"/>
                    <w:rPr>
                      <w:rFonts w:hint="eastAsia"/>
                      <w:b/>
                      <w:bCs/>
                    </w:rPr>
                  </w:pPr>
                </w:p>
              </w:tc>
              <w:tc>
                <w:tcPr>
                  <w:tcW w:w="1666" w:type="dxa"/>
                  <w:gridSpan w:val="4"/>
                  <w:vMerge w:val="continue"/>
                  <w:shd w:val="clear" w:color="auto" w:fill="auto"/>
                  <w:vAlign w:val="center"/>
                </w:tcPr>
                <w:p w14:paraId="147EBCEB">
                  <w:pPr>
                    <w:pStyle w:val="61"/>
                    <w:keepNext w:val="0"/>
                    <w:keepLines w:val="0"/>
                    <w:suppressLineNumbers w:val="0"/>
                    <w:bidi w:val="0"/>
                    <w:spacing w:before="0" w:beforeAutospacing="0" w:after="0" w:afterAutospacing="0"/>
                    <w:ind w:left="0" w:right="0"/>
                    <w:rPr>
                      <w:rFonts w:hint="eastAsia"/>
                      <w:b/>
                      <w:bCs/>
                    </w:rPr>
                  </w:pPr>
                </w:p>
              </w:tc>
              <w:tc>
                <w:tcPr>
                  <w:tcW w:w="1954" w:type="dxa"/>
                  <w:gridSpan w:val="4"/>
                  <w:vMerge w:val="continue"/>
                  <w:shd w:val="clear" w:color="auto" w:fill="auto"/>
                  <w:vAlign w:val="center"/>
                </w:tcPr>
                <w:p w14:paraId="614AC910">
                  <w:pPr>
                    <w:pStyle w:val="61"/>
                    <w:keepNext w:val="0"/>
                    <w:keepLines w:val="0"/>
                    <w:suppressLineNumbers w:val="0"/>
                    <w:bidi w:val="0"/>
                    <w:spacing w:before="0" w:beforeAutospacing="0" w:after="0" w:afterAutospacing="0"/>
                    <w:ind w:left="0" w:right="0"/>
                    <w:rPr>
                      <w:rFonts w:hint="eastAsia"/>
                      <w:b/>
                      <w:bCs/>
                    </w:rPr>
                  </w:pPr>
                </w:p>
              </w:tc>
              <w:tc>
                <w:tcPr>
                  <w:tcW w:w="357" w:type="dxa"/>
                  <w:vMerge w:val="continue"/>
                  <w:shd w:val="clear" w:color="auto" w:fill="auto"/>
                  <w:vAlign w:val="center"/>
                </w:tcPr>
                <w:p w14:paraId="0D611D60">
                  <w:pPr>
                    <w:pStyle w:val="61"/>
                    <w:keepNext w:val="0"/>
                    <w:keepLines w:val="0"/>
                    <w:suppressLineNumbers w:val="0"/>
                    <w:bidi w:val="0"/>
                    <w:spacing w:before="0" w:beforeAutospacing="0" w:after="0" w:afterAutospacing="0"/>
                    <w:ind w:left="0" w:right="0"/>
                    <w:rPr>
                      <w:rFonts w:hint="eastAsia"/>
                      <w:b/>
                      <w:bCs/>
                    </w:rPr>
                  </w:pPr>
                </w:p>
              </w:tc>
              <w:tc>
                <w:tcPr>
                  <w:tcW w:w="532" w:type="dxa"/>
                  <w:vMerge w:val="continue"/>
                  <w:shd w:val="clear" w:color="auto" w:fill="auto"/>
                  <w:vAlign w:val="center"/>
                </w:tcPr>
                <w:p w14:paraId="64CF0A6C">
                  <w:pPr>
                    <w:pStyle w:val="61"/>
                    <w:keepNext w:val="0"/>
                    <w:keepLines w:val="0"/>
                    <w:suppressLineNumbers w:val="0"/>
                    <w:bidi w:val="0"/>
                    <w:spacing w:before="0" w:beforeAutospacing="0" w:after="0" w:afterAutospacing="0"/>
                    <w:ind w:left="0" w:right="0"/>
                    <w:rPr>
                      <w:rFonts w:hint="eastAsia"/>
                      <w:b/>
                      <w:bCs/>
                    </w:rPr>
                  </w:pPr>
                </w:p>
              </w:tc>
              <w:tc>
                <w:tcPr>
                  <w:tcW w:w="2485" w:type="dxa"/>
                  <w:gridSpan w:val="5"/>
                  <w:vMerge w:val="continue"/>
                  <w:shd w:val="clear" w:color="auto" w:fill="auto"/>
                  <w:vAlign w:val="center"/>
                </w:tcPr>
                <w:p w14:paraId="01B5F336">
                  <w:pPr>
                    <w:pStyle w:val="61"/>
                    <w:keepNext w:val="0"/>
                    <w:keepLines w:val="0"/>
                    <w:suppressLineNumbers w:val="0"/>
                    <w:bidi w:val="0"/>
                    <w:spacing w:before="0" w:beforeAutospacing="0" w:after="0" w:afterAutospacing="0"/>
                    <w:ind w:left="0" w:right="0"/>
                    <w:rPr>
                      <w:rFonts w:hint="eastAsia"/>
                      <w:b/>
                      <w:bCs/>
                    </w:rPr>
                  </w:pPr>
                </w:p>
              </w:tc>
            </w:tr>
            <w:tr w14:paraId="62232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312" w:hRule="atLeast"/>
                <w:jc w:val="center"/>
              </w:trPr>
              <w:tc>
                <w:tcPr>
                  <w:tcW w:w="311" w:type="dxa"/>
                  <w:vMerge w:val="continue"/>
                  <w:shd w:val="clear" w:color="auto" w:fill="auto"/>
                  <w:vAlign w:val="center"/>
                </w:tcPr>
                <w:p w14:paraId="6EC87C91">
                  <w:pPr>
                    <w:pStyle w:val="61"/>
                    <w:keepNext w:val="0"/>
                    <w:keepLines w:val="0"/>
                    <w:suppressLineNumbers w:val="0"/>
                    <w:bidi w:val="0"/>
                    <w:spacing w:before="0" w:beforeAutospacing="0" w:after="0" w:afterAutospacing="0"/>
                    <w:ind w:left="0" w:right="0"/>
                    <w:rPr>
                      <w:rFonts w:hint="eastAsia"/>
                      <w:b/>
                      <w:bCs/>
                    </w:rPr>
                  </w:pPr>
                </w:p>
              </w:tc>
              <w:tc>
                <w:tcPr>
                  <w:tcW w:w="268" w:type="dxa"/>
                  <w:vMerge w:val="continue"/>
                  <w:shd w:val="clear" w:color="auto" w:fill="auto"/>
                  <w:vAlign w:val="center"/>
                </w:tcPr>
                <w:p w14:paraId="552512A7">
                  <w:pPr>
                    <w:pStyle w:val="61"/>
                    <w:keepNext w:val="0"/>
                    <w:keepLines w:val="0"/>
                    <w:suppressLineNumbers w:val="0"/>
                    <w:bidi w:val="0"/>
                    <w:spacing w:before="0" w:beforeAutospacing="0" w:after="0" w:afterAutospacing="0"/>
                    <w:ind w:left="0" w:right="0"/>
                    <w:rPr>
                      <w:rFonts w:hint="eastAsia"/>
                      <w:b/>
                      <w:bCs/>
                    </w:rPr>
                  </w:pPr>
                </w:p>
              </w:tc>
              <w:tc>
                <w:tcPr>
                  <w:tcW w:w="1575" w:type="dxa"/>
                  <w:vMerge w:val="continue"/>
                  <w:shd w:val="clear" w:color="auto" w:fill="auto"/>
                  <w:vAlign w:val="center"/>
                </w:tcPr>
                <w:p w14:paraId="786929FB">
                  <w:pPr>
                    <w:pStyle w:val="61"/>
                    <w:keepNext w:val="0"/>
                    <w:keepLines w:val="0"/>
                    <w:suppressLineNumbers w:val="0"/>
                    <w:bidi w:val="0"/>
                    <w:spacing w:before="0" w:beforeAutospacing="0" w:after="0" w:afterAutospacing="0"/>
                    <w:ind w:left="0" w:right="0"/>
                    <w:rPr>
                      <w:rFonts w:hint="eastAsia"/>
                      <w:b/>
                      <w:bCs/>
                    </w:rPr>
                  </w:pPr>
                </w:p>
              </w:tc>
              <w:tc>
                <w:tcPr>
                  <w:tcW w:w="636" w:type="dxa"/>
                  <w:vMerge w:val="continue"/>
                  <w:shd w:val="clear" w:color="auto" w:fill="auto"/>
                  <w:vAlign w:val="center"/>
                </w:tcPr>
                <w:p w14:paraId="172D80AA">
                  <w:pPr>
                    <w:pStyle w:val="61"/>
                    <w:keepNext w:val="0"/>
                    <w:keepLines w:val="0"/>
                    <w:suppressLineNumbers w:val="0"/>
                    <w:bidi w:val="0"/>
                    <w:spacing w:before="0" w:beforeAutospacing="0" w:after="0" w:afterAutospacing="0"/>
                    <w:ind w:left="0" w:right="0"/>
                    <w:rPr>
                      <w:rFonts w:hint="eastAsia"/>
                      <w:b/>
                      <w:bCs/>
                    </w:rPr>
                  </w:pPr>
                </w:p>
              </w:tc>
              <w:tc>
                <w:tcPr>
                  <w:tcW w:w="312" w:type="dxa"/>
                  <w:vMerge w:val="continue"/>
                  <w:shd w:val="clear" w:color="auto" w:fill="auto"/>
                  <w:vAlign w:val="center"/>
                </w:tcPr>
                <w:p w14:paraId="7756C5C9">
                  <w:pPr>
                    <w:pStyle w:val="61"/>
                    <w:keepNext w:val="0"/>
                    <w:keepLines w:val="0"/>
                    <w:suppressLineNumbers w:val="0"/>
                    <w:bidi w:val="0"/>
                    <w:spacing w:before="0" w:beforeAutospacing="0" w:after="0" w:afterAutospacing="0"/>
                    <w:ind w:left="0" w:right="0"/>
                    <w:rPr>
                      <w:rFonts w:hint="eastAsia"/>
                      <w:b/>
                      <w:bCs/>
                    </w:rPr>
                  </w:pPr>
                </w:p>
              </w:tc>
              <w:tc>
                <w:tcPr>
                  <w:tcW w:w="499" w:type="dxa"/>
                  <w:vMerge w:val="continue"/>
                  <w:shd w:val="clear" w:color="auto" w:fill="auto"/>
                  <w:vAlign w:val="center"/>
                </w:tcPr>
                <w:p w14:paraId="047C8671">
                  <w:pPr>
                    <w:pStyle w:val="61"/>
                    <w:keepNext w:val="0"/>
                    <w:keepLines w:val="0"/>
                    <w:suppressLineNumbers w:val="0"/>
                    <w:bidi w:val="0"/>
                    <w:spacing w:before="0" w:beforeAutospacing="0" w:after="0" w:afterAutospacing="0"/>
                    <w:ind w:left="0" w:right="0"/>
                    <w:rPr>
                      <w:rFonts w:hint="eastAsia"/>
                      <w:b/>
                      <w:bCs/>
                    </w:rPr>
                  </w:pPr>
                </w:p>
              </w:tc>
              <w:tc>
                <w:tcPr>
                  <w:tcW w:w="1121" w:type="dxa"/>
                  <w:gridSpan w:val="3"/>
                  <w:vMerge w:val="continue"/>
                  <w:shd w:val="clear" w:color="auto" w:fill="auto"/>
                  <w:vAlign w:val="center"/>
                </w:tcPr>
                <w:p w14:paraId="3B776FE7">
                  <w:pPr>
                    <w:pStyle w:val="61"/>
                    <w:keepNext w:val="0"/>
                    <w:keepLines w:val="0"/>
                    <w:suppressLineNumbers w:val="0"/>
                    <w:bidi w:val="0"/>
                    <w:spacing w:before="0" w:beforeAutospacing="0" w:after="0" w:afterAutospacing="0"/>
                    <w:ind w:left="0" w:right="0"/>
                    <w:rPr>
                      <w:rFonts w:hint="eastAsia"/>
                      <w:b/>
                      <w:bCs/>
                    </w:rPr>
                  </w:pPr>
                </w:p>
              </w:tc>
              <w:tc>
                <w:tcPr>
                  <w:tcW w:w="1666" w:type="dxa"/>
                  <w:gridSpan w:val="4"/>
                  <w:vMerge w:val="continue"/>
                  <w:shd w:val="clear" w:color="auto" w:fill="auto"/>
                  <w:vAlign w:val="center"/>
                </w:tcPr>
                <w:p w14:paraId="009E9537">
                  <w:pPr>
                    <w:pStyle w:val="61"/>
                    <w:keepNext w:val="0"/>
                    <w:keepLines w:val="0"/>
                    <w:suppressLineNumbers w:val="0"/>
                    <w:bidi w:val="0"/>
                    <w:spacing w:before="0" w:beforeAutospacing="0" w:after="0" w:afterAutospacing="0"/>
                    <w:ind w:left="0" w:right="0"/>
                    <w:rPr>
                      <w:rFonts w:hint="eastAsia"/>
                      <w:b/>
                      <w:bCs/>
                    </w:rPr>
                  </w:pPr>
                </w:p>
              </w:tc>
              <w:tc>
                <w:tcPr>
                  <w:tcW w:w="1954" w:type="dxa"/>
                  <w:gridSpan w:val="4"/>
                  <w:vMerge w:val="continue"/>
                  <w:shd w:val="clear" w:color="auto" w:fill="auto"/>
                  <w:vAlign w:val="center"/>
                </w:tcPr>
                <w:p w14:paraId="2DF2564C">
                  <w:pPr>
                    <w:pStyle w:val="61"/>
                    <w:keepNext w:val="0"/>
                    <w:keepLines w:val="0"/>
                    <w:suppressLineNumbers w:val="0"/>
                    <w:bidi w:val="0"/>
                    <w:spacing w:before="0" w:beforeAutospacing="0" w:after="0" w:afterAutospacing="0"/>
                    <w:ind w:left="0" w:right="0"/>
                    <w:rPr>
                      <w:rFonts w:hint="eastAsia"/>
                      <w:b/>
                      <w:bCs/>
                    </w:rPr>
                  </w:pPr>
                </w:p>
              </w:tc>
              <w:tc>
                <w:tcPr>
                  <w:tcW w:w="357" w:type="dxa"/>
                  <w:vMerge w:val="continue"/>
                  <w:shd w:val="clear" w:color="auto" w:fill="auto"/>
                  <w:vAlign w:val="center"/>
                </w:tcPr>
                <w:p w14:paraId="16443143">
                  <w:pPr>
                    <w:pStyle w:val="61"/>
                    <w:keepNext w:val="0"/>
                    <w:keepLines w:val="0"/>
                    <w:suppressLineNumbers w:val="0"/>
                    <w:bidi w:val="0"/>
                    <w:spacing w:before="0" w:beforeAutospacing="0" w:after="0" w:afterAutospacing="0"/>
                    <w:ind w:left="0" w:right="0"/>
                    <w:rPr>
                      <w:rFonts w:hint="eastAsia"/>
                      <w:b/>
                      <w:bCs/>
                    </w:rPr>
                  </w:pPr>
                </w:p>
              </w:tc>
              <w:tc>
                <w:tcPr>
                  <w:tcW w:w="532" w:type="dxa"/>
                  <w:vMerge w:val="continue"/>
                  <w:shd w:val="clear" w:color="auto" w:fill="auto"/>
                  <w:vAlign w:val="center"/>
                </w:tcPr>
                <w:p w14:paraId="12FC4A53">
                  <w:pPr>
                    <w:pStyle w:val="61"/>
                    <w:keepNext w:val="0"/>
                    <w:keepLines w:val="0"/>
                    <w:suppressLineNumbers w:val="0"/>
                    <w:bidi w:val="0"/>
                    <w:spacing w:before="0" w:beforeAutospacing="0" w:after="0" w:afterAutospacing="0"/>
                    <w:ind w:left="0" w:right="0"/>
                    <w:rPr>
                      <w:rFonts w:hint="eastAsia"/>
                      <w:b/>
                      <w:bCs/>
                    </w:rPr>
                  </w:pPr>
                </w:p>
              </w:tc>
              <w:tc>
                <w:tcPr>
                  <w:tcW w:w="2485" w:type="dxa"/>
                  <w:gridSpan w:val="5"/>
                  <w:vMerge w:val="continue"/>
                  <w:shd w:val="clear" w:color="auto" w:fill="auto"/>
                  <w:vAlign w:val="center"/>
                </w:tcPr>
                <w:p w14:paraId="5CDDEDBC">
                  <w:pPr>
                    <w:pStyle w:val="61"/>
                    <w:keepNext w:val="0"/>
                    <w:keepLines w:val="0"/>
                    <w:suppressLineNumbers w:val="0"/>
                    <w:bidi w:val="0"/>
                    <w:spacing w:before="0" w:beforeAutospacing="0" w:after="0" w:afterAutospacing="0"/>
                    <w:ind w:left="0" w:right="0"/>
                    <w:rPr>
                      <w:rFonts w:hint="eastAsia"/>
                      <w:b/>
                      <w:bCs/>
                    </w:rPr>
                  </w:pPr>
                </w:p>
              </w:tc>
            </w:tr>
            <w:tr w14:paraId="26504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11" w:type="dxa"/>
                  <w:vMerge w:val="continue"/>
                  <w:shd w:val="clear" w:color="auto" w:fill="auto"/>
                  <w:vAlign w:val="center"/>
                </w:tcPr>
                <w:p w14:paraId="07FD51CE">
                  <w:pPr>
                    <w:pStyle w:val="61"/>
                    <w:keepNext w:val="0"/>
                    <w:keepLines w:val="0"/>
                    <w:suppressLineNumbers w:val="0"/>
                    <w:bidi w:val="0"/>
                    <w:spacing w:before="0" w:beforeAutospacing="0" w:after="0" w:afterAutospacing="0"/>
                    <w:ind w:left="0" w:right="0"/>
                    <w:rPr>
                      <w:rFonts w:hint="eastAsia"/>
                      <w:b/>
                      <w:bCs/>
                    </w:rPr>
                  </w:pPr>
                </w:p>
              </w:tc>
              <w:tc>
                <w:tcPr>
                  <w:tcW w:w="268" w:type="dxa"/>
                  <w:vMerge w:val="continue"/>
                  <w:shd w:val="clear" w:color="auto" w:fill="auto"/>
                  <w:vAlign w:val="center"/>
                </w:tcPr>
                <w:p w14:paraId="5FD56156">
                  <w:pPr>
                    <w:pStyle w:val="61"/>
                    <w:keepNext w:val="0"/>
                    <w:keepLines w:val="0"/>
                    <w:suppressLineNumbers w:val="0"/>
                    <w:bidi w:val="0"/>
                    <w:spacing w:before="0" w:beforeAutospacing="0" w:after="0" w:afterAutospacing="0"/>
                    <w:ind w:left="0" w:right="0"/>
                    <w:rPr>
                      <w:rFonts w:hint="eastAsia"/>
                      <w:b/>
                      <w:bCs/>
                    </w:rPr>
                  </w:pPr>
                </w:p>
              </w:tc>
              <w:tc>
                <w:tcPr>
                  <w:tcW w:w="1575" w:type="dxa"/>
                  <w:vMerge w:val="continue"/>
                  <w:shd w:val="clear" w:color="auto" w:fill="auto"/>
                  <w:vAlign w:val="center"/>
                </w:tcPr>
                <w:p w14:paraId="30EA2F29">
                  <w:pPr>
                    <w:pStyle w:val="61"/>
                    <w:keepNext w:val="0"/>
                    <w:keepLines w:val="0"/>
                    <w:suppressLineNumbers w:val="0"/>
                    <w:bidi w:val="0"/>
                    <w:spacing w:before="0" w:beforeAutospacing="0" w:after="0" w:afterAutospacing="0"/>
                    <w:ind w:left="0" w:right="0"/>
                    <w:rPr>
                      <w:rFonts w:hint="eastAsia"/>
                      <w:b/>
                      <w:bCs/>
                    </w:rPr>
                  </w:pPr>
                </w:p>
              </w:tc>
              <w:tc>
                <w:tcPr>
                  <w:tcW w:w="636" w:type="dxa"/>
                  <w:vMerge w:val="continue"/>
                  <w:shd w:val="clear" w:color="auto" w:fill="auto"/>
                  <w:vAlign w:val="center"/>
                </w:tcPr>
                <w:p w14:paraId="00461014">
                  <w:pPr>
                    <w:pStyle w:val="61"/>
                    <w:keepNext w:val="0"/>
                    <w:keepLines w:val="0"/>
                    <w:suppressLineNumbers w:val="0"/>
                    <w:bidi w:val="0"/>
                    <w:spacing w:before="0" w:beforeAutospacing="0" w:after="0" w:afterAutospacing="0"/>
                    <w:ind w:left="0" w:right="0"/>
                    <w:rPr>
                      <w:rFonts w:hint="eastAsia"/>
                      <w:b/>
                      <w:bCs/>
                    </w:rPr>
                  </w:pPr>
                </w:p>
              </w:tc>
              <w:tc>
                <w:tcPr>
                  <w:tcW w:w="312" w:type="dxa"/>
                  <w:vMerge w:val="continue"/>
                  <w:shd w:val="clear" w:color="auto" w:fill="auto"/>
                  <w:vAlign w:val="center"/>
                </w:tcPr>
                <w:p w14:paraId="63CA5B37">
                  <w:pPr>
                    <w:pStyle w:val="61"/>
                    <w:keepNext w:val="0"/>
                    <w:keepLines w:val="0"/>
                    <w:suppressLineNumbers w:val="0"/>
                    <w:bidi w:val="0"/>
                    <w:spacing w:before="0" w:beforeAutospacing="0" w:after="0" w:afterAutospacing="0"/>
                    <w:ind w:left="0" w:right="0"/>
                    <w:rPr>
                      <w:rFonts w:hint="eastAsia"/>
                      <w:b/>
                      <w:bCs/>
                    </w:rPr>
                  </w:pPr>
                </w:p>
              </w:tc>
              <w:tc>
                <w:tcPr>
                  <w:tcW w:w="499" w:type="dxa"/>
                  <w:vMerge w:val="continue"/>
                  <w:shd w:val="clear" w:color="auto" w:fill="auto"/>
                  <w:vAlign w:val="center"/>
                </w:tcPr>
                <w:p w14:paraId="025AF8A9">
                  <w:pPr>
                    <w:pStyle w:val="61"/>
                    <w:keepNext w:val="0"/>
                    <w:keepLines w:val="0"/>
                    <w:suppressLineNumbers w:val="0"/>
                    <w:bidi w:val="0"/>
                    <w:spacing w:before="0" w:beforeAutospacing="0" w:after="0" w:afterAutospacing="0"/>
                    <w:ind w:left="0" w:right="0"/>
                    <w:rPr>
                      <w:rFonts w:hint="eastAsia"/>
                      <w:b/>
                      <w:bCs/>
                    </w:rPr>
                  </w:pPr>
                </w:p>
              </w:tc>
              <w:tc>
                <w:tcPr>
                  <w:tcW w:w="1121" w:type="dxa"/>
                  <w:gridSpan w:val="3"/>
                  <w:vMerge w:val="continue"/>
                  <w:shd w:val="clear" w:color="auto" w:fill="auto"/>
                  <w:vAlign w:val="center"/>
                </w:tcPr>
                <w:p w14:paraId="5353E1FB">
                  <w:pPr>
                    <w:pStyle w:val="61"/>
                    <w:keepNext w:val="0"/>
                    <w:keepLines w:val="0"/>
                    <w:suppressLineNumbers w:val="0"/>
                    <w:bidi w:val="0"/>
                    <w:spacing w:before="0" w:beforeAutospacing="0" w:after="0" w:afterAutospacing="0"/>
                    <w:ind w:left="0" w:right="0"/>
                    <w:rPr>
                      <w:rFonts w:hint="eastAsia"/>
                      <w:b/>
                      <w:bCs/>
                    </w:rPr>
                  </w:pPr>
                </w:p>
              </w:tc>
              <w:tc>
                <w:tcPr>
                  <w:tcW w:w="1666" w:type="dxa"/>
                  <w:gridSpan w:val="4"/>
                  <w:vMerge w:val="continue"/>
                  <w:shd w:val="clear" w:color="auto" w:fill="auto"/>
                  <w:vAlign w:val="center"/>
                </w:tcPr>
                <w:p w14:paraId="1EF1079C">
                  <w:pPr>
                    <w:pStyle w:val="61"/>
                    <w:keepNext w:val="0"/>
                    <w:keepLines w:val="0"/>
                    <w:suppressLineNumbers w:val="0"/>
                    <w:bidi w:val="0"/>
                    <w:spacing w:before="0" w:beforeAutospacing="0" w:after="0" w:afterAutospacing="0"/>
                    <w:ind w:left="0" w:right="0"/>
                    <w:rPr>
                      <w:rFonts w:hint="eastAsia"/>
                      <w:b/>
                      <w:bCs/>
                    </w:rPr>
                  </w:pPr>
                </w:p>
              </w:tc>
              <w:tc>
                <w:tcPr>
                  <w:tcW w:w="1954" w:type="dxa"/>
                  <w:gridSpan w:val="4"/>
                  <w:vMerge w:val="continue"/>
                  <w:shd w:val="clear" w:color="auto" w:fill="auto"/>
                  <w:vAlign w:val="center"/>
                </w:tcPr>
                <w:p w14:paraId="62322E56">
                  <w:pPr>
                    <w:pStyle w:val="61"/>
                    <w:keepNext w:val="0"/>
                    <w:keepLines w:val="0"/>
                    <w:suppressLineNumbers w:val="0"/>
                    <w:bidi w:val="0"/>
                    <w:spacing w:before="0" w:beforeAutospacing="0" w:after="0" w:afterAutospacing="0"/>
                    <w:ind w:left="0" w:right="0"/>
                    <w:rPr>
                      <w:rFonts w:hint="eastAsia"/>
                      <w:b/>
                      <w:bCs/>
                    </w:rPr>
                  </w:pPr>
                </w:p>
              </w:tc>
              <w:tc>
                <w:tcPr>
                  <w:tcW w:w="357" w:type="dxa"/>
                  <w:vMerge w:val="continue"/>
                  <w:shd w:val="clear" w:color="auto" w:fill="auto"/>
                  <w:vAlign w:val="center"/>
                </w:tcPr>
                <w:p w14:paraId="1B8B6F01">
                  <w:pPr>
                    <w:pStyle w:val="61"/>
                    <w:keepNext w:val="0"/>
                    <w:keepLines w:val="0"/>
                    <w:suppressLineNumbers w:val="0"/>
                    <w:bidi w:val="0"/>
                    <w:spacing w:before="0" w:beforeAutospacing="0" w:after="0" w:afterAutospacing="0"/>
                    <w:ind w:left="0" w:right="0"/>
                    <w:rPr>
                      <w:rFonts w:hint="eastAsia"/>
                      <w:b/>
                      <w:bCs/>
                    </w:rPr>
                  </w:pPr>
                </w:p>
              </w:tc>
              <w:tc>
                <w:tcPr>
                  <w:tcW w:w="532" w:type="dxa"/>
                  <w:vMerge w:val="continue"/>
                  <w:shd w:val="clear" w:color="auto" w:fill="auto"/>
                  <w:vAlign w:val="center"/>
                </w:tcPr>
                <w:p w14:paraId="09C35641">
                  <w:pPr>
                    <w:pStyle w:val="61"/>
                    <w:keepNext w:val="0"/>
                    <w:keepLines w:val="0"/>
                    <w:suppressLineNumbers w:val="0"/>
                    <w:bidi w:val="0"/>
                    <w:spacing w:before="0" w:beforeAutospacing="0" w:after="0" w:afterAutospacing="0"/>
                    <w:ind w:left="0" w:right="0"/>
                    <w:rPr>
                      <w:rFonts w:hint="eastAsia"/>
                      <w:b/>
                      <w:bCs/>
                    </w:rPr>
                  </w:pPr>
                </w:p>
              </w:tc>
              <w:tc>
                <w:tcPr>
                  <w:tcW w:w="1935" w:type="dxa"/>
                  <w:gridSpan w:val="4"/>
                  <w:shd w:val="clear" w:color="auto" w:fill="auto"/>
                  <w:vAlign w:val="center"/>
                </w:tcPr>
                <w:p w14:paraId="09F3705E">
                  <w:pPr>
                    <w:pStyle w:val="61"/>
                    <w:keepNext w:val="0"/>
                    <w:keepLines w:val="0"/>
                    <w:suppressLineNumbers w:val="0"/>
                    <w:bidi w:val="0"/>
                    <w:spacing w:before="0" w:beforeAutospacing="0" w:after="0" w:afterAutospacing="0"/>
                    <w:ind w:left="0" w:right="0"/>
                    <w:rPr>
                      <w:rFonts w:hint="eastAsia"/>
                      <w:b/>
                      <w:bCs/>
                    </w:rPr>
                  </w:pPr>
                  <w:r>
                    <w:rPr>
                      <w:rFonts w:hint="eastAsia"/>
                      <w:b/>
                      <w:bCs/>
                      <w:lang w:val="en-US" w:eastAsia="zh-CN"/>
                    </w:rPr>
                    <w:t>声压级</w:t>
                  </w:r>
                  <w:r>
                    <w:rPr>
                      <w:rFonts w:hint="default"/>
                      <w:b/>
                      <w:bCs/>
                      <w:lang w:val="en-US" w:eastAsia="zh-CN"/>
                    </w:rPr>
                    <w:t>dB</w:t>
                  </w:r>
                  <w:r>
                    <w:rPr>
                      <w:rFonts w:hint="eastAsia"/>
                      <w:b/>
                      <w:bCs/>
                      <w:lang w:val="en-US" w:eastAsia="zh-CN"/>
                    </w:rPr>
                    <w:t>（</w:t>
                  </w:r>
                  <w:r>
                    <w:rPr>
                      <w:rFonts w:hint="default"/>
                      <w:b/>
                      <w:bCs/>
                      <w:lang w:val="en-US" w:eastAsia="zh-CN"/>
                    </w:rPr>
                    <w:t>A</w:t>
                  </w:r>
                  <w:r>
                    <w:rPr>
                      <w:rFonts w:hint="eastAsia"/>
                      <w:b/>
                      <w:bCs/>
                      <w:lang w:val="en-US" w:eastAsia="zh-CN"/>
                    </w:rPr>
                    <w:t>）</w:t>
                  </w:r>
                </w:p>
              </w:tc>
              <w:tc>
                <w:tcPr>
                  <w:tcW w:w="550" w:type="dxa"/>
                  <w:vMerge w:val="restart"/>
                  <w:shd w:val="clear" w:color="auto" w:fill="auto"/>
                  <w:vAlign w:val="center"/>
                </w:tcPr>
                <w:p w14:paraId="647C2743">
                  <w:pPr>
                    <w:pStyle w:val="61"/>
                    <w:keepNext w:val="0"/>
                    <w:keepLines w:val="0"/>
                    <w:suppressLineNumbers w:val="0"/>
                    <w:bidi w:val="0"/>
                    <w:spacing w:before="0" w:beforeAutospacing="0" w:after="0" w:afterAutospacing="0"/>
                    <w:ind w:left="0" w:right="0"/>
                    <w:rPr>
                      <w:rFonts w:hint="eastAsia"/>
                    </w:rPr>
                  </w:pPr>
                  <w:r>
                    <w:rPr>
                      <w:rFonts w:hint="eastAsia"/>
                      <w:b/>
                      <w:bCs/>
                      <w:lang w:val="en-US" w:eastAsia="zh-CN"/>
                    </w:rPr>
                    <w:t>建筑物外距离</w:t>
                  </w:r>
                  <w:r>
                    <w:rPr>
                      <w:rFonts w:hint="default"/>
                      <w:b/>
                      <w:bCs/>
                      <w:lang w:val="en-US" w:eastAsia="zh-CN"/>
                    </w:rPr>
                    <w:t>m</w:t>
                  </w:r>
                </w:p>
              </w:tc>
            </w:tr>
            <w:tr w14:paraId="205B2E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23" w:hRule="atLeast"/>
                <w:jc w:val="center"/>
              </w:trPr>
              <w:tc>
                <w:tcPr>
                  <w:tcW w:w="311" w:type="dxa"/>
                  <w:vMerge w:val="continue"/>
                  <w:shd w:val="clear" w:color="auto" w:fill="auto"/>
                  <w:vAlign w:val="center"/>
                </w:tcPr>
                <w:p w14:paraId="1643BFEF">
                  <w:pPr>
                    <w:pStyle w:val="61"/>
                    <w:keepNext w:val="0"/>
                    <w:keepLines w:val="0"/>
                    <w:suppressLineNumbers w:val="0"/>
                    <w:bidi w:val="0"/>
                    <w:spacing w:before="0" w:beforeAutospacing="0" w:after="0" w:afterAutospacing="0"/>
                    <w:ind w:left="0" w:right="0"/>
                    <w:rPr>
                      <w:rFonts w:hint="eastAsia"/>
                      <w:b/>
                      <w:bCs/>
                    </w:rPr>
                  </w:pPr>
                </w:p>
              </w:tc>
              <w:tc>
                <w:tcPr>
                  <w:tcW w:w="268" w:type="dxa"/>
                  <w:vMerge w:val="continue"/>
                  <w:shd w:val="clear" w:color="auto" w:fill="auto"/>
                  <w:vAlign w:val="center"/>
                </w:tcPr>
                <w:p w14:paraId="330F52F1">
                  <w:pPr>
                    <w:pStyle w:val="61"/>
                    <w:keepNext w:val="0"/>
                    <w:keepLines w:val="0"/>
                    <w:suppressLineNumbers w:val="0"/>
                    <w:bidi w:val="0"/>
                    <w:spacing w:before="0" w:beforeAutospacing="0" w:after="0" w:afterAutospacing="0"/>
                    <w:ind w:left="0" w:right="0"/>
                    <w:rPr>
                      <w:rFonts w:hint="eastAsia"/>
                      <w:b/>
                      <w:bCs/>
                    </w:rPr>
                  </w:pPr>
                </w:p>
              </w:tc>
              <w:tc>
                <w:tcPr>
                  <w:tcW w:w="1575" w:type="dxa"/>
                  <w:vMerge w:val="continue"/>
                  <w:shd w:val="clear" w:color="auto" w:fill="auto"/>
                  <w:vAlign w:val="center"/>
                </w:tcPr>
                <w:p w14:paraId="65604AE2">
                  <w:pPr>
                    <w:pStyle w:val="61"/>
                    <w:keepNext w:val="0"/>
                    <w:keepLines w:val="0"/>
                    <w:suppressLineNumbers w:val="0"/>
                    <w:bidi w:val="0"/>
                    <w:spacing w:before="0" w:beforeAutospacing="0" w:after="0" w:afterAutospacing="0"/>
                    <w:ind w:left="0" w:right="0"/>
                    <w:rPr>
                      <w:rFonts w:hint="eastAsia"/>
                      <w:b/>
                      <w:bCs/>
                    </w:rPr>
                  </w:pPr>
                </w:p>
              </w:tc>
              <w:tc>
                <w:tcPr>
                  <w:tcW w:w="636" w:type="dxa"/>
                  <w:vMerge w:val="continue"/>
                  <w:shd w:val="clear" w:color="auto" w:fill="auto"/>
                  <w:vAlign w:val="center"/>
                </w:tcPr>
                <w:p w14:paraId="2B26870B">
                  <w:pPr>
                    <w:pStyle w:val="61"/>
                    <w:keepNext w:val="0"/>
                    <w:keepLines w:val="0"/>
                    <w:suppressLineNumbers w:val="0"/>
                    <w:bidi w:val="0"/>
                    <w:spacing w:before="0" w:beforeAutospacing="0" w:after="0" w:afterAutospacing="0"/>
                    <w:ind w:left="0" w:right="0"/>
                    <w:rPr>
                      <w:rFonts w:hint="eastAsia"/>
                      <w:b/>
                      <w:bCs/>
                    </w:rPr>
                  </w:pPr>
                </w:p>
              </w:tc>
              <w:tc>
                <w:tcPr>
                  <w:tcW w:w="312" w:type="dxa"/>
                  <w:vMerge w:val="continue"/>
                  <w:shd w:val="clear" w:color="auto" w:fill="auto"/>
                  <w:vAlign w:val="center"/>
                </w:tcPr>
                <w:p w14:paraId="7063A0BF">
                  <w:pPr>
                    <w:pStyle w:val="61"/>
                    <w:keepNext w:val="0"/>
                    <w:keepLines w:val="0"/>
                    <w:suppressLineNumbers w:val="0"/>
                    <w:bidi w:val="0"/>
                    <w:spacing w:before="0" w:beforeAutospacing="0" w:after="0" w:afterAutospacing="0"/>
                    <w:ind w:left="0" w:right="0"/>
                    <w:rPr>
                      <w:rFonts w:hint="eastAsia"/>
                      <w:b/>
                      <w:bCs/>
                    </w:rPr>
                  </w:pPr>
                </w:p>
              </w:tc>
              <w:tc>
                <w:tcPr>
                  <w:tcW w:w="499" w:type="dxa"/>
                  <w:vMerge w:val="continue"/>
                  <w:shd w:val="clear" w:color="auto" w:fill="auto"/>
                  <w:vAlign w:val="center"/>
                </w:tcPr>
                <w:p w14:paraId="3FF5C787">
                  <w:pPr>
                    <w:pStyle w:val="61"/>
                    <w:keepNext w:val="0"/>
                    <w:keepLines w:val="0"/>
                    <w:suppressLineNumbers w:val="0"/>
                    <w:bidi w:val="0"/>
                    <w:spacing w:before="0" w:beforeAutospacing="0" w:after="0" w:afterAutospacing="0"/>
                    <w:ind w:left="0" w:right="0"/>
                    <w:rPr>
                      <w:rFonts w:hint="eastAsia"/>
                      <w:b/>
                      <w:bCs/>
                    </w:rPr>
                  </w:pPr>
                </w:p>
              </w:tc>
              <w:tc>
                <w:tcPr>
                  <w:tcW w:w="452" w:type="dxa"/>
                  <w:shd w:val="clear" w:color="auto" w:fill="auto"/>
                  <w:vAlign w:val="center"/>
                </w:tcPr>
                <w:p w14:paraId="0D235221">
                  <w:pPr>
                    <w:pStyle w:val="61"/>
                    <w:keepNext w:val="0"/>
                    <w:keepLines w:val="0"/>
                    <w:suppressLineNumbers w:val="0"/>
                    <w:bidi w:val="0"/>
                    <w:spacing w:before="0" w:beforeAutospacing="0" w:after="0" w:afterAutospacing="0"/>
                    <w:ind w:left="0" w:right="0"/>
                    <w:rPr>
                      <w:rFonts w:hint="default"/>
                      <w:b/>
                      <w:bCs/>
                    </w:rPr>
                  </w:pPr>
                  <w:r>
                    <w:rPr>
                      <w:rFonts w:hint="default"/>
                      <w:b/>
                      <w:bCs/>
                      <w:lang w:val="en-US" w:eastAsia="zh-CN"/>
                    </w:rPr>
                    <w:t>X</w:t>
                  </w:r>
                </w:p>
              </w:tc>
              <w:tc>
                <w:tcPr>
                  <w:tcW w:w="311" w:type="dxa"/>
                  <w:shd w:val="clear" w:color="auto" w:fill="auto"/>
                  <w:vAlign w:val="center"/>
                </w:tcPr>
                <w:p w14:paraId="19125174">
                  <w:pPr>
                    <w:pStyle w:val="61"/>
                    <w:keepNext w:val="0"/>
                    <w:keepLines w:val="0"/>
                    <w:suppressLineNumbers w:val="0"/>
                    <w:bidi w:val="0"/>
                    <w:spacing w:before="0" w:beforeAutospacing="0" w:after="0" w:afterAutospacing="0"/>
                    <w:ind w:left="0" w:right="0"/>
                    <w:rPr>
                      <w:rFonts w:hint="default"/>
                      <w:b/>
                      <w:bCs/>
                    </w:rPr>
                  </w:pPr>
                  <w:r>
                    <w:rPr>
                      <w:rFonts w:hint="default"/>
                      <w:b/>
                      <w:bCs/>
                      <w:lang w:val="en-US" w:eastAsia="zh-CN"/>
                    </w:rPr>
                    <w:t>Y</w:t>
                  </w:r>
                </w:p>
              </w:tc>
              <w:tc>
                <w:tcPr>
                  <w:tcW w:w="358" w:type="dxa"/>
                  <w:shd w:val="clear" w:color="auto" w:fill="auto"/>
                  <w:vAlign w:val="center"/>
                </w:tcPr>
                <w:p w14:paraId="78D7141F">
                  <w:pPr>
                    <w:pStyle w:val="61"/>
                    <w:keepNext w:val="0"/>
                    <w:keepLines w:val="0"/>
                    <w:suppressLineNumbers w:val="0"/>
                    <w:bidi w:val="0"/>
                    <w:spacing w:before="0" w:beforeAutospacing="0" w:after="0" w:afterAutospacing="0"/>
                    <w:ind w:left="0" w:right="0"/>
                    <w:rPr>
                      <w:rFonts w:hint="default"/>
                      <w:b/>
                      <w:bCs/>
                    </w:rPr>
                  </w:pPr>
                  <w:r>
                    <w:rPr>
                      <w:rFonts w:hint="default"/>
                      <w:b/>
                      <w:bCs/>
                      <w:lang w:val="en-US" w:eastAsia="zh-CN"/>
                    </w:rPr>
                    <w:t>Z</w:t>
                  </w:r>
                </w:p>
              </w:tc>
              <w:tc>
                <w:tcPr>
                  <w:tcW w:w="452" w:type="dxa"/>
                  <w:shd w:val="clear" w:color="auto" w:fill="auto"/>
                  <w:vAlign w:val="center"/>
                </w:tcPr>
                <w:p w14:paraId="614757F5">
                  <w:pPr>
                    <w:pStyle w:val="61"/>
                    <w:keepNext w:val="0"/>
                    <w:keepLines w:val="0"/>
                    <w:suppressLineNumbers w:val="0"/>
                    <w:bidi w:val="0"/>
                    <w:spacing w:before="0" w:beforeAutospacing="0" w:after="0" w:afterAutospacing="0"/>
                    <w:ind w:left="0" w:right="0"/>
                    <w:rPr>
                      <w:rFonts w:hint="default"/>
                      <w:b/>
                      <w:bCs/>
                    </w:rPr>
                  </w:pPr>
                  <w:r>
                    <w:rPr>
                      <w:rFonts w:hint="default"/>
                      <w:b/>
                      <w:bCs/>
                      <w:lang w:val="en-US" w:eastAsia="zh-CN"/>
                    </w:rPr>
                    <w:t>E</w:t>
                  </w:r>
                </w:p>
              </w:tc>
              <w:tc>
                <w:tcPr>
                  <w:tcW w:w="358" w:type="dxa"/>
                  <w:shd w:val="clear" w:color="auto" w:fill="auto"/>
                  <w:vAlign w:val="center"/>
                </w:tcPr>
                <w:p w14:paraId="210C02A4">
                  <w:pPr>
                    <w:pStyle w:val="61"/>
                    <w:keepNext w:val="0"/>
                    <w:keepLines w:val="0"/>
                    <w:suppressLineNumbers w:val="0"/>
                    <w:bidi w:val="0"/>
                    <w:spacing w:before="0" w:beforeAutospacing="0" w:after="0" w:afterAutospacing="0"/>
                    <w:ind w:left="0" w:right="0"/>
                    <w:rPr>
                      <w:rFonts w:hint="default"/>
                      <w:b/>
                      <w:bCs/>
                    </w:rPr>
                  </w:pPr>
                  <w:r>
                    <w:rPr>
                      <w:rFonts w:hint="default"/>
                      <w:b/>
                      <w:bCs/>
                      <w:lang w:val="en-US" w:eastAsia="zh-CN"/>
                    </w:rPr>
                    <w:t>W</w:t>
                  </w:r>
                </w:p>
              </w:tc>
              <w:tc>
                <w:tcPr>
                  <w:tcW w:w="358" w:type="dxa"/>
                  <w:shd w:val="clear" w:color="auto" w:fill="auto"/>
                  <w:vAlign w:val="center"/>
                </w:tcPr>
                <w:p w14:paraId="0BA84DBF">
                  <w:pPr>
                    <w:pStyle w:val="61"/>
                    <w:keepNext w:val="0"/>
                    <w:keepLines w:val="0"/>
                    <w:suppressLineNumbers w:val="0"/>
                    <w:bidi w:val="0"/>
                    <w:spacing w:before="0" w:beforeAutospacing="0" w:after="0" w:afterAutospacing="0"/>
                    <w:ind w:left="0" w:right="0"/>
                    <w:rPr>
                      <w:rFonts w:hint="default"/>
                      <w:b/>
                      <w:bCs/>
                    </w:rPr>
                  </w:pPr>
                  <w:r>
                    <w:rPr>
                      <w:rFonts w:hint="default"/>
                      <w:b/>
                      <w:bCs/>
                      <w:lang w:val="en-US" w:eastAsia="zh-CN"/>
                    </w:rPr>
                    <w:t>S</w:t>
                  </w:r>
                </w:p>
              </w:tc>
              <w:tc>
                <w:tcPr>
                  <w:tcW w:w="498" w:type="dxa"/>
                  <w:shd w:val="clear" w:color="auto" w:fill="auto"/>
                  <w:vAlign w:val="center"/>
                </w:tcPr>
                <w:p w14:paraId="4BB9F6F9">
                  <w:pPr>
                    <w:pStyle w:val="61"/>
                    <w:keepNext w:val="0"/>
                    <w:keepLines w:val="0"/>
                    <w:suppressLineNumbers w:val="0"/>
                    <w:bidi w:val="0"/>
                    <w:spacing w:before="0" w:beforeAutospacing="0" w:after="0" w:afterAutospacing="0"/>
                    <w:ind w:left="0" w:right="0"/>
                    <w:rPr>
                      <w:rFonts w:hint="default"/>
                      <w:b/>
                      <w:bCs/>
                    </w:rPr>
                  </w:pPr>
                  <w:r>
                    <w:rPr>
                      <w:rFonts w:hint="default"/>
                      <w:b/>
                      <w:bCs/>
                      <w:lang w:val="en-US" w:eastAsia="zh-CN"/>
                    </w:rPr>
                    <w:t>N</w:t>
                  </w:r>
                </w:p>
              </w:tc>
              <w:tc>
                <w:tcPr>
                  <w:tcW w:w="498" w:type="dxa"/>
                  <w:shd w:val="clear" w:color="auto" w:fill="auto"/>
                  <w:vAlign w:val="center"/>
                </w:tcPr>
                <w:p w14:paraId="26E6EE32">
                  <w:pPr>
                    <w:pStyle w:val="61"/>
                    <w:keepNext w:val="0"/>
                    <w:keepLines w:val="0"/>
                    <w:suppressLineNumbers w:val="0"/>
                    <w:bidi w:val="0"/>
                    <w:spacing w:before="0" w:beforeAutospacing="0" w:after="0" w:afterAutospacing="0"/>
                    <w:ind w:left="0" w:right="0"/>
                    <w:rPr>
                      <w:rFonts w:hint="default"/>
                      <w:b/>
                      <w:bCs/>
                    </w:rPr>
                  </w:pPr>
                  <w:r>
                    <w:rPr>
                      <w:rFonts w:hint="default"/>
                      <w:b/>
                      <w:bCs/>
                      <w:lang w:val="en-US" w:eastAsia="zh-CN"/>
                    </w:rPr>
                    <w:t>E</w:t>
                  </w:r>
                </w:p>
              </w:tc>
              <w:tc>
                <w:tcPr>
                  <w:tcW w:w="460" w:type="dxa"/>
                  <w:shd w:val="clear" w:color="auto" w:fill="auto"/>
                  <w:vAlign w:val="center"/>
                </w:tcPr>
                <w:p w14:paraId="780403D6">
                  <w:pPr>
                    <w:pStyle w:val="61"/>
                    <w:keepNext w:val="0"/>
                    <w:keepLines w:val="0"/>
                    <w:suppressLineNumbers w:val="0"/>
                    <w:bidi w:val="0"/>
                    <w:spacing w:before="0" w:beforeAutospacing="0" w:after="0" w:afterAutospacing="0"/>
                    <w:ind w:left="0" w:right="0"/>
                    <w:rPr>
                      <w:rFonts w:hint="default"/>
                      <w:b/>
                      <w:bCs/>
                    </w:rPr>
                  </w:pPr>
                  <w:r>
                    <w:rPr>
                      <w:rFonts w:hint="default"/>
                      <w:b/>
                      <w:bCs/>
                      <w:lang w:val="en-US" w:eastAsia="zh-CN"/>
                    </w:rPr>
                    <w:t>W</w:t>
                  </w:r>
                </w:p>
              </w:tc>
              <w:tc>
                <w:tcPr>
                  <w:tcW w:w="498" w:type="dxa"/>
                  <w:shd w:val="clear" w:color="auto" w:fill="auto"/>
                  <w:vAlign w:val="center"/>
                </w:tcPr>
                <w:p w14:paraId="54887AC5">
                  <w:pPr>
                    <w:pStyle w:val="61"/>
                    <w:keepNext w:val="0"/>
                    <w:keepLines w:val="0"/>
                    <w:suppressLineNumbers w:val="0"/>
                    <w:bidi w:val="0"/>
                    <w:spacing w:before="0" w:beforeAutospacing="0" w:after="0" w:afterAutospacing="0"/>
                    <w:ind w:left="0" w:right="0"/>
                    <w:rPr>
                      <w:rFonts w:hint="default"/>
                      <w:b/>
                      <w:bCs/>
                    </w:rPr>
                  </w:pPr>
                  <w:r>
                    <w:rPr>
                      <w:rFonts w:hint="default"/>
                      <w:b/>
                      <w:bCs/>
                      <w:lang w:val="en-US" w:eastAsia="zh-CN"/>
                    </w:rPr>
                    <w:t>S</w:t>
                  </w:r>
                </w:p>
              </w:tc>
              <w:tc>
                <w:tcPr>
                  <w:tcW w:w="498" w:type="dxa"/>
                  <w:shd w:val="clear" w:color="auto" w:fill="auto"/>
                  <w:vAlign w:val="center"/>
                </w:tcPr>
                <w:p w14:paraId="57DE4D93">
                  <w:pPr>
                    <w:pStyle w:val="61"/>
                    <w:keepNext w:val="0"/>
                    <w:keepLines w:val="0"/>
                    <w:suppressLineNumbers w:val="0"/>
                    <w:bidi w:val="0"/>
                    <w:spacing w:before="0" w:beforeAutospacing="0" w:after="0" w:afterAutospacing="0"/>
                    <w:ind w:left="0" w:right="0"/>
                    <w:rPr>
                      <w:rFonts w:hint="default"/>
                      <w:b/>
                      <w:bCs/>
                    </w:rPr>
                  </w:pPr>
                  <w:r>
                    <w:rPr>
                      <w:rFonts w:hint="default"/>
                      <w:b/>
                      <w:bCs/>
                      <w:lang w:val="en-US" w:eastAsia="zh-CN"/>
                    </w:rPr>
                    <w:t>N</w:t>
                  </w:r>
                </w:p>
              </w:tc>
              <w:tc>
                <w:tcPr>
                  <w:tcW w:w="357" w:type="dxa"/>
                  <w:vMerge w:val="continue"/>
                  <w:shd w:val="clear" w:color="auto" w:fill="auto"/>
                  <w:vAlign w:val="center"/>
                </w:tcPr>
                <w:p w14:paraId="58837589">
                  <w:pPr>
                    <w:pStyle w:val="61"/>
                    <w:keepNext w:val="0"/>
                    <w:keepLines w:val="0"/>
                    <w:suppressLineNumbers w:val="0"/>
                    <w:bidi w:val="0"/>
                    <w:spacing w:before="0" w:beforeAutospacing="0" w:after="0" w:afterAutospacing="0"/>
                    <w:ind w:left="0" w:right="0"/>
                    <w:rPr>
                      <w:rFonts w:hint="eastAsia"/>
                      <w:b/>
                      <w:bCs/>
                    </w:rPr>
                  </w:pPr>
                </w:p>
              </w:tc>
              <w:tc>
                <w:tcPr>
                  <w:tcW w:w="532" w:type="dxa"/>
                  <w:vMerge w:val="continue"/>
                  <w:shd w:val="clear" w:color="auto" w:fill="auto"/>
                  <w:vAlign w:val="center"/>
                </w:tcPr>
                <w:p w14:paraId="2C2C7DF8">
                  <w:pPr>
                    <w:pStyle w:val="61"/>
                    <w:keepNext w:val="0"/>
                    <w:keepLines w:val="0"/>
                    <w:suppressLineNumbers w:val="0"/>
                    <w:bidi w:val="0"/>
                    <w:spacing w:before="0" w:beforeAutospacing="0" w:after="0" w:afterAutospacing="0"/>
                    <w:ind w:left="0" w:right="0"/>
                    <w:rPr>
                      <w:rFonts w:hint="eastAsia"/>
                      <w:b/>
                      <w:bCs/>
                    </w:rPr>
                  </w:pPr>
                </w:p>
              </w:tc>
              <w:tc>
                <w:tcPr>
                  <w:tcW w:w="510" w:type="dxa"/>
                  <w:shd w:val="clear" w:color="auto" w:fill="auto"/>
                  <w:vAlign w:val="center"/>
                </w:tcPr>
                <w:p w14:paraId="759EFC15">
                  <w:pPr>
                    <w:pStyle w:val="61"/>
                    <w:keepNext w:val="0"/>
                    <w:keepLines w:val="0"/>
                    <w:suppressLineNumbers w:val="0"/>
                    <w:bidi w:val="0"/>
                    <w:spacing w:before="0" w:beforeAutospacing="0" w:after="0" w:afterAutospacing="0"/>
                    <w:ind w:left="0" w:right="0"/>
                    <w:rPr>
                      <w:rFonts w:hint="default"/>
                      <w:b/>
                      <w:bCs/>
                    </w:rPr>
                  </w:pPr>
                  <w:r>
                    <w:rPr>
                      <w:rFonts w:hint="default"/>
                      <w:b/>
                      <w:bCs/>
                      <w:lang w:val="en-US" w:eastAsia="zh-CN"/>
                    </w:rPr>
                    <w:t>E</w:t>
                  </w:r>
                </w:p>
              </w:tc>
              <w:tc>
                <w:tcPr>
                  <w:tcW w:w="480" w:type="dxa"/>
                  <w:shd w:val="clear" w:color="auto" w:fill="auto"/>
                  <w:vAlign w:val="center"/>
                </w:tcPr>
                <w:p w14:paraId="7F1EEAC2">
                  <w:pPr>
                    <w:pStyle w:val="61"/>
                    <w:keepNext w:val="0"/>
                    <w:keepLines w:val="0"/>
                    <w:suppressLineNumbers w:val="0"/>
                    <w:bidi w:val="0"/>
                    <w:spacing w:before="0" w:beforeAutospacing="0" w:after="0" w:afterAutospacing="0"/>
                    <w:ind w:left="0" w:right="0"/>
                    <w:rPr>
                      <w:rFonts w:hint="default"/>
                      <w:b/>
                      <w:bCs/>
                    </w:rPr>
                  </w:pPr>
                  <w:r>
                    <w:rPr>
                      <w:rFonts w:hint="default"/>
                      <w:b/>
                      <w:bCs/>
                      <w:lang w:val="en-US" w:eastAsia="zh-CN"/>
                    </w:rPr>
                    <w:t>W</w:t>
                  </w:r>
                </w:p>
              </w:tc>
              <w:tc>
                <w:tcPr>
                  <w:tcW w:w="510" w:type="dxa"/>
                  <w:shd w:val="clear" w:color="auto" w:fill="auto"/>
                  <w:vAlign w:val="center"/>
                </w:tcPr>
                <w:p w14:paraId="5CC72A3B">
                  <w:pPr>
                    <w:pStyle w:val="61"/>
                    <w:keepNext w:val="0"/>
                    <w:keepLines w:val="0"/>
                    <w:suppressLineNumbers w:val="0"/>
                    <w:bidi w:val="0"/>
                    <w:spacing w:before="0" w:beforeAutospacing="0" w:after="0" w:afterAutospacing="0"/>
                    <w:ind w:left="0" w:right="0"/>
                    <w:rPr>
                      <w:rFonts w:hint="default"/>
                      <w:b/>
                      <w:bCs/>
                    </w:rPr>
                  </w:pPr>
                  <w:r>
                    <w:rPr>
                      <w:rFonts w:hint="default"/>
                      <w:b/>
                      <w:bCs/>
                      <w:lang w:val="en-US" w:eastAsia="zh-CN"/>
                    </w:rPr>
                    <w:t>S</w:t>
                  </w:r>
                </w:p>
              </w:tc>
              <w:tc>
                <w:tcPr>
                  <w:tcW w:w="435" w:type="dxa"/>
                  <w:shd w:val="clear" w:color="auto" w:fill="auto"/>
                  <w:vAlign w:val="center"/>
                </w:tcPr>
                <w:p w14:paraId="2543F4AE">
                  <w:pPr>
                    <w:pStyle w:val="61"/>
                    <w:keepNext w:val="0"/>
                    <w:keepLines w:val="0"/>
                    <w:suppressLineNumbers w:val="0"/>
                    <w:bidi w:val="0"/>
                    <w:spacing w:before="0" w:beforeAutospacing="0" w:after="0" w:afterAutospacing="0"/>
                    <w:ind w:left="0" w:right="0"/>
                    <w:rPr>
                      <w:rFonts w:hint="default"/>
                      <w:b/>
                      <w:bCs/>
                    </w:rPr>
                  </w:pPr>
                  <w:r>
                    <w:rPr>
                      <w:rFonts w:hint="default"/>
                      <w:b/>
                      <w:bCs/>
                      <w:lang w:val="en-US" w:eastAsia="zh-CN"/>
                    </w:rPr>
                    <w:t>N</w:t>
                  </w:r>
                </w:p>
              </w:tc>
              <w:tc>
                <w:tcPr>
                  <w:tcW w:w="550" w:type="dxa"/>
                  <w:vMerge w:val="continue"/>
                  <w:shd w:val="clear" w:color="auto" w:fill="auto"/>
                  <w:vAlign w:val="center"/>
                </w:tcPr>
                <w:p w14:paraId="4BD4300A">
                  <w:pPr>
                    <w:pStyle w:val="61"/>
                    <w:keepNext w:val="0"/>
                    <w:keepLines w:val="0"/>
                    <w:suppressLineNumbers w:val="0"/>
                    <w:bidi w:val="0"/>
                    <w:spacing w:before="0" w:beforeAutospacing="0" w:after="0" w:afterAutospacing="0"/>
                    <w:ind w:left="0" w:right="0"/>
                    <w:rPr>
                      <w:rFonts w:hint="eastAsia"/>
                    </w:rPr>
                  </w:pPr>
                </w:p>
              </w:tc>
            </w:tr>
            <w:tr w14:paraId="46E77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11" w:type="dxa"/>
                  <w:shd w:val="clear" w:color="auto" w:fill="auto"/>
                  <w:vAlign w:val="center"/>
                </w:tcPr>
                <w:p w14:paraId="201ADFEE">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268" w:type="dxa"/>
                  <w:vMerge w:val="restart"/>
                  <w:shd w:val="clear" w:color="auto" w:fill="auto"/>
                  <w:vAlign w:val="center"/>
                </w:tcPr>
                <w:p w14:paraId="12437E29">
                  <w:pPr>
                    <w:pStyle w:val="61"/>
                    <w:keepNext w:val="0"/>
                    <w:keepLines w:val="0"/>
                    <w:suppressLineNumbers w:val="0"/>
                    <w:bidi w:val="0"/>
                    <w:spacing w:before="0" w:beforeAutospacing="0" w:after="0" w:afterAutospacing="0"/>
                    <w:ind w:left="0" w:right="0"/>
                    <w:rPr>
                      <w:rFonts w:hint="eastAsia"/>
                    </w:rPr>
                  </w:pPr>
                  <w:r>
                    <w:rPr>
                      <w:rFonts w:hint="eastAsia"/>
                      <w:lang w:val="en-US" w:eastAsia="zh-CN"/>
                    </w:rPr>
                    <w:t>1#厂房</w:t>
                  </w:r>
                </w:p>
              </w:tc>
              <w:tc>
                <w:tcPr>
                  <w:tcW w:w="1575" w:type="dxa"/>
                  <w:shd w:val="clear" w:color="auto" w:fill="auto"/>
                  <w:noWrap/>
                  <w:vAlign w:val="center"/>
                </w:tcPr>
                <w:p w14:paraId="579814E0">
                  <w:pPr>
                    <w:pStyle w:val="61"/>
                    <w:keepNext w:val="0"/>
                    <w:keepLines w:val="0"/>
                    <w:suppressLineNumbers w:val="0"/>
                    <w:bidi w:val="0"/>
                    <w:spacing w:before="0" w:beforeAutospacing="0" w:after="0" w:afterAutospacing="0"/>
                    <w:ind w:left="0" w:right="0"/>
                    <w:rPr>
                      <w:rFonts w:hint="default"/>
                    </w:rPr>
                  </w:pPr>
                  <w:r>
                    <w:rPr>
                      <w:rFonts w:hint="default"/>
                      <w:lang w:val="en-US" w:eastAsia="zh-CN"/>
                    </w:rPr>
                    <w:t>手持电动扳手</w:t>
                  </w:r>
                </w:p>
              </w:tc>
              <w:tc>
                <w:tcPr>
                  <w:tcW w:w="636" w:type="dxa"/>
                  <w:shd w:val="clear" w:color="auto" w:fill="auto"/>
                  <w:noWrap/>
                  <w:vAlign w:val="center"/>
                </w:tcPr>
                <w:p w14:paraId="3A2D0D4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90</w:t>
                  </w:r>
                </w:p>
              </w:tc>
              <w:tc>
                <w:tcPr>
                  <w:tcW w:w="312" w:type="dxa"/>
                  <w:shd w:val="clear" w:color="auto" w:fill="auto"/>
                  <w:vAlign w:val="center"/>
                </w:tcPr>
                <w:p w14:paraId="7021787F">
                  <w:pPr>
                    <w:pStyle w:val="61"/>
                    <w:keepNext w:val="0"/>
                    <w:keepLines w:val="0"/>
                    <w:suppressLineNumbers w:val="0"/>
                    <w:bidi w:val="0"/>
                    <w:spacing w:before="0" w:beforeAutospacing="0" w:after="0" w:afterAutospacing="0"/>
                    <w:ind w:left="0" w:right="0"/>
                    <w:rPr>
                      <w:rFonts w:hint="default"/>
                    </w:rPr>
                  </w:pPr>
                  <w:r>
                    <w:rPr>
                      <w:rFonts w:hint="default"/>
                      <w:lang w:val="en-US" w:eastAsia="zh-CN"/>
                    </w:rPr>
                    <w:t>8</w:t>
                  </w:r>
                </w:p>
              </w:tc>
              <w:tc>
                <w:tcPr>
                  <w:tcW w:w="499" w:type="dxa"/>
                  <w:vMerge w:val="restart"/>
                  <w:shd w:val="clear" w:color="auto" w:fill="auto"/>
                  <w:vAlign w:val="center"/>
                </w:tcPr>
                <w:p w14:paraId="7B36E025">
                  <w:pPr>
                    <w:pStyle w:val="61"/>
                    <w:keepNext w:val="0"/>
                    <w:keepLines w:val="0"/>
                    <w:suppressLineNumbers w:val="0"/>
                    <w:bidi w:val="0"/>
                    <w:spacing w:before="0" w:beforeAutospacing="0" w:after="0" w:afterAutospacing="0"/>
                    <w:ind w:left="0" w:right="0"/>
                    <w:rPr>
                      <w:rFonts w:hint="eastAsia"/>
                    </w:rPr>
                  </w:pPr>
                  <w:r>
                    <w:rPr>
                      <w:rFonts w:hint="eastAsia"/>
                      <w:lang w:val="en-US" w:eastAsia="zh-CN"/>
                    </w:rPr>
                    <w:t>合理布局、优先选用低噪声设备、设备基础安装减震器、厂房隔声等</w:t>
                  </w:r>
                </w:p>
              </w:tc>
              <w:tc>
                <w:tcPr>
                  <w:tcW w:w="452" w:type="dxa"/>
                  <w:shd w:val="clear" w:color="auto" w:fill="auto"/>
                  <w:vAlign w:val="center"/>
                </w:tcPr>
                <w:p w14:paraId="6CC57A25">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23</w:t>
                  </w:r>
                </w:p>
              </w:tc>
              <w:tc>
                <w:tcPr>
                  <w:tcW w:w="311" w:type="dxa"/>
                  <w:shd w:val="clear" w:color="auto" w:fill="auto"/>
                  <w:vAlign w:val="center"/>
                </w:tcPr>
                <w:p w14:paraId="0CB344BD">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11</w:t>
                  </w:r>
                </w:p>
              </w:tc>
              <w:tc>
                <w:tcPr>
                  <w:tcW w:w="358" w:type="dxa"/>
                  <w:shd w:val="clear" w:color="auto" w:fill="auto"/>
                  <w:vAlign w:val="center"/>
                </w:tcPr>
                <w:p w14:paraId="29AB0894">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52" w:type="dxa"/>
                  <w:shd w:val="clear" w:color="auto" w:fill="auto"/>
                  <w:vAlign w:val="center"/>
                </w:tcPr>
                <w:p w14:paraId="374364C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23</w:t>
                  </w:r>
                </w:p>
              </w:tc>
              <w:tc>
                <w:tcPr>
                  <w:tcW w:w="358" w:type="dxa"/>
                  <w:shd w:val="clear" w:color="auto" w:fill="auto"/>
                  <w:vAlign w:val="center"/>
                </w:tcPr>
                <w:p w14:paraId="72957E34">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19</w:t>
                  </w:r>
                </w:p>
              </w:tc>
              <w:tc>
                <w:tcPr>
                  <w:tcW w:w="358" w:type="dxa"/>
                  <w:shd w:val="clear" w:color="auto" w:fill="auto"/>
                  <w:vAlign w:val="center"/>
                </w:tcPr>
                <w:p w14:paraId="2966ABE0">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16</w:t>
                  </w:r>
                </w:p>
              </w:tc>
              <w:tc>
                <w:tcPr>
                  <w:tcW w:w="498" w:type="dxa"/>
                  <w:shd w:val="clear" w:color="auto" w:fill="auto"/>
                  <w:vAlign w:val="center"/>
                </w:tcPr>
                <w:p w14:paraId="06A8A925">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w:t>
                  </w:r>
                </w:p>
              </w:tc>
              <w:tc>
                <w:tcPr>
                  <w:tcW w:w="498" w:type="dxa"/>
                  <w:shd w:val="clear" w:color="auto" w:fill="auto"/>
                  <w:vAlign w:val="center"/>
                </w:tcPr>
                <w:p w14:paraId="6A8242A0">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62.8</w:t>
                  </w:r>
                </w:p>
              </w:tc>
              <w:tc>
                <w:tcPr>
                  <w:tcW w:w="460" w:type="dxa"/>
                  <w:shd w:val="clear" w:color="auto" w:fill="auto"/>
                  <w:vAlign w:val="center"/>
                </w:tcPr>
                <w:p w14:paraId="0679FCC4">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64.4</w:t>
                  </w:r>
                </w:p>
              </w:tc>
              <w:tc>
                <w:tcPr>
                  <w:tcW w:w="498" w:type="dxa"/>
                  <w:shd w:val="clear" w:color="auto" w:fill="auto"/>
                  <w:vAlign w:val="center"/>
                </w:tcPr>
                <w:p w14:paraId="36B065F4">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65.9</w:t>
                  </w:r>
                </w:p>
              </w:tc>
              <w:tc>
                <w:tcPr>
                  <w:tcW w:w="498" w:type="dxa"/>
                  <w:shd w:val="clear" w:color="auto" w:fill="auto"/>
                  <w:vAlign w:val="center"/>
                </w:tcPr>
                <w:p w14:paraId="3D8C127D">
                  <w:pPr>
                    <w:pStyle w:val="61"/>
                    <w:keepNext w:val="0"/>
                    <w:keepLines w:val="0"/>
                    <w:suppressLineNumbers w:val="0"/>
                    <w:bidi w:val="0"/>
                    <w:spacing w:before="0" w:beforeAutospacing="0" w:after="0" w:afterAutospacing="0"/>
                    <w:ind w:left="0" w:right="0"/>
                    <w:rPr>
                      <w:rFonts w:hint="default"/>
                    </w:rPr>
                  </w:pPr>
                  <w:r>
                    <w:rPr>
                      <w:rFonts w:hint="default"/>
                      <w:lang w:val="en-US" w:eastAsia="zh-CN"/>
                    </w:rPr>
                    <w:t>74.4</w:t>
                  </w:r>
                </w:p>
              </w:tc>
              <w:tc>
                <w:tcPr>
                  <w:tcW w:w="357" w:type="dxa"/>
                  <w:vMerge w:val="restart"/>
                  <w:shd w:val="clear" w:color="auto" w:fill="auto"/>
                  <w:vAlign w:val="center"/>
                </w:tcPr>
                <w:p w14:paraId="2986945E">
                  <w:pPr>
                    <w:pStyle w:val="61"/>
                    <w:keepNext w:val="0"/>
                    <w:keepLines w:val="0"/>
                    <w:suppressLineNumbers w:val="0"/>
                    <w:bidi w:val="0"/>
                    <w:spacing w:before="0" w:beforeAutospacing="0" w:after="0" w:afterAutospacing="0"/>
                    <w:ind w:left="0" w:right="0"/>
                    <w:rPr>
                      <w:rFonts w:hint="eastAsia"/>
                    </w:rPr>
                  </w:pPr>
                  <w:r>
                    <w:rPr>
                      <w:rFonts w:hint="eastAsia"/>
                      <w:lang w:val="en-US" w:eastAsia="zh-CN"/>
                    </w:rPr>
                    <w:t>昼间</w:t>
                  </w:r>
                </w:p>
              </w:tc>
              <w:tc>
                <w:tcPr>
                  <w:tcW w:w="532" w:type="dxa"/>
                  <w:shd w:val="clear" w:color="auto" w:fill="auto"/>
                  <w:vAlign w:val="center"/>
                </w:tcPr>
                <w:p w14:paraId="4FBEDEB4">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15</w:t>
                  </w:r>
                </w:p>
              </w:tc>
              <w:tc>
                <w:tcPr>
                  <w:tcW w:w="510" w:type="dxa"/>
                  <w:shd w:val="clear" w:color="auto" w:fill="auto"/>
                  <w:vAlign w:val="center"/>
                </w:tcPr>
                <w:p w14:paraId="2133A9FA">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47.8</w:t>
                  </w:r>
                </w:p>
              </w:tc>
              <w:tc>
                <w:tcPr>
                  <w:tcW w:w="480" w:type="dxa"/>
                  <w:shd w:val="clear" w:color="auto" w:fill="auto"/>
                  <w:vAlign w:val="center"/>
                </w:tcPr>
                <w:p w14:paraId="3FDC7E8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49.4</w:t>
                  </w:r>
                </w:p>
              </w:tc>
              <w:tc>
                <w:tcPr>
                  <w:tcW w:w="510" w:type="dxa"/>
                  <w:shd w:val="clear" w:color="auto" w:fill="auto"/>
                  <w:vAlign w:val="center"/>
                </w:tcPr>
                <w:p w14:paraId="17D803CE">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50.9</w:t>
                  </w:r>
                </w:p>
              </w:tc>
              <w:tc>
                <w:tcPr>
                  <w:tcW w:w="435" w:type="dxa"/>
                  <w:shd w:val="clear" w:color="auto" w:fill="auto"/>
                  <w:vAlign w:val="center"/>
                </w:tcPr>
                <w:p w14:paraId="2E658F6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59.4</w:t>
                  </w:r>
                </w:p>
              </w:tc>
              <w:tc>
                <w:tcPr>
                  <w:tcW w:w="550" w:type="dxa"/>
                  <w:shd w:val="clear" w:color="auto" w:fill="auto"/>
                  <w:vAlign w:val="center"/>
                </w:tcPr>
                <w:p w14:paraId="2815E597">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r>
            <w:tr w14:paraId="719E9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23" w:hRule="atLeast"/>
                <w:jc w:val="center"/>
              </w:trPr>
              <w:tc>
                <w:tcPr>
                  <w:tcW w:w="311" w:type="dxa"/>
                  <w:shd w:val="clear" w:color="auto" w:fill="auto"/>
                  <w:vAlign w:val="center"/>
                </w:tcPr>
                <w:p w14:paraId="2B184504">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w:t>
                  </w:r>
                </w:p>
              </w:tc>
              <w:tc>
                <w:tcPr>
                  <w:tcW w:w="268" w:type="dxa"/>
                  <w:vMerge w:val="continue"/>
                  <w:shd w:val="clear" w:color="auto" w:fill="auto"/>
                  <w:vAlign w:val="center"/>
                </w:tcPr>
                <w:p w14:paraId="7CA228FA">
                  <w:pPr>
                    <w:pStyle w:val="61"/>
                    <w:keepNext w:val="0"/>
                    <w:keepLines w:val="0"/>
                    <w:suppressLineNumbers w:val="0"/>
                    <w:bidi w:val="0"/>
                    <w:spacing w:before="0" w:beforeAutospacing="0" w:after="0" w:afterAutospacing="0"/>
                    <w:ind w:left="0" w:right="0"/>
                    <w:rPr>
                      <w:rFonts w:hint="eastAsia"/>
                    </w:rPr>
                  </w:pPr>
                </w:p>
              </w:tc>
              <w:tc>
                <w:tcPr>
                  <w:tcW w:w="1575" w:type="dxa"/>
                  <w:shd w:val="clear" w:color="auto" w:fill="auto"/>
                  <w:noWrap/>
                  <w:vAlign w:val="center"/>
                </w:tcPr>
                <w:p w14:paraId="21F4A5AF">
                  <w:pPr>
                    <w:pStyle w:val="61"/>
                    <w:keepNext w:val="0"/>
                    <w:keepLines w:val="0"/>
                    <w:suppressLineNumbers w:val="0"/>
                    <w:bidi w:val="0"/>
                    <w:spacing w:before="0" w:beforeAutospacing="0" w:after="0" w:afterAutospacing="0"/>
                    <w:ind w:left="0" w:right="0"/>
                    <w:rPr>
                      <w:rFonts w:hint="default"/>
                    </w:rPr>
                  </w:pPr>
                  <w:r>
                    <w:rPr>
                      <w:rFonts w:hint="default"/>
                      <w:lang w:val="en-US" w:eastAsia="zh-CN"/>
                    </w:rPr>
                    <w:t>手持电动角磨机</w:t>
                  </w:r>
                </w:p>
              </w:tc>
              <w:tc>
                <w:tcPr>
                  <w:tcW w:w="636" w:type="dxa"/>
                  <w:shd w:val="clear" w:color="auto" w:fill="auto"/>
                  <w:noWrap/>
                  <w:vAlign w:val="center"/>
                </w:tcPr>
                <w:p w14:paraId="30C78DD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90</w:t>
                  </w:r>
                </w:p>
              </w:tc>
              <w:tc>
                <w:tcPr>
                  <w:tcW w:w="312" w:type="dxa"/>
                  <w:shd w:val="clear" w:color="auto" w:fill="auto"/>
                  <w:vAlign w:val="center"/>
                </w:tcPr>
                <w:p w14:paraId="6BB27899">
                  <w:pPr>
                    <w:pStyle w:val="61"/>
                    <w:keepNext w:val="0"/>
                    <w:keepLines w:val="0"/>
                    <w:suppressLineNumbers w:val="0"/>
                    <w:bidi w:val="0"/>
                    <w:spacing w:before="0" w:beforeAutospacing="0" w:after="0" w:afterAutospacing="0"/>
                    <w:ind w:left="0" w:right="0"/>
                    <w:rPr>
                      <w:rFonts w:hint="default"/>
                    </w:rPr>
                  </w:pPr>
                  <w:r>
                    <w:rPr>
                      <w:rFonts w:hint="default"/>
                      <w:lang w:val="en-US" w:eastAsia="zh-CN"/>
                    </w:rPr>
                    <w:t>8</w:t>
                  </w:r>
                </w:p>
              </w:tc>
              <w:tc>
                <w:tcPr>
                  <w:tcW w:w="499" w:type="dxa"/>
                  <w:vMerge w:val="continue"/>
                  <w:shd w:val="clear" w:color="auto" w:fill="auto"/>
                  <w:vAlign w:val="center"/>
                </w:tcPr>
                <w:p w14:paraId="15866506">
                  <w:pPr>
                    <w:pStyle w:val="61"/>
                    <w:keepNext w:val="0"/>
                    <w:keepLines w:val="0"/>
                    <w:suppressLineNumbers w:val="0"/>
                    <w:bidi w:val="0"/>
                    <w:spacing w:before="0" w:beforeAutospacing="0" w:after="0" w:afterAutospacing="0"/>
                    <w:ind w:left="0" w:right="0"/>
                    <w:rPr>
                      <w:rFonts w:hint="eastAsia"/>
                    </w:rPr>
                  </w:pPr>
                </w:p>
              </w:tc>
              <w:tc>
                <w:tcPr>
                  <w:tcW w:w="452" w:type="dxa"/>
                  <w:shd w:val="clear" w:color="auto" w:fill="auto"/>
                  <w:vAlign w:val="center"/>
                </w:tcPr>
                <w:p w14:paraId="1A1AC94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23</w:t>
                  </w:r>
                </w:p>
              </w:tc>
              <w:tc>
                <w:tcPr>
                  <w:tcW w:w="311" w:type="dxa"/>
                  <w:shd w:val="clear" w:color="auto" w:fill="auto"/>
                  <w:vAlign w:val="center"/>
                </w:tcPr>
                <w:p w14:paraId="32740F5F">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11</w:t>
                  </w:r>
                </w:p>
              </w:tc>
              <w:tc>
                <w:tcPr>
                  <w:tcW w:w="358" w:type="dxa"/>
                  <w:shd w:val="clear" w:color="auto" w:fill="auto"/>
                  <w:vAlign w:val="center"/>
                </w:tcPr>
                <w:p w14:paraId="4811B406">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52" w:type="dxa"/>
                  <w:shd w:val="clear" w:color="auto" w:fill="auto"/>
                  <w:vAlign w:val="center"/>
                </w:tcPr>
                <w:p w14:paraId="3E8C9AD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23</w:t>
                  </w:r>
                </w:p>
              </w:tc>
              <w:tc>
                <w:tcPr>
                  <w:tcW w:w="358" w:type="dxa"/>
                  <w:shd w:val="clear" w:color="auto" w:fill="auto"/>
                  <w:vAlign w:val="center"/>
                </w:tcPr>
                <w:p w14:paraId="020A1B6D">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19</w:t>
                  </w:r>
                </w:p>
              </w:tc>
              <w:tc>
                <w:tcPr>
                  <w:tcW w:w="358" w:type="dxa"/>
                  <w:shd w:val="clear" w:color="auto" w:fill="auto"/>
                  <w:vAlign w:val="center"/>
                </w:tcPr>
                <w:p w14:paraId="74A4A69E">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16</w:t>
                  </w:r>
                </w:p>
              </w:tc>
              <w:tc>
                <w:tcPr>
                  <w:tcW w:w="498" w:type="dxa"/>
                  <w:shd w:val="clear" w:color="auto" w:fill="auto"/>
                  <w:vAlign w:val="center"/>
                </w:tcPr>
                <w:p w14:paraId="1F8FCA04">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w:t>
                  </w:r>
                </w:p>
              </w:tc>
              <w:tc>
                <w:tcPr>
                  <w:tcW w:w="498" w:type="dxa"/>
                  <w:shd w:val="clear" w:color="auto" w:fill="auto"/>
                  <w:vAlign w:val="center"/>
                </w:tcPr>
                <w:p w14:paraId="7CCEBED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62.8</w:t>
                  </w:r>
                </w:p>
              </w:tc>
              <w:tc>
                <w:tcPr>
                  <w:tcW w:w="460" w:type="dxa"/>
                  <w:shd w:val="clear" w:color="auto" w:fill="auto"/>
                  <w:vAlign w:val="center"/>
                </w:tcPr>
                <w:p w14:paraId="650E49CE">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64.4</w:t>
                  </w:r>
                </w:p>
              </w:tc>
              <w:tc>
                <w:tcPr>
                  <w:tcW w:w="498" w:type="dxa"/>
                  <w:shd w:val="clear" w:color="auto" w:fill="auto"/>
                  <w:vAlign w:val="center"/>
                </w:tcPr>
                <w:p w14:paraId="741E4C7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65.9</w:t>
                  </w:r>
                </w:p>
              </w:tc>
              <w:tc>
                <w:tcPr>
                  <w:tcW w:w="498" w:type="dxa"/>
                  <w:shd w:val="clear" w:color="auto" w:fill="auto"/>
                  <w:vAlign w:val="center"/>
                </w:tcPr>
                <w:p w14:paraId="0CD667EF">
                  <w:pPr>
                    <w:pStyle w:val="61"/>
                    <w:keepNext w:val="0"/>
                    <w:keepLines w:val="0"/>
                    <w:suppressLineNumbers w:val="0"/>
                    <w:bidi w:val="0"/>
                    <w:spacing w:before="0" w:beforeAutospacing="0" w:after="0" w:afterAutospacing="0"/>
                    <w:ind w:left="0" w:right="0"/>
                    <w:rPr>
                      <w:rFonts w:hint="default"/>
                    </w:rPr>
                  </w:pPr>
                  <w:r>
                    <w:rPr>
                      <w:rFonts w:hint="default"/>
                      <w:lang w:val="en-US" w:eastAsia="zh-CN"/>
                    </w:rPr>
                    <w:t>74.4</w:t>
                  </w:r>
                </w:p>
              </w:tc>
              <w:tc>
                <w:tcPr>
                  <w:tcW w:w="357" w:type="dxa"/>
                  <w:vMerge w:val="continue"/>
                  <w:shd w:val="clear" w:color="auto" w:fill="auto"/>
                  <w:vAlign w:val="center"/>
                </w:tcPr>
                <w:p w14:paraId="3FCD159B">
                  <w:pPr>
                    <w:pStyle w:val="61"/>
                    <w:keepNext w:val="0"/>
                    <w:keepLines w:val="0"/>
                    <w:suppressLineNumbers w:val="0"/>
                    <w:bidi w:val="0"/>
                    <w:spacing w:before="0" w:beforeAutospacing="0" w:after="0" w:afterAutospacing="0"/>
                    <w:ind w:left="0" w:right="0"/>
                    <w:rPr>
                      <w:rFonts w:hint="eastAsia"/>
                    </w:rPr>
                  </w:pPr>
                </w:p>
              </w:tc>
              <w:tc>
                <w:tcPr>
                  <w:tcW w:w="532" w:type="dxa"/>
                  <w:shd w:val="clear" w:color="auto" w:fill="auto"/>
                  <w:vAlign w:val="center"/>
                </w:tcPr>
                <w:p w14:paraId="60C53F8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15</w:t>
                  </w:r>
                </w:p>
              </w:tc>
              <w:tc>
                <w:tcPr>
                  <w:tcW w:w="510" w:type="dxa"/>
                  <w:shd w:val="clear" w:color="auto" w:fill="auto"/>
                  <w:vAlign w:val="center"/>
                </w:tcPr>
                <w:p w14:paraId="4B1C095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47.8</w:t>
                  </w:r>
                </w:p>
              </w:tc>
              <w:tc>
                <w:tcPr>
                  <w:tcW w:w="480" w:type="dxa"/>
                  <w:shd w:val="clear" w:color="auto" w:fill="auto"/>
                  <w:vAlign w:val="center"/>
                </w:tcPr>
                <w:p w14:paraId="47FD556A">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49.4</w:t>
                  </w:r>
                </w:p>
              </w:tc>
              <w:tc>
                <w:tcPr>
                  <w:tcW w:w="510" w:type="dxa"/>
                  <w:shd w:val="clear" w:color="auto" w:fill="auto"/>
                  <w:vAlign w:val="center"/>
                </w:tcPr>
                <w:p w14:paraId="670C0126">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50.9</w:t>
                  </w:r>
                </w:p>
              </w:tc>
              <w:tc>
                <w:tcPr>
                  <w:tcW w:w="435" w:type="dxa"/>
                  <w:shd w:val="clear" w:color="auto" w:fill="auto"/>
                  <w:vAlign w:val="center"/>
                </w:tcPr>
                <w:p w14:paraId="44F891C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59.4</w:t>
                  </w:r>
                </w:p>
              </w:tc>
              <w:tc>
                <w:tcPr>
                  <w:tcW w:w="550" w:type="dxa"/>
                  <w:shd w:val="clear" w:color="auto" w:fill="auto"/>
                  <w:vAlign w:val="center"/>
                </w:tcPr>
                <w:p w14:paraId="742C30D9">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r>
            <w:tr w14:paraId="6CB94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11" w:type="dxa"/>
                  <w:shd w:val="clear" w:color="auto" w:fill="auto"/>
                  <w:vAlign w:val="center"/>
                </w:tcPr>
                <w:p w14:paraId="148967C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w:t>
                  </w:r>
                </w:p>
              </w:tc>
              <w:tc>
                <w:tcPr>
                  <w:tcW w:w="268" w:type="dxa"/>
                  <w:vMerge w:val="continue"/>
                  <w:shd w:val="clear" w:color="auto" w:fill="auto"/>
                  <w:vAlign w:val="center"/>
                </w:tcPr>
                <w:p w14:paraId="10639429">
                  <w:pPr>
                    <w:pStyle w:val="61"/>
                    <w:keepNext w:val="0"/>
                    <w:keepLines w:val="0"/>
                    <w:suppressLineNumbers w:val="0"/>
                    <w:bidi w:val="0"/>
                    <w:spacing w:before="0" w:beforeAutospacing="0" w:after="0" w:afterAutospacing="0"/>
                    <w:ind w:left="0" w:right="0"/>
                    <w:rPr>
                      <w:rFonts w:hint="eastAsia"/>
                    </w:rPr>
                  </w:pPr>
                </w:p>
              </w:tc>
              <w:tc>
                <w:tcPr>
                  <w:tcW w:w="1575" w:type="dxa"/>
                  <w:shd w:val="clear" w:color="auto" w:fill="auto"/>
                  <w:noWrap/>
                  <w:vAlign w:val="center"/>
                </w:tcPr>
                <w:p w14:paraId="30D05500">
                  <w:pPr>
                    <w:pStyle w:val="61"/>
                    <w:keepNext w:val="0"/>
                    <w:keepLines w:val="0"/>
                    <w:suppressLineNumbers w:val="0"/>
                    <w:bidi w:val="0"/>
                    <w:spacing w:before="0" w:beforeAutospacing="0" w:after="0" w:afterAutospacing="0"/>
                    <w:ind w:left="0" w:right="0"/>
                    <w:rPr>
                      <w:rFonts w:hint="default"/>
                    </w:rPr>
                  </w:pPr>
                  <w:r>
                    <w:rPr>
                      <w:rFonts w:hint="default"/>
                      <w:lang w:val="en-US" w:eastAsia="zh-CN"/>
                    </w:rPr>
                    <w:t>等离子切割机</w:t>
                  </w:r>
                </w:p>
              </w:tc>
              <w:tc>
                <w:tcPr>
                  <w:tcW w:w="636" w:type="dxa"/>
                  <w:shd w:val="clear" w:color="auto" w:fill="auto"/>
                  <w:noWrap/>
                  <w:vAlign w:val="center"/>
                </w:tcPr>
                <w:p w14:paraId="5A040E60">
                  <w:pPr>
                    <w:pStyle w:val="61"/>
                    <w:keepNext w:val="0"/>
                    <w:keepLines w:val="0"/>
                    <w:suppressLineNumbers w:val="0"/>
                    <w:bidi w:val="0"/>
                    <w:spacing w:before="0" w:beforeAutospacing="0" w:after="0" w:afterAutospacing="0"/>
                    <w:ind w:left="0" w:right="0"/>
                    <w:rPr>
                      <w:rFonts w:hint="default"/>
                    </w:rPr>
                  </w:pPr>
                  <w:r>
                    <w:rPr>
                      <w:rFonts w:hint="default"/>
                      <w:lang w:val="en-US" w:eastAsia="zh-CN"/>
                    </w:rPr>
                    <w:t>95</w:t>
                  </w:r>
                </w:p>
              </w:tc>
              <w:tc>
                <w:tcPr>
                  <w:tcW w:w="312" w:type="dxa"/>
                  <w:shd w:val="clear" w:color="auto" w:fill="auto"/>
                  <w:vAlign w:val="center"/>
                </w:tcPr>
                <w:p w14:paraId="6D9941C4">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w:t>
                  </w:r>
                </w:p>
              </w:tc>
              <w:tc>
                <w:tcPr>
                  <w:tcW w:w="499" w:type="dxa"/>
                  <w:vMerge w:val="continue"/>
                  <w:shd w:val="clear" w:color="auto" w:fill="auto"/>
                  <w:vAlign w:val="center"/>
                </w:tcPr>
                <w:p w14:paraId="06ABEE30">
                  <w:pPr>
                    <w:pStyle w:val="61"/>
                    <w:keepNext w:val="0"/>
                    <w:keepLines w:val="0"/>
                    <w:suppressLineNumbers w:val="0"/>
                    <w:bidi w:val="0"/>
                    <w:spacing w:before="0" w:beforeAutospacing="0" w:after="0" w:afterAutospacing="0"/>
                    <w:ind w:left="0" w:right="0"/>
                    <w:rPr>
                      <w:rFonts w:hint="eastAsia"/>
                    </w:rPr>
                  </w:pPr>
                </w:p>
              </w:tc>
              <w:tc>
                <w:tcPr>
                  <w:tcW w:w="452" w:type="dxa"/>
                  <w:shd w:val="clear" w:color="auto" w:fill="auto"/>
                  <w:vAlign w:val="center"/>
                </w:tcPr>
                <w:p w14:paraId="18A7BAA9">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23</w:t>
                  </w:r>
                </w:p>
              </w:tc>
              <w:tc>
                <w:tcPr>
                  <w:tcW w:w="311" w:type="dxa"/>
                  <w:shd w:val="clear" w:color="auto" w:fill="auto"/>
                  <w:vAlign w:val="center"/>
                </w:tcPr>
                <w:p w14:paraId="49B2F514">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11</w:t>
                  </w:r>
                </w:p>
              </w:tc>
              <w:tc>
                <w:tcPr>
                  <w:tcW w:w="358" w:type="dxa"/>
                  <w:shd w:val="clear" w:color="auto" w:fill="auto"/>
                  <w:vAlign w:val="center"/>
                </w:tcPr>
                <w:p w14:paraId="15B8407F">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52" w:type="dxa"/>
                  <w:shd w:val="clear" w:color="auto" w:fill="auto"/>
                  <w:vAlign w:val="center"/>
                </w:tcPr>
                <w:p w14:paraId="267CF0DA">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23</w:t>
                  </w:r>
                </w:p>
              </w:tc>
              <w:tc>
                <w:tcPr>
                  <w:tcW w:w="358" w:type="dxa"/>
                  <w:shd w:val="clear" w:color="auto" w:fill="auto"/>
                  <w:vAlign w:val="center"/>
                </w:tcPr>
                <w:p w14:paraId="3A835912">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19</w:t>
                  </w:r>
                </w:p>
              </w:tc>
              <w:tc>
                <w:tcPr>
                  <w:tcW w:w="358" w:type="dxa"/>
                  <w:shd w:val="clear" w:color="auto" w:fill="auto"/>
                  <w:vAlign w:val="center"/>
                </w:tcPr>
                <w:p w14:paraId="1B35230D">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16</w:t>
                  </w:r>
                </w:p>
              </w:tc>
              <w:tc>
                <w:tcPr>
                  <w:tcW w:w="498" w:type="dxa"/>
                  <w:shd w:val="clear" w:color="auto" w:fill="auto"/>
                  <w:vAlign w:val="center"/>
                </w:tcPr>
                <w:p w14:paraId="099C9FB8">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w:t>
                  </w:r>
                </w:p>
              </w:tc>
              <w:tc>
                <w:tcPr>
                  <w:tcW w:w="498" w:type="dxa"/>
                  <w:shd w:val="clear" w:color="auto" w:fill="auto"/>
                  <w:vAlign w:val="center"/>
                </w:tcPr>
                <w:p w14:paraId="5C2C69A9">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67.8</w:t>
                  </w:r>
                </w:p>
              </w:tc>
              <w:tc>
                <w:tcPr>
                  <w:tcW w:w="460" w:type="dxa"/>
                  <w:shd w:val="clear" w:color="auto" w:fill="auto"/>
                  <w:vAlign w:val="center"/>
                </w:tcPr>
                <w:p w14:paraId="23CFD4F9">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69.4</w:t>
                  </w:r>
                </w:p>
              </w:tc>
              <w:tc>
                <w:tcPr>
                  <w:tcW w:w="498" w:type="dxa"/>
                  <w:shd w:val="clear" w:color="auto" w:fill="auto"/>
                  <w:vAlign w:val="center"/>
                </w:tcPr>
                <w:p w14:paraId="0A9FC8B0">
                  <w:pPr>
                    <w:pStyle w:val="61"/>
                    <w:keepNext w:val="0"/>
                    <w:keepLines w:val="0"/>
                    <w:suppressLineNumbers w:val="0"/>
                    <w:bidi w:val="0"/>
                    <w:spacing w:before="0" w:beforeAutospacing="0" w:after="0" w:afterAutospacing="0"/>
                    <w:ind w:left="0" w:right="0"/>
                    <w:rPr>
                      <w:rFonts w:hint="default"/>
                    </w:rPr>
                  </w:pPr>
                  <w:r>
                    <w:rPr>
                      <w:rFonts w:hint="default"/>
                      <w:lang w:val="en-US" w:eastAsia="zh-CN"/>
                    </w:rPr>
                    <w:t>70.9</w:t>
                  </w:r>
                </w:p>
              </w:tc>
              <w:tc>
                <w:tcPr>
                  <w:tcW w:w="498" w:type="dxa"/>
                  <w:shd w:val="clear" w:color="auto" w:fill="auto"/>
                  <w:vAlign w:val="center"/>
                </w:tcPr>
                <w:p w14:paraId="3A91BCB6">
                  <w:pPr>
                    <w:pStyle w:val="61"/>
                    <w:keepNext w:val="0"/>
                    <w:keepLines w:val="0"/>
                    <w:suppressLineNumbers w:val="0"/>
                    <w:bidi w:val="0"/>
                    <w:spacing w:before="0" w:beforeAutospacing="0" w:after="0" w:afterAutospacing="0"/>
                    <w:ind w:left="0" w:right="0"/>
                    <w:rPr>
                      <w:rFonts w:hint="default"/>
                    </w:rPr>
                  </w:pPr>
                  <w:r>
                    <w:rPr>
                      <w:rFonts w:hint="default"/>
                      <w:lang w:val="en-US" w:eastAsia="zh-CN"/>
                    </w:rPr>
                    <w:t>79.4</w:t>
                  </w:r>
                </w:p>
              </w:tc>
              <w:tc>
                <w:tcPr>
                  <w:tcW w:w="357" w:type="dxa"/>
                  <w:vMerge w:val="continue"/>
                  <w:shd w:val="clear" w:color="auto" w:fill="auto"/>
                  <w:vAlign w:val="center"/>
                </w:tcPr>
                <w:p w14:paraId="54F90A5A">
                  <w:pPr>
                    <w:pStyle w:val="61"/>
                    <w:keepNext w:val="0"/>
                    <w:keepLines w:val="0"/>
                    <w:suppressLineNumbers w:val="0"/>
                    <w:bidi w:val="0"/>
                    <w:spacing w:before="0" w:beforeAutospacing="0" w:after="0" w:afterAutospacing="0"/>
                    <w:ind w:left="0" w:right="0"/>
                    <w:rPr>
                      <w:rFonts w:hint="eastAsia"/>
                    </w:rPr>
                  </w:pPr>
                </w:p>
              </w:tc>
              <w:tc>
                <w:tcPr>
                  <w:tcW w:w="532" w:type="dxa"/>
                  <w:shd w:val="clear" w:color="auto" w:fill="auto"/>
                  <w:vAlign w:val="center"/>
                </w:tcPr>
                <w:p w14:paraId="3A806A58">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15</w:t>
                  </w:r>
                </w:p>
              </w:tc>
              <w:tc>
                <w:tcPr>
                  <w:tcW w:w="510" w:type="dxa"/>
                  <w:shd w:val="clear" w:color="auto" w:fill="auto"/>
                  <w:vAlign w:val="center"/>
                </w:tcPr>
                <w:p w14:paraId="1F5BE59D">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52.8</w:t>
                  </w:r>
                </w:p>
              </w:tc>
              <w:tc>
                <w:tcPr>
                  <w:tcW w:w="480" w:type="dxa"/>
                  <w:shd w:val="clear" w:color="auto" w:fill="auto"/>
                  <w:vAlign w:val="center"/>
                </w:tcPr>
                <w:p w14:paraId="788B597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54.4</w:t>
                  </w:r>
                </w:p>
              </w:tc>
              <w:tc>
                <w:tcPr>
                  <w:tcW w:w="510" w:type="dxa"/>
                  <w:shd w:val="clear" w:color="auto" w:fill="auto"/>
                  <w:vAlign w:val="center"/>
                </w:tcPr>
                <w:p w14:paraId="02D8EDE7">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55.9</w:t>
                  </w:r>
                </w:p>
              </w:tc>
              <w:tc>
                <w:tcPr>
                  <w:tcW w:w="435" w:type="dxa"/>
                  <w:shd w:val="clear" w:color="auto" w:fill="auto"/>
                  <w:vAlign w:val="center"/>
                </w:tcPr>
                <w:p w14:paraId="7A8C3ED5">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64.4</w:t>
                  </w:r>
                </w:p>
              </w:tc>
              <w:tc>
                <w:tcPr>
                  <w:tcW w:w="550" w:type="dxa"/>
                  <w:shd w:val="clear" w:color="auto" w:fill="auto"/>
                  <w:vAlign w:val="center"/>
                </w:tcPr>
                <w:p w14:paraId="682E57C4">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r>
            <w:tr w14:paraId="3412C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11" w:type="dxa"/>
                  <w:shd w:val="clear" w:color="auto" w:fill="auto"/>
                  <w:vAlign w:val="center"/>
                </w:tcPr>
                <w:p w14:paraId="2D7BFA96">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w:t>
                  </w:r>
                </w:p>
              </w:tc>
              <w:tc>
                <w:tcPr>
                  <w:tcW w:w="268" w:type="dxa"/>
                  <w:vMerge w:val="continue"/>
                  <w:shd w:val="clear" w:color="auto" w:fill="auto"/>
                  <w:vAlign w:val="center"/>
                </w:tcPr>
                <w:p w14:paraId="32D3A392">
                  <w:pPr>
                    <w:pStyle w:val="61"/>
                    <w:keepNext w:val="0"/>
                    <w:keepLines w:val="0"/>
                    <w:suppressLineNumbers w:val="0"/>
                    <w:bidi w:val="0"/>
                    <w:spacing w:before="0" w:beforeAutospacing="0" w:after="0" w:afterAutospacing="0"/>
                    <w:ind w:left="0" w:right="0"/>
                    <w:rPr>
                      <w:rFonts w:hint="eastAsia"/>
                    </w:rPr>
                  </w:pPr>
                </w:p>
              </w:tc>
              <w:tc>
                <w:tcPr>
                  <w:tcW w:w="1575" w:type="dxa"/>
                  <w:shd w:val="clear" w:color="auto" w:fill="auto"/>
                  <w:noWrap/>
                  <w:vAlign w:val="center"/>
                </w:tcPr>
                <w:p w14:paraId="001ADA95">
                  <w:pPr>
                    <w:pStyle w:val="61"/>
                    <w:keepNext w:val="0"/>
                    <w:keepLines w:val="0"/>
                    <w:suppressLineNumbers w:val="0"/>
                    <w:bidi w:val="0"/>
                    <w:spacing w:before="0" w:beforeAutospacing="0" w:after="0" w:afterAutospacing="0"/>
                    <w:ind w:left="0" w:right="0"/>
                    <w:rPr>
                      <w:rFonts w:hint="default"/>
                    </w:rPr>
                  </w:pPr>
                  <w:r>
                    <w:rPr>
                      <w:rFonts w:hint="default"/>
                      <w:lang w:val="en-US" w:eastAsia="zh-CN"/>
                    </w:rPr>
                    <w:t>手持气钻枪</w:t>
                  </w:r>
                </w:p>
              </w:tc>
              <w:tc>
                <w:tcPr>
                  <w:tcW w:w="636" w:type="dxa"/>
                  <w:shd w:val="clear" w:color="auto" w:fill="auto"/>
                  <w:noWrap/>
                  <w:vAlign w:val="center"/>
                </w:tcPr>
                <w:p w14:paraId="3A89AE1A">
                  <w:pPr>
                    <w:pStyle w:val="61"/>
                    <w:keepNext w:val="0"/>
                    <w:keepLines w:val="0"/>
                    <w:suppressLineNumbers w:val="0"/>
                    <w:bidi w:val="0"/>
                    <w:spacing w:before="0" w:beforeAutospacing="0" w:after="0" w:afterAutospacing="0"/>
                    <w:ind w:left="0" w:right="0"/>
                    <w:rPr>
                      <w:rFonts w:hint="default"/>
                    </w:rPr>
                  </w:pPr>
                  <w:r>
                    <w:rPr>
                      <w:rFonts w:hint="default"/>
                      <w:lang w:val="en-US" w:eastAsia="zh-CN"/>
                    </w:rPr>
                    <w:t>85</w:t>
                  </w:r>
                </w:p>
              </w:tc>
              <w:tc>
                <w:tcPr>
                  <w:tcW w:w="312" w:type="dxa"/>
                  <w:shd w:val="clear" w:color="auto" w:fill="auto"/>
                  <w:vAlign w:val="center"/>
                </w:tcPr>
                <w:p w14:paraId="70C1A37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8</w:t>
                  </w:r>
                </w:p>
              </w:tc>
              <w:tc>
                <w:tcPr>
                  <w:tcW w:w="499" w:type="dxa"/>
                  <w:vMerge w:val="continue"/>
                  <w:shd w:val="clear" w:color="auto" w:fill="auto"/>
                  <w:vAlign w:val="center"/>
                </w:tcPr>
                <w:p w14:paraId="2AE701B1">
                  <w:pPr>
                    <w:pStyle w:val="61"/>
                    <w:keepNext w:val="0"/>
                    <w:keepLines w:val="0"/>
                    <w:suppressLineNumbers w:val="0"/>
                    <w:bidi w:val="0"/>
                    <w:spacing w:before="0" w:beforeAutospacing="0" w:after="0" w:afterAutospacing="0"/>
                    <w:ind w:left="0" w:right="0"/>
                    <w:rPr>
                      <w:rFonts w:hint="eastAsia"/>
                    </w:rPr>
                  </w:pPr>
                </w:p>
              </w:tc>
              <w:tc>
                <w:tcPr>
                  <w:tcW w:w="452" w:type="dxa"/>
                  <w:shd w:val="clear" w:color="auto" w:fill="auto"/>
                  <w:vAlign w:val="center"/>
                </w:tcPr>
                <w:p w14:paraId="78B566FF">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11.5</w:t>
                  </w:r>
                </w:p>
              </w:tc>
              <w:tc>
                <w:tcPr>
                  <w:tcW w:w="311" w:type="dxa"/>
                  <w:shd w:val="clear" w:color="auto" w:fill="auto"/>
                  <w:vAlign w:val="center"/>
                </w:tcPr>
                <w:p w14:paraId="3699DAB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35</w:t>
                  </w:r>
                </w:p>
              </w:tc>
              <w:tc>
                <w:tcPr>
                  <w:tcW w:w="358" w:type="dxa"/>
                  <w:shd w:val="clear" w:color="auto" w:fill="auto"/>
                  <w:vAlign w:val="center"/>
                </w:tcPr>
                <w:p w14:paraId="3F84F928">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52" w:type="dxa"/>
                  <w:shd w:val="clear" w:color="auto" w:fill="auto"/>
                  <w:vAlign w:val="center"/>
                </w:tcPr>
                <w:p w14:paraId="7D5FE7BB">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23</w:t>
                  </w:r>
                </w:p>
              </w:tc>
              <w:tc>
                <w:tcPr>
                  <w:tcW w:w="358" w:type="dxa"/>
                  <w:shd w:val="clear" w:color="auto" w:fill="auto"/>
                  <w:vAlign w:val="center"/>
                </w:tcPr>
                <w:p w14:paraId="6CB925A9">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19</w:t>
                  </w:r>
                </w:p>
              </w:tc>
              <w:tc>
                <w:tcPr>
                  <w:tcW w:w="358" w:type="dxa"/>
                  <w:shd w:val="clear" w:color="auto" w:fill="auto"/>
                  <w:vAlign w:val="center"/>
                </w:tcPr>
                <w:p w14:paraId="0A520CD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16</w:t>
                  </w:r>
                </w:p>
              </w:tc>
              <w:tc>
                <w:tcPr>
                  <w:tcW w:w="498" w:type="dxa"/>
                  <w:shd w:val="clear" w:color="auto" w:fill="auto"/>
                  <w:vAlign w:val="center"/>
                </w:tcPr>
                <w:p w14:paraId="450F5859">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w:t>
                  </w:r>
                </w:p>
              </w:tc>
              <w:tc>
                <w:tcPr>
                  <w:tcW w:w="498" w:type="dxa"/>
                  <w:shd w:val="clear" w:color="auto" w:fill="auto"/>
                  <w:vAlign w:val="center"/>
                </w:tcPr>
                <w:p w14:paraId="2792630B">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57.8</w:t>
                  </w:r>
                </w:p>
              </w:tc>
              <w:tc>
                <w:tcPr>
                  <w:tcW w:w="460" w:type="dxa"/>
                  <w:shd w:val="clear" w:color="auto" w:fill="auto"/>
                  <w:vAlign w:val="center"/>
                </w:tcPr>
                <w:p w14:paraId="05153E3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59.4</w:t>
                  </w:r>
                </w:p>
              </w:tc>
              <w:tc>
                <w:tcPr>
                  <w:tcW w:w="498" w:type="dxa"/>
                  <w:shd w:val="clear" w:color="auto" w:fill="auto"/>
                  <w:vAlign w:val="center"/>
                </w:tcPr>
                <w:p w14:paraId="1D00B07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60.9</w:t>
                  </w:r>
                </w:p>
              </w:tc>
              <w:tc>
                <w:tcPr>
                  <w:tcW w:w="498" w:type="dxa"/>
                  <w:shd w:val="clear" w:color="auto" w:fill="auto"/>
                  <w:vAlign w:val="center"/>
                </w:tcPr>
                <w:p w14:paraId="46CB81AD">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69.4</w:t>
                  </w:r>
                </w:p>
              </w:tc>
              <w:tc>
                <w:tcPr>
                  <w:tcW w:w="357" w:type="dxa"/>
                  <w:vMerge w:val="continue"/>
                  <w:shd w:val="clear" w:color="auto" w:fill="auto"/>
                  <w:vAlign w:val="center"/>
                </w:tcPr>
                <w:p w14:paraId="74BB5791">
                  <w:pPr>
                    <w:pStyle w:val="61"/>
                    <w:keepNext w:val="0"/>
                    <w:keepLines w:val="0"/>
                    <w:suppressLineNumbers w:val="0"/>
                    <w:bidi w:val="0"/>
                    <w:spacing w:before="0" w:beforeAutospacing="0" w:after="0" w:afterAutospacing="0"/>
                    <w:ind w:left="0" w:right="0"/>
                    <w:rPr>
                      <w:rFonts w:hint="eastAsia"/>
                    </w:rPr>
                  </w:pPr>
                </w:p>
              </w:tc>
              <w:tc>
                <w:tcPr>
                  <w:tcW w:w="532" w:type="dxa"/>
                  <w:shd w:val="clear" w:color="auto" w:fill="auto"/>
                  <w:vAlign w:val="center"/>
                </w:tcPr>
                <w:p w14:paraId="34A376D4">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15</w:t>
                  </w:r>
                </w:p>
              </w:tc>
              <w:tc>
                <w:tcPr>
                  <w:tcW w:w="510" w:type="dxa"/>
                  <w:shd w:val="clear" w:color="auto" w:fill="auto"/>
                  <w:vAlign w:val="center"/>
                </w:tcPr>
                <w:p w14:paraId="6B826BD5">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42.8</w:t>
                  </w:r>
                </w:p>
              </w:tc>
              <w:tc>
                <w:tcPr>
                  <w:tcW w:w="480" w:type="dxa"/>
                  <w:shd w:val="clear" w:color="auto" w:fill="auto"/>
                  <w:vAlign w:val="center"/>
                </w:tcPr>
                <w:p w14:paraId="2E742B56">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44.4</w:t>
                  </w:r>
                </w:p>
              </w:tc>
              <w:tc>
                <w:tcPr>
                  <w:tcW w:w="510" w:type="dxa"/>
                  <w:shd w:val="clear" w:color="auto" w:fill="auto"/>
                  <w:vAlign w:val="center"/>
                </w:tcPr>
                <w:p w14:paraId="4C573AD7">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45.9</w:t>
                  </w:r>
                </w:p>
              </w:tc>
              <w:tc>
                <w:tcPr>
                  <w:tcW w:w="435" w:type="dxa"/>
                  <w:shd w:val="clear" w:color="auto" w:fill="auto"/>
                  <w:vAlign w:val="center"/>
                </w:tcPr>
                <w:p w14:paraId="5A63AB0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54.4</w:t>
                  </w:r>
                </w:p>
              </w:tc>
              <w:tc>
                <w:tcPr>
                  <w:tcW w:w="550" w:type="dxa"/>
                  <w:shd w:val="clear" w:color="auto" w:fill="auto"/>
                  <w:vAlign w:val="center"/>
                </w:tcPr>
                <w:p w14:paraId="480A2BDA">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r>
            <w:tr w14:paraId="6350E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11" w:type="dxa"/>
                  <w:shd w:val="clear" w:color="auto" w:fill="auto"/>
                  <w:vAlign w:val="center"/>
                </w:tcPr>
                <w:p w14:paraId="06D1E26A">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w:t>
                  </w:r>
                </w:p>
              </w:tc>
              <w:tc>
                <w:tcPr>
                  <w:tcW w:w="268" w:type="dxa"/>
                  <w:vMerge w:val="continue"/>
                  <w:shd w:val="clear" w:color="auto" w:fill="auto"/>
                  <w:vAlign w:val="center"/>
                </w:tcPr>
                <w:p w14:paraId="24CD5ECB">
                  <w:pPr>
                    <w:pStyle w:val="61"/>
                    <w:keepNext w:val="0"/>
                    <w:keepLines w:val="0"/>
                    <w:suppressLineNumbers w:val="0"/>
                    <w:bidi w:val="0"/>
                    <w:spacing w:before="0" w:beforeAutospacing="0" w:after="0" w:afterAutospacing="0"/>
                    <w:ind w:left="0" w:right="0"/>
                    <w:rPr>
                      <w:rFonts w:hint="eastAsia"/>
                    </w:rPr>
                  </w:pPr>
                </w:p>
              </w:tc>
              <w:tc>
                <w:tcPr>
                  <w:tcW w:w="1575" w:type="dxa"/>
                  <w:shd w:val="clear" w:color="auto" w:fill="auto"/>
                  <w:noWrap/>
                  <w:vAlign w:val="center"/>
                </w:tcPr>
                <w:p w14:paraId="35D323F9">
                  <w:pPr>
                    <w:pStyle w:val="61"/>
                    <w:keepNext w:val="0"/>
                    <w:keepLines w:val="0"/>
                    <w:suppressLineNumbers w:val="0"/>
                    <w:bidi w:val="0"/>
                    <w:spacing w:before="0" w:beforeAutospacing="0" w:after="0" w:afterAutospacing="0"/>
                    <w:ind w:left="0" w:right="0"/>
                    <w:rPr>
                      <w:rFonts w:hint="default"/>
                    </w:rPr>
                  </w:pPr>
                  <w:r>
                    <w:rPr>
                      <w:rFonts w:hint="default"/>
                      <w:lang w:val="en-US" w:eastAsia="zh-CN"/>
                    </w:rPr>
                    <w:t>压块机</w:t>
                  </w:r>
                </w:p>
              </w:tc>
              <w:tc>
                <w:tcPr>
                  <w:tcW w:w="636" w:type="dxa"/>
                  <w:shd w:val="clear" w:color="auto" w:fill="auto"/>
                  <w:noWrap/>
                  <w:vAlign w:val="center"/>
                </w:tcPr>
                <w:p w14:paraId="2797FCA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85</w:t>
                  </w:r>
                </w:p>
              </w:tc>
              <w:tc>
                <w:tcPr>
                  <w:tcW w:w="312" w:type="dxa"/>
                  <w:shd w:val="clear" w:color="auto" w:fill="auto"/>
                  <w:vAlign w:val="center"/>
                </w:tcPr>
                <w:p w14:paraId="26433865">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99" w:type="dxa"/>
                  <w:vMerge w:val="continue"/>
                  <w:shd w:val="clear" w:color="auto" w:fill="auto"/>
                  <w:vAlign w:val="center"/>
                </w:tcPr>
                <w:p w14:paraId="3A7BE8F0">
                  <w:pPr>
                    <w:pStyle w:val="61"/>
                    <w:keepNext w:val="0"/>
                    <w:keepLines w:val="0"/>
                    <w:suppressLineNumbers w:val="0"/>
                    <w:bidi w:val="0"/>
                    <w:spacing w:before="0" w:beforeAutospacing="0" w:after="0" w:afterAutospacing="0"/>
                    <w:ind w:left="0" w:right="0"/>
                    <w:rPr>
                      <w:rFonts w:hint="eastAsia"/>
                    </w:rPr>
                  </w:pPr>
                </w:p>
              </w:tc>
              <w:tc>
                <w:tcPr>
                  <w:tcW w:w="452" w:type="dxa"/>
                  <w:shd w:val="clear" w:color="auto" w:fill="auto"/>
                  <w:vAlign w:val="center"/>
                </w:tcPr>
                <w:p w14:paraId="0F35CD78">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w:t>
                  </w:r>
                </w:p>
              </w:tc>
              <w:tc>
                <w:tcPr>
                  <w:tcW w:w="311" w:type="dxa"/>
                  <w:shd w:val="clear" w:color="auto" w:fill="auto"/>
                  <w:vAlign w:val="center"/>
                </w:tcPr>
                <w:p w14:paraId="2DB7BC3B">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w:t>
                  </w:r>
                </w:p>
              </w:tc>
              <w:tc>
                <w:tcPr>
                  <w:tcW w:w="358" w:type="dxa"/>
                  <w:shd w:val="clear" w:color="auto" w:fill="auto"/>
                  <w:vAlign w:val="center"/>
                </w:tcPr>
                <w:p w14:paraId="565E90B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52" w:type="dxa"/>
                  <w:shd w:val="clear" w:color="auto" w:fill="auto"/>
                  <w:vAlign w:val="center"/>
                </w:tcPr>
                <w:p w14:paraId="3A2DBE5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38</w:t>
                  </w:r>
                </w:p>
              </w:tc>
              <w:tc>
                <w:tcPr>
                  <w:tcW w:w="358" w:type="dxa"/>
                  <w:shd w:val="clear" w:color="auto" w:fill="auto"/>
                  <w:vAlign w:val="center"/>
                </w:tcPr>
                <w:p w14:paraId="075B6CEB">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w:t>
                  </w:r>
                </w:p>
              </w:tc>
              <w:tc>
                <w:tcPr>
                  <w:tcW w:w="358" w:type="dxa"/>
                  <w:shd w:val="clear" w:color="auto" w:fill="auto"/>
                  <w:vAlign w:val="center"/>
                </w:tcPr>
                <w:p w14:paraId="370DCC32">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w:t>
                  </w:r>
                </w:p>
              </w:tc>
              <w:tc>
                <w:tcPr>
                  <w:tcW w:w="498" w:type="dxa"/>
                  <w:shd w:val="clear" w:color="auto" w:fill="auto"/>
                  <w:vAlign w:val="center"/>
                </w:tcPr>
                <w:p w14:paraId="3AAEB6C6">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18</w:t>
                  </w:r>
                </w:p>
              </w:tc>
              <w:tc>
                <w:tcPr>
                  <w:tcW w:w="498" w:type="dxa"/>
                  <w:shd w:val="clear" w:color="auto" w:fill="auto"/>
                  <w:vAlign w:val="center"/>
                </w:tcPr>
                <w:p w14:paraId="6836508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53.4</w:t>
                  </w:r>
                </w:p>
              </w:tc>
              <w:tc>
                <w:tcPr>
                  <w:tcW w:w="460" w:type="dxa"/>
                  <w:shd w:val="clear" w:color="auto" w:fill="auto"/>
                  <w:vAlign w:val="center"/>
                </w:tcPr>
                <w:p w14:paraId="45D8556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73.0</w:t>
                  </w:r>
                </w:p>
              </w:tc>
              <w:tc>
                <w:tcPr>
                  <w:tcW w:w="498" w:type="dxa"/>
                  <w:shd w:val="clear" w:color="auto" w:fill="auto"/>
                  <w:vAlign w:val="center"/>
                </w:tcPr>
                <w:p w14:paraId="7EDB35B8">
                  <w:pPr>
                    <w:pStyle w:val="61"/>
                    <w:keepNext w:val="0"/>
                    <w:keepLines w:val="0"/>
                    <w:suppressLineNumbers w:val="0"/>
                    <w:bidi w:val="0"/>
                    <w:spacing w:before="0" w:beforeAutospacing="0" w:after="0" w:afterAutospacing="0"/>
                    <w:ind w:left="0" w:right="0"/>
                    <w:rPr>
                      <w:rFonts w:hint="default"/>
                    </w:rPr>
                  </w:pPr>
                  <w:r>
                    <w:rPr>
                      <w:rFonts w:hint="default"/>
                      <w:lang w:val="en-US" w:eastAsia="zh-CN"/>
                    </w:rPr>
                    <w:t>73.0</w:t>
                  </w:r>
                </w:p>
              </w:tc>
              <w:tc>
                <w:tcPr>
                  <w:tcW w:w="498" w:type="dxa"/>
                  <w:shd w:val="clear" w:color="auto" w:fill="auto"/>
                  <w:vAlign w:val="center"/>
                </w:tcPr>
                <w:p w14:paraId="13ACE2F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59.9</w:t>
                  </w:r>
                </w:p>
              </w:tc>
              <w:tc>
                <w:tcPr>
                  <w:tcW w:w="357" w:type="dxa"/>
                  <w:vMerge w:val="continue"/>
                  <w:shd w:val="clear" w:color="auto" w:fill="auto"/>
                  <w:vAlign w:val="center"/>
                </w:tcPr>
                <w:p w14:paraId="45D83CD5">
                  <w:pPr>
                    <w:pStyle w:val="61"/>
                    <w:keepNext w:val="0"/>
                    <w:keepLines w:val="0"/>
                    <w:suppressLineNumbers w:val="0"/>
                    <w:bidi w:val="0"/>
                    <w:spacing w:before="0" w:beforeAutospacing="0" w:after="0" w:afterAutospacing="0"/>
                    <w:ind w:left="0" w:right="0"/>
                    <w:rPr>
                      <w:rFonts w:hint="eastAsia"/>
                    </w:rPr>
                  </w:pPr>
                </w:p>
              </w:tc>
              <w:tc>
                <w:tcPr>
                  <w:tcW w:w="532" w:type="dxa"/>
                  <w:shd w:val="clear" w:color="auto" w:fill="auto"/>
                  <w:vAlign w:val="center"/>
                </w:tcPr>
                <w:p w14:paraId="2C1B519A">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15</w:t>
                  </w:r>
                </w:p>
              </w:tc>
              <w:tc>
                <w:tcPr>
                  <w:tcW w:w="510" w:type="dxa"/>
                  <w:shd w:val="clear" w:color="auto" w:fill="auto"/>
                  <w:vAlign w:val="center"/>
                </w:tcPr>
                <w:p w14:paraId="7FAB28F7">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38.4</w:t>
                  </w:r>
                </w:p>
              </w:tc>
              <w:tc>
                <w:tcPr>
                  <w:tcW w:w="480" w:type="dxa"/>
                  <w:shd w:val="clear" w:color="auto" w:fill="auto"/>
                  <w:vAlign w:val="center"/>
                </w:tcPr>
                <w:p w14:paraId="6852881A">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58.0</w:t>
                  </w:r>
                </w:p>
              </w:tc>
              <w:tc>
                <w:tcPr>
                  <w:tcW w:w="510" w:type="dxa"/>
                  <w:shd w:val="clear" w:color="auto" w:fill="auto"/>
                  <w:vAlign w:val="center"/>
                </w:tcPr>
                <w:p w14:paraId="7695D85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58.0</w:t>
                  </w:r>
                </w:p>
              </w:tc>
              <w:tc>
                <w:tcPr>
                  <w:tcW w:w="435" w:type="dxa"/>
                  <w:shd w:val="clear" w:color="auto" w:fill="auto"/>
                  <w:vAlign w:val="center"/>
                </w:tcPr>
                <w:p w14:paraId="28D02550">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44.9</w:t>
                  </w:r>
                </w:p>
              </w:tc>
              <w:tc>
                <w:tcPr>
                  <w:tcW w:w="550" w:type="dxa"/>
                  <w:shd w:val="clear" w:color="auto" w:fill="auto"/>
                  <w:vAlign w:val="center"/>
                </w:tcPr>
                <w:p w14:paraId="73D0C9A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r>
            <w:tr w14:paraId="353C0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11" w:type="dxa"/>
                  <w:shd w:val="clear" w:color="auto" w:fill="auto"/>
                  <w:vAlign w:val="center"/>
                </w:tcPr>
                <w:p w14:paraId="1EC27750">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w:t>
                  </w:r>
                </w:p>
              </w:tc>
              <w:tc>
                <w:tcPr>
                  <w:tcW w:w="268" w:type="dxa"/>
                  <w:vMerge w:val="continue"/>
                  <w:shd w:val="clear" w:color="auto" w:fill="auto"/>
                  <w:vAlign w:val="center"/>
                </w:tcPr>
                <w:p w14:paraId="07F58541">
                  <w:pPr>
                    <w:pStyle w:val="61"/>
                    <w:keepNext w:val="0"/>
                    <w:keepLines w:val="0"/>
                    <w:suppressLineNumbers w:val="0"/>
                    <w:bidi w:val="0"/>
                    <w:spacing w:before="0" w:beforeAutospacing="0" w:after="0" w:afterAutospacing="0"/>
                    <w:ind w:left="0" w:right="0"/>
                    <w:rPr>
                      <w:rFonts w:hint="eastAsia"/>
                    </w:rPr>
                  </w:pPr>
                </w:p>
              </w:tc>
              <w:tc>
                <w:tcPr>
                  <w:tcW w:w="1575" w:type="dxa"/>
                  <w:shd w:val="clear" w:color="auto" w:fill="auto"/>
                  <w:noWrap/>
                  <w:vAlign w:val="center"/>
                </w:tcPr>
                <w:p w14:paraId="33444EDD">
                  <w:pPr>
                    <w:pStyle w:val="61"/>
                    <w:keepNext w:val="0"/>
                    <w:keepLines w:val="0"/>
                    <w:suppressLineNumbers w:val="0"/>
                    <w:bidi w:val="0"/>
                    <w:spacing w:before="0" w:beforeAutospacing="0" w:after="0" w:afterAutospacing="0"/>
                    <w:ind w:left="0" w:right="0"/>
                    <w:rPr>
                      <w:rFonts w:hint="default"/>
                    </w:rPr>
                  </w:pPr>
                  <w:r>
                    <w:rPr>
                      <w:rFonts w:hint="default"/>
                      <w:lang w:val="en-US" w:eastAsia="zh-CN"/>
                    </w:rPr>
                    <w:t>挖掘机</w:t>
                  </w:r>
                </w:p>
              </w:tc>
              <w:tc>
                <w:tcPr>
                  <w:tcW w:w="636" w:type="dxa"/>
                  <w:shd w:val="clear" w:color="auto" w:fill="auto"/>
                  <w:noWrap/>
                  <w:vAlign w:val="center"/>
                </w:tcPr>
                <w:p w14:paraId="3A03A9A9">
                  <w:pPr>
                    <w:pStyle w:val="61"/>
                    <w:keepNext w:val="0"/>
                    <w:keepLines w:val="0"/>
                    <w:suppressLineNumbers w:val="0"/>
                    <w:bidi w:val="0"/>
                    <w:spacing w:before="0" w:beforeAutospacing="0" w:after="0" w:afterAutospacing="0"/>
                    <w:ind w:left="0" w:right="0"/>
                    <w:rPr>
                      <w:rFonts w:hint="default"/>
                    </w:rPr>
                  </w:pPr>
                  <w:r>
                    <w:rPr>
                      <w:rFonts w:hint="default"/>
                      <w:lang w:val="en-US" w:eastAsia="zh-CN"/>
                    </w:rPr>
                    <w:t>95</w:t>
                  </w:r>
                </w:p>
              </w:tc>
              <w:tc>
                <w:tcPr>
                  <w:tcW w:w="312" w:type="dxa"/>
                  <w:shd w:val="clear" w:color="auto" w:fill="auto"/>
                  <w:vAlign w:val="center"/>
                </w:tcPr>
                <w:p w14:paraId="22CFF13F">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99" w:type="dxa"/>
                  <w:vMerge w:val="continue"/>
                  <w:shd w:val="clear" w:color="auto" w:fill="auto"/>
                  <w:vAlign w:val="center"/>
                </w:tcPr>
                <w:p w14:paraId="2248D07C">
                  <w:pPr>
                    <w:pStyle w:val="61"/>
                    <w:keepNext w:val="0"/>
                    <w:keepLines w:val="0"/>
                    <w:suppressLineNumbers w:val="0"/>
                    <w:bidi w:val="0"/>
                    <w:spacing w:before="0" w:beforeAutospacing="0" w:after="0" w:afterAutospacing="0"/>
                    <w:ind w:left="0" w:right="0"/>
                    <w:rPr>
                      <w:rFonts w:hint="eastAsia"/>
                    </w:rPr>
                  </w:pPr>
                </w:p>
              </w:tc>
              <w:tc>
                <w:tcPr>
                  <w:tcW w:w="452" w:type="dxa"/>
                  <w:shd w:val="clear" w:color="auto" w:fill="auto"/>
                  <w:vAlign w:val="center"/>
                </w:tcPr>
                <w:p w14:paraId="2D968A42">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21.5</w:t>
                  </w:r>
                </w:p>
              </w:tc>
              <w:tc>
                <w:tcPr>
                  <w:tcW w:w="311" w:type="dxa"/>
                  <w:shd w:val="clear" w:color="auto" w:fill="auto"/>
                  <w:vAlign w:val="center"/>
                </w:tcPr>
                <w:p w14:paraId="4E06DC2A">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30</w:t>
                  </w:r>
                </w:p>
              </w:tc>
              <w:tc>
                <w:tcPr>
                  <w:tcW w:w="358" w:type="dxa"/>
                  <w:shd w:val="clear" w:color="auto" w:fill="auto"/>
                  <w:vAlign w:val="center"/>
                </w:tcPr>
                <w:p w14:paraId="06E3BEA8">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52" w:type="dxa"/>
                  <w:shd w:val="clear" w:color="auto" w:fill="auto"/>
                  <w:vAlign w:val="center"/>
                </w:tcPr>
                <w:p w14:paraId="57ABD328">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34</w:t>
                  </w:r>
                </w:p>
              </w:tc>
              <w:tc>
                <w:tcPr>
                  <w:tcW w:w="358" w:type="dxa"/>
                  <w:shd w:val="clear" w:color="auto" w:fill="auto"/>
                  <w:vAlign w:val="center"/>
                </w:tcPr>
                <w:p w14:paraId="36D0C49E">
                  <w:pPr>
                    <w:pStyle w:val="61"/>
                    <w:keepNext w:val="0"/>
                    <w:keepLines w:val="0"/>
                    <w:suppressLineNumbers w:val="0"/>
                    <w:bidi w:val="0"/>
                    <w:spacing w:before="0" w:beforeAutospacing="0" w:after="0" w:afterAutospacing="0"/>
                    <w:ind w:left="0" w:right="0"/>
                    <w:rPr>
                      <w:rFonts w:hint="default"/>
                    </w:rPr>
                  </w:pPr>
                  <w:r>
                    <w:rPr>
                      <w:rFonts w:hint="default"/>
                      <w:lang w:val="en-US" w:eastAsia="zh-CN"/>
                    </w:rPr>
                    <w:t>8</w:t>
                  </w:r>
                </w:p>
              </w:tc>
              <w:tc>
                <w:tcPr>
                  <w:tcW w:w="358" w:type="dxa"/>
                  <w:shd w:val="clear" w:color="auto" w:fill="auto"/>
                  <w:vAlign w:val="center"/>
                </w:tcPr>
                <w:p w14:paraId="4B898975">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w:t>
                  </w:r>
                </w:p>
              </w:tc>
              <w:tc>
                <w:tcPr>
                  <w:tcW w:w="498" w:type="dxa"/>
                  <w:shd w:val="clear" w:color="auto" w:fill="auto"/>
                  <w:vAlign w:val="center"/>
                </w:tcPr>
                <w:p w14:paraId="283C3CE8">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19</w:t>
                  </w:r>
                </w:p>
              </w:tc>
              <w:tc>
                <w:tcPr>
                  <w:tcW w:w="498" w:type="dxa"/>
                  <w:shd w:val="clear" w:color="auto" w:fill="auto"/>
                  <w:vAlign w:val="center"/>
                </w:tcPr>
                <w:p w14:paraId="01B2D29D">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64.4</w:t>
                  </w:r>
                </w:p>
              </w:tc>
              <w:tc>
                <w:tcPr>
                  <w:tcW w:w="460" w:type="dxa"/>
                  <w:shd w:val="clear" w:color="auto" w:fill="auto"/>
                  <w:vAlign w:val="center"/>
                </w:tcPr>
                <w:p w14:paraId="28183507">
                  <w:pPr>
                    <w:pStyle w:val="61"/>
                    <w:keepNext w:val="0"/>
                    <w:keepLines w:val="0"/>
                    <w:suppressLineNumbers w:val="0"/>
                    <w:bidi w:val="0"/>
                    <w:spacing w:before="0" w:beforeAutospacing="0" w:after="0" w:afterAutospacing="0"/>
                    <w:ind w:left="0" w:right="0"/>
                    <w:rPr>
                      <w:rFonts w:hint="default"/>
                    </w:rPr>
                  </w:pPr>
                  <w:r>
                    <w:rPr>
                      <w:rFonts w:hint="default"/>
                      <w:lang w:val="en-US" w:eastAsia="zh-CN"/>
                    </w:rPr>
                    <w:t>76.9</w:t>
                  </w:r>
                </w:p>
              </w:tc>
              <w:tc>
                <w:tcPr>
                  <w:tcW w:w="498" w:type="dxa"/>
                  <w:shd w:val="clear" w:color="auto" w:fill="auto"/>
                  <w:vAlign w:val="center"/>
                </w:tcPr>
                <w:p w14:paraId="6E18A3B5">
                  <w:pPr>
                    <w:pStyle w:val="61"/>
                    <w:keepNext w:val="0"/>
                    <w:keepLines w:val="0"/>
                    <w:suppressLineNumbers w:val="0"/>
                    <w:bidi w:val="0"/>
                    <w:spacing w:before="0" w:beforeAutospacing="0" w:after="0" w:afterAutospacing="0"/>
                    <w:ind w:left="0" w:right="0"/>
                    <w:rPr>
                      <w:rFonts w:hint="default"/>
                    </w:rPr>
                  </w:pPr>
                  <w:r>
                    <w:rPr>
                      <w:rFonts w:hint="default"/>
                      <w:lang w:val="en-US" w:eastAsia="zh-CN"/>
                    </w:rPr>
                    <w:t>85.5</w:t>
                  </w:r>
                </w:p>
              </w:tc>
              <w:tc>
                <w:tcPr>
                  <w:tcW w:w="498" w:type="dxa"/>
                  <w:shd w:val="clear" w:color="auto" w:fill="auto"/>
                  <w:vAlign w:val="center"/>
                </w:tcPr>
                <w:p w14:paraId="295506E4">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69.4</w:t>
                  </w:r>
                </w:p>
              </w:tc>
              <w:tc>
                <w:tcPr>
                  <w:tcW w:w="357" w:type="dxa"/>
                  <w:vMerge w:val="continue"/>
                  <w:shd w:val="clear" w:color="auto" w:fill="auto"/>
                  <w:vAlign w:val="center"/>
                </w:tcPr>
                <w:p w14:paraId="6CEC598C">
                  <w:pPr>
                    <w:pStyle w:val="61"/>
                    <w:keepNext w:val="0"/>
                    <w:keepLines w:val="0"/>
                    <w:suppressLineNumbers w:val="0"/>
                    <w:bidi w:val="0"/>
                    <w:spacing w:before="0" w:beforeAutospacing="0" w:after="0" w:afterAutospacing="0"/>
                    <w:ind w:left="0" w:right="0"/>
                    <w:rPr>
                      <w:rFonts w:hint="eastAsia"/>
                    </w:rPr>
                  </w:pPr>
                </w:p>
              </w:tc>
              <w:tc>
                <w:tcPr>
                  <w:tcW w:w="532" w:type="dxa"/>
                  <w:shd w:val="clear" w:color="auto" w:fill="auto"/>
                  <w:vAlign w:val="center"/>
                </w:tcPr>
                <w:p w14:paraId="79E488AD">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15</w:t>
                  </w:r>
                </w:p>
              </w:tc>
              <w:tc>
                <w:tcPr>
                  <w:tcW w:w="510" w:type="dxa"/>
                  <w:shd w:val="clear" w:color="auto" w:fill="auto"/>
                  <w:vAlign w:val="center"/>
                </w:tcPr>
                <w:p w14:paraId="35D9ADA9">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49.4</w:t>
                  </w:r>
                </w:p>
              </w:tc>
              <w:tc>
                <w:tcPr>
                  <w:tcW w:w="480" w:type="dxa"/>
                  <w:shd w:val="clear" w:color="auto" w:fill="auto"/>
                  <w:vAlign w:val="center"/>
                </w:tcPr>
                <w:p w14:paraId="2C11B035">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61.9</w:t>
                  </w:r>
                </w:p>
              </w:tc>
              <w:tc>
                <w:tcPr>
                  <w:tcW w:w="510" w:type="dxa"/>
                  <w:shd w:val="clear" w:color="auto" w:fill="auto"/>
                  <w:vAlign w:val="center"/>
                </w:tcPr>
                <w:p w14:paraId="0426892A">
                  <w:pPr>
                    <w:pStyle w:val="61"/>
                    <w:keepNext w:val="0"/>
                    <w:keepLines w:val="0"/>
                    <w:suppressLineNumbers w:val="0"/>
                    <w:bidi w:val="0"/>
                    <w:spacing w:before="0" w:beforeAutospacing="0" w:after="0" w:afterAutospacing="0"/>
                    <w:ind w:left="0" w:right="0"/>
                    <w:rPr>
                      <w:rFonts w:hint="default"/>
                    </w:rPr>
                  </w:pPr>
                  <w:r>
                    <w:rPr>
                      <w:rFonts w:hint="default"/>
                      <w:lang w:val="en-US" w:eastAsia="zh-CN"/>
                    </w:rPr>
                    <w:t>70.5</w:t>
                  </w:r>
                </w:p>
              </w:tc>
              <w:tc>
                <w:tcPr>
                  <w:tcW w:w="435" w:type="dxa"/>
                  <w:shd w:val="clear" w:color="auto" w:fill="auto"/>
                  <w:vAlign w:val="center"/>
                </w:tcPr>
                <w:p w14:paraId="630A5075">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54.4</w:t>
                  </w:r>
                </w:p>
              </w:tc>
              <w:tc>
                <w:tcPr>
                  <w:tcW w:w="550" w:type="dxa"/>
                  <w:shd w:val="clear" w:color="auto" w:fill="auto"/>
                  <w:vAlign w:val="center"/>
                </w:tcPr>
                <w:p w14:paraId="41D536F6">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r>
            <w:tr w14:paraId="6E4F1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11" w:type="dxa"/>
                  <w:shd w:val="clear" w:color="auto" w:fill="auto"/>
                  <w:vAlign w:val="center"/>
                </w:tcPr>
                <w:p w14:paraId="3232C23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7</w:t>
                  </w:r>
                </w:p>
              </w:tc>
              <w:tc>
                <w:tcPr>
                  <w:tcW w:w="268" w:type="dxa"/>
                  <w:vMerge w:val="continue"/>
                  <w:shd w:val="clear" w:color="auto" w:fill="auto"/>
                  <w:vAlign w:val="center"/>
                </w:tcPr>
                <w:p w14:paraId="36BBE726">
                  <w:pPr>
                    <w:pStyle w:val="61"/>
                    <w:keepNext w:val="0"/>
                    <w:keepLines w:val="0"/>
                    <w:suppressLineNumbers w:val="0"/>
                    <w:bidi w:val="0"/>
                    <w:spacing w:before="0" w:beforeAutospacing="0" w:after="0" w:afterAutospacing="0"/>
                    <w:ind w:left="0" w:right="0"/>
                    <w:rPr>
                      <w:rFonts w:hint="eastAsia"/>
                    </w:rPr>
                  </w:pPr>
                </w:p>
              </w:tc>
              <w:tc>
                <w:tcPr>
                  <w:tcW w:w="1575" w:type="dxa"/>
                  <w:shd w:val="clear" w:color="auto" w:fill="auto"/>
                  <w:noWrap/>
                  <w:vAlign w:val="center"/>
                </w:tcPr>
                <w:p w14:paraId="72C11912">
                  <w:pPr>
                    <w:pStyle w:val="61"/>
                    <w:keepNext w:val="0"/>
                    <w:keepLines w:val="0"/>
                    <w:suppressLineNumbers w:val="0"/>
                    <w:bidi w:val="0"/>
                    <w:spacing w:before="0" w:beforeAutospacing="0" w:after="0" w:afterAutospacing="0"/>
                    <w:ind w:left="0" w:right="0"/>
                    <w:rPr>
                      <w:rFonts w:hint="default"/>
                    </w:rPr>
                  </w:pPr>
                  <w:r>
                    <w:rPr>
                      <w:rFonts w:hint="default"/>
                      <w:lang w:val="en-US" w:eastAsia="zh-CN"/>
                    </w:rPr>
                    <w:t>抱夹</w:t>
                  </w:r>
                </w:p>
              </w:tc>
              <w:tc>
                <w:tcPr>
                  <w:tcW w:w="636" w:type="dxa"/>
                  <w:shd w:val="clear" w:color="auto" w:fill="auto"/>
                  <w:noWrap/>
                  <w:vAlign w:val="center"/>
                </w:tcPr>
                <w:p w14:paraId="3D4FBDC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85</w:t>
                  </w:r>
                </w:p>
              </w:tc>
              <w:tc>
                <w:tcPr>
                  <w:tcW w:w="312" w:type="dxa"/>
                  <w:shd w:val="clear" w:color="auto" w:fill="auto"/>
                  <w:vAlign w:val="center"/>
                </w:tcPr>
                <w:p w14:paraId="59A3E6B8">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99" w:type="dxa"/>
                  <w:vMerge w:val="continue"/>
                  <w:shd w:val="clear" w:color="auto" w:fill="auto"/>
                  <w:vAlign w:val="center"/>
                </w:tcPr>
                <w:p w14:paraId="6BD60392">
                  <w:pPr>
                    <w:pStyle w:val="61"/>
                    <w:keepNext w:val="0"/>
                    <w:keepLines w:val="0"/>
                    <w:suppressLineNumbers w:val="0"/>
                    <w:bidi w:val="0"/>
                    <w:spacing w:before="0" w:beforeAutospacing="0" w:after="0" w:afterAutospacing="0"/>
                    <w:ind w:left="0" w:right="0"/>
                    <w:rPr>
                      <w:rFonts w:hint="eastAsia"/>
                    </w:rPr>
                  </w:pPr>
                </w:p>
              </w:tc>
              <w:tc>
                <w:tcPr>
                  <w:tcW w:w="452" w:type="dxa"/>
                  <w:shd w:val="clear" w:color="auto" w:fill="auto"/>
                  <w:vAlign w:val="center"/>
                </w:tcPr>
                <w:p w14:paraId="3BF69CE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w:t>
                  </w:r>
                </w:p>
              </w:tc>
              <w:tc>
                <w:tcPr>
                  <w:tcW w:w="311" w:type="dxa"/>
                  <w:shd w:val="clear" w:color="auto" w:fill="auto"/>
                  <w:vAlign w:val="center"/>
                </w:tcPr>
                <w:p w14:paraId="4CC2427D">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28</w:t>
                  </w:r>
                </w:p>
              </w:tc>
              <w:tc>
                <w:tcPr>
                  <w:tcW w:w="358" w:type="dxa"/>
                  <w:shd w:val="clear" w:color="auto" w:fill="auto"/>
                  <w:vAlign w:val="center"/>
                </w:tcPr>
                <w:p w14:paraId="26DADF70">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52" w:type="dxa"/>
                  <w:shd w:val="clear" w:color="auto" w:fill="auto"/>
                  <w:vAlign w:val="center"/>
                </w:tcPr>
                <w:p w14:paraId="51FA7897">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34</w:t>
                  </w:r>
                </w:p>
              </w:tc>
              <w:tc>
                <w:tcPr>
                  <w:tcW w:w="358" w:type="dxa"/>
                  <w:shd w:val="clear" w:color="auto" w:fill="auto"/>
                  <w:vAlign w:val="center"/>
                </w:tcPr>
                <w:p w14:paraId="5331D22A">
                  <w:pPr>
                    <w:pStyle w:val="61"/>
                    <w:keepNext w:val="0"/>
                    <w:keepLines w:val="0"/>
                    <w:suppressLineNumbers w:val="0"/>
                    <w:bidi w:val="0"/>
                    <w:spacing w:before="0" w:beforeAutospacing="0" w:after="0" w:afterAutospacing="0"/>
                    <w:ind w:left="0" w:right="0"/>
                    <w:rPr>
                      <w:rFonts w:hint="default"/>
                    </w:rPr>
                  </w:pPr>
                  <w:r>
                    <w:rPr>
                      <w:rFonts w:hint="default"/>
                      <w:lang w:val="en-US" w:eastAsia="zh-CN"/>
                    </w:rPr>
                    <w:t>8</w:t>
                  </w:r>
                </w:p>
              </w:tc>
              <w:tc>
                <w:tcPr>
                  <w:tcW w:w="358" w:type="dxa"/>
                  <w:shd w:val="clear" w:color="auto" w:fill="auto"/>
                  <w:vAlign w:val="center"/>
                </w:tcPr>
                <w:p w14:paraId="7B0FCEDE">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w:t>
                  </w:r>
                </w:p>
              </w:tc>
              <w:tc>
                <w:tcPr>
                  <w:tcW w:w="498" w:type="dxa"/>
                  <w:shd w:val="clear" w:color="auto" w:fill="auto"/>
                  <w:vAlign w:val="center"/>
                </w:tcPr>
                <w:p w14:paraId="38E4B907">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18</w:t>
                  </w:r>
                </w:p>
              </w:tc>
              <w:tc>
                <w:tcPr>
                  <w:tcW w:w="498" w:type="dxa"/>
                  <w:shd w:val="clear" w:color="auto" w:fill="auto"/>
                  <w:vAlign w:val="center"/>
                </w:tcPr>
                <w:p w14:paraId="0CEEDAA7">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54.4</w:t>
                  </w:r>
                </w:p>
              </w:tc>
              <w:tc>
                <w:tcPr>
                  <w:tcW w:w="460" w:type="dxa"/>
                  <w:shd w:val="clear" w:color="auto" w:fill="auto"/>
                  <w:vAlign w:val="center"/>
                </w:tcPr>
                <w:p w14:paraId="65B3501E">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66.9</w:t>
                  </w:r>
                </w:p>
              </w:tc>
              <w:tc>
                <w:tcPr>
                  <w:tcW w:w="498" w:type="dxa"/>
                  <w:shd w:val="clear" w:color="auto" w:fill="auto"/>
                  <w:vAlign w:val="center"/>
                </w:tcPr>
                <w:p w14:paraId="2237993B">
                  <w:pPr>
                    <w:pStyle w:val="61"/>
                    <w:keepNext w:val="0"/>
                    <w:keepLines w:val="0"/>
                    <w:suppressLineNumbers w:val="0"/>
                    <w:bidi w:val="0"/>
                    <w:spacing w:before="0" w:beforeAutospacing="0" w:after="0" w:afterAutospacing="0"/>
                    <w:ind w:left="0" w:right="0"/>
                    <w:rPr>
                      <w:rFonts w:hint="default"/>
                    </w:rPr>
                  </w:pPr>
                  <w:r>
                    <w:rPr>
                      <w:rFonts w:hint="default"/>
                      <w:lang w:val="en-US" w:eastAsia="zh-CN"/>
                    </w:rPr>
                    <w:t>73.0</w:t>
                  </w:r>
                </w:p>
              </w:tc>
              <w:tc>
                <w:tcPr>
                  <w:tcW w:w="498" w:type="dxa"/>
                  <w:shd w:val="clear" w:color="auto" w:fill="auto"/>
                  <w:vAlign w:val="center"/>
                </w:tcPr>
                <w:p w14:paraId="22C856D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59.9</w:t>
                  </w:r>
                </w:p>
              </w:tc>
              <w:tc>
                <w:tcPr>
                  <w:tcW w:w="357" w:type="dxa"/>
                  <w:vMerge w:val="continue"/>
                  <w:shd w:val="clear" w:color="auto" w:fill="auto"/>
                  <w:vAlign w:val="center"/>
                </w:tcPr>
                <w:p w14:paraId="138E9A9C">
                  <w:pPr>
                    <w:pStyle w:val="61"/>
                    <w:keepNext w:val="0"/>
                    <w:keepLines w:val="0"/>
                    <w:suppressLineNumbers w:val="0"/>
                    <w:bidi w:val="0"/>
                    <w:spacing w:before="0" w:beforeAutospacing="0" w:after="0" w:afterAutospacing="0"/>
                    <w:ind w:left="0" w:right="0"/>
                    <w:rPr>
                      <w:rFonts w:hint="eastAsia"/>
                    </w:rPr>
                  </w:pPr>
                </w:p>
              </w:tc>
              <w:tc>
                <w:tcPr>
                  <w:tcW w:w="532" w:type="dxa"/>
                  <w:shd w:val="clear" w:color="auto" w:fill="auto"/>
                  <w:vAlign w:val="center"/>
                </w:tcPr>
                <w:p w14:paraId="087CCBFA">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15</w:t>
                  </w:r>
                </w:p>
              </w:tc>
              <w:tc>
                <w:tcPr>
                  <w:tcW w:w="510" w:type="dxa"/>
                  <w:shd w:val="clear" w:color="auto" w:fill="auto"/>
                  <w:vAlign w:val="center"/>
                </w:tcPr>
                <w:p w14:paraId="0A2AABD9">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39.4</w:t>
                  </w:r>
                </w:p>
              </w:tc>
              <w:tc>
                <w:tcPr>
                  <w:tcW w:w="480" w:type="dxa"/>
                  <w:shd w:val="clear" w:color="auto" w:fill="auto"/>
                  <w:vAlign w:val="center"/>
                </w:tcPr>
                <w:p w14:paraId="2A81C45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51.9</w:t>
                  </w:r>
                </w:p>
              </w:tc>
              <w:tc>
                <w:tcPr>
                  <w:tcW w:w="510" w:type="dxa"/>
                  <w:shd w:val="clear" w:color="auto" w:fill="auto"/>
                  <w:vAlign w:val="center"/>
                </w:tcPr>
                <w:p w14:paraId="1D662426">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58.0</w:t>
                  </w:r>
                </w:p>
              </w:tc>
              <w:tc>
                <w:tcPr>
                  <w:tcW w:w="435" w:type="dxa"/>
                  <w:shd w:val="clear" w:color="auto" w:fill="auto"/>
                  <w:vAlign w:val="center"/>
                </w:tcPr>
                <w:p w14:paraId="77461100">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44.9</w:t>
                  </w:r>
                </w:p>
              </w:tc>
              <w:tc>
                <w:tcPr>
                  <w:tcW w:w="550" w:type="dxa"/>
                  <w:shd w:val="clear" w:color="auto" w:fill="auto"/>
                  <w:vAlign w:val="center"/>
                </w:tcPr>
                <w:p w14:paraId="22E17274">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r>
            <w:tr w14:paraId="0406A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11" w:type="dxa"/>
                  <w:shd w:val="clear" w:color="auto" w:fill="auto"/>
                  <w:vAlign w:val="center"/>
                </w:tcPr>
                <w:p w14:paraId="46A6F74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8</w:t>
                  </w:r>
                </w:p>
              </w:tc>
              <w:tc>
                <w:tcPr>
                  <w:tcW w:w="268" w:type="dxa"/>
                  <w:vMerge w:val="continue"/>
                  <w:shd w:val="clear" w:color="auto" w:fill="auto"/>
                  <w:vAlign w:val="center"/>
                </w:tcPr>
                <w:p w14:paraId="01B05C70">
                  <w:pPr>
                    <w:pStyle w:val="61"/>
                    <w:keepNext w:val="0"/>
                    <w:keepLines w:val="0"/>
                    <w:suppressLineNumbers w:val="0"/>
                    <w:bidi w:val="0"/>
                    <w:spacing w:before="0" w:beforeAutospacing="0" w:after="0" w:afterAutospacing="0"/>
                    <w:ind w:left="0" w:right="0"/>
                    <w:rPr>
                      <w:rFonts w:hint="eastAsia"/>
                    </w:rPr>
                  </w:pPr>
                </w:p>
              </w:tc>
              <w:tc>
                <w:tcPr>
                  <w:tcW w:w="1575" w:type="dxa"/>
                  <w:shd w:val="clear" w:color="auto" w:fill="auto"/>
                  <w:noWrap/>
                  <w:vAlign w:val="center"/>
                </w:tcPr>
                <w:p w14:paraId="1DBDC0B0">
                  <w:pPr>
                    <w:pStyle w:val="61"/>
                    <w:keepNext w:val="0"/>
                    <w:keepLines w:val="0"/>
                    <w:suppressLineNumbers w:val="0"/>
                    <w:bidi w:val="0"/>
                    <w:spacing w:before="0" w:beforeAutospacing="0" w:after="0" w:afterAutospacing="0"/>
                    <w:ind w:left="0" w:right="0"/>
                    <w:rPr>
                      <w:rFonts w:hint="default"/>
                    </w:rPr>
                  </w:pPr>
                  <w:r>
                    <w:rPr>
                      <w:rFonts w:hint="eastAsia"/>
                      <w:lang w:val="en-US" w:eastAsia="zh-CN"/>
                    </w:rPr>
                    <w:t>颚</w:t>
                  </w:r>
                  <w:r>
                    <w:rPr>
                      <w:rFonts w:hint="default"/>
                      <w:lang w:val="en-US" w:eastAsia="zh-CN"/>
                    </w:rPr>
                    <w:t>式剪切机</w:t>
                  </w:r>
                </w:p>
              </w:tc>
              <w:tc>
                <w:tcPr>
                  <w:tcW w:w="636" w:type="dxa"/>
                  <w:shd w:val="clear" w:color="auto" w:fill="auto"/>
                  <w:noWrap/>
                  <w:vAlign w:val="center"/>
                </w:tcPr>
                <w:p w14:paraId="202347E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90</w:t>
                  </w:r>
                </w:p>
              </w:tc>
              <w:tc>
                <w:tcPr>
                  <w:tcW w:w="312" w:type="dxa"/>
                  <w:shd w:val="clear" w:color="auto" w:fill="auto"/>
                  <w:vAlign w:val="center"/>
                </w:tcPr>
                <w:p w14:paraId="673ABDB8">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99" w:type="dxa"/>
                  <w:vMerge w:val="continue"/>
                  <w:shd w:val="clear" w:color="auto" w:fill="auto"/>
                  <w:vAlign w:val="center"/>
                </w:tcPr>
                <w:p w14:paraId="569862D0">
                  <w:pPr>
                    <w:pStyle w:val="61"/>
                    <w:keepNext w:val="0"/>
                    <w:keepLines w:val="0"/>
                    <w:suppressLineNumbers w:val="0"/>
                    <w:bidi w:val="0"/>
                    <w:spacing w:before="0" w:beforeAutospacing="0" w:after="0" w:afterAutospacing="0"/>
                    <w:ind w:left="0" w:right="0"/>
                    <w:rPr>
                      <w:rFonts w:hint="eastAsia"/>
                    </w:rPr>
                  </w:pPr>
                </w:p>
              </w:tc>
              <w:tc>
                <w:tcPr>
                  <w:tcW w:w="452" w:type="dxa"/>
                  <w:shd w:val="clear" w:color="auto" w:fill="auto"/>
                  <w:vAlign w:val="center"/>
                </w:tcPr>
                <w:p w14:paraId="19A7C7EA">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40</w:t>
                  </w:r>
                </w:p>
              </w:tc>
              <w:tc>
                <w:tcPr>
                  <w:tcW w:w="311" w:type="dxa"/>
                  <w:shd w:val="clear" w:color="auto" w:fill="auto"/>
                  <w:vAlign w:val="center"/>
                </w:tcPr>
                <w:p w14:paraId="0BC53576">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30</w:t>
                  </w:r>
                </w:p>
              </w:tc>
              <w:tc>
                <w:tcPr>
                  <w:tcW w:w="358" w:type="dxa"/>
                  <w:shd w:val="clear" w:color="auto" w:fill="auto"/>
                  <w:vAlign w:val="center"/>
                </w:tcPr>
                <w:p w14:paraId="683FE885">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52" w:type="dxa"/>
                  <w:shd w:val="clear" w:color="auto" w:fill="auto"/>
                  <w:vAlign w:val="center"/>
                </w:tcPr>
                <w:p w14:paraId="2F39D84F">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34</w:t>
                  </w:r>
                </w:p>
              </w:tc>
              <w:tc>
                <w:tcPr>
                  <w:tcW w:w="358" w:type="dxa"/>
                  <w:shd w:val="clear" w:color="auto" w:fill="auto"/>
                  <w:vAlign w:val="center"/>
                </w:tcPr>
                <w:p w14:paraId="247CA0A0">
                  <w:pPr>
                    <w:pStyle w:val="61"/>
                    <w:keepNext w:val="0"/>
                    <w:keepLines w:val="0"/>
                    <w:suppressLineNumbers w:val="0"/>
                    <w:bidi w:val="0"/>
                    <w:spacing w:before="0" w:beforeAutospacing="0" w:after="0" w:afterAutospacing="0"/>
                    <w:ind w:left="0" w:right="0"/>
                    <w:rPr>
                      <w:rFonts w:hint="default"/>
                    </w:rPr>
                  </w:pPr>
                  <w:r>
                    <w:rPr>
                      <w:rFonts w:hint="default"/>
                      <w:lang w:val="en-US" w:eastAsia="zh-CN"/>
                    </w:rPr>
                    <w:t>8</w:t>
                  </w:r>
                </w:p>
              </w:tc>
              <w:tc>
                <w:tcPr>
                  <w:tcW w:w="358" w:type="dxa"/>
                  <w:shd w:val="clear" w:color="auto" w:fill="auto"/>
                  <w:vAlign w:val="center"/>
                </w:tcPr>
                <w:p w14:paraId="161F2F34">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w:t>
                  </w:r>
                </w:p>
              </w:tc>
              <w:tc>
                <w:tcPr>
                  <w:tcW w:w="498" w:type="dxa"/>
                  <w:shd w:val="clear" w:color="auto" w:fill="auto"/>
                  <w:vAlign w:val="center"/>
                </w:tcPr>
                <w:p w14:paraId="4363974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19</w:t>
                  </w:r>
                </w:p>
              </w:tc>
              <w:tc>
                <w:tcPr>
                  <w:tcW w:w="498" w:type="dxa"/>
                  <w:shd w:val="clear" w:color="auto" w:fill="auto"/>
                  <w:vAlign w:val="center"/>
                </w:tcPr>
                <w:p w14:paraId="75C8146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59.4</w:t>
                  </w:r>
                </w:p>
              </w:tc>
              <w:tc>
                <w:tcPr>
                  <w:tcW w:w="460" w:type="dxa"/>
                  <w:shd w:val="clear" w:color="auto" w:fill="auto"/>
                  <w:vAlign w:val="center"/>
                </w:tcPr>
                <w:p w14:paraId="2F9902BE">
                  <w:pPr>
                    <w:pStyle w:val="61"/>
                    <w:keepNext w:val="0"/>
                    <w:keepLines w:val="0"/>
                    <w:suppressLineNumbers w:val="0"/>
                    <w:bidi w:val="0"/>
                    <w:spacing w:before="0" w:beforeAutospacing="0" w:after="0" w:afterAutospacing="0"/>
                    <w:ind w:left="0" w:right="0"/>
                    <w:rPr>
                      <w:rFonts w:hint="default"/>
                    </w:rPr>
                  </w:pPr>
                  <w:r>
                    <w:rPr>
                      <w:rFonts w:hint="default"/>
                      <w:lang w:val="en-US" w:eastAsia="zh-CN"/>
                    </w:rPr>
                    <w:t>71.9</w:t>
                  </w:r>
                </w:p>
              </w:tc>
              <w:tc>
                <w:tcPr>
                  <w:tcW w:w="498" w:type="dxa"/>
                  <w:shd w:val="clear" w:color="auto" w:fill="auto"/>
                  <w:vAlign w:val="center"/>
                </w:tcPr>
                <w:p w14:paraId="5C19E1A9">
                  <w:pPr>
                    <w:pStyle w:val="61"/>
                    <w:keepNext w:val="0"/>
                    <w:keepLines w:val="0"/>
                    <w:suppressLineNumbers w:val="0"/>
                    <w:bidi w:val="0"/>
                    <w:spacing w:before="0" w:beforeAutospacing="0" w:after="0" w:afterAutospacing="0"/>
                    <w:ind w:left="0" w:right="0"/>
                    <w:rPr>
                      <w:rFonts w:hint="default"/>
                    </w:rPr>
                  </w:pPr>
                  <w:r>
                    <w:rPr>
                      <w:rFonts w:hint="default"/>
                      <w:lang w:val="en-US" w:eastAsia="zh-CN"/>
                    </w:rPr>
                    <w:t>80.5</w:t>
                  </w:r>
                </w:p>
              </w:tc>
              <w:tc>
                <w:tcPr>
                  <w:tcW w:w="498" w:type="dxa"/>
                  <w:shd w:val="clear" w:color="auto" w:fill="auto"/>
                  <w:vAlign w:val="center"/>
                </w:tcPr>
                <w:p w14:paraId="4BAE3A6A">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64.4</w:t>
                  </w:r>
                </w:p>
              </w:tc>
              <w:tc>
                <w:tcPr>
                  <w:tcW w:w="357" w:type="dxa"/>
                  <w:vMerge w:val="continue"/>
                  <w:shd w:val="clear" w:color="auto" w:fill="auto"/>
                  <w:vAlign w:val="center"/>
                </w:tcPr>
                <w:p w14:paraId="45D61D66">
                  <w:pPr>
                    <w:pStyle w:val="61"/>
                    <w:keepNext w:val="0"/>
                    <w:keepLines w:val="0"/>
                    <w:suppressLineNumbers w:val="0"/>
                    <w:bidi w:val="0"/>
                    <w:spacing w:before="0" w:beforeAutospacing="0" w:after="0" w:afterAutospacing="0"/>
                    <w:ind w:left="0" w:right="0"/>
                    <w:rPr>
                      <w:rFonts w:hint="eastAsia"/>
                    </w:rPr>
                  </w:pPr>
                </w:p>
              </w:tc>
              <w:tc>
                <w:tcPr>
                  <w:tcW w:w="532" w:type="dxa"/>
                  <w:shd w:val="clear" w:color="auto" w:fill="auto"/>
                  <w:vAlign w:val="center"/>
                </w:tcPr>
                <w:p w14:paraId="36CDCC3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15</w:t>
                  </w:r>
                </w:p>
              </w:tc>
              <w:tc>
                <w:tcPr>
                  <w:tcW w:w="510" w:type="dxa"/>
                  <w:shd w:val="clear" w:color="auto" w:fill="auto"/>
                  <w:vAlign w:val="center"/>
                </w:tcPr>
                <w:p w14:paraId="7258D82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44.4</w:t>
                  </w:r>
                </w:p>
              </w:tc>
              <w:tc>
                <w:tcPr>
                  <w:tcW w:w="480" w:type="dxa"/>
                  <w:shd w:val="clear" w:color="auto" w:fill="auto"/>
                  <w:vAlign w:val="center"/>
                </w:tcPr>
                <w:p w14:paraId="22A77E60">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56.9</w:t>
                  </w:r>
                </w:p>
              </w:tc>
              <w:tc>
                <w:tcPr>
                  <w:tcW w:w="510" w:type="dxa"/>
                  <w:shd w:val="clear" w:color="auto" w:fill="auto"/>
                  <w:vAlign w:val="center"/>
                </w:tcPr>
                <w:p w14:paraId="2F862EDE">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65.5</w:t>
                  </w:r>
                </w:p>
              </w:tc>
              <w:tc>
                <w:tcPr>
                  <w:tcW w:w="435" w:type="dxa"/>
                  <w:shd w:val="clear" w:color="auto" w:fill="auto"/>
                  <w:vAlign w:val="center"/>
                </w:tcPr>
                <w:p w14:paraId="5E695732">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49.4</w:t>
                  </w:r>
                </w:p>
              </w:tc>
              <w:tc>
                <w:tcPr>
                  <w:tcW w:w="550" w:type="dxa"/>
                  <w:shd w:val="clear" w:color="auto" w:fill="auto"/>
                  <w:vAlign w:val="center"/>
                </w:tcPr>
                <w:p w14:paraId="01439347">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r>
            <w:tr w14:paraId="46A63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23" w:hRule="atLeast"/>
                <w:jc w:val="center"/>
              </w:trPr>
              <w:tc>
                <w:tcPr>
                  <w:tcW w:w="311" w:type="dxa"/>
                  <w:shd w:val="clear" w:color="auto" w:fill="auto"/>
                  <w:vAlign w:val="center"/>
                </w:tcPr>
                <w:p w14:paraId="65EFD1A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9</w:t>
                  </w:r>
                </w:p>
              </w:tc>
              <w:tc>
                <w:tcPr>
                  <w:tcW w:w="268" w:type="dxa"/>
                  <w:vMerge w:val="continue"/>
                  <w:shd w:val="clear" w:color="auto" w:fill="auto"/>
                  <w:vAlign w:val="center"/>
                </w:tcPr>
                <w:p w14:paraId="4E95ECD8">
                  <w:pPr>
                    <w:pStyle w:val="61"/>
                    <w:keepNext w:val="0"/>
                    <w:keepLines w:val="0"/>
                    <w:suppressLineNumbers w:val="0"/>
                    <w:bidi w:val="0"/>
                    <w:spacing w:before="0" w:beforeAutospacing="0" w:after="0" w:afterAutospacing="0"/>
                    <w:ind w:left="0" w:right="0"/>
                    <w:rPr>
                      <w:rFonts w:hint="eastAsia"/>
                    </w:rPr>
                  </w:pPr>
                </w:p>
              </w:tc>
              <w:tc>
                <w:tcPr>
                  <w:tcW w:w="1575" w:type="dxa"/>
                  <w:shd w:val="clear" w:color="auto" w:fill="auto"/>
                  <w:noWrap/>
                  <w:vAlign w:val="center"/>
                </w:tcPr>
                <w:p w14:paraId="30058495">
                  <w:pPr>
                    <w:pStyle w:val="61"/>
                    <w:keepNext w:val="0"/>
                    <w:keepLines w:val="0"/>
                    <w:suppressLineNumbers w:val="0"/>
                    <w:bidi w:val="0"/>
                    <w:spacing w:before="0" w:beforeAutospacing="0" w:after="0" w:afterAutospacing="0"/>
                    <w:ind w:left="0" w:right="0"/>
                    <w:rPr>
                      <w:rFonts w:hint="default"/>
                    </w:rPr>
                  </w:pPr>
                  <w:r>
                    <w:rPr>
                      <w:rFonts w:hint="default"/>
                      <w:lang w:val="en-US" w:eastAsia="zh-CN"/>
                    </w:rPr>
                    <w:t>叉车</w:t>
                  </w:r>
                </w:p>
              </w:tc>
              <w:tc>
                <w:tcPr>
                  <w:tcW w:w="636" w:type="dxa"/>
                  <w:shd w:val="clear" w:color="auto" w:fill="auto"/>
                  <w:noWrap/>
                  <w:vAlign w:val="center"/>
                </w:tcPr>
                <w:p w14:paraId="5A5E08EF">
                  <w:pPr>
                    <w:pStyle w:val="61"/>
                    <w:keepNext w:val="0"/>
                    <w:keepLines w:val="0"/>
                    <w:suppressLineNumbers w:val="0"/>
                    <w:bidi w:val="0"/>
                    <w:spacing w:before="0" w:beforeAutospacing="0" w:after="0" w:afterAutospacing="0"/>
                    <w:ind w:left="0" w:right="0"/>
                    <w:rPr>
                      <w:rFonts w:hint="default"/>
                    </w:rPr>
                  </w:pPr>
                  <w:r>
                    <w:rPr>
                      <w:rFonts w:hint="default"/>
                      <w:lang w:val="en-US" w:eastAsia="zh-CN"/>
                    </w:rPr>
                    <w:t>90</w:t>
                  </w:r>
                </w:p>
              </w:tc>
              <w:tc>
                <w:tcPr>
                  <w:tcW w:w="312" w:type="dxa"/>
                  <w:shd w:val="clear" w:color="auto" w:fill="auto"/>
                  <w:vAlign w:val="center"/>
                </w:tcPr>
                <w:p w14:paraId="7D9B41E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99" w:type="dxa"/>
                  <w:vMerge w:val="continue"/>
                  <w:shd w:val="clear" w:color="auto" w:fill="auto"/>
                  <w:vAlign w:val="center"/>
                </w:tcPr>
                <w:p w14:paraId="67C7D6A6">
                  <w:pPr>
                    <w:pStyle w:val="61"/>
                    <w:keepNext w:val="0"/>
                    <w:keepLines w:val="0"/>
                    <w:suppressLineNumbers w:val="0"/>
                    <w:bidi w:val="0"/>
                    <w:spacing w:before="0" w:beforeAutospacing="0" w:after="0" w:afterAutospacing="0"/>
                    <w:ind w:left="0" w:right="0"/>
                    <w:rPr>
                      <w:rFonts w:hint="eastAsia"/>
                    </w:rPr>
                  </w:pPr>
                </w:p>
              </w:tc>
              <w:tc>
                <w:tcPr>
                  <w:tcW w:w="452" w:type="dxa"/>
                  <w:shd w:val="clear" w:color="auto" w:fill="auto"/>
                  <w:vAlign w:val="center"/>
                </w:tcPr>
                <w:p w14:paraId="7B04DF4F">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25</w:t>
                  </w:r>
                </w:p>
              </w:tc>
              <w:tc>
                <w:tcPr>
                  <w:tcW w:w="311" w:type="dxa"/>
                  <w:shd w:val="clear" w:color="auto" w:fill="auto"/>
                  <w:vAlign w:val="center"/>
                </w:tcPr>
                <w:p w14:paraId="38BB43D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60</w:t>
                  </w:r>
                </w:p>
              </w:tc>
              <w:tc>
                <w:tcPr>
                  <w:tcW w:w="358" w:type="dxa"/>
                  <w:shd w:val="clear" w:color="auto" w:fill="auto"/>
                  <w:vAlign w:val="center"/>
                </w:tcPr>
                <w:p w14:paraId="7BD0808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52" w:type="dxa"/>
                  <w:shd w:val="clear" w:color="auto" w:fill="auto"/>
                  <w:vAlign w:val="center"/>
                </w:tcPr>
                <w:p w14:paraId="61F63757">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34</w:t>
                  </w:r>
                </w:p>
              </w:tc>
              <w:tc>
                <w:tcPr>
                  <w:tcW w:w="358" w:type="dxa"/>
                  <w:shd w:val="clear" w:color="auto" w:fill="auto"/>
                  <w:vAlign w:val="center"/>
                </w:tcPr>
                <w:p w14:paraId="1939A854">
                  <w:pPr>
                    <w:pStyle w:val="61"/>
                    <w:keepNext w:val="0"/>
                    <w:keepLines w:val="0"/>
                    <w:suppressLineNumbers w:val="0"/>
                    <w:bidi w:val="0"/>
                    <w:spacing w:before="0" w:beforeAutospacing="0" w:after="0" w:afterAutospacing="0"/>
                    <w:ind w:left="0" w:right="0"/>
                    <w:rPr>
                      <w:rFonts w:hint="default"/>
                    </w:rPr>
                  </w:pPr>
                  <w:r>
                    <w:rPr>
                      <w:rFonts w:hint="default"/>
                      <w:lang w:val="en-US" w:eastAsia="zh-CN"/>
                    </w:rPr>
                    <w:t>8</w:t>
                  </w:r>
                </w:p>
              </w:tc>
              <w:tc>
                <w:tcPr>
                  <w:tcW w:w="358" w:type="dxa"/>
                  <w:shd w:val="clear" w:color="auto" w:fill="auto"/>
                  <w:vAlign w:val="center"/>
                </w:tcPr>
                <w:p w14:paraId="26472BEB">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w:t>
                  </w:r>
                </w:p>
              </w:tc>
              <w:tc>
                <w:tcPr>
                  <w:tcW w:w="498" w:type="dxa"/>
                  <w:shd w:val="clear" w:color="auto" w:fill="auto"/>
                  <w:vAlign w:val="center"/>
                </w:tcPr>
                <w:p w14:paraId="09068888">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18</w:t>
                  </w:r>
                </w:p>
              </w:tc>
              <w:tc>
                <w:tcPr>
                  <w:tcW w:w="498" w:type="dxa"/>
                  <w:shd w:val="clear" w:color="auto" w:fill="auto"/>
                  <w:vAlign w:val="center"/>
                </w:tcPr>
                <w:p w14:paraId="626FCB62">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59.4</w:t>
                  </w:r>
                </w:p>
              </w:tc>
              <w:tc>
                <w:tcPr>
                  <w:tcW w:w="460" w:type="dxa"/>
                  <w:shd w:val="clear" w:color="auto" w:fill="auto"/>
                  <w:vAlign w:val="center"/>
                </w:tcPr>
                <w:p w14:paraId="181275B0">
                  <w:pPr>
                    <w:pStyle w:val="61"/>
                    <w:keepNext w:val="0"/>
                    <w:keepLines w:val="0"/>
                    <w:suppressLineNumbers w:val="0"/>
                    <w:bidi w:val="0"/>
                    <w:spacing w:before="0" w:beforeAutospacing="0" w:after="0" w:afterAutospacing="0"/>
                    <w:ind w:left="0" w:right="0"/>
                    <w:rPr>
                      <w:rFonts w:hint="default"/>
                    </w:rPr>
                  </w:pPr>
                  <w:r>
                    <w:rPr>
                      <w:rFonts w:hint="default"/>
                      <w:lang w:val="en-US" w:eastAsia="zh-CN"/>
                    </w:rPr>
                    <w:t>71.9</w:t>
                  </w:r>
                </w:p>
              </w:tc>
              <w:tc>
                <w:tcPr>
                  <w:tcW w:w="498" w:type="dxa"/>
                  <w:shd w:val="clear" w:color="auto" w:fill="auto"/>
                  <w:vAlign w:val="center"/>
                </w:tcPr>
                <w:p w14:paraId="57F64DCB">
                  <w:pPr>
                    <w:pStyle w:val="61"/>
                    <w:keepNext w:val="0"/>
                    <w:keepLines w:val="0"/>
                    <w:suppressLineNumbers w:val="0"/>
                    <w:bidi w:val="0"/>
                    <w:spacing w:before="0" w:beforeAutospacing="0" w:after="0" w:afterAutospacing="0"/>
                    <w:ind w:left="0" w:right="0"/>
                    <w:rPr>
                      <w:rFonts w:hint="default"/>
                    </w:rPr>
                  </w:pPr>
                  <w:r>
                    <w:rPr>
                      <w:rFonts w:hint="default"/>
                      <w:lang w:val="en-US" w:eastAsia="zh-CN"/>
                    </w:rPr>
                    <w:t>78.0</w:t>
                  </w:r>
                </w:p>
              </w:tc>
              <w:tc>
                <w:tcPr>
                  <w:tcW w:w="498" w:type="dxa"/>
                  <w:shd w:val="clear" w:color="auto" w:fill="auto"/>
                  <w:vAlign w:val="center"/>
                </w:tcPr>
                <w:p w14:paraId="7C591FE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64.9</w:t>
                  </w:r>
                </w:p>
              </w:tc>
              <w:tc>
                <w:tcPr>
                  <w:tcW w:w="357" w:type="dxa"/>
                  <w:vMerge w:val="continue"/>
                  <w:shd w:val="clear" w:color="auto" w:fill="auto"/>
                  <w:vAlign w:val="center"/>
                </w:tcPr>
                <w:p w14:paraId="1A0BF8B0">
                  <w:pPr>
                    <w:pStyle w:val="61"/>
                    <w:keepNext w:val="0"/>
                    <w:keepLines w:val="0"/>
                    <w:suppressLineNumbers w:val="0"/>
                    <w:bidi w:val="0"/>
                    <w:spacing w:before="0" w:beforeAutospacing="0" w:after="0" w:afterAutospacing="0"/>
                    <w:ind w:left="0" w:right="0"/>
                    <w:rPr>
                      <w:rFonts w:hint="eastAsia"/>
                    </w:rPr>
                  </w:pPr>
                </w:p>
              </w:tc>
              <w:tc>
                <w:tcPr>
                  <w:tcW w:w="532" w:type="dxa"/>
                  <w:shd w:val="clear" w:color="auto" w:fill="auto"/>
                  <w:vAlign w:val="center"/>
                </w:tcPr>
                <w:p w14:paraId="7CD8AD74">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15</w:t>
                  </w:r>
                </w:p>
              </w:tc>
              <w:tc>
                <w:tcPr>
                  <w:tcW w:w="510" w:type="dxa"/>
                  <w:shd w:val="clear" w:color="auto" w:fill="auto"/>
                  <w:vAlign w:val="center"/>
                </w:tcPr>
                <w:p w14:paraId="47D0124E">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44.4</w:t>
                  </w:r>
                </w:p>
              </w:tc>
              <w:tc>
                <w:tcPr>
                  <w:tcW w:w="480" w:type="dxa"/>
                  <w:shd w:val="clear" w:color="auto" w:fill="auto"/>
                  <w:vAlign w:val="center"/>
                </w:tcPr>
                <w:p w14:paraId="731AE762">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56.9</w:t>
                  </w:r>
                </w:p>
              </w:tc>
              <w:tc>
                <w:tcPr>
                  <w:tcW w:w="510" w:type="dxa"/>
                  <w:shd w:val="clear" w:color="auto" w:fill="auto"/>
                  <w:vAlign w:val="center"/>
                </w:tcPr>
                <w:p w14:paraId="52B674AE">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63.0</w:t>
                  </w:r>
                </w:p>
              </w:tc>
              <w:tc>
                <w:tcPr>
                  <w:tcW w:w="435" w:type="dxa"/>
                  <w:shd w:val="clear" w:color="auto" w:fill="auto"/>
                  <w:vAlign w:val="center"/>
                </w:tcPr>
                <w:p w14:paraId="76780146">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49.9</w:t>
                  </w:r>
                </w:p>
              </w:tc>
              <w:tc>
                <w:tcPr>
                  <w:tcW w:w="550" w:type="dxa"/>
                  <w:shd w:val="clear" w:color="auto" w:fill="auto"/>
                  <w:vAlign w:val="center"/>
                </w:tcPr>
                <w:p w14:paraId="73EB434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r>
            <w:tr w14:paraId="41B3E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11" w:type="dxa"/>
                  <w:shd w:val="clear" w:color="auto" w:fill="auto"/>
                  <w:vAlign w:val="center"/>
                </w:tcPr>
                <w:p w14:paraId="328BF5B5">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10</w:t>
                  </w:r>
                </w:p>
              </w:tc>
              <w:tc>
                <w:tcPr>
                  <w:tcW w:w="268" w:type="dxa"/>
                  <w:vMerge w:val="continue"/>
                  <w:shd w:val="clear" w:color="auto" w:fill="auto"/>
                  <w:vAlign w:val="center"/>
                </w:tcPr>
                <w:p w14:paraId="3025BDCE">
                  <w:pPr>
                    <w:pStyle w:val="61"/>
                    <w:keepNext w:val="0"/>
                    <w:keepLines w:val="0"/>
                    <w:suppressLineNumbers w:val="0"/>
                    <w:bidi w:val="0"/>
                    <w:spacing w:before="0" w:beforeAutospacing="0" w:after="0" w:afterAutospacing="0"/>
                    <w:ind w:left="0" w:right="0"/>
                    <w:rPr>
                      <w:rFonts w:hint="eastAsia"/>
                    </w:rPr>
                  </w:pPr>
                </w:p>
              </w:tc>
              <w:tc>
                <w:tcPr>
                  <w:tcW w:w="1575" w:type="dxa"/>
                  <w:shd w:val="clear" w:color="auto" w:fill="auto"/>
                  <w:noWrap/>
                  <w:vAlign w:val="center"/>
                </w:tcPr>
                <w:p w14:paraId="1E9FF636">
                  <w:pPr>
                    <w:pStyle w:val="61"/>
                    <w:keepNext w:val="0"/>
                    <w:keepLines w:val="0"/>
                    <w:suppressLineNumbers w:val="0"/>
                    <w:bidi w:val="0"/>
                    <w:spacing w:before="0" w:beforeAutospacing="0" w:after="0" w:afterAutospacing="0"/>
                    <w:ind w:left="0" w:right="0"/>
                    <w:rPr>
                      <w:rFonts w:hint="default"/>
                    </w:rPr>
                  </w:pPr>
                  <w:r>
                    <w:rPr>
                      <w:rFonts w:hint="default"/>
                      <w:lang w:val="en-US" w:eastAsia="zh-CN"/>
                    </w:rPr>
                    <w:t>破碎机1</w:t>
                  </w:r>
                </w:p>
              </w:tc>
              <w:tc>
                <w:tcPr>
                  <w:tcW w:w="636" w:type="dxa"/>
                  <w:shd w:val="clear" w:color="auto" w:fill="auto"/>
                  <w:noWrap/>
                  <w:vAlign w:val="center"/>
                </w:tcPr>
                <w:p w14:paraId="46855257">
                  <w:pPr>
                    <w:pStyle w:val="61"/>
                    <w:keepNext w:val="0"/>
                    <w:keepLines w:val="0"/>
                    <w:suppressLineNumbers w:val="0"/>
                    <w:bidi w:val="0"/>
                    <w:spacing w:before="0" w:beforeAutospacing="0" w:after="0" w:afterAutospacing="0"/>
                    <w:ind w:left="0" w:right="0"/>
                    <w:rPr>
                      <w:rFonts w:hint="default"/>
                    </w:rPr>
                  </w:pPr>
                  <w:r>
                    <w:rPr>
                      <w:rFonts w:hint="default"/>
                      <w:lang w:val="en-US" w:eastAsia="zh-CN"/>
                    </w:rPr>
                    <w:t>85</w:t>
                  </w:r>
                </w:p>
              </w:tc>
              <w:tc>
                <w:tcPr>
                  <w:tcW w:w="312" w:type="dxa"/>
                  <w:shd w:val="clear" w:color="auto" w:fill="auto"/>
                  <w:vAlign w:val="center"/>
                </w:tcPr>
                <w:p w14:paraId="1D27DC3A">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99" w:type="dxa"/>
                  <w:vMerge w:val="continue"/>
                  <w:shd w:val="clear" w:color="auto" w:fill="auto"/>
                  <w:vAlign w:val="center"/>
                </w:tcPr>
                <w:p w14:paraId="09F9323E">
                  <w:pPr>
                    <w:pStyle w:val="61"/>
                    <w:keepNext w:val="0"/>
                    <w:keepLines w:val="0"/>
                    <w:suppressLineNumbers w:val="0"/>
                    <w:bidi w:val="0"/>
                    <w:spacing w:before="0" w:beforeAutospacing="0" w:after="0" w:afterAutospacing="0"/>
                    <w:ind w:left="0" w:right="0"/>
                    <w:rPr>
                      <w:rFonts w:hint="eastAsia"/>
                    </w:rPr>
                  </w:pPr>
                </w:p>
              </w:tc>
              <w:tc>
                <w:tcPr>
                  <w:tcW w:w="452" w:type="dxa"/>
                  <w:shd w:val="clear" w:color="auto" w:fill="auto"/>
                  <w:vAlign w:val="center"/>
                </w:tcPr>
                <w:p w14:paraId="33869DFD">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25</w:t>
                  </w:r>
                </w:p>
              </w:tc>
              <w:tc>
                <w:tcPr>
                  <w:tcW w:w="311" w:type="dxa"/>
                  <w:shd w:val="clear" w:color="auto" w:fill="auto"/>
                  <w:vAlign w:val="center"/>
                </w:tcPr>
                <w:p w14:paraId="1161BDE0">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50</w:t>
                  </w:r>
                </w:p>
              </w:tc>
              <w:tc>
                <w:tcPr>
                  <w:tcW w:w="358" w:type="dxa"/>
                  <w:shd w:val="clear" w:color="auto" w:fill="auto"/>
                  <w:vAlign w:val="center"/>
                </w:tcPr>
                <w:p w14:paraId="032CB57E">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52" w:type="dxa"/>
                  <w:shd w:val="clear" w:color="auto" w:fill="auto"/>
                  <w:vAlign w:val="center"/>
                </w:tcPr>
                <w:p w14:paraId="24A72689">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33</w:t>
                  </w:r>
                </w:p>
              </w:tc>
              <w:tc>
                <w:tcPr>
                  <w:tcW w:w="358" w:type="dxa"/>
                  <w:shd w:val="clear" w:color="auto" w:fill="auto"/>
                  <w:vAlign w:val="center"/>
                </w:tcPr>
                <w:p w14:paraId="40D61B5D">
                  <w:pPr>
                    <w:pStyle w:val="61"/>
                    <w:keepNext w:val="0"/>
                    <w:keepLines w:val="0"/>
                    <w:suppressLineNumbers w:val="0"/>
                    <w:bidi w:val="0"/>
                    <w:spacing w:before="0" w:beforeAutospacing="0" w:after="0" w:afterAutospacing="0"/>
                    <w:ind w:left="0" w:right="0"/>
                    <w:rPr>
                      <w:rFonts w:hint="default"/>
                    </w:rPr>
                  </w:pPr>
                  <w:r>
                    <w:rPr>
                      <w:rFonts w:hint="default"/>
                      <w:lang w:val="en-US" w:eastAsia="zh-CN"/>
                    </w:rPr>
                    <w:t>9</w:t>
                  </w:r>
                </w:p>
              </w:tc>
              <w:tc>
                <w:tcPr>
                  <w:tcW w:w="358" w:type="dxa"/>
                  <w:shd w:val="clear" w:color="auto" w:fill="auto"/>
                  <w:vAlign w:val="center"/>
                </w:tcPr>
                <w:p w14:paraId="6DCA461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14</w:t>
                  </w:r>
                </w:p>
              </w:tc>
              <w:tc>
                <w:tcPr>
                  <w:tcW w:w="498" w:type="dxa"/>
                  <w:shd w:val="clear" w:color="auto" w:fill="auto"/>
                  <w:vAlign w:val="center"/>
                </w:tcPr>
                <w:p w14:paraId="33486810">
                  <w:pPr>
                    <w:pStyle w:val="61"/>
                    <w:keepNext w:val="0"/>
                    <w:keepLines w:val="0"/>
                    <w:suppressLineNumbers w:val="0"/>
                    <w:bidi w:val="0"/>
                    <w:spacing w:before="0" w:beforeAutospacing="0" w:after="0" w:afterAutospacing="0"/>
                    <w:ind w:left="0" w:right="0"/>
                    <w:rPr>
                      <w:rFonts w:hint="default"/>
                    </w:rPr>
                  </w:pPr>
                  <w:r>
                    <w:rPr>
                      <w:rFonts w:hint="default"/>
                      <w:lang w:val="en-US" w:eastAsia="zh-CN"/>
                    </w:rPr>
                    <w:t>8</w:t>
                  </w:r>
                </w:p>
              </w:tc>
              <w:tc>
                <w:tcPr>
                  <w:tcW w:w="498" w:type="dxa"/>
                  <w:shd w:val="clear" w:color="auto" w:fill="auto"/>
                  <w:vAlign w:val="center"/>
                </w:tcPr>
                <w:p w14:paraId="2E42747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54.6</w:t>
                  </w:r>
                </w:p>
              </w:tc>
              <w:tc>
                <w:tcPr>
                  <w:tcW w:w="460" w:type="dxa"/>
                  <w:shd w:val="clear" w:color="auto" w:fill="auto"/>
                  <w:vAlign w:val="center"/>
                </w:tcPr>
                <w:p w14:paraId="1DA7F7AA">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65.9</w:t>
                  </w:r>
                </w:p>
              </w:tc>
              <w:tc>
                <w:tcPr>
                  <w:tcW w:w="498" w:type="dxa"/>
                  <w:shd w:val="clear" w:color="auto" w:fill="auto"/>
                  <w:vAlign w:val="center"/>
                </w:tcPr>
                <w:p w14:paraId="06C08ECB">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62.1</w:t>
                  </w:r>
                </w:p>
              </w:tc>
              <w:tc>
                <w:tcPr>
                  <w:tcW w:w="498" w:type="dxa"/>
                  <w:shd w:val="clear" w:color="auto" w:fill="auto"/>
                  <w:vAlign w:val="center"/>
                </w:tcPr>
                <w:p w14:paraId="487AFA4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66.9</w:t>
                  </w:r>
                </w:p>
              </w:tc>
              <w:tc>
                <w:tcPr>
                  <w:tcW w:w="357" w:type="dxa"/>
                  <w:vMerge w:val="continue"/>
                  <w:shd w:val="clear" w:color="auto" w:fill="auto"/>
                  <w:vAlign w:val="center"/>
                </w:tcPr>
                <w:p w14:paraId="74D54701">
                  <w:pPr>
                    <w:pStyle w:val="61"/>
                    <w:keepNext w:val="0"/>
                    <w:keepLines w:val="0"/>
                    <w:suppressLineNumbers w:val="0"/>
                    <w:bidi w:val="0"/>
                    <w:spacing w:before="0" w:beforeAutospacing="0" w:after="0" w:afterAutospacing="0"/>
                    <w:ind w:left="0" w:right="0"/>
                    <w:rPr>
                      <w:rFonts w:hint="eastAsia"/>
                    </w:rPr>
                  </w:pPr>
                </w:p>
              </w:tc>
              <w:tc>
                <w:tcPr>
                  <w:tcW w:w="532" w:type="dxa"/>
                  <w:shd w:val="clear" w:color="auto" w:fill="auto"/>
                  <w:vAlign w:val="center"/>
                </w:tcPr>
                <w:p w14:paraId="0B99AE7F">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15</w:t>
                  </w:r>
                </w:p>
              </w:tc>
              <w:tc>
                <w:tcPr>
                  <w:tcW w:w="510" w:type="dxa"/>
                  <w:shd w:val="clear" w:color="auto" w:fill="auto"/>
                  <w:vAlign w:val="center"/>
                </w:tcPr>
                <w:p w14:paraId="013FBF1A">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39.6</w:t>
                  </w:r>
                </w:p>
              </w:tc>
              <w:tc>
                <w:tcPr>
                  <w:tcW w:w="480" w:type="dxa"/>
                  <w:shd w:val="clear" w:color="auto" w:fill="auto"/>
                  <w:vAlign w:val="center"/>
                </w:tcPr>
                <w:p w14:paraId="289CAEE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50.9</w:t>
                  </w:r>
                </w:p>
              </w:tc>
              <w:tc>
                <w:tcPr>
                  <w:tcW w:w="510" w:type="dxa"/>
                  <w:shd w:val="clear" w:color="auto" w:fill="auto"/>
                  <w:vAlign w:val="center"/>
                </w:tcPr>
                <w:p w14:paraId="6B3C61A2">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47.1</w:t>
                  </w:r>
                </w:p>
              </w:tc>
              <w:tc>
                <w:tcPr>
                  <w:tcW w:w="435" w:type="dxa"/>
                  <w:shd w:val="clear" w:color="auto" w:fill="auto"/>
                  <w:vAlign w:val="center"/>
                </w:tcPr>
                <w:p w14:paraId="4C4A947F">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51.9</w:t>
                  </w:r>
                </w:p>
              </w:tc>
              <w:tc>
                <w:tcPr>
                  <w:tcW w:w="550" w:type="dxa"/>
                  <w:shd w:val="clear" w:color="auto" w:fill="auto"/>
                  <w:vAlign w:val="center"/>
                </w:tcPr>
                <w:p w14:paraId="4F4B2FF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r>
            <w:tr w14:paraId="114563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23" w:hRule="atLeast"/>
                <w:jc w:val="center"/>
              </w:trPr>
              <w:tc>
                <w:tcPr>
                  <w:tcW w:w="311" w:type="dxa"/>
                  <w:shd w:val="clear" w:color="auto" w:fill="auto"/>
                  <w:vAlign w:val="center"/>
                </w:tcPr>
                <w:p w14:paraId="1FF77619">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11</w:t>
                  </w:r>
                </w:p>
              </w:tc>
              <w:tc>
                <w:tcPr>
                  <w:tcW w:w="268" w:type="dxa"/>
                  <w:vMerge w:val="continue"/>
                  <w:shd w:val="clear" w:color="auto" w:fill="auto"/>
                  <w:vAlign w:val="center"/>
                </w:tcPr>
                <w:p w14:paraId="0580454A">
                  <w:pPr>
                    <w:pStyle w:val="61"/>
                    <w:keepNext w:val="0"/>
                    <w:keepLines w:val="0"/>
                    <w:suppressLineNumbers w:val="0"/>
                    <w:bidi w:val="0"/>
                    <w:spacing w:before="0" w:beforeAutospacing="0" w:after="0" w:afterAutospacing="0"/>
                    <w:ind w:left="0" w:right="0"/>
                    <w:rPr>
                      <w:rFonts w:hint="eastAsia"/>
                    </w:rPr>
                  </w:pPr>
                </w:p>
              </w:tc>
              <w:tc>
                <w:tcPr>
                  <w:tcW w:w="1575" w:type="dxa"/>
                  <w:shd w:val="clear" w:color="auto" w:fill="auto"/>
                  <w:noWrap/>
                  <w:vAlign w:val="center"/>
                </w:tcPr>
                <w:p w14:paraId="4380167D">
                  <w:pPr>
                    <w:pStyle w:val="61"/>
                    <w:keepNext w:val="0"/>
                    <w:keepLines w:val="0"/>
                    <w:suppressLineNumbers w:val="0"/>
                    <w:bidi w:val="0"/>
                    <w:spacing w:before="0" w:beforeAutospacing="0" w:after="0" w:afterAutospacing="0"/>
                    <w:ind w:left="0" w:right="0"/>
                    <w:rPr>
                      <w:rFonts w:hint="default"/>
                    </w:rPr>
                  </w:pPr>
                  <w:r>
                    <w:rPr>
                      <w:rFonts w:hint="default"/>
                      <w:lang w:val="en-US" w:eastAsia="zh-CN"/>
                    </w:rPr>
                    <w:t>破碎机2</w:t>
                  </w:r>
                </w:p>
              </w:tc>
              <w:tc>
                <w:tcPr>
                  <w:tcW w:w="636" w:type="dxa"/>
                  <w:shd w:val="clear" w:color="auto" w:fill="auto"/>
                  <w:noWrap/>
                  <w:vAlign w:val="center"/>
                </w:tcPr>
                <w:p w14:paraId="68760749">
                  <w:pPr>
                    <w:pStyle w:val="61"/>
                    <w:keepNext w:val="0"/>
                    <w:keepLines w:val="0"/>
                    <w:suppressLineNumbers w:val="0"/>
                    <w:bidi w:val="0"/>
                    <w:spacing w:before="0" w:beforeAutospacing="0" w:after="0" w:afterAutospacing="0"/>
                    <w:ind w:left="0" w:right="0"/>
                    <w:rPr>
                      <w:rFonts w:hint="default"/>
                    </w:rPr>
                  </w:pPr>
                  <w:r>
                    <w:rPr>
                      <w:rFonts w:hint="default"/>
                      <w:lang w:val="en-US" w:eastAsia="zh-CN"/>
                    </w:rPr>
                    <w:t>85</w:t>
                  </w:r>
                </w:p>
              </w:tc>
              <w:tc>
                <w:tcPr>
                  <w:tcW w:w="312" w:type="dxa"/>
                  <w:shd w:val="clear" w:color="auto" w:fill="auto"/>
                  <w:vAlign w:val="center"/>
                </w:tcPr>
                <w:p w14:paraId="7702ABE8">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99" w:type="dxa"/>
                  <w:vMerge w:val="continue"/>
                  <w:shd w:val="clear" w:color="auto" w:fill="auto"/>
                  <w:vAlign w:val="center"/>
                </w:tcPr>
                <w:p w14:paraId="1348C025">
                  <w:pPr>
                    <w:pStyle w:val="61"/>
                    <w:keepNext w:val="0"/>
                    <w:keepLines w:val="0"/>
                    <w:suppressLineNumbers w:val="0"/>
                    <w:bidi w:val="0"/>
                    <w:spacing w:before="0" w:beforeAutospacing="0" w:after="0" w:afterAutospacing="0"/>
                    <w:ind w:left="0" w:right="0"/>
                    <w:rPr>
                      <w:rFonts w:hint="eastAsia"/>
                    </w:rPr>
                  </w:pPr>
                </w:p>
              </w:tc>
              <w:tc>
                <w:tcPr>
                  <w:tcW w:w="452" w:type="dxa"/>
                  <w:shd w:val="clear" w:color="auto" w:fill="auto"/>
                  <w:vAlign w:val="center"/>
                </w:tcPr>
                <w:p w14:paraId="00BEBF7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25</w:t>
                  </w:r>
                </w:p>
              </w:tc>
              <w:tc>
                <w:tcPr>
                  <w:tcW w:w="311" w:type="dxa"/>
                  <w:shd w:val="clear" w:color="auto" w:fill="auto"/>
                  <w:vAlign w:val="center"/>
                </w:tcPr>
                <w:p w14:paraId="0CEF5B1B">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40</w:t>
                  </w:r>
                </w:p>
              </w:tc>
              <w:tc>
                <w:tcPr>
                  <w:tcW w:w="358" w:type="dxa"/>
                  <w:shd w:val="clear" w:color="auto" w:fill="auto"/>
                  <w:vAlign w:val="center"/>
                </w:tcPr>
                <w:p w14:paraId="2E85794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52" w:type="dxa"/>
                  <w:shd w:val="clear" w:color="auto" w:fill="auto"/>
                  <w:vAlign w:val="center"/>
                </w:tcPr>
                <w:p w14:paraId="52432B58">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33</w:t>
                  </w:r>
                </w:p>
              </w:tc>
              <w:tc>
                <w:tcPr>
                  <w:tcW w:w="358" w:type="dxa"/>
                  <w:shd w:val="clear" w:color="auto" w:fill="auto"/>
                  <w:vAlign w:val="center"/>
                </w:tcPr>
                <w:p w14:paraId="2844B636">
                  <w:pPr>
                    <w:pStyle w:val="61"/>
                    <w:keepNext w:val="0"/>
                    <w:keepLines w:val="0"/>
                    <w:suppressLineNumbers w:val="0"/>
                    <w:bidi w:val="0"/>
                    <w:spacing w:before="0" w:beforeAutospacing="0" w:after="0" w:afterAutospacing="0"/>
                    <w:ind w:left="0" w:right="0"/>
                    <w:rPr>
                      <w:rFonts w:hint="default"/>
                    </w:rPr>
                  </w:pPr>
                  <w:r>
                    <w:rPr>
                      <w:rFonts w:hint="default"/>
                      <w:lang w:val="en-US" w:eastAsia="zh-CN"/>
                    </w:rPr>
                    <w:t>9</w:t>
                  </w:r>
                </w:p>
              </w:tc>
              <w:tc>
                <w:tcPr>
                  <w:tcW w:w="358" w:type="dxa"/>
                  <w:shd w:val="clear" w:color="auto" w:fill="auto"/>
                  <w:vAlign w:val="center"/>
                </w:tcPr>
                <w:p w14:paraId="0A303F28">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16</w:t>
                  </w:r>
                </w:p>
              </w:tc>
              <w:tc>
                <w:tcPr>
                  <w:tcW w:w="498" w:type="dxa"/>
                  <w:shd w:val="clear" w:color="auto" w:fill="auto"/>
                  <w:vAlign w:val="center"/>
                </w:tcPr>
                <w:p w14:paraId="2B59CA8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w:t>
                  </w:r>
                </w:p>
              </w:tc>
              <w:tc>
                <w:tcPr>
                  <w:tcW w:w="498" w:type="dxa"/>
                  <w:shd w:val="clear" w:color="auto" w:fill="auto"/>
                  <w:vAlign w:val="center"/>
                </w:tcPr>
                <w:p w14:paraId="097FB7D6">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54.6</w:t>
                  </w:r>
                </w:p>
              </w:tc>
              <w:tc>
                <w:tcPr>
                  <w:tcW w:w="460" w:type="dxa"/>
                  <w:shd w:val="clear" w:color="auto" w:fill="auto"/>
                  <w:vAlign w:val="center"/>
                </w:tcPr>
                <w:p w14:paraId="6435BDE8">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65.9</w:t>
                  </w:r>
                </w:p>
              </w:tc>
              <w:tc>
                <w:tcPr>
                  <w:tcW w:w="498" w:type="dxa"/>
                  <w:shd w:val="clear" w:color="auto" w:fill="auto"/>
                  <w:vAlign w:val="center"/>
                </w:tcPr>
                <w:p w14:paraId="663F4186">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60.9</w:t>
                  </w:r>
                </w:p>
              </w:tc>
              <w:tc>
                <w:tcPr>
                  <w:tcW w:w="498" w:type="dxa"/>
                  <w:shd w:val="clear" w:color="auto" w:fill="auto"/>
                  <w:vAlign w:val="center"/>
                </w:tcPr>
                <w:p w14:paraId="162F8744">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69.4</w:t>
                  </w:r>
                </w:p>
              </w:tc>
              <w:tc>
                <w:tcPr>
                  <w:tcW w:w="357" w:type="dxa"/>
                  <w:vMerge w:val="continue"/>
                  <w:shd w:val="clear" w:color="auto" w:fill="auto"/>
                  <w:vAlign w:val="center"/>
                </w:tcPr>
                <w:p w14:paraId="23497EAE">
                  <w:pPr>
                    <w:pStyle w:val="61"/>
                    <w:keepNext w:val="0"/>
                    <w:keepLines w:val="0"/>
                    <w:suppressLineNumbers w:val="0"/>
                    <w:bidi w:val="0"/>
                    <w:spacing w:before="0" w:beforeAutospacing="0" w:after="0" w:afterAutospacing="0"/>
                    <w:ind w:left="0" w:right="0"/>
                    <w:rPr>
                      <w:rFonts w:hint="eastAsia"/>
                    </w:rPr>
                  </w:pPr>
                </w:p>
              </w:tc>
              <w:tc>
                <w:tcPr>
                  <w:tcW w:w="532" w:type="dxa"/>
                  <w:shd w:val="clear" w:color="auto" w:fill="auto"/>
                  <w:vAlign w:val="center"/>
                </w:tcPr>
                <w:p w14:paraId="00E6066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15</w:t>
                  </w:r>
                </w:p>
              </w:tc>
              <w:tc>
                <w:tcPr>
                  <w:tcW w:w="510" w:type="dxa"/>
                  <w:shd w:val="clear" w:color="auto" w:fill="auto"/>
                  <w:vAlign w:val="center"/>
                </w:tcPr>
                <w:p w14:paraId="1B83891B">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39.6</w:t>
                  </w:r>
                </w:p>
              </w:tc>
              <w:tc>
                <w:tcPr>
                  <w:tcW w:w="480" w:type="dxa"/>
                  <w:shd w:val="clear" w:color="auto" w:fill="auto"/>
                  <w:vAlign w:val="center"/>
                </w:tcPr>
                <w:p w14:paraId="4C6F0F0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50.9</w:t>
                  </w:r>
                </w:p>
              </w:tc>
              <w:tc>
                <w:tcPr>
                  <w:tcW w:w="510" w:type="dxa"/>
                  <w:shd w:val="clear" w:color="auto" w:fill="auto"/>
                  <w:vAlign w:val="center"/>
                </w:tcPr>
                <w:p w14:paraId="42153FAF">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45.9</w:t>
                  </w:r>
                </w:p>
              </w:tc>
              <w:tc>
                <w:tcPr>
                  <w:tcW w:w="435" w:type="dxa"/>
                  <w:shd w:val="clear" w:color="auto" w:fill="auto"/>
                  <w:vAlign w:val="center"/>
                </w:tcPr>
                <w:p w14:paraId="7E04273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54.4</w:t>
                  </w:r>
                </w:p>
              </w:tc>
              <w:tc>
                <w:tcPr>
                  <w:tcW w:w="550" w:type="dxa"/>
                  <w:shd w:val="clear" w:color="auto" w:fill="auto"/>
                  <w:vAlign w:val="center"/>
                </w:tcPr>
                <w:p w14:paraId="5E5BAC1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r>
            <w:tr w14:paraId="3E0C1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11" w:type="dxa"/>
                  <w:shd w:val="clear" w:color="auto" w:fill="auto"/>
                  <w:vAlign w:val="center"/>
                </w:tcPr>
                <w:p w14:paraId="4172CB1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12</w:t>
                  </w:r>
                </w:p>
              </w:tc>
              <w:tc>
                <w:tcPr>
                  <w:tcW w:w="268" w:type="dxa"/>
                  <w:vMerge w:val="continue"/>
                  <w:shd w:val="clear" w:color="auto" w:fill="auto"/>
                  <w:vAlign w:val="center"/>
                </w:tcPr>
                <w:p w14:paraId="26530262">
                  <w:pPr>
                    <w:pStyle w:val="61"/>
                    <w:keepNext w:val="0"/>
                    <w:keepLines w:val="0"/>
                    <w:suppressLineNumbers w:val="0"/>
                    <w:bidi w:val="0"/>
                    <w:spacing w:before="0" w:beforeAutospacing="0" w:after="0" w:afterAutospacing="0"/>
                    <w:ind w:left="0" w:right="0"/>
                    <w:rPr>
                      <w:rFonts w:hint="eastAsia"/>
                    </w:rPr>
                  </w:pPr>
                </w:p>
              </w:tc>
              <w:tc>
                <w:tcPr>
                  <w:tcW w:w="1575" w:type="dxa"/>
                  <w:shd w:val="clear" w:color="auto" w:fill="auto"/>
                  <w:noWrap/>
                  <w:vAlign w:val="center"/>
                </w:tcPr>
                <w:p w14:paraId="1A9475A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水泵</w:t>
                  </w:r>
                </w:p>
              </w:tc>
              <w:tc>
                <w:tcPr>
                  <w:tcW w:w="636" w:type="dxa"/>
                  <w:shd w:val="clear" w:color="auto" w:fill="auto"/>
                  <w:noWrap/>
                  <w:vAlign w:val="center"/>
                </w:tcPr>
                <w:p w14:paraId="415C17D9">
                  <w:pPr>
                    <w:pStyle w:val="61"/>
                    <w:keepNext w:val="0"/>
                    <w:keepLines w:val="0"/>
                    <w:suppressLineNumbers w:val="0"/>
                    <w:bidi w:val="0"/>
                    <w:spacing w:before="0" w:beforeAutospacing="0" w:after="0" w:afterAutospacing="0"/>
                    <w:ind w:left="0" w:right="0"/>
                    <w:rPr>
                      <w:rFonts w:hint="default"/>
                    </w:rPr>
                  </w:pPr>
                  <w:r>
                    <w:rPr>
                      <w:rFonts w:hint="default"/>
                      <w:lang w:val="en-US" w:eastAsia="zh-CN"/>
                    </w:rPr>
                    <w:t>75</w:t>
                  </w:r>
                </w:p>
              </w:tc>
              <w:tc>
                <w:tcPr>
                  <w:tcW w:w="312" w:type="dxa"/>
                  <w:shd w:val="clear" w:color="auto" w:fill="auto"/>
                  <w:vAlign w:val="center"/>
                </w:tcPr>
                <w:p w14:paraId="2872664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99" w:type="dxa"/>
                  <w:vMerge w:val="continue"/>
                  <w:shd w:val="clear" w:color="auto" w:fill="auto"/>
                  <w:vAlign w:val="center"/>
                </w:tcPr>
                <w:p w14:paraId="11E9D1F2">
                  <w:pPr>
                    <w:pStyle w:val="61"/>
                    <w:keepNext w:val="0"/>
                    <w:keepLines w:val="0"/>
                    <w:suppressLineNumbers w:val="0"/>
                    <w:bidi w:val="0"/>
                    <w:spacing w:before="0" w:beforeAutospacing="0" w:after="0" w:afterAutospacing="0"/>
                    <w:ind w:left="0" w:right="0"/>
                    <w:rPr>
                      <w:rFonts w:hint="eastAsia"/>
                    </w:rPr>
                  </w:pPr>
                </w:p>
              </w:tc>
              <w:tc>
                <w:tcPr>
                  <w:tcW w:w="452" w:type="dxa"/>
                  <w:shd w:val="clear" w:color="auto" w:fill="auto"/>
                  <w:vAlign w:val="center"/>
                </w:tcPr>
                <w:p w14:paraId="13EE872E">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25</w:t>
                  </w:r>
                </w:p>
              </w:tc>
              <w:tc>
                <w:tcPr>
                  <w:tcW w:w="311" w:type="dxa"/>
                  <w:shd w:val="clear" w:color="auto" w:fill="auto"/>
                  <w:vAlign w:val="center"/>
                </w:tcPr>
                <w:p w14:paraId="27C3082D">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35</w:t>
                  </w:r>
                </w:p>
              </w:tc>
              <w:tc>
                <w:tcPr>
                  <w:tcW w:w="358" w:type="dxa"/>
                  <w:shd w:val="clear" w:color="auto" w:fill="auto"/>
                  <w:vAlign w:val="center"/>
                </w:tcPr>
                <w:p w14:paraId="2D9A239F">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52" w:type="dxa"/>
                  <w:shd w:val="clear" w:color="auto" w:fill="auto"/>
                  <w:vAlign w:val="center"/>
                </w:tcPr>
                <w:p w14:paraId="5789449E">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25</w:t>
                  </w:r>
                </w:p>
              </w:tc>
              <w:tc>
                <w:tcPr>
                  <w:tcW w:w="358" w:type="dxa"/>
                  <w:shd w:val="clear" w:color="auto" w:fill="auto"/>
                  <w:vAlign w:val="center"/>
                </w:tcPr>
                <w:p w14:paraId="44D0DA09">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17</w:t>
                  </w:r>
                </w:p>
              </w:tc>
              <w:tc>
                <w:tcPr>
                  <w:tcW w:w="358" w:type="dxa"/>
                  <w:shd w:val="clear" w:color="auto" w:fill="auto"/>
                  <w:vAlign w:val="center"/>
                </w:tcPr>
                <w:p w14:paraId="10D4600B">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2.5</w:t>
                  </w:r>
                </w:p>
              </w:tc>
              <w:tc>
                <w:tcPr>
                  <w:tcW w:w="498" w:type="dxa"/>
                  <w:shd w:val="clear" w:color="auto" w:fill="auto"/>
                  <w:vAlign w:val="center"/>
                </w:tcPr>
                <w:p w14:paraId="7D8C5302">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19.5</w:t>
                  </w:r>
                </w:p>
              </w:tc>
              <w:tc>
                <w:tcPr>
                  <w:tcW w:w="498" w:type="dxa"/>
                  <w:shd w:val="clear" w:color="auto" w:fill="auto"/>
                  <w:vAlign w:val="center"/>
                </w:tcPr>
                <w:p w14:paraId="50F0911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47.0</w:t>
                  </w:r>
                </w:p>
              </w:tc>
              <w:tc>
                <w:tcPr>
                  <w:tcW w:w="460" w:type="dxa"/>
                  <w:shd w:val="clear" w:color="auto" w:fill="auto"/>
                  <w:vAlign w:val="center"/>
                </w:tcPr>
                <w:p w14:paraId="2697BE6E">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50.4</w:t>
                  </w:r>
                </w:p>
              </w:tc>
              <w:tc>
                <w:tcPr>
                  <w:tcW w:w="498" w:type="dxa"/>
                  <w:shd w:val="clear" w:color="auto" w:fill="auto"/>
                  <w:vAlign w:val="center"/>
                </w:tcPr>
                <w:p w14:paraId="58C77A7D">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67.0</w:t>
                  </w:r>
                </w:p>
              </w:tc>
              <w:tc>
                <w:tcPr>
                  <w:tcW w:w="498" w:type="dxa"/>
                  <w:shd w:val="clear" w:color="auto" w:fill="auto"/>
                  <w:vAlign w:val="center"/>
                </w:tcPr>
                <w:p w14:paraId="3CDC4C0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49.2</w:t>
                  </w:r>
                </w:p>
              </w:tc>
              <w:tc>
                <w:tcPr>
                  <w:tcW w:w="357" w:type="dxa"/>
                  <w:vMerge w:val="continue"/>
                  <w:shd w:val="clear" w:color="auto" w:fill="auto"/>
                  <w:vAlign w:val="center"/>
                </w:tcPr>
                <w:p w14:paraId="7785528D">
                  <w:pPr>
                    <w:pStyle w:val="61"/>
                    <w:keepNext w:val="0"/>
                    <w:keepLines w:val="0"/>
                    <w:suppressLineNumbers w:val="0"/>
                    <w:bidi w:val="0"/>
                    <w:spacing w:before="0" w:beforeAutospacing="0" w:after="0" w:afterAutospacing="0"/>
                    <w:ind w:left="0" w:right="0"/>
                    <w:rPr>
                      <w:rFonts w:hint="eastAsia"/>
                    </w:rPr>
                  </w:pPr>
                </w:p>
              </w:tc>
              <w:tc>
                <w:tcPr>
                  <w:tcW w:w="532" w:type="dxa"/>
                  <w:shd w:val="clear" w:color="auto" w:fill="auto"/>
                  <w:vAlign w:val="center"/>
                </w:tcPr>
                <w:p w14:paraId="1BFBDD7D">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15</w:t>
                  </w:r>
                </w:p>
              </w:tc>
              <w:tc>
                <w:tcPr>
                  <w:tcW w:w="510" w:type="dxa"/>
                  <w:shd w:val="clear" w:color="auto" w:fill="auto"/>
                  <w:vAlign w:val="center"/>
                </w:tcPr>
                <w:p w14:paraId="795A2C92">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32.0</w:t>
                  </w:r>
                </w:p>
              </w:tc>
              <w:tc>
                <w:tcPr>
                  <w:tcW w:w="480" w:type="dxa"/>
                  <w:shd w:val="clear" w:color="auto" w:fill="auto"/>
                  <w:vAlign w:val="center"/>
                </w:tcPr>
                <w:p w14:paraId="59491E3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35.4</w:t>
                  </w:r>
                </w:p>
              </w:tc>
              <w:tc>
                <w:tcPr>
                  <w:tcW w:w="510" w:type="dxa"/>
                  <w:shd w:val="clear" w:color="auto" w:fill="auto"/>
                  <w:vAlign w:val="center"/>
                </w:tcPr>
                <w:p w14:paraId="3AB71BF2">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52.0</w:t>
                  </w:r>
                </w:p>
              </w:tc>
              <w:tc>
                <w:tcPr>
                  <w:tcW w:w="435" w:type="dxa"/>
                  <w:shd w:val="clear" w:color="auto" w:fill="auto"/>
                  <w:vAlign w:val="center"/>
                </w:tcPr>
                <w:p w14:paraId="51DA1F37">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34.2</w:t>
                  </w:r>
                </w:p>
              </w:tc>
              <w:tc>
                <w:tcPr>
                  <w:tcW w:w="550" w:type="dxa"/>
                  <w:shd w:val="clear" w:color="auto" w:fill="auto"/>
                  <w:vAlign w:val="center"/>
                </w:tcPr>
                <w:p w14:paraId="4E5B837D">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r>
            <w:tr w14:paraId="1F5CA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11" w:type="dxa"/>
                  <w:shd w:val="clear" w:color="auto" w:fill="auto"/>
                  <w:vAlign w:val="center"/>
                </w:tcPr>
                <w:p w14:paraId="5DB6E22A">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13</w:t>
                  </w:r>
                </w:p>
              </w:tc>
              <w:tc>
                <w:tcPr>
                  <w:tcW w:w="268" w:type="dxa"/>
                  <w:vMerge w:val="continue"/>
                  <w:shd w:val="clear" w:color="auto" w:fill="auto"/>
                  <w:vAlign w:val="center"/>
                </w:tcPr>
                <w:p w14:paraId="0179C916">
                  <w:pPr>
                    <w:pStyle w:val="61"/>
                    <w:keepNext w:val="0"/>
                    <w:keepLines w:val="0"/>
                    <w:suppressLineNumbers w:val="0"/>
                    <w:bidi w:val="0"/>
                    <w:spacing w:before="0" w:beforeAutospacing="0" w:after="0" w:afterAutospacing="0"/>
                    <w:ind w:left="0" w:right="0"/>
                    <w:rPr>
                      <w:rFonts w:hint="eastAsia"/>
                    </w:rPr>
                  </w:pPr>
                </w:p>
              </w:tc>
              <w:tc>
                <w:tcPr>
                  <w:tcW w:w="1575" w:type="dxa"/>
                  <w:shd w:val="clear" w:color="auto" w:fill="auto"/>
                  <w:noWrap/>
                  <w:vAlign w:val="center"/>
                </w:tcPr>
                <w:p w14:paraId="7F07AABA">
                  <w:pPr>
                    <w:pStyle w:val="61"/>
                    <w:keepNext w:val="0"/>
                    <w:keepLines w:val="0"/>
                    <w:suppressLineNumbers w:val="0"/>
                    <w:bidi w:val="0"/>
                    <w:spacing w:before="0" w:beforeAutospacing="0" w:after="0" w:afterAutospacing="0"/>
                    <w:ind w:left="0" w:right="0"/>
                    <w:rPr>
                      <w:rFonts w:hint="default"/>
                    </w:rPr>
                  </w:pPr>
                  <w:r>
                    <w:rPr>
                      <w:rFonts w:hint="default"/>
                      <w:lang w:val="en-US" w:eastAsia="zh-CN"/>
                    </w:rPr>
                    <w:t>扒胎机</w:t>
                  </w:r>
                </w:p>
              </w:tc>
              <w:tc>
                <w:tcPr>
                  <w:tcW w:w="636" w:type="dxa"/>
                  <w:shd w:val="clear" w:color="auto" w:fill="auto"/>
                  <w:noWrap/>
                  <w:vAlign w:val="center"/>
                </w:tcPr>
                <w:p w14:paraId="1735F4E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76</w:t>
                  </w:r>
                </w:p>
              </w:tc>
              <w:tc>
                <w:tcPr>
                  <w:tcW w:w="312" w:type="dxa"/>
                  <w:shd w:val="clear" w:color="auto" w:fill="auto"/>
                  <w:vAlign w:val="center"/>
                </w:tcPr>
                <w:p w14:paraId="7B4D56C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w:t>
                  </w:r>
                </w:p>
              </w:tc>
              <w:tc>
                <w:tcPr>
                  <w:tcW w:w="499" w:type="dxa"/>
                  <w:vMerge w:val="continue"/>
                  <w:shd w:val="clear" w:color="auto" w:fill="auto"/>
                  <w:vAlign w:val="center"/>
                </w:tcPr>
                <w:p w14:paraId="74BDC642">
                  <w:pPr>
                    <w:pStyle w:val="61"/>
                    <w:keepNext w:val="0"/>
                    <w:keepLines w:val="0"/>
                    <w:suppressLineNumbers w:val="0"/>
                    <w:bidi w:val="0"/>
                    <w:spacing w:before="0" w:beforeAutospacing="0" w:after="0" w:afterAutospacing="0"/>
                    <w:ind w:left="0" w:right="0"/>
                    <w:rPr>
                      <w:rFonts w:hint="eastAsia"/>
                    </w:rPr>
                  </w:pPr>
                </w:p>
              </w:tc>
              <w:tc>
                <w:tcPr>
                  <w:tcW w:w="452" w:type="dxa"/>
                  <w:shd w:val="clear" w:color="auto" w:fill="auto"/>
                  <w:vAlign w:val="center"/>
                </w:tcPr>
                <w:p w14:paraId="27D6688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28</w:t>
                  </w:r>
                </w:p>
              </w:tc>
              <w:tc>
                <w:tcPr>
                  <w:tcW w:w="311" w:type="dxa"/>
                  <w:shd w:val="clear" w:color="auto" w:fill="auto"/>
                  <w:vAlign w:val="center"/>
                </w:tcPr>
                <w:p w14:paraId="6A05AE6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50</w:t>
                  </w:r>
                </w:p>
              </w:tc>
              <w:tc>
                <w:tcPr>
                  <w:tcW w:w="358" w:type="dxa"/>
                  <w:shd w:val="clear" w:color="auto" w:fill="auto"/>
                  <w:vAlign w:val="center"/>
                </w:tcPr>
                <w:p w14:paraId="1C6558A7">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52" w:type="dxa"/>
                  <w:shd w:val="clear" w:color="auto" w:fill="auto"/>
                  <w:vAlign w:val="center"/>
                </w:tcPr>
                <w:p w14:paraId="4D64F184">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23</w:t>
                  </w:r>
                </w:p>
              </w:tc>
              <w:tc>
                <w:tcPr>
                  <w:tcW w:w="358" w:type="dxa"/>
                  <w:shd w:val="clear" w:color="auto" w:fill="auto"/>
                  <w:vAlign w:val="center"/>
                </w:tcPr>
                <w:p w14:paraId="00DCA4D4">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19</w:t>
                  </w:r>
                </w:p>
              </w:tc>
              <w:tc>
                <w:tcPr>
                  <w:tcW w:w="358" w:type="dxa"/>
                  <w:shd w:val="clear" w:color="auto" w:fill="auto"/>
                  <w:vAlign w:val="center"/>
                </w:tcPr>
                <w:p w14:paraId="4835EECA">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16</w:t>
                  </w:r>
                </w:p>
              </w:tc>
              <w:tc>
                <w:tcPr>
                  <w:tcW w:w="498" w:type="dxa"/>
                  <w:shd w:val="clear" w:color="auto" w:fill="auto"/>
                  <w:vAlign w:val="center"/>
                </w:tcPr>
                <w:p w14:paraId="4613C1F0">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w:t>
                  </w:r>
                </w:p>
              </w:tc>
              <w:tc>
                <w:tcPr>
                  <w:tcW w:w="498" w:type="dxa"/>
                  <w:shd w:val="clear" w:color="auto" w:fill="auto"/>
                  <w:vAlign w:val="center"/>
                </w:tcPr>
                <w:p w14:paraId="2E0BFA77">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48.8</w:t>
                  </w:r>
                </w:p>
              </w:tc>
              <w:tc>
                <w:tcPr>
                  <w:tcW w:w="460" w:type="dxa"/>
                  <w:shd w:val="clear" w:color="auto" w:fill="auto"/>
                  <w:vAlign w:val="center"/>
                </w:tcPr>
                <w:p w14:paraId="580AA0CE">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50.4</w:t>
                  </w:r>
                </w:p>
              </w:tc>
              <w:tc>
                <w:tcPr>
                  <w:tcW w:w="498" w:type="dxa"/>
                  <w:shd w:val="clear" w:color="auto" w:fill="auto"/>
                  <w:vAlign w:val="center"/>
                </w:tcPr>
                <w:p w14:paraId="45413BC5">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51.9</w:t>
                  </w:r>
                </w:p>
              </w:tc>
              <w:tc>
                <w:tcPr>
                  <w:tcW w:w="498" w:type="dxa"/>
                  <w:shd w:val="clear" w:color="auto" w:fill="auto"/>
                  <w:vAlign w:val="center"/>
                </w:tcPr>
                <w:p w14:paraId="6AE00944">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60.4</w:t>
                  </w:r>
                </w:p>
              </w:tc>
              <w:tc>
                <w:tcPr>
                  <w:tcW w:w="357" w:type="dxa"/>
                  <w:vMerge w:val="continue"/>
                  <w:shd w:val="clear" w:color="auto" w:fill="auto"/>
                  <w:vAlign w:val="center"/>
                </w:tcPr>
                <w:p w14:paraId="2553D1DC">
                  <w:pPr>
                    <w:pStyle w:val="61"/>
                    <w:keepNext w:val="0"/>
                    <w:keepLines w:val="0"/>
                    <w:suppressLineNumbers w:val="0"/>
                    <w:bidi w:val="0"/>
                    <w:spacing w:before="0" w:beforeAutospacing="0" w:after="0" w:afterAutospacing="0"/>
                    <w:ind w:left="0" w:right="0"/>
                    <w:rPr>
                      <w:rFonts w:hint="eastAsia"/>
                    </w:rPr>
                  </w:pPr>
                </w:p>
              </w:tc>
              <w:tc>
                <w:tcPr>
                  <w:tcW w:w="532" w:type="dxa"/>
                  <w:shd w:val="clear" w:color="auto" w:fill="auto"/>
                  <w:vAlign w:val="center"/>
                </w:tcPr>
                <w:p w14:paraId="66C5313F">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15</w:t>
                  </w:r>
                </w:p>
              </w:tc>
              <w:tc>
                <w:tcPr>
                  <w:tcW w:w="510" w:type="dxa"/>
                  <w:shd w:val="clear" w:color="auto" w:fill="auto"/>
                  <w:vAlign w:val="center"/>
                </w:tcPr>
                <w:p w14:paraId="792F131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33.8</w:t>
                  </w:r>
                </w:p>
              </w:tc>
              <w:tc>
                <w:tcPr>
                  <w:tcW w:w="480" w:type="dxa"/>
                  <w:shd w:val="clear" w:color="auto" w:fill="auto"/>
                  <w:vAlign w:val="center"/>
                </w:tcPr>
                <w:p w14:paraId="333A1728">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35.4</w:t>
                  </w:r>
                </w:p>
              </w:tc>
              <w:tc>
                <w:tcPr>
                  <w:tcW w:w="510" w:type="dxa"/>
                  <w:shd w:val="clear" w:color="auto" w:fill="auto"/>
                  <w:vAlign w:val="center"/>
                </w:tcPr>
                <w:p w14:paraId="207C6877">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36.9</w:t>
                  </w:r>
                </w:p>
              </w:tc>
              <w:tc>
                <w:tcPr>
                  <w:tcW w:w="435" w:type="dxa"/>
                  <w:shd w:val="clear" w:color="auto" w:fill="auto"/>
                  <w:vAlign w:val="center"/>
                </w:tcPr>
                <w:p w14:paraId="5024E16B">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45.4</w:t>
                  </w:r>
                </w:p>
              </w:tc>
              <w:tc>
                <w:tcPr>
                  <w:tcW w:w="550" w:type="dxa"/>
                  <w:shd w:val="clear" w:color="auto" w:fill="auto"/>
                  <w:vAlign w:val="center"/>
                </w:tcPr>
                <w:p w14:paraId="6330CA8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r>
            <w:tr w14:paraId="657BD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23" w:hRule="atLeast"/>
                <w:jc w:val="center"/>
              </w:trPr>
              <w:tc>
                <w:tcPr>
                  <w:tcW w:w="311" w:type="dxa"/>
                  <w:shd w:val="clear" w:color="auto" w:fill="auto"/>
                  <w:vAlign w:val="center"/>
                </w:tcPr>
                <w:p w14:paraId="067090B6">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14</w:t>
                  </w:r>
                </w:p>
              </w:tc>
              <w:tc>
                <w:tcPr>
                  <w:tcW w:w="268" w:type="dxa"/>
                  <w:vMerge w:val="continue"/>
                  <w:shd w:val="clear" w:color="auto" w:fill="auto"/>
                  <w:vAlign w:val="center"/>
                </w:tcPr>
                <w:p w14:paraId="508443EA">
                  <w:pPr>
                    <w:pStyle w:val="61"/>
                    <w:keepNext w:val="0"/>
                    <w:keepLines w:val="0"/>
                    <w:suppressLineNumbers w:val="0"/>
                    <w:bidi w:val="0"/>
                    <w:spacing w:before="0" w:beforeAutospacing="0" w:after="0" w:afterAutospacing="0"/>
                    <w:ind w:left="0" w:right="0"/>
                    <w:rPr>
                      <w:rFonts w:hint="eastAsia"/>
                    </w:rPr>
                  </w:pPr>
                </w:p>
              </w:tc>
              <w:tc>
                <w:tcPr>
                  <w:tcW w:w="1575" w:type="dxa"/>
                  <w:shd w:val="clear" w:color="auto" w:fill="auto"/>
                  <w:noWrap/>
                  <w:vAlign w:val="center"/>
                </w:tcPr>
                <w:p w14:paraId="37EBD9D6">
                  <w:pPr>
                    <w:pStyle w:val="61"/>
                    <w:keepNext w:val="0"/>
                    <w:keepLines w:val="0"/>
                    <w:suppressLineNumbers w:val="0"/>
                    <w:bidi w:val="0"/>
                    <w:spacing w:before="0" w:beforeAutospacing="0" w:after="0" w:afterAutospacing="0"/>
                    <w:ind w:left="0" w:right="0"/>
                    <w:rPr>
                      <w:rFonts w:hint="default"/>
                    </w:rPr>
                  </w:pPr>
                  <w:r>
                    <w:rPr>
                      <w:rFonts w:hint="default"/>
                      <w:lang w:val="en-US" w:eastAsia="zh-CN"/>
                    </w:rPr>
                    <w:t>压滤机</w:t>
                  </w:r>
                </w:p>
              </w:tc>
              <w:tc>
                <w:tcPr>
                  <w:tcW w:w="636" w:type="dxa"/>
                  <w:shd w:val="clear" w:color="auto" w:fill="auto"/>
                  <w:noWrap/>
                  <w:vAlign w:val="center"/>
                </w:tcPr>
                <w:p w14:paraId="57AC3B0D">
                  <w:pPr>
                    <w:pStyle w:val="61"/>
                    <w:keepNext w:val="0"/>
                    <w:keepLines w:val="0"/>
                    <w:suppressLineNumbers w:val="0"/>
                    <w:bidi w:val="0"/>
                    <w:spacing w:before="0" w:beforeAutospacing="0" w:after="0" w:afterAutospacing="0"/>
                    <w:ind w:left="0" w:right="0"/>
                    <w:rPr>
                      <w:rFonts w:hint="default"/>
                    </w:rPr>
                  </w:pPr>
                  <w:r>
                    <w:rPr>
                      <w:rFonts w:hint="default"/>
                      <w:lang w:val="en-US" w:eastAsia="zh-CN"/>
                    </w:rPr>
                    <w:t>85</w:t>
                  </w:r>
                </w:p>
              </w:tc>
              <w:tc>
                <w:tcPr>
                  <w:tcW w:w="312" w:type="dxa"/>
                  <w:shd w:val="clear" w:color="auto" w:fill="auto"/>
                  <w:vAlign w:val="center"/>
                </w:tcPr>
                <w:p w14:paraId="08B8858F">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99" w:type="dxa"/>
                  <w:vMerge w:val="continue"/>
                  <w:shd w:val="clear" w:color="auto" w:fill="auto"/>
                  <w:vAlign w:val="center"/>
                </w:tcPr>
                <w:p w14:paraId="318E461A">
                  <w:pPr>
                    <w:pStyle w:val="61"/>
                    <w:keepNext w:val="0"/>
                    <w:keepLines w:val="0"/>
                    <w:suppressLineNumbers w:val="0"/>
                    <w:bidi w:val="0"/>
                    <w:spacing w:before="0" w:beforeAutospacing="0" w:after="0" w:afterAutospacing="0"/>
                    <w:ind w:left="0" w:right="0"/>
                    <w:rPr>
                      <w:rFonts w:hint="eastAsia"/>
                    </w:rPr>
                  </w:pPr>
                </w:p>
              </w:tc>
              <w:tc>
                <w:tcPr>
                  <w:tcW w:w="452" w:type="dxa"/>
                  <w:shd w:val="clear" w:color="auto" w:fill="auto"/>
                  <w:vAlign w:val="center"/>
                </w:tcPr>
                <w:p w14:paraId="125177BD">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50</w:t>
                  </w:r>
                </w:p>
              </w:tc>
              <w:tc>
                <w:tcPr>
                  <w:tcW w:w="311" w:type="dxa"/>
                  <w:shd w:val="clear" w:color="auto" w:fill="auto"/>
                  <w:vAlign w:val="center"/>
                </w:tcPr>
                <w:p w14:paraId="70A68775">
                  <w:pPr>
                    <w:pStyle w:val="61"/>
                    <w:keepNext w:val="0"/>
                    <w:keepLines w:val="0"/>
                    <w:suppressLineNumbers w:val="0"/>
                    <w:bidi w:val="0"/>
                    <w:spacing w:before="0" w:beforeAutospacing="0" w:after="0" w:afterAutospacing="0"/>
                    <w:ind w:left="0" w:right="0"/>
                    <w:rPr>
                      <w:rFonts w:hint="default"/>
                    </w:rPr>
                  </w:pPr>
                  <w:r>
                    <w:rPr>
                      <w:rFonts w:hint="default"/>
                      <w:lang w:val="en-US" w:eastAsia="zh-CN"/>
                    </w:rPr>
                    <w:t>75</w:t>
                  </w:r>
                </w:p>
              </w:tc>
              <w:tc>
                <w:tcPr>
                  <w:tcW w:w="358" w:type="dxa"/>
                  <w:shd w:val="clear" w:color="auto" w:fill="auto"/>
                  <w:vAlign w:val="center"/>
                </w:tcPr>
                <w:p w14:paraId="340C70E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0.5</w:t>
                  </w:r>
                </w:p>
              </w:tc>
              <w:tc>
                <w:tcPr>
                  <w:tcW w:w="452" w:type="dxa"/>
                  <w:shd w:val="clear" w:color="auto" w:fill="auto"/>
                  <w:vAlign w:val="center"/>
                </w:tcPr>
                <w:p w14:paraId="6D497809">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39.5</w:t>
                  </w:r>
                </w:p>
              </w:tc>
              <w:tc>
                <w:tcPr>
                  <w:tcW w:w="358" w:type="dxa"/>
                  <w:shd w:val="clear" w:color="auto" w:fill="auto"/>
                  <w:vAlign w:val="center"/>
                </w:tcPr>
                <w:p w14:paraId="6D55AF57">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2.5</w:t>
                  </w:r>
                </w:p>
              </w:tc>
              <w:tc>
                <w:tcPr>
                  <w:tcW w:w="358" w:type="dxa"/>
                  <w:shd w:val="clear" w:color="auto" w:fill="auto"/>
                  <w:vAlign w:val="center"/>
                </w:tcPr>
                <w:p w14:paraId="5E7C956F">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18</w:t>
                  </w:r>
                </w:p>
              </w:tc>
              <w:tc>
                <w:tcPr>
                  <w:tcW w:w="498" w:type="dxa"/>
                  <w:shd w:val="clear" w:color="auto" w:fill="auto"/>
                  <w:vAlign w:val="center"/>
                </w:tcPr>
                <w:p w14:paraId="455A499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w:t>
                  </w:r>
                </w:p>
              </w:tc>
              <w:tc>
                <w:tcPr>
                  <w:tcW w:w="498" w:type="dxa"/>
                  <w:shd w:val="clear" w:color="auto" w:fill="auto"/>
                  <w:vAlign w:val="center"/>
                </w:tcPr>
                <w:p w14:paraId="42D9B347">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53.1</w:t>
                  </w:r>
                </w:p>
              </w:tc>
              <w:tc>
                <w:tcPr>
                  <w:tcW w:w="460" w:type="dxa"/>
                  <w:shd w:val="clear" w:color="auto" w:fill="auto"/>
                  <w:vAlign w:val="center"/>
                </w:tcPr>
                <w:p w14:paraId="16FDE632">
                  <w:pPr>
                    <w:pStyle w:val="61"/>
                    <w:keepNext w:val="0"/>
                    <w:keepLines w:val="0"/>
                    <w:suppressLineNumbers w:val="0"/>
                    <w:bidi w:val="0"/>
                    <w:spacing w:before="0" w:beforeAutospacing="0" w:after="0" w:afterAutospacing="0"/>
                    <w:ind w:left="0" w:right="0"/>
                    <w:rPr>
                      <w:rFonts w:hint="default"/>
                    </w:rPr>
                  </w:pPr>
                  <w:r>
                    <w:rPr>
                      <w:rFonts w:hint="default"/>
                      <w:lang w:val="en-US" w:eastAsia="zh-CN"/>
                    </w:rPr>
                    <w:t>77.0</w:t>
                  </w:r>
                </w:p>
              </w:tc>
              <w:tc>
                <w:tcPr>
                  <w:tcW w:w="498" w:type="dxa"/>
                  <w:shd w:val="clear" w:color="auto" w:fill="auto"/>
                  <w:vAlign w:val="center"/>
                </w:tcPr>
                <w:p w14:paraId="07C9609B">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59.9</w:t>
                  </w:r>
                </w:p>
              </w:tc>
              <w:tc>
                <w:tcPr>
                  <w:tcW w:w="498" w:type="dxa"/>
                  <w:shd w:val="clear" w:color="auto" w:fill="auto"/>
                  <w:vAlign w:val="center"/>
                </w:tcPr>
                <w:p w14:paraId="271B7649">
                  <w:pPr>
                    <w:pStyle w:val="61"/>
                    <w:keepNext w:val="0"/>
                    <w:keepLines w:val="0"/>
                    <w:suppressLineNumbers w:val="0"/>
                    <w:bidi w:val="0"/>
                    <w:spacing w:before="0" w:beforeAutospacing="0" w:after="0" w:afterAutospacing="0"/>
                    <w:ind w:left="0" w:right="0"/>
                    <w:rPr>
                      <w:rFonts w:hint="default"/>
                    </w:rPr>
                  </w:pPr>
                  <w:r>
                    <w:rPr>
                      <w:rFonts w:hint="default"/>
                      <w:lang w:val="en-US" w:eastAsia="zh-CN"/>
                    </w:rPr>
                    <w:t>73.0</w:t>
                  </w:r>
                </w:p>
              </w:tc>
              <w:tc>
                <w:tcPr>
                  <w:tcW w:w="357" w:type="dxa"/>
                  <w:vMerge w:val="continue"/>
                  <w:shd w:val="clear" w:color="auto" w:fill="auto"/>
                  <w:vAlign w:val="center"/>
                </w:tcPr>
                <w:p w14:paraId="25368807">
                  <w:pPr>
                    <w:pStyle w:val="61"/>
                    <w:keepNext w:val="0"/>
                    <w:keepLines w:val="0"/>
                    <w:suppressLineNumbers w:val="0"/>
                    <w:bidi w:val="0"/>
                    <w:spacing w:before="0" w:beforeAutospacing="0" w:after="0" w:afterAutospacing="0"/>
                    <w:ind w:left="0" w:right="0"/>
                    <w:rPr>
                      <w:rFonts w:hint="eastAsia"/>
                    </w:rPr>
                  </w:pPr>
                </w:p>
              </w:tc>
              <w:tc>
                <w:tcPr>
                  <w:tcW w:w="532" w:type="dxa"/>
                  <w:shd w:val="clear" w:color="auto" w:fill="auto"/>
                  <w:vAlign w:val="center"/>
                </w:tcPr>
                <w:p w14:paraId="3A984766">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15</w:t>
                  </w:r>
                </w:p>
              </w:tc>
              <w:tc>
                <w:tcPr>
                  <w:tcW w:w="510" w:type="dxa"/>
                  <w:shd w:val="clear" w:color="auto" w:fill="auto"/>
                  <w:vAlign w:val="center"/>
                </w:tcPr>
                <w:p w14:paraId="03BA34BA">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38.1</w:t>
                  </w:r>
                </w:p>
              </w:tc>
              <w:tc>
                <w:tcPr>
                  <w:tcW w:w="480" w:type="dxa"/>
                  <w:shd w:val="clear" w:color="auto" w:fill="auto"/>
                  <w:vAlign w:val="center"/>
                </w:tcPr>
                <w:p w14:paraId="643E7D24">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62.0</w:t>
                  </w:r>
                </w:p>
              </w:tc>
              <w:tc>
                <w:tcPr>
                  <w:tcW w:w="510" w:type="dxa"/>
                  <w:shd w:val="clear" w:color="auto" w:fill="auto"/>
                  <w:vAlign w:val="center"/>
                </w:tcPr>
                <w:p w14:paraId="608EAEC7">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44.9</w:t>
                  </w:r>
                </w:p>
              </w:tc>
              <w:tc>
                <w:tcPr>
                  <w:tcW w:w="435" w:type="dxa"/>
                  <w:shd w:val="clear" w:color="auto" w:fill="auto"/>
                  <w:vAlign w:val="center"/>
                </w:tcPr>
                <w:p w14:paraId="6CBF48B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58.0</w:t>
                  </w:r>
                </w:p>
              </w:tc>
              <w:tc>
                <w:tcPr>
                  <w:tcW w:w="550" w:type="dxa"/>
                  <w:shd w:val="clear" w:color="auto" w:fill="auto"/>
                  <w:vAlign w:val="center"/>
                </w:tcPr>
                <w:p w14:paraId="4FE151A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r>
            <w:tr w14:paraId="7C67F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11" w:type="dxa"/>
                  <w:shd w:val="clear" w:color="auto" w:fill="auto"/>
                  <w:vAlign w:val="center"/>
                </w:tcPr>
                <w:p w14:paraId="1FD4CA88">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15</w:t>
                  </w:r>
                </w:p>
              </w:tc>
              <w:tc>
                <w:tcPr>
                  <w:tcW w:w="268" w:type="dxa"/>
                  <w:vMerge w:val="continue"/>
                  <w:shd w:val="clear" w:color="auto" w:fill="auto"/>
                  <w:vAlign w:val="center"/>
                </w:tcPr>
                <w:p w14:paraId="4973ED74">
                  <w:pPr>
                    <w:pStyle w:val="61"/>
                    <w:keepNext w:val="0"/>
                    <w:keepLines w:val="0"/>
                    <w:suppressLineNumbers w:val="0"/>
                    <w:bidi w:val="0"/>
                    <w:spacing w:before="0" w:beforeAutospacing="0" w:after="0" w:afterAutospacing="0"/>
                    <w:ind w:left="0" w:right="0"/>
                    <w:rPr>
                      <w:rFonts w:hint="eastAsia"/>
                    </w:rPr>
                  </w:pPr>
                </w:p>
              </w:tc>
              <w:tc>
                <w:tcPr>
                  <w:tcW w:w="1575" w:type="dxa"/>
                  <w:shd w:val="clear" w:color="auto" w:fill="auto"/>
                  <w:noWrap/>
                  <w:vAlign w:val="center"/>
                </w:tcPr>
                <w:p w14:paraId="3889F6A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空压机</w:t>
                  </w:r>
                </w:p>
              </w:tc>
              <w:tc>
                <w:tcPr>
                  <w:tcW w:w="636" w:type="dxa"/>
                  <w:shd w:val="clear" w:color="auto" w:fill="auto"/>
                  <w:noWrap/>
                  <w:vAlign w:val="center"/>
                </w:tcPr>
                <w:p w14:paraId="0E1FC0B2">
                  <w:pPr>
                    <w:pStyle w:val="61"/>
                    <w:keepNext w:val="0"/>
                    <w:keepLines w:val="0"/>
                    <w:suppressLineNumbers w:val="0"/>
                    <w:bidi w:val="0"/>
                    <w:spacing w:before="0" w:beforeAutospacing="0" w:after="0" w:afterAutospacing="0"/>
                    <w:ind w:left="0" w:right="0"/>
                    <w:rPr>
                      <w:rFonts w:hint="default"/>
                    </w:rPr>
                  </w:pPr>
                  <w:r>
                    <w:rPr>
                      <w:rFonts w:hint="default"/>
                      <w:lang w:val="en-US" w:eastAsia="zh-CN"/>
                    </w:rPr>
                    <w:t>85</w:t>
                  </w:r>
                </w:p>
              </w:tc>
              <w:tc>
                <w:tcPr>
                  <w:tcW w:w="312" w:type="dxa"/>
                  <w:shd w:val="clear" w:color="auto" w:fill="auto"/>
                  <w:vAlign w:val="center"/>
                </w:tcPr>
                <w:p w14:paraId="42A4964F">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99" w:type="dxa"/>
                  <w:vMerge w:val="continue"/>
                  <w:shd w:val="clear" w:color="auto" w:fill="auto"/>
                  <w:vAlign w:val="center"/>
                </w:tcPr>
                <w:p w14:paraId="42A96965">
                  <w:pPr>
                    <w:pStyle w:val="61"/>
                    <w:keepNext w:val="0"/>
                    <w:keepLines w:val="0"/>
                    <w:suppressLineNumbers w:val="0"/>
                    <w:bidi w:val="0"/>
                    <w:spacing w:before="0" w:beforeAutospacing="0" w:after="0" w:afterAutospacing="0"/>
                    <w:ind w:left="0" w:right="0"/>
                    <w:rPr>
                      <w:rFonts w:hint="eastAsia"/>
                    </w:rPr>
                  </w:pPr>
                </w:p>
              </w:tc>
              <w:tc>
                <w:tcPr>
                  <w:tcW w:w="452" w:type="dxa"/>
                  <w:shd w:val="clear" w:color="auto" w:fill="auto"/>
                  <w:vAlign w:val="center"/>
                </w:tcPr>
                <w:p w14:paraId="30DB0E6B">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18</w:t>
                  </w:r>
                </w:p>
              </w:tc>
              <w:tc>
                <w:tcPr>
                  <w:tcW w:w="311" w:type="dxa"/>
                  <w:shd w:val="clear" w:color="auto" w:fill="auto"/>
                  <w:vAlign w:val="center"/>
                </w:tcPr>
                <w:p w14:paraId="32318182">
                  <w:pPr>
                    <w:pStyle w:val="61"/>
                    <w:keepNext w:val="0"/>
                    <w:keepLines w:val="0"/>
                    <w:suppressLineNumbers w:val="0"/>
                    <w:bidi w:val="0"/>
                    <w:spacing w:before="0" w:beforeAutospacing="0" w:after="0" w:afterAutospacing="0"/>
                    <w:ind w:left="0" w:right="0"/>
                    <w:rPr>
                      <w:rFonts w:hint="default"/>
                    </w:rPr>
                  </w:pPr>
                  <w:r>
                    <w:rPr>
                      <w:rFonts w:hint="default"/>
                      <w:lang w:val="en-US" w:eastAsia="zh-CN"/>
                    </w:rPr>
                    <w:t>99</w:t>
                  </w:r>
                </w:p>
              </w:tc>
              <w:tc>
                <w:tcPr>
                  <w:tcW w:w="358" w:type="dxa"/>
                  <w:shd w:val="clear" w:color="auto" w:fill="auto"/>
                  <w:vAlign w:val="center"/>
                </w:tcPr>
                <w:p w14:paraId="35F09C05">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52" w:type="dxa"/>
                  <w:shd w:val="clear" w:color="auto" w:fill="auto"/>
                  <w:vAlign w:val="center"/>
                </w:tcPr>
                <w:p w14:paraId="4A56D80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23</w:t>
                  </w:r>
                </w:p>
              </w:tc>
              <w:tc>
                <w:tcPr>
                  <w:tcW w:w="358" w:type="dxa"/>
                  <w:shd w:val="clear" w:color="auto" w:fill="auto"/>
                  <w:vAlign w:val="center"/>
                </w:tcPr>
                <w:p w14:paraId="4217BE29">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19</w:t>
                  </w:r>
                </w:p>
              </w:tc>
              <w:tc>
                <w:tcPr>
                  <w:tcW w:w="358" w:type="dxa"/>
                  <w:shd w:val="clear" w:color="auto" w:fill="auto"/>
                  <w:vAlign w:val="center"/>
                </w:tcPr>
                <w:p w14:paraId="55A821D2">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16</w:t>
                  </w:r>
                </w:p>
              </w:tc>
              <w:tc>
                <w:tcPr>
                  <w:tcW w:w="498" w:type="dxa"/>
                  <w:shd w:val="clear" w:color="auto" w:fill="auto"/>
                  <w:vAlign w:val="center"/>
                </w:tcPr>
                <w:p w14:paraId="653AD9FD">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w:t>
                  </w:r>
                </w:p>
              </w:tc>
              <w:tc>
                <w:tcPr>
                  <w:tcW w:w="498" w:type="dxa"/>
                  <w:shd w:val="clear" w:color="auto" w:fill="auto"/>
                  <w:vAlign w:val="center"/>
                </w:tcPr>
                <w:p w14:paraId="348DDADB">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57.8</w:t>
                  </w:r>
                </w:p>
              </w:tc>
              <w:tc>
                <w:tcPr>
                  <w:tcW w:w="460" w:type="dxa"/>
                  <w:shd w:val="clear" w:color="auto" w:fill="auto"/>
                  <w:vAlign w:val="center"/>
                </w:tcPr>
                <w:p w14:paraId="299E7248">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59.4</w:t>
                  </w:r>
                </w:p>
              </w:tc>
              <w:tc>
                <w:tcPr>
                  <w:tcW w:w="498" w:type="dxa"/>
                  <w:shd w:val="clear" w:color="auto" w:fill="auto"/>
                  <w:vAlign w:val="center"/>
                </w:tcPr>
                <w:p w14:paraId="32390BF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60.9</w:t>
                  </w:r>
                </w:p>
              </w:tc>
              <w:tc>
                <w:tcPr>
                  <w:tcW w:w="498" w:type="dxa"/>
                  <w:shd w:val="clear" w:color="auto" w:fill="auto"/>
                  <w:vAlign w:val="center"/>
                </w:tcPr>
                <w:p w14:paraId="1EAEF1F6">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69.4</w:t>
                  </w:r>
                </w:p>
              </w:tc>
              <w:tc>
                <w:tcPr>
                  <w:tcW w:w="357" w:type="dxa"/>
                  <w:vMerge w:val="continue"/>
                  <w:shd w:val="clear" w:color="auto" w:fill="auto"/>
                  <w:vAlign w:val="center"/>
                </w:tcPr>
                <w:p w14:paraId="7991CA25">
                  <w:pPr>
                    <w:pStyle w:val="61"/>
                    <w:keepNext w:val="0"/>
                    <w:keepLines w:val="0"/>
                    <w:suppressLineNumbers w:val="0"/>
                    <w:bidi w:val="0"/>
                    <w:spacing w:before="0" w:beforeAutospacing="0" w:after="0" w:afterAutospacing="0"/>
                    <w:ind w:left="0" w:right="0"/>
                    <w:rPr>
                      <w:rFonts w:hint="eastAsia"/>
                    </w:rPr>
                  </w:pPr>
                </w:p>
              </w:tc>
              <w:tc>
                <w:tcPr>
                  <w:tcW w:w="532" w:type="dxa"/>
                  <w:shd w:val="clear" w:color="auto" w:fill="auto"/>
                  <w:vAlign w:val="center"/>
                </w:tcPr>
                <w:p w14:paraId="21F35CD0">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15</w:t>
                  </w:r>
                </w:p>
              </w:tc>
              <w:tc>
                <w:tcPr>
                  <w:tcW w:w="510" w:type="dxa"/>
                  <w:shd w:val="clear" w:color="auto" w:fill="auto"/>
                  <w:vAlign w:val="center"/>
                </w:tcPr>
                <w:p w14:paraId="3FE5ABE0">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42.8</w:t>
                  </w:r>
                </w:p>
              </w:tc>
              <w:tc>
                <w:tcPr>
                  <w:tcW w:w="480" w:type="dxa"/>
                  <w:shd w:val="clear" w:color="auto" w:fill="auto"/>
                  <w:vAlign w:val="center"/>
                </w:tcPr>
                <w:p w14:paraId="521A8B39">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44.4</w:t>
                  </w:r>
                </w:p>
              </w:tc>
              <w:tc>
                <w:tcPr>
                  <w:tcW w:w="510" w:type="dxa"/>
                  <w:shd w:val="clear" w:color="auto" w:fill="auto"/>
                  <w:vAlign w:val="center"/>
                </w:tcPr>
                <w:p w14:paraId="649B5D7E">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45.9</w:t>
                  </w:r>
                </w:p>
              </w:tc>
              <w:tc>
                <w:tcPr>
                  <w:tcW w:w="435" w:type="dxa"/>
                  <w:shd w:val="clear" w:color="auto" w:fill="auto"/>
                  <w:vAlign w:val="center"/>
                </w:tcPr>
                <w:p w14:paraId="164739FE">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54.4</w:t>
                  </w:r>
                </w:p>
              </w:tc>
              <w:tc>
                <w:tcPr>
                  <w:tcW w:w="550" w:type="dxa"/>
                  <w:shd w:val="clear" w:color="auto" w:fill="auto"/>
                  <w:vAlign w:val="center"/>
                </w:tcPr>
                <w:p w14:paraId="5666312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r>
            <w:tr w14:paraId="15F73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0" w:type="dxa"/>
                  <w:bottom w:w="0" w:type="dxa"/>
                  <w:right w:w="0" w:type="dxa"/>
                </w:tblCellMar>
              </w:tblPrEx>
              <w:trPr>
                <w:trHeight w:val="23" w:hRule="atLeast"/>
                <w:jc w:val="center"/>
              </w:trPr>
              <w:tc>
                <w:tcPr>
                  <w:tcW w:w="311" w:type="dxa"/>
                  <w:shd w:val="clear" w:color="auto" w:fill="auto"/>
                  <w:vAlign w:val="center"/>
                </w:tcPr>
                <w:p w14:paraId="07F8D27B">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16</w:t>
                  </w:r>
                </w:p>
              </w:tc>
              <w:tc>
                <w:tcPr>
                  <w:tcW w:w="268" w:type="dxa"/>
                  <w:vMerge w:val="continue"/>
                  <w:shd w:val="clear" w:color="auto" w:fill="auto"/>
                  <w:vAlign w:val="center"/>
                </w:tcPr>
                <w:p w14:paraId="387526D5">
                  <w:pPr>
                    <w:pStyle w:val="61"/>
                    <w:keepNext w:val="0"/>
                    <w:keepLines w:val="0"/>
                    <w:suppressLineNumbers w:val="0"/>
                    <w:bidi w:val="0"/>
                    <w:spacing w:before="0" w:beforeAutospacing="0" w:after="0" w:afterAutospacing="0"/>
                    <w:ind w:left="0" w:right="0"/>
                    <w:rPr>
                      <w:rFonts w:hint="eastAsia"/>
                    </w:rPr>
                  </w:pPr>
                </w:p>
              </w:tc>
              <w:tc>
                <w:tcPr>
                  <w:tcW w:w="1575" w:type="dxa"/>
                  <w:shd w:val="clear" w:color="auto" w:fill="auto"/>
                  <w:noWrap/>
                  <w:vAlign w:val="center"/>
                </w:tcPr>
                <w:p w14:paraId="3B934FCD">
                  <w:pPr>
                    <w:pStyle w:val="61"/>
                    <w:keepNext w:val="0"/>
                    <w:keepLines w:val="0"/>
                    <w:suppressLineNumbers w:val="0"/>
                    <w:bidi w:val="0"/>
                    <w:spacing w:before="0" w:beforeAutospacing="0" w:after="0" w:afterAutospacing="0"/>
                    <w:ind w:left="0" w:right="0"/>
                    <w:rPr>
                      <w:rFonts w:hint="default"/>
                    </w:rPr>
                  </w:pPr>
                  <w:r>
                    <w:rPr>
                      <w:rFonts w:hint="default"/>
                      <w:lang w:val="en-US" w:eastAsia="zh-CN"/>
                    </w:rPr>
                    <w:t>智能放电柜</w:t>
                  </w:r>
                </w:p>
              </w:tc>
              <w:tc>
                <w:tcPr>
                  <w:tcW w:w="636" w:type="dxa"/>
                  <w:shd w:val="clear" w:color="auto" w:fill="auto"/>
                  <w:noWrap/>
                  <w:vAlign w:val="center"/>
                </w:tcPr>
                <w:p w14:paraId="79CBC070">
                  <w:pPr>
                    <w:pStyle w:val="61"/>
                    <w:keepNext w:val="0"/>
                    <w:keepLines w:val="0"/>
                    <w:suppressLineNumbers w:val="0"/>
                    <w:bidi w:val="0"/>
                    <w:spacing w:before="0" w:beforeAutospacing="0" w:after="0" w:afterAutospacing="0"/>
                    <w:ind w:left="0" w:right="0"/>
                    <w:rPr>
                      <w:rFonts w:hint="default"/>
                    </w:rPr>
                  </w:pPr>
                  <w:r>
                    <w:rPr>
                      <w:rFonts w:hint="default"/>
                      <w:lang w:val="en-US" w:eastAsia="zh-CN"/>
                    </w:rPr>
                    <w:t>70</w:t>
                  </w:r>
                </w:p>
              </w:tc>
              <w:tc>
                <w:tcPr>
                  <w:tcW w:w="312" w:type="dxa"/>
                  <w:shd w:val="clear" w:color="auto" w:fill="auto"/>
                  <w:vAlign w:val="center"/>
                </w:tcPr>
                <w:p w14:paraId="3CBC8617">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99" w:type="dxa"/>
                  <w:vMerge w:val="continue"/>
                  <w:shd w:val="clear" w:color="auto" w:fill="auto"/>
                  <w:vAlign w:val="center"/>
                </w:tcPr>
                <w:p w14:paraId="49BDCBEA">
                  <w:pPr>
                    <w:pStyle w:val="61"/>
                    <w:keepNext w:val="0"/>
                    <w:keepLines w:val="0"/>
                    <w:suppressLineNumbers w:val="0"/>
                    <w:bidi w:val="0"/>
                    <w:spacing w:before="0" w:beforeAutospacing="0" w:after="0" w:afterAutospacing="0"/>
                    <w:ind w:left="0" w:right="0"/>
                    <w:rPr>
                      <w:rFonts w:hint="eastAsia"/>
                    </w:rPr>
                  </w:pPr>
                </w:p>
              </w:tc>
              <w:tc>
                <w:tcPr>
                  <w:tcW w:w="452" w:type="dxa"/>
                  <w:shd w:val="clear" w:color="auto" w:fill="auto"/>
                  <w:vAlign w:val="center"/>
                </w:tcPr>
                <w:p w14:paraId="6D139F6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30</w:t>
                  </w:r>
                </w:p>
              </w:tc>
              <w:tc>
                <w:tcPr>
                  <w:tcW w:w="311" w:type="dxa"/>
                  <w:shd w:val="clear" w:color="auto" w:fill="auto"/>
                  <w:vAlign w:val="center"/>
                </w:tcPr>
                <w:p w14:paraId="0C330D6D">
                  <w:pPr>
                    <w:pStyle w:val="61"/>
                    <w:keepNext w:val="0"/>
                    <w:keepLines w:val="0"/>
                    <w:suppressLineNumbers w:val="0"/>
                    <w:bidi w:val="0"/>
                    <w:spacing w:before="0" w:beforeAutospacing="0" w:after="0" w:afterAutospacing="0"/>
                    <w:ind w:left="0" w:right="0"/>
                    <w:rPr>
                      <w:rFonts w:hint="default"/>
                    </w:rPr>
                  </w:pPr>
                  <w:r>
                    <w:rPr>
                      <w:rFonts w:hint="default"/>
                      <w:lang w:val="en-US" w:eastAsia="zh-CN"/>
                    </w:rPr>
                    <w:t>75</w:t>
                  </w:r>
                </w:p>
              </w:tc>
              <w:tc>
                <w:tcPr>
                  <w:tcW w:w="358" w:type="dxa"/>
                  <w:shd w:val="clear" w:color="auto" w:fill="auto"/>
                  <w:vAlign w:val="center"/>
                </w:tcPr>
                <w:p w14:paraId="69F7CDC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52" w:type="dxa"/>
                  <w:shd w:val="clear" w:color="auto" w:fill="auto"/>
                  <w:vAlign w:val="center"/>
                </w:tcPr>
                <w:p w14:paraId="6AE8031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13</w:t>
                  </w:r>
                </w:p>
              </w:tc>
              <w:tc>
                <w:tcPr>
                  <w:tcW w:w="358" w:type="dxa"/>
                  <w:shd w:val="clear" w:color="auto" w:fill="auto"/>
                  <w:vAlign w:val="center"/>
                </w:tcPr>
                <w:p w14:paraId="4F1867D7">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29</w:t>
                  </w:r>
                </w:p>
              </w:tc>
              <w:tc>
                <w:tcPr>
                  <w:tcW w:w="358" w:type="dxa"/>
                  <w:shd w:val="clear" w:color="auto" w:fill="auto"/>
                  <w:vAlign w:val="center"/>
                </w:tcPr>
                <w:p w14:paraId="19819C36">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w:t>
                  </w:r>
                </w:p>
              </w:tc>
              <w:tc>
                <w:tcPr>
                  <w:tcW w:w="498" w:type="dxa"/>
                  <w:shd w:val="clear" w:color="auto" w:fill="auto"/>
                  <w:vAlign w:val="center"/>
                </w:tcPr>
                <w:p w14:paraId="2E13EAA4">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16</w:t>
                  </w:r>
                </w:p>
              </w:tc>
              <w:tc>
                <w:tcPr>
                  <w:tcW w:w="498" w:type="dxa"/>
                  <w:shd w:val="clear" w:color="auto" w:fill="auto"/>
                  <w:vAlign w:val="center"/>
                </w:tcPr>
                <w:p w14:paraId="4815862A">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47.7</w:t>
                  </w:r>
                </w:p>
              </w:tc>
              <w:tc>
                <w:tcPr>
                  <w:tcW w:w="460" w:type="dxa"/>
                  <w:shd w:val="clear" w:color="auto" w:fill="auto"/>
                  <w:vAlign w:val="center"/>
                </w:tcPr>
                <w:p w14:paraId="2FA132B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40.8</w:t>
                  </w:r>
                </w:p>
              </w:tc>
              <w:tc>
                <w:tcPr>
                  <w:tcW w:w="498" w:type="dxa"/>
                  <w:shd w:val="clear" w:color="auto" w:fill="auto"/>
                  <w:vAlign w:val="center"/>
                </w:tcPr>
                <w:p w14:paraId="0204B4B7">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54.4</w:t>
                  </w:r>
                </w:p>
              </w:tc>
              <w:tc>
                <w:tcPr>
                  <w:tcW w:w="498" w:type="dxa"/>
                  <w:shd w:val="clear" w:color="auto" w:fill="auto"/>
                  <w:vAlign w:val="center"/>
                </w:tcPr>
                <w:p w14:paraId="514BAA5E">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45.9</w:t>
                  </w:r>
                </w:p>
              </w:tc>
              <w:tc>
                <w:tcPr>
                  <w:tcW w:w="357" w:type="dxa"/>
                  <w:vMerge w:val="continue"/>
                  <w:shd w:val="clear" w:color="auto" w:fill="auto"/>
                  <w:vAlign w:val="center"/>
                </w:tcPr>
                <w:p w14:paraId="5026D7C5">
                  <w:pPr>
                    <w:pStyle w:val="61"/>
                    <w:keepNext w:val="0"/>
                    <w:keepLines w:val="0"/>
                    <w:suppressLineNumbers w:val="0"/>
                    <w:bidi w:val="0"/>
                    <w:spacing w:before="0" w:beforeAutospacing="0" w:after="0" w:afterAutospacing="0"/>
                    <w:ind w:left="0" w:right="0"/>
                    <w:rPr>
                      <w:rFonts w:hint="eastAsia"/>
                    </w:rPr>
                  </w:pPr>
                </w:p>
              </w:tc>
              <w:tc>
                <w:tcPr>
                  <w:tcW w:w="532" w:type="dxa"/>
                  <w:shd w:val="clear" w:color="auto" w:fill="auto"/>
                  <w:vAlign w:val="center"/>
                </w:tcPr>
                <w:p w14:paraId="1A05AF90">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15</w:t>
                  </w:r>
                </w:p>
              </w:tc>
              <w:tc>
                <w:tcPr>
                  <w:tcW w:w="510" w:type="dxa"/>
                  <w:shd w:val="clear" w:color="auto" w:fill="auto"/>
                  <w:vAlign w:val="center"/>
                </w:tcPr>
                <w:p w14:paraId="538D57C2">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32.7</w:t>
                  </w:r>
                </w:p>
              </w:tc>
              <w:tc>
                <w:tcPr>
                  <w:tcW w:w="480" w:type="dxa"/>
                  <w:shd w:val="clear" w:color="auto" w:fill="auto"/>
                  <w:vAlign w:val="center"/>
                </w:tcPr>
                <w:p w14:paraId="32770DAC">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25.8</w:t>
                  </w:r>
                </w:p>
              </w:tc>
              <w:tc>
                <w:tcPr>
                  <w:tcW w:w="510" w:type="dxa"/>
                  <w:shd w:val="clear" w:color="auto" w:fill="auto"/>
                  <w:vAlign w:val="center"/>
                </w:tcPr>
                <w:p w14:paraId="4394662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39.4</w:t>
                  </w:r>
                </w:p>
              </w:tc>
              <w:tc>
                <w:tcPr>
                  <w:tcW w:w="435" w:type="dxa"/>
                  <w:shd w:val="clear" w:color="auto" w:fill="auto"/>
                  <w:vAlign w:val="center"/>
                </w:tcPr>
                <w:p w14:paraId="7AF70FF6">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30.9</w:t>
                  </w:r>
                </w:p>
              </w:tc>
              <w:tc>
                <w:tcPr>
                  <w:tcW w:w="550" w:type="dxa"/>
                  <w:shd w:val="clear" w:color="auto" w:fill="auto"/>
                  <w:vAlign w:val="center"/>
                </w:tcPr>
                <w:p w14:paraId="1047B7AB">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r>
            <w:tr w14:paraId="409FD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311" w:type="dxa"/>
                  <w:shd w:val="clear" w:color="auto" w:fill="auto"/>
                  <w:vAlign w:val="center"/>
                </w:tcPr>
                <w:p w14:paraId="7994F3CB">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17</w:t>
                  </w:r>
                </w:p>
              </w:tc>
              <w:tc>
                <w:tcPr>
                  <w:tcW w:w="268" w:type="dxa"/>
                  <w:vMerge w:val="continue"/>
                  <w:shd w:val="clear" w:color="auto" w:fill="auto"/>
                  <w:vAlign w:val="center"/>
                </w:tcPr>
                <w:p w14:paraId="6074ABCA">
                  <w:pPr>
                    <w:pStyle w:val="61"/>
                    <w:keepNext w:val="0"/>
                    <w:keepLines w:val="0"/>
                    <w:suppressLineNumbers w:val="0"/>
                    <w:bidi w:val="0"/>
                    <w:spacing w:before="0" w:beforeAutospacing="0" w:after="0" w:afterAutospacing="0"/>
                    <w:ind w:left="0" w:right="0"/>
                    <w:rPr>
                      <w:rFonts w:hint="eastAsia"/>
                    </w:rPr>
                  </w:pPr>
                </w:p>
              </w:tc>
              <w:tc>
                <w:tcPr>
                  <w:tcW w:w="1575" w:type="dxa"/>
                  <w:shd w:val="clear" w:color="auto" w:fill="auto"/>
                  <w:noWrap/>
                  <w:vAlign w:val="center"/>
                </w:tcPr>
                <w:p w14:paraId="30C01498">
                  <w:pPr>
                    <w:pStyle w:val="61"/>
                    <w:keepNext w:val="0"/>
                    <w:keepLines w:val="0"/>
                    <w:suppressLineNumbers w:val="0"/>
                    <w:bidi w:val="0"/>
                    <w:spacing w:before="0" w:beforeAutospacing="0" w:after="0" w:afterAutospacing="0"/>
                    <w:ind w:left="0" w:right="0"/>
                    <w:rPr>
                      <w:rFonts w:hint="default"/>
                    </w:rPr>
                  </w:pPr>
                  <w:r>
                    <w:rPr>
                      <w:rFonts w:hint="default"/>
                      <w:lang w:val="en-US" w:eastAsia="zh-CN"/>
                    </w:rPr>
                    <w:t>风机</w:t>
                  </w:r>
                </w:p>
              </w:tc>
              <w:tc>
                <w:tcPr>
                  <w:tcW w:w="636" w:type="dxa"/>
                  <w:shd w:val="clear" w:color="auto" w:fill="auto"/>
                  <w:noWrap/>
                  <w:vAlign w:val="center"/>
                </w:tcPr>
                <w:p w14:paraId="5BEECD57">
                  <w:pPr>
                    <w:pStyle w:val="61"/>
                    <w:keepNext w:val="0"/>
                    <w:keepLines w:val="0"/>
                    <w:suppressLineNumbers w:val="0"/>
                    <w:bidi w:val="0"/>
                    <w:spacing w:before="0" w:beforeAutospacing="0" w:after="0" w:afterAutospacing="0"/>
                    <w:ind w:left="0" w:right="0"/>
                    <w:rPr>
                      <w:rFonts w:hint="default"/>
                    </w:rPr>
                  </w:pPr>
                  <w:r>
                    <w:rPr>
                      <w:rFonts w:hint="default"/>
                      <w:lang w:val="en-US" w:eastAsia="zh-CN"/>
                    </w:rPr>
                    <w:t>90</w:t>
                  </w:r>
                </w:p>
              </w:tc>
              <w:tc>
                <w:tcPr>
                  <w:tcW w:w="312" w:type="dxa"/>
                  <w:shd w:val="clear" w:color="auto" w:fill="auto"/>
                  <w:vAlign w:val="center"/>
                </w:tcPr>
                <w:p w14:paraId="745A86D9">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99" w:type="dxa"/>
                  <w:vMerge w:val="continue"/>
                  <w:shd w:val="clear" w:color="auto" w:fill="auto"/>
                  <w:vAlign w:val="center"/>
                </w:tcPr>
                <w:p w14:paraId="2EA8AC06">
                  <w:pPr>
                    <w:pStyle w:val="61"/>
                    <w:keepNext w:val="0"/>
                    <w:keepLines w:val="0"/>
                    <w:suppressLineNumbers w:val="0"/>
                    <w:bidi w:val="0"/>
                    <w:spacing w:before="0" w:beforeAutospacing="0" w:after="0" w:afterAutospacing="0"/>
                    <w:ind w:left="0" w:right="0"/>
                    <w:rPr>
                      <w:rFonts w:hint="eastAsia"/>
                    </w:rPr>
                  </w:pPr>
                </w:p>
              </w:tc>
              <w:tc>
                <w:tcPr>
                  <w:tcW w:w="452" w:type="dxa"/>
                  <w:shd w:val="clear" w:color="auto" w:fill="auto"/>
                  <w:vAlign w:val="center"/>
                </w:tcPr>
                <w:p w14:paraId="17DF9A07">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30</w:t>
                  </w:r>
                </w:p>
              </w:tc>
              <w:tc>
                <w:tcPr>
                  <w:tcW w:w="311" w:type="dxa"/>
                  <w:shd w:val="clear" w:color="auto" w:fill="auto"/>
                  <w:vAlign w:val="center"/>
                </w:tcPr>
                <w:p w14:paraId="22E1E3C0">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50</w:t>
                  </w:r>
                </w:p>
              </w:tc>
              <w:tc>
                <w:tcPr>
                  <w:tcW w:w="358" w:type="dxa"/>
                  <w:shd w:val="clear" w:color="auto" w:fill="auto"/>
                  <w:vAlign w:val="center"/>
                </w:tcPr>
                <w:p w14:paraId="5875F246">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c>
                <w:tcPr>
                  <w:tcW w:w="452" w:type="dxa"/>
                  <w:shd w:val="clear" w:color="auto" w:fill="auto"/>
                  <w:vAlign w:val="center"/>
                </w:tcPr>
                <w:p w14:paraId="6AD338A0">
                  <w:pPr>
                    <w:pStyle w:val="61"/>
                    <w:keepNext w:val="0"/>
                    <w:keepLines w:val="0"/>
                    <w:suppressLineNumbers w:val="0"/>
                    <w:bidi w:val="0"/>
                    <w:spacing w:before="0" w:beforeAutospacing="0" w:after="0" w:afterAutospacing="0"/>
                    <w:ind w:left="0" w:right="0"/>
                    <w:rPr>
                      <w:rFonts w:hint="default"/>
                    </w:rPr>
                  </w:pPr>
                  <w:r>
                    <w:rPr>
                      <w:rFonts w:hint="default"/>
                      <w:lang w:val="en-US" w:eastAsia="zh-CN"/>
                    </w:rPr>
                    <w:t>36</w:t>
                  </w:r>
                </w:p>
              </w:tc>
              <w:tc>
                <w:tcPr>
                  <w:tcW w:w="358" w:type="dxa"/>
                  <w:shd w:val="clear" w:color="auto" w:fill="auto"/>
                  <w:vAlign w:val="center"/>
                </w:tcPr>
                <w:p w14:paraId="783C34A0">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w:t>
                  </w:r>
                </w:p>
              </w:tc>
              <w:tc>
                <w:tcPr>
                  <w:tcW w:w="358" w:type="dxa"/>
                  <w:shd w:val="clear" w:color="auto" w:fill="auto"/>
                  <w:vAlign w:val="center"/>
                </w:tcPr>
                <w:p w14:paraId="083023DA">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w:t>
                  </w:r>
                </w:p>
              </w:tc>
              <w:tc>
                <w:tcPr>
                  <w:tcW w:w="498" w:type="dxa"/>
                  <w:shd w:val="clear" w:color="auto" w:fill="auto"/>
                  <w:vAlign w:val="center"/>
                </w:tcPr>
                <w:p w14:paraId="3415EFC8">
                  <w:pPr>
                    <w:pStyle w:val="61"/>
                    <w:keepNext w:val="0"/>
                    <w:keepLines w:val="0"/>
                    <w:suppressLineNumbers w:val="0"/>
                    <w:bidi w:val="0"/>
                    <w:spacing w:before="0" w:beforeAutospacing="0" w:after="0" w:afterAutospacing="0"/>
                    <w:ind w:left="0" w:right="0"/>
                    <w:rPr>
                      <w:rFonts w:hint="default"/>
                    </w:rPr>
                  </w:pPr>
                  <w:r>
                    <w:rPr>
                      <w:rFonts w:hint="default"/>
                      <w:lang w:val="en-US" w:eastAsia="zh-CN"/>
                    </w:rPr>
                    <w:t>20</w:t>
                  </w:r>
                </w:p>
              </w:tc>
              <w:tc>
                <w:tcPr>
                  <w:tcW w:w="498" w:type="dxa"/>
                  <w:shd w:val="clear" w:color="auto" w:fill="auto"/>
                  <w:vAlign w:val="center"/>
                </w:tcPr>
                <w:p w14:paraId="5EE32E75">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58.9</w:t>
                  </w:r>
                </w:p>
              </w:tc>
              <w:tc>
                <w:tcPr>
                  <w:tcW w:w="460" w:type="dxa"/>
                  <w:shd w:val="clear" w:color="auto" w:fill="auto"/>
                  <w:vAlign w:val="center"/>
                </w:tcPr>
                <w:p w14:paraId="1143243F">
                  <w:pPr>
                    <w:pStyle w:val="61"/>
                    <w:keepNext w:val="0"/>
                    <w:keepLines w:val="0"/>
                    <w:suppressLineNumbers w:val="0"/>
                    <w:bidi w:val="0"/>
                    <w:spacing w:before="0" w:beforeAutospacing="0" w:after="0" w:afterAutospacing="0"/>
                    <w:ind w:left="0" w:right="0"/>
                    <w:rPr>
                      <w:rFonts w:hint="default"/>
                    </w:rPr>
                  </w:pPr>
                  <w:r>
                    <w:rPr>
                      <w:rFonts w:hint="default"/>
                      <w:lang w:val="en-US" w:eastAsia="zh-CN"/>
                    </w:rPr>
                    <w:t>74.4</w:t>
                  </w:r>
                </w:p>
              </w:tc>
              <w:tc>
                <w:tcPr>
                  <w:tcW w:w="498" w:type="dxa"/>
                  <w:shd w:val="clear" w:color="auto" w:fill="auto"/>
                  <w:vAlign w:val="center"/>
                </w:tcPr>
                <w:p w14:paraId="117CB6E3">
                  <w:pPr>
                    <w:pStyle w:val="61"/>
                    <w:keepNext w:val="0"/>
                    <w:keepLines w:val="0"/>
                    <w:suppressLineNumbers w:val="0"/>
                    <w:bidi w:val="0"/>
                    <w:spacing w:before="0" w:beforeAutospacing="0" w:after="0" w:afterAutospacing="0"/>
                    <w:ind w:left="0" w:right="0"/>
                    <w:rPr>
                      <w:rFonts w:hint="default"/>
                    </w:rPr>
                  </w:pPr>
                  <w:r>
                    <w:rPr>
                      <w:rFonts w:hint="default"/>
                      <w:lang w:val="en-US" w:eastAsia="zh-CN"/>
                    </w:rPr>
                    <w:t>84.0</w:t>
                  </w:r>
                </w:p>
              </w:tc>
              <w:tc>
                <w:tcPr>
                  <w:tcW w:w="498" w:type="dxa"/>
                  <w:shd w:val="clear" w:color="auto" w:fill="auto"/>
                  <w:vAlign w:val="center"/>
                </w:tcPr>
                <w:p w14:paraId="738E948B">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64.0</w:t>
                  </w:r>
                </w:p>
              </w:tc>
              <w:tc>
                <w:tcPr>
                  <w:tcW w:w="357" w:type="dxa"/>
                  <w:vMerge w:val="continue"/>
                  <w:shd w:val="clear" w:color="auto" w:fill="auto"/>
                  <w:vAlign w:val="center"/>
                </w:tcPr>
                <w:p w14:paraId="02905693">
                  <w:pPr>
                    <w:pStyle w:val="61"/>
                    <w:keepNext w:val="0"/>
                    <w:keepLines w:val="0"/>
                    <w:suppressLineNumbers w:val="0"/>
                    <w:bidi w:val="0"/>
                    <w:spacing w:before="0" w:beforeAutospacing="0" w:after="0" w:afterAutospacing="0"/>
                    <w:ind w:left="0" w:right="0"/>
                    <w:rPr>
                      <w:rFonts w:hint="eastAsia"/>
                    </w:rPr>
                  </w:pPr>
                </w:p>
              </w:tc>
              <w:tc>
                <w:tcPr>
                  <w:tcW w:w="532" w:type="dxa"/>
                  <w:shd w:val="clear" w:color="auto" w:fill="auto"/>
                  <w:vAlign w:val="center"/>
                </w:tcPr>
                <w:p w14:paraId="7687FB99">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15</w:t>
                  </w:r>
                </w:p>
              </w:tc>
              <w:tc>
                <w:tcPr>
                  <w:tcW w:w="510" w:type="dxa"/>
                  <w:shd w:val="clear" w:color="auto" w:fill="auto"/>
                  <w:vAlign w:val="center"/>
                </w:tcPr>
                <w:p w14:paraId="230CCFCE">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43.9</w:t>
                  </w:r>
                </w:p>
              </w:tc>
              <w:tc>
                <w:tcPr>
                  <w:tcW w:w="480" w:type="dxa"/>
                  <w:shd w:val="clear" w:color="auto" w:fill="auto"/>
                  <w:vAlign w:val="center"/>
                </w:tcPr>
                <w:p w14:paraId="4DE196B1">
                  <w:pPr>
                    <w:pStyle w:val="61"/>
                    <w:keepNext w:val="0"/>
                    <w:keepLines w:val="0"/>
                    <w:suppressLineNumbers w:val="0"/>
                    <w:bidi w:val="0"/>
                    <w:spacing w:before="0" w:beforeAutospacing="0" w:after="0" w:afterAutospacing="0"/>
                    <w:ind w:left="0" w:right="0"/>
                    <w:rPr>
                      <w:rFonts w:hint="default"/>
                    </w:rPr>
                  </w:pPr>
                  <w:r>
                    <w:rPr>
                      <w:rFonts w:hint="default"/>
                      <w:lang w:val="en-US" w:eastAsia="zh-CN"/>
                    </w:rPr>
                    <w:t>59.4</w:t>
                  </w:r>
                </w:p>
              </w:tc>
              <w:tc>
                <w:tcPr>
                  <w:tcW w:w="510" w:type="dxa"/>
                  <w:shd w:val="clear" w:color="auto" w:fill="auto"/>
                  <w:vAlign w:val="center"/>
                </w:tcPr>
                <w:p w14:paraId="7FE290D2">
                  <w:pPr>
                    <w:pStyle w:val="61"/>
                    <w:keepNext w:val="0"/>
                    <w:keepLines w:val="0"/>
                    <w:suppressLineNumbers w:val="0"/>
                    <w:bidi w:val="0"/>
                    <w:spacing w:before="0" w:beforeAutospacing="0" w:after="0" w:afterAutospacing="0"/>
                    <w:ind w:left="0" w:right="0"/>
                    <w:rPr>
                      <w:rFonts w:hint="default"/>
                    </w:rPr>
                  </w:pPr>
                  <w:r>
                    <w:rPr>
                      <w:rFonts w:hint="default"/>
                      <w:lang w:val="en-US" w:eastAsia="zh-CN"/>
                    </w:rPr>
                    <w:t>69.0</w:t>
                  </w:r>
                </w:p>
              </w:tc>
              <w:tc>
                <w:tcPr>
                  <w:tcW w:w="435" w:type="dxa"/>
                  <w:shd w:val="clear" w:color="auto" w:fill="auto"/>
                  <w:vAlign w:val="center"/>
                </w:tcPr>
                <w:p w14:paraId="12F7346F">
                  <w:pPr>
                    <w:pStyle w:val="61"/>
                    <w:keepNext w:val="0"/>
                    <w:keepLines w:val="0"/>
                    <w:suppressLineNumbers w:val="0"/>
                    <w:bidi w:val="0"/>
                    <w:spacing w:before="0" w:beforeAutospacing="0" w:after="0" w:afterAutospacing="0"/>
                    <w:ind w:left="0" w:right="0"/>
                    <w:rPr>
                      <w:rFonts w:hint="default"/>
                    </w:rPr>
                  </w:pPr>
                  <w:r>
                    <w:rPr>
                      <w:rFonts w:hint="default"/>
                      <w:lang w:val="en-US" w:eastAsia="zh-CN"/>
                    </w:rPr>
                    <w:t>49.0</w:t>
                  </w:r>
                </w:p>
              </w:tc>
              <w:tc>
                <w:tcPr>
                  <w:tcW w:w="550" w:type="dxa"/>
                  <w:shd w:val="clear" w:color="auto" w:fill="auto"/>
                  <w:vAlign w:val="center"/>
                </w:tcPr>
                <w:p w14:paraId="54F45C48">
                  <w:pPr>
                    <w:pStyle w:val="61"/>
                    <w:keepNext w:val="0"/>
                    <w:keepLines w:val="0"/>
                    <w:suppressLineNumbers w:val="0"/>
                    <w:bidi w:val="0"/>
                    <w:spacing w:before="0" w:beforeAutospacing="0" w:after="0" w:afterAutospacing="0"/>
                    <w:ind w:left="0" w:right="0"/>
                    <w:rPr>
                      <w:rFonts w:hint="default"/>
                    </w:rPr>
                  </w:pPr>
                  <w:r>
                    <w:rPr>
                      <w:rFonts w:hint="default"/>
                      <w:lang w:val="en-US" w:eastAsia="zh-CN"/>
                    </w:rPr>
                    <w:t>1</w:t>
                  </w:r>
                </w:p>
              </w:tc>
            </w:tr>
            <w:tr w14:paraId="003AA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11716" w:type="dxa"/>
                  <w:gridSpan w:val="24"/>
                  <w:shd w:val="clear" w:color="auto" w:fill="auto"/>
                  <w:vAlign w:val="center"/>
                </w:tcPr>
                <w:p w14:paraId="6C211663">
                  <w:pPr>
                    <w:pStyle w:val="61"/>
                    <w:keepNext w:val="0"/>
                    <w:keepLines w:val="0"/>
                    <w:suppressLineNumbers w:val="0"/>
                    <w:bidi w:val="0"/>
                    <w:spacing w:before="0" w:beforeAutospacing="0" w:after="0" w:afterAutospacing="0"/>
                    <w:ind w:left="0" w:right="0"/>
                    <w:jc w:val="left"/>
                    <w:rPr>
                      <w:rFonts w:hint="eastAsia"/>
                    </w:rPr>
                  </w:pPr>
                  <w:r>
                    <w:rPr>
                      <w:rFonts w:hint="eastAsia"/>
                      <w:b/>
                      <w:bCs/>
                      <w:sz w:val="18"/>
                      <w:szCs w:val="18"/>
                      <w:lang w:val="en-US" w:eastAsia="zh-CN"/>
                    </w:rPr>
                    <w:t>备注：①以1#厂房西南点为原点；②项目同类型设备有大致相同的源强、尺寸，位于同一车间内，传播条件相同，且声源至车间各边界距离均大于自身最大几何尺寸的两倍，因此众多相同类型设备同类型等效为一个设备，坐标为等效坐标点位置，其噪声级叠加计算。</w:t>
                  </w:r>
                </w:p>
              </w:tc>
            </w:tr>
          </w:tbl>
          <w:p w14:paraId="5F6C0261">
            <w:pPr>
              <w:pStyle w:val="43"/>
              <w:keepNext w:val="0"/>
              <w:keepLines w:val="0"/>
              <w:suppressLineNumbers w:val="0"/>
              <w:bidi w:val="0"/>
              <w:spacing w:before="0" w:beforeAutospacing="0" w:after="0" w:afterAutospacing="0"/>
              <w:ind w:left="0" w:right="0"/>
              <w:jc w:val="center"/>
              <w:rPr>
                <w:color w:val="045CE9"/>
              </w:rPr>
            </w:pPr>
          </w:p>
          <w:p w14:paraId="1DCDE359">
            <w:pPr>
              <w:pStyle w:val="44"/>
              <w:keepNext w:val="0"/>
              <w:keepLines w:val="0"/>
              <w:suppressLineNumbers w:val="0"/>
              <w:spacing w:before="0" w:beforeAutospacing="0" w:after="0" w:afterAutospacing="0"/>
              <w:rPr>
                <w:rFonts w:hint="default"/>
                <w:color w:val="045CE9"/>
              </w:rPr>
            </w:pPr>
          </w:p>
          <w:p w14:paraId="21391778">
            <w:pPr>
              <w:keepNext w:val="0"/>
              <w:keepLines w:val="0"/>
              <w:suppressLineNumbers w:val="0"/>
              <w:spacing w:before="0" w:beforeAutospacing="0" w:after="0" w:afterAutospacing="0"/>
              <w:ind w:left="0" w:right="0"/>
              <w:jc w:val="both"/>
              <w:rPr>
                <w:rFonts w:hint="default"/>
                <w:color w:val="045CE9"/>
              </w:rPr>
            </w:pPr>
          </w:p>
          <w:p w14:paraId="30E5F8C6">
            <w:pPr>
              <w:keepNext w:val="0"/>
              <w:keepLines w:val="0"/>
              <w:suppressLineNumbers w:val="0"/>
              <w:spacing w:before="0" w:beforeAutospacing="0" w:after="0" w:afterAutospacing="0"/>
              <w:ind w:left="0" w:right="0"/>
              <w:jc w:val="both"/>
              <w:rPr>
                <w:rFonts w:hint="default"/>
                <w:color w:val="045CE9"/>
              </w:rPr>
            </w:pPr>
          </w:p>
          <w:p w14:paraId="700BE10C">
            <w:pPr>
              <w:keepNext w:val="0"/>
              <w:keepLines w:val="0"/>
              <w:suppressLineNumbers w:val="0"/>
              <w:spacing w:before="0" w:beforeAutospacing="0" w:after="0" w:afterAutospacing="0"/>
              <w:ind w:left="0" w:right="0"/>
              <w:jc w:val="both"/>
              <w:rPr>
                <w:rFonts w:hint="default"/>
                <w:color w:val="045CE9"/>
              </w:rPr>
            </w:pPr>
          </w:p>
          <w:p w14:paraId="417338C9">
            <w:pPr>
              <w:keepNext w:val="0"/>
              <w:keepLines w:val="0"/>
              <w:suppressLineNumbers w:val="0"/>
              <w:spacing w:before="0" w:beforeAutospacing="0" w:after="0" w:afterAutospacing="0"/>
              <w:ind w:left="0" w:right="0"/>
              <w:jc w:val="both"/>
              <w:rPr>
                <w:rFonts w:hint="default"/>
                <w:color w:val="045CE9"/>
              </w:rPr>
            </w:pPr>
          </w:p>
          <w:p w14:paraId="0F8367C6">
            <w:pPr>
              <w:keepNext w:val="0"/>
              <w:keepLines w:val="0"/>
              <w:suppressLineNumbers w:val="0"/>
              <w:spacing w:before="0" w:beforeAutospacing="0" w:after="0" w:afterAutospacing="0"/>
              <w:ind w:left="0" w:right="0"/>
              <w:jc w:val="both"/>
              <w:rPr>
                <w:rFonts w:hint="default"/>
                <w:color w:val="045CE9"/>
              </w:rPr>
            </w:pPr>
          </w:p>
          <w:p w14:paraId="0AF2DF28">
            <w:pPr>
              <w:keepNext w:val="0"/>
              <w:keepLines w:val="0"/>
              <w:suppressLineNumbers w:val="0"/>
              <w:spacing w:before="0" w:beforeAutospacing="0" w:after="0" w:afterAutospacing="0"/>
              <w:ind w:left="0" w:right="0"/>
              <w:jc w:val="both"/>
              <w:rPr>
                <w:rFonts w:hint="default"/>
                <w:color w:val="045CE9"/>
              </w:rPr>
            </w:pPr>
          </w:p>
          <w:p w14:paraId="35B6B591">
            <w:pPr>
              <w:keepNext w:val="0"/>
              <w:keepLines w:val="0"/>
              <w:suppressLineNumbers w:val="0"/>
              <w:spacing w:before="0" w:beforeAutospacing="0" w:after="0" w:afterAutospacing="0"/>
              <w:ind w:left="0" w:right="0"/>
              <w:jc w:val="both"/>
              <w:rPr>
                <w:rFonts w:hint="default"/>
                <w:color w:val="045CE9"/>
              </w:rPr>
            </w:pPr>
          </w:p>
          <w:p w14:paraId="21EE1549">
            <w:pPr>
              <w:keepNext w:val="0"/>
              <w:keepLines w:val="0"/>
              <w:suppressLineNumbers w:val="0"/>
              <w:spacing w:before="0" w:beforeAutospacing="0" w:after="0" w:afterAutospacing="0"/>
              <w:ind w:left="0" w:right="0"/>
              <w:jc w:val="both"/>
              <w:rPr>
                <w:rFonts w:hint="default"/>
                <w:color w:val="045CE9"/>
              </w:rPr>
            </w:pPr>
          </w:p>
          <w:p w14:paraId="4C91ABEC">
            <w:pPr>
              <w:pStyle w:val="43"/>
              <w:keepNext w:val="0"/>
              <w:keepLines w:val="0"/>
              <w:suppressLineNumbers w:val="0"/>
              <w:bidi w:val="0"/>
              <w:spacing w:before="0" w:beforeAutospacing="0" w:after="0" w:afterAutospacing="0"/>
              <w:ind w:left="0" w:right="0"/>
              <w:jc w:val="both"/>
              <w:rPr>
                <w:rFonts w:hint="eastAsia"/>
                <w:color w:val="045CE9"/>
                <w:vertAlign w:val="baseline"/>
              </w:rPr>
            </w:pPr>
          </w:p>
          <w:p w14:paraId="4CC73C84">
            <w:pPr>
              <w:pStyle w:val="43"/>
              <w:keepNext w:val="0"/>
              <w:keepLines w:val="0"/>
              <w:suppressLineNumbers w:val="0"/>
              <w:bidi w:val="0"/>
              <w:spacing w:before="0" w:beforeAutospacing="0" w:after="0" w:afterAutospacing="0"/>
              <w:ind w:left="0" w:right="0"/>
              <w:jc w:val="both"/>
              <w:rPr>
                <w:rFonts w:hint="eastAsia"/>
                <w:color w:val="045CE9"/>
                <w:vertAlign w:val="baseline"/>
              </w:rPr>
            </w:pPr>
          </w:p>
          <w:p w14:paraId="32E1B2BA">
            <w:pPr>
              <w:pStyle w:val="43"/>
              <w:keepNext w:val="0"/>
              <w:keepLines w:val="0"/>
              <w:suppressLineNumbers w:val="0"/>
              <w:bidi w:val="0"/>
              <w:spacing w:before="0" w:beforeAutospacing="0" w:after="0" w:afterAutospacing="0"/>
              <w:ind w:left="0" w:right="0"/>
              <w:jc w:val="both"/>
              <w:rPr>
                <w:rFonts w:hint="eastAsia"/>
                <w:color w:val="045CE9"/>
                <w:vertAlign w:val="baseline"/>
              </w:rPr>
            </w:pPr>
          </w:p>
          <w:p w14:paraId="24A241B8">
            <w:pPr>
              <w:pStyle w:val="43"/>
              <w:keepNext w:val="0"/>
              <w:keepLines w:val="0"/>
              <w:suppressLineNumbers w:val="0"/>
              <w:bidi w:val="0"/>
              <w:spacing w:before="0" w:beforeAutospacing="0" w:after="0" w:afterAutospacing="0"/>
              <w:ind w:left="0" w:right="0"/>
              <w:jc w:val="both"/>
              <w:rPr>
                <w:rFonts w:hint="eastAsia"/>
                <w:color w:val="045CE9"/>
                <w:vertAlign w:val="baseline"/>
              </w:rPr>
            </w:pPr>
          </w:p>
          <w:p w14:paraId="683EA954">
            <w:pPr>
              <w:pStyle w:val="43"/>
              <w:keepNext w:val="0"/>
              <w:keepLines w:val="0"/>
              <w:suppressLineNumbers w:val="0"/>
              <w:bidi w:val="0"/>
              <w:spacing w:before="0" w:beforeAutospacing="0" w:after="0" w:afterAutospacing="0"/>
              <w:ind w:left="0" w:right="0"/>
              <w:jc w:val="both"/>
              <w:rPr>
                <w:rFonts w:hint="eastAsia"/>
                <w:color w:val="045CE9"/>
                <w:vertAlign w:val="baseline"/>
              </w:rPr>
            </w:pPr>
          </w:p>
          <w:p w14:paraId="0591E1F6">
            <w:pPr>
              <w:pStyle w:val="43"/>
              <w:keepNext w:val="0"/>
              <w:keepLines w:val="0"/>
              <w:suppressLineNumbers w:val="0"/>
              <w:bidi w:val="0"/>
              <w:spacing w:before="0" w:beforeAutospacing="0" w:after="0" w:afterAutospacing="0"/>
              <w:ind w:left="0" w:right="0"/>
              <w:jc w:val="both"/>
              <w:rPr>
                <w:rFonts w:hint="eastAsia"/>
                <w:color w:val="045CE9"/>
                <w:vertAlign w:val="baseline"/>
              </w:rPr>
            </w:pPr>
          </w:p>
          <w:p w14:paraId="56395439">
            <w:pPr>
              <w:pStyle w:val="43"/>
              <w:keepNext w:val="0"/>
              <w:keepLines w:val="0"/>
              <w:suppressLineNumbers w:val="0"/>
              <w:bidi w:val="0"/>
              <w:spacing w:before="0" w:beforeAutospacing="0" w:after="0" w:afterAutospacing="0"/>
              <w:ind w:left="0" w:right="0"/>
              <w:jc w:val="both"/>
              <w:rPr>
                <w:rFonts w:hint="eastAsia"/>
                <w:color w:val="045CE9"/>
                <w:vertAlign w:val="baseline"/>
              </w:rPr>
            </w:pPr>
          </w:p>
          <w:p w14:paraId="70718062">
            <w:pPr>
              <w:pStyle w:val="43"/>
              <w:keepNext w:val="0"/>
              <w:keepLines w:val="0"/>
              <w:suppressLineNumbers w:val="0"/>
              <w:bidi w:val="0"/>
              <w:spacing w:before="0" w:beforeAutospacing="0" w:after="0" w:afterAutospacing="0"/>
              <w:ind w:left="0" w:right="0"/>
              <w:jc w:val="both"/>
              <w:rPr>
                <w:rFonts w:hint="eastAsia"/>
                <w:color w:val="045CE9"/>
                <w:vertAlign w:val="baseline"/>
              </w:rPr>
            </w:pPr>
          </w:p>
          <w:p w14:paraId="20697889">
            <w:pPr>
              <w:pStyle w:val="43"/>
              <w:keepNext w:val="0"/>
              <w:keepLines w:val="0"/>
              <w:suppressLineNumbers w:val="0"/>
              <w:bidi w:val="0"/>
              <w:spacing w:before="0" w:beforeAutospacing="0" w:after="0" w:afterAutospacing="0"/>
              <w:ind w:left="0" w:right="0"/>
              <w:jc w:val="both"/>
              <w:rPr>
                <w:rFonts w:hint="eastAsia"/>
                <w:color w:val="045CE9"/>
                <w:vertAlign w:val="baseline"/>
              </w:rPr>
            </w:pPr>
          </w:p>
          <w:p w14:paraId="7AC685D6">
            <w:pPr>
              <w:pStyle w:val="43"/>
              <w:keepNext w:val="0"/>
              <w:keepLines w:val="0"/>
              <w:suppressLineNumbers w:val="0"/>
              <w:bidi w:val="0"/>
              <w:spacing w:before="0" w:beforeAutospacing="0" w:after="0" w:afterAutospacing="0"/>
              <w:ind w:left="0" w:right="0"/>
              <w:jc w:val="both"/>
              <w:rPr>
                <w:rFonts w:hint="eastAsia"/>
                <w:color w:val="045CE9"/>
                <w:vertAlign w:val="baseline"/>
              </w:rPr>
            </w:pPr>
          </w:p>
          <w:p w14:paraId="3E6FB5BE">
            <w:pPr>
              <w:pStyle w:val="43"/>
              <w:keepNext w:val="0"/>
              <w:keepLines w:val="0"/>
              <w:suppressLineNumbers w:val="0"/>
              <w:bidi w:val="0"/>
              <w:spacing w:before="0" w:beforeAutospacing="0" w:after="0" w:afterAutospacing="0"/>
              <w:ind w:left="0" w:right="0"/>
              <w:jc w:val="both"/>
              <w:rPr>
                <w:rFonts w:hint="eastAsia"/>
                <w:color w:val="045CE9"/>
                <w:vertAlign w:val="baseline"/>
              </w:rPr>
            </w:pPr>
          </w:p>
          <w:p w14:paraId="1CB9B4DB">
            <w:pPr>
              <w:pStyle w:val="43"/>
              <w:keepNext w:val="0"/>
              <w:keepLines w:val="0"/>
              <w:suppressLineNumbers w:val="0"/>
              <w:bidi w:val="0"/>
              <w:spacing w:before="0" w:beforeAutospacing="0" w:after="0" w:afterAutospacing="0"/>
              <w:ind w:left="0" w:right="0"/>
              <w:jc w:val="both"/>
              <w:rPr>
                <w:rFonts w:hint="eastAsia"/>
                <w:color w:val="045CE9"/>
                <w:vertAlign w:val="baseline"/>
              </w:rPr>
            </w:pPr>
          </w:p>
          <w:p w14:paraId="08FE0544">
            <w:pPr>
              <w:pStyle w:val="43"/>
              <w:keepNext w:val="0"/>
              <w:keepLines w:val="0"/>
              <w:suppressLineNumbers w:val="0"/>
              <w:bidi w:val="0"/>
              <w:spacing w:before="0" w:beforeAutospacing="0" w:after="0" w:afterAutospacing="0"/>
              <w:ind w:left="0" w:right="0"/>
              <w:jc w:val="both"/>
              <w:rPr>
                <w:rFonts w:hint="eastAsia"/>
                <w:color w:val="045CE9"/>
                <w:vertAlign w:val="baseline"/>
              </w:rPr>
            </w:pPr>
          </w:p>
          <w:p w14:paraId="12D68120">
            <w:pPr>
              <w:pStyle w:val="43"/>
              <w:keepNext w:val="0"/>
              <w:keepLines w:val="0"/>
              <w:suppressLineNumbers w:val="0"/>
              <w:bidi w:val="0"/>
              <w:spacing w:before="0" w:beforeAutospacing="0" w:after="0" w:afterAutospacing="0"/>
              <w:ind w:left="0" w:right="0"/>
              <w:jc w:val="both"/>
              <w:rPr>
                <w:rFonts w:hint="eastAsia"/>
                <w:color w:val="045CE9"/>
                <w:vertAlign w:val="baseline"/>
              </w:rPr>
            </w:pPr>
          </w:p>
          <w:p w14:paraId="3C37981F">
            <w:pPr>
              <w:pStyle w:val="43"/>
              <w:keepNext w:val="0"/>
              <w:keepLines w:val="0"/>
              <w:suppressLineNumbers w:val="0"/>
              <w:bidi w:val="0"/>
              <w:spacing w:before="0" w:beforeAutospacing="0" w:after="0" w:afterAutospacing="0"/>
              <w:ind w:left="0" w:right="0"/>
              <w:jc w:val="both"/>
              <w:rPr>
                <w:rFonts w:hint="eastAsia"/>
                <w:color w:val="045CE9"/>
                <w:vertAlign w:val="baseline"/>
              </w:rPr>
            </w:pPr>
          </w:p>
        </w:tc>
      </w:tr>
    </w:tbl>
    <w:p w14:paraId="2D96C280">
      <w:pPr>
        <w:ind w:left="0" w:leftChars="0" w:firstLine="0" w:firstLineChars="0"/>
      </w:pPr>
    </w:p>
    <w:p w14:paraId="2413E8D8">
      <w:pPr>
        <w:sectPr>
          <w:pgSz w:w="16838" w:h="11905" w:orient="landscape"/>
          <w:pgMar w:top="1417" w:right="2126" w:bottom="1531" w:left="1701" w:header="850" w:footer="850" w:gutter="0"/>
          <w:pgBorders>
            <w:top w:val="none" w:sz="0" w:space="0"/>
            <w:left w:val="none" w:sz="0" w:space="0"/>
            <w:bottom w:val="none" w:sz="0" w:space="0"/>
            <w:right w:val="none" w:sz="0" w:space="0"/>
          </w:pgBorders>
          <w:cols w:space="0" w:num="1"/>
          <w:rtlGutter w:val="0"/>
          <w:docGrid w:linePitch="336" w:charSpace="0"/>
        </w:sectPr>
      </w:pPr>
    </w:p>
    <w:tbl>
      <w:tblPr>
        <w:tblStyle w:val="19"/>
        <w:tblW w:w="5000" w:type="pct"/>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402"/>
        <w:gridCol w:w="8119"/>
      </w:tblGrid>
      <w:tr w14:paraId="4FC2382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2105" w:hRule="atLeast"/>
          <w:jc w:val="center"/>
        </w:trPr>
        <w:tc>
          <w:tcPr>
            <w:tcW w:w="236" w:type="pct"/>
            <w:tcBorders>
              <w:tl2br w:val="nil"/>
              <w:tr2bl w:val="nil"/>
            </w:tcBorders>
            <w:vAlign w:val="center"/>
          </w:tcPr>
          <w:p w14:paraId="64398C2E">
            <w:pPr>
              <w:keepNext w:val="0"/>
              <w:keepLines w:val="0"/>
              <w:suppressLineNumbers w:val="0"/>
              <w:spacing w:before="0" w:beforeAutospacing="0" w:after="312" w:afterLines="100" w:afterAutospacing="0"/>
              <w:ind w:left="0" w:right="0" w:firstLine="0" w:firstLineChars="0"/>
              <w:jc w:val="center"/>
              <w:rPr>
                <w:rFonts w:hint="default"/>
                <w:color w:val="045CE9"/>
                <w:sz w:val="28"/>
                <w:szCs w:val="28"/>
                <w:highlight w:val="none"/>
              </w:rPr>
            </w:pPr>
            <w:r>
              <w:rPr>
                <w:rFonts w:hint="eastAsia" w:ascii="宋体"/>
                <w:color w:val="auto"/>
                <w:highlight w:val="none"/>
              </w:rPr>
              <w:t>运营期环境影响和保护措施</w:t>
            </w:r>
          </w:p>
        </w:tc>
        <w:tc>
          <w:tcPr>
            <w:tcW w:w="4763" w:type="pct"/>
            <w:tcBorders>
              <w:tl2br w:val="nil"/>
              <w:tr2bl w:val="nil"/>
            </w:tcBorders>
          </w:tcPr>
          <w:p w14:paraId="4049F07A">
            <w:pPr>
              <w:keepNext w:val="0"/>
              <w:keepLines w:val="0"/>
              <w:suppressLineNumbers w:val="0"/>
              <w:bidi w:val="0"/>
              <w:spacing w:before="0" w:beforeAutospacing="0" w:after="0" w:afterAutospacing="0"/>
              <w:ind w:left="0" w:right="0"/>
              <w:rPr>
                <w:rFonts w:hint="default"/>
                <w:b/>
                <w:bCs/>
                <w:color w:val="auto"/>
              </w:rPr>
            </w:pPr>
            <w:r>
              <w:rPr>
                <w:rFonts w:hint="eastAsia"/>
                <w:b/>
                <w:bCs/>
                <w:color w:val="auto"/>
              </w:rPr>
              <w:t>2、噪声防治措施</w:t>
            </w:r>
          </w:p>
          <w:p w14:paraId="43212D8B">
            <w:pPr>
              <w:keepNext w:val="0"/>
              <w:keepLines w:val="0"/>
              <w:suppressLineNumbers w:val="0"/>
              <w:bidi w:val="0"/>
              <w:spacing w:before="0" w:beforeAutospacing="0" w:after="0" w:afterAutospacing="0"/>
              <w:ind w:left="0" w:right="0"/>
              <w:rPr>
                <w:rFonts w:hint="default"/>
                <w:color w:val="auto"/>
              </w:rPr>
            </w:pPr>
            <w:r>
              <w:rPr>
                <w:rFonts w:hint="eastAsia"/>
                <w:color w:val="auto"/>
              </w:rPr>
              <w:t>本项目噪声主要为设备噪声</w:t>
            </w:r>
            <w:r>
              <w:rPr>
                <w:rFonts w:hint="eastAsia"/>
                <w:color w:val="auto"/>
                <w:lang w:val="en-US" w:eastAsia="zh-CN"/>
              </w:rPr>
              <w:t>及风机噪声</w:t>
            </w:r>
            <w:r>
              <w:rPr>
                <w:rFonts w:hint="eastAsia"/>
                <w:color w:val="auto"/>
              </w:rPr>
              <w:t>，均设置在厂房内，主要设备噪声源强在</w:t>
            </w:r>
            <w:r>
              <w:rPr>
                <w:rFonts w:hint="eastAsia" w:ascii="Times New Roman" w:hAnsi="Times New Roman" w:eastAsia="宋体" w:cs="Times New Roman"/>
                <w:color w:val="auto"/>
                <w:lang w:val="en-US" w:eastAsia="zh-CN"/>
              </w:rPr>
              <w:t>70</w:t>
            </w:r>
            <w:r>
              <w:rPr>
                <w:rFonts w:hint="eastAsia" w:ascii="Times New Roman" w:hAnsi="Times New Roman" w:eastAsia="宋体" w:cs="Times New Roman"/>
                <w:color w:val="auto"/>
              </w:rPr>
              <w:t>-</w:t>
            </w:r>
            <w:r>
              <w:rPr>
                <w:rFonts w:hint="eastAsia" w:cs="Times New Roman"/>
                <w:color w:val="auto"/>
                <w:lang w:val="en-US" w:eastAsia="zh-CN"/>
              </w:rPr>
              <w:t>95</w:t>
            </w:r>
            <w:r>
              <w:rPr>
                <w:rFonts w:hint="eastAsia" w:ascii="Times New Roman" w:hAnsi="Times New Roman" w:eastAsia="宋体" w:cs="Times New Roman"/>
                <w:color w:val="auto"/>
              </w:rPr>
              <w:t>dB</w:t>
            </w:r>
            <w:r>
              <w:rPr>
                <w:rFonts w:hint="eastAsia" w:ascii="Times New Roman" w:hAnsi="Times New Roman" w:eastAsia="宋体" w:cs="Times New Roman"/>
                <w:color w:val="auto"/>
                <w:lang w:eastAsia="zh-CN"/>
              </w:rPr>
              <w:t>（</w:t>
            </w:r>
            <w:r>
              <w:rPr>
                <w:rFonts w:hint="eastAsia" w:ascii="Times New Roman" w:hAnsi="Times New Roman" w:eastAsia="宋体" w:cs="Times New Roman"/>
                <w:color w:val="auto"/>
              </w:rPr>
              <w:t>A</w:t>
            </w:r>
            <w:r>
              <w:rPr>
                <w:rFonts w:hint="eastAsia" w:ascii="Times New Roman" w:hAnsi="Times New Roman" w:eastAsia="宋体" w:cs="Times New Roman"/>
                <w:color w:val="auto"/>
                <w:lang w:eastAsia="zh-CN"/>
              </w:rPr>
              <w:t>）</w:t>
            </w:r>
            <w:r>
              <w:rPr>
                <w:rFonts w:hint="eastAsia"/>
                <w:color w:val="auto"/>
              </w:rPr>
              <w:t>之间。建议采取的措施为：</w:t>
            </w:r>
          </w:p>
          <w:p w14:paraId="5FB90911">
            <w:pPr>
              <w:keepNext w:val="0"/>
              <w:keepLines w:val="0"/>
              <w:suppressLineNumbers w:val="0"/>
              <w:bidi w:val="0"/>
              <w:spacing w:before="0" w:beforeAutospacing="0" w:after="0" w:afterAutospacing="0"/>
              <w:ind w:left="0" w:right="0"/>
              <w:rPr>
                <w:rFonts w:hint="default"/>
                <w:color w:val="auto"/>
              </w:rPr>
            </w:pPr>
            <w:r>
              <w:rPr>
                <w:rFonts w:hint="eastAsia"/>
                <w:color w:val="auto"/>
              </w:rPr>
              <w:t>1）合理布局：项目将高噪声设备尽量布置在</w:t>
            </w:r>
            <w:r>
              <w:rPr>
                <w:rFonts w:hint="eastAsia"/>
                <w:color w:val="auto"/>
                <w:lang w:val="en-US" w:eastAsia="zh-CN"/>
              </w:rPr>
              <w:t>厂房中侧，</w:t>
            </w:r>
            <w:r>
              <w:rPr>
                <w:rFonts w:hint="eastAsia"/>
                <w:color w:val="auto"/>
              </w:rPr>
              <w:t>通过距离衰减减轻噪声对外环境的影响。</w:t>
            </w:r>
          </w:p>
          <w:p w14:paraId="07FDD582">
            <w:pPr>
              <w:keepNext w:val="0"/>
              <w:keepLines w:val="0"/>
              <w:suppressLineNumbers w:val="0"/>
              <w:bidi w:val="0"/>
              <w:spacing w:before="0" w:beforeAutospacing="0" w:after="0" w:afterAutospacing="0"/>
              <w:ind w:left="0" w:right="0"/>
              <w:rPr>
                <w:rFonts w:hint="default"/>
                <w:color w:val="auto"/>
              </w:rPr>
            </w:pPr>
            <w:r>
              <w:rPr>
                <w:rFonts w:hint="eastAsia"/>
                <w:color w:val="auto"/>
              </w:rPr>
              <w:t>2）选择低噪声设备：在满足工艺要求的前提下应尽量采用低噪声设备。</w:t>
            </w:r>
            <w:r>
              <w:rPr>
                <w:rFonts w:hint="eastAsia"/>
                <w:color w:val="auto"/>
                <w:lang w:val="en-US" w:eastAsia="zh-CN"/>
              </w:rPr>
              <w:t>选用合规厂家进行设备安装，</w:t>
            </w:r>
            <w:r>
              <w:rPr>
                <w:rFonts w:hint="eastAsia"/>
                <w:color w:val="auto"/>
              </w:rPr>
              <w:t>‌确保各部件之间的配合精度</w:t>
            </w:r>
            <w:r>
              <w:rPr>
                <w:rFonts w:hint="eastAsia"/>
                <w:color w:val="auto"/>
                <w:lang w:eastAsia="zh-CN"/>
              </w:rPr>
              <w:t>，</w:t>
            </w:r>
            <w:r>
              <w:rPr>
                <w:rFonts w:hint="eastAsia"/>
                <w:color w:val="auto"/>
                <w:lang w:val="en-US" w:eastAsia="zh-CN"/>
              </w:rPr>
              <w:t>加强设备的维护保养，</w:t>
            </w:r>
            <w:r>
              <w:rPr>
                <w:rFonts w:hint="eastAsia"/>
                <w:color w:val="auto"/>
              </w:rPr>
              <w:t>保持良好的</w:t>
            </w:r>
            <w:r>
              <w:rPr>
                <w:rFonts w:hint="eastAsia"/>
                <w:color w:val="auto"/>
                <w:lang w:val="en-US" w:eastAsia="zh-CN"/>
              </w:rPr>
              <w:t>设备工作状态</w:t>
            </w:r>
            <w:r>
              <w:rPr>
                <w:rFonts w:hint="eastAsia"/>
                <w:color w:val="auto"/>
              </w:rPr>
              <w:t>，以减少运行时的不规则振动。</w:t>
            </w:r>
          </w:p>
          <w:p w14:paraId="721BD9E0">
            <w:pPr>
              <w:keepNext w:val="0"/>
              <w:keepLines w:val="0"/>
              <w:suppressLineNumbers w:val="0"/>
              <w:bidi w:val="0"/>
              <w:spacing w:before="0" w:beforeAutospacing="0" w:after="0" w:afterAutospacing="0"/>
              <w:ind w:left="0" w:right="0"/>
              <w:rPr>
                <w:rFonts w:hint="eastAsia"/>
                <w:color w:val="auto"/>
                <w:highlight w:val="none"/>
              </w:rPr>
            </w:pPr>
            <w:r>
              <w:rPr>
                <w:rFonts w:hint="eastAsia"/>
                <w:color w:val="auto"/>
              </w:rPr>
              <w:t>3）隔声、减震：</w:t>
            </w:r>
            <w:r>
              <w:rPr>
                <w:rFonts w:hint="eastAsia"/>
                <w:color w:val="auto"/>
                <w:highlight w:val="none"/>
              </w:rPr>
              <w:t>建设单位根据噪声产生的性质和机理不同分别采用了隔声、减振等方式进行了降噪处理。</w:t>
            </w:r>
            <w:r>
              <w:rPr>
                <w:rFonts w:hint="eastAsia"/>
                <w:color w:val="auto"/>
                <w:highlight w:val="none"/>
                <w:lang w:val="en-US" w:eastAsia="zh-CN"/>
              </w:rPr>
              <w:t>设备安装确保</w:t>
            </w:r>
            <w:r>
              <w:rPr>
                <w:rFonts w:hint="eastAsia"/>
                <w:color w:val="auto"/>
                <w:highlight w:val="none"/>
              </w:rPr>
              <w:t>基础的牢固</w:t>
            </w:r>
            <w:r>
              <w:rPr>
                <w:rFonts w:hint="eastAsia"/>
                <w:color w:val="auto"/>
                <w:highlight w:val="none"/>
                <w:lang w:eastAsia="zh-CN"/>
              </w:rPr>
              <w:t>，</w:t>
            </w:r>
            <w:r>
              <w:rPr>
                <w:rFonts w:hint="eastAsia"/>
                <w:color w:val="auto"/>
                <w:highlight w:val="none"/>
              </w:rPr>
              <w:t>在安装</w:t>
            </w:r>
            <w:r>
              <w:rPr>
                <w:rFonts w:hint="eastAsia"/>
                <w:color w:val="auto"/>
                <w:highlight w:val="none"/>
                <w:lang w:val="en-US" w:eastAsia="zh-CN"/>
              </w:rPr>
              <w:t>破碎机、打包机等设备时</w:t>
            </w:r>
            <w:r>
              <w:rPr>
                <w:rFonts w:hint="eastAsia"/>
                <w:color w:val="auto"/>
                <w:highlight w:val="none"/>
              </w:rPr>
              <w:t>，应选择坚硬平稳的地面，并确保地基基础的牢固，以避免因</w:t>
            </w:r>
            <w:r>
              <w:rPr>
                <w:rFonts w:hint="eastAsia"/>
                <w:color w:val="auto"/>
                <w:highlight w:val="none"/>
                <w:lang w:val="en-US" w:eastAsia="zh-CN"/>
              </w:rPr>
              <w:t>破碎、打包时</w:t>
            </w:r>
            <w:r>
              <w:rPr>
                <w:rFonts w:hint="eastAsia"/>
                <w:color w:val="auto"/>
                <w:highlight w:val="none"/>
              </w:rPr>
              <w:t>振动过大导致的</w:t>
            </w:r>
            <w:r>
              <w:rPr>
                <w:rFonts w:hint="eastAsia"/>
                <w:color w:val="auto"/>
                <w:highlight w:val="none"/>
                <w:lang w:val="en-US" w:eastAsia="zh-CN"/>
              </w:rPr>
              <w:t>基础失衡问题</w:t>
            </w:r>
            <w:r>
              <w:rPr>
                <w:rFonts w:hint="eastAsia"/>
                <w:color w:val="auto"/>
                <w:highlight w:val="none"/>
              </w:rPr>
              <w:t>。安装程序应科学合理，并在使用过程中定期检查地基是否松动，如有松动，应及时加固。</w:t>
            </w:r>
          </w:p>
          <w:p w14:paraId="164AB15A">
            <w:pPr>
              <w:keepNext w:val="0"/>
              <w:keepLines w:val="0"/>
              <w:suppressLineNumbers w:val="0"/>
              <w:bidi w:val="0"/>
              <w:spacing w:before="0" w:beforeAutospacing="0" w:after="0" w:afterAutospacing="0"/>
              <w:ind w:left="0" w:right="0"/>
              <w:rPr>
                <w:rFonts w:hint="default"/>
                <w:color w:val="045CE9"/>
              </w:rPr>
            </w:pPr>
            <w:r>
              <w:rPr>
                <w:rFonts w:hint="eastAsia"/>
                <w:color w:val="auto"/>
              </w:rPr>
              <w:t>4）强化生产管理：在营运中加强管理，制定操作规范，加强各种机械设备的维护保养，</w:t>
            </w:r>
            <w:r>
              <w:rPr>
                <w:rFonts w:hint="eastAsia"/>
                <w:color w:val="auto"/>
                <w:lang w:val="en-US" w:eastAsia="zh-CN"/>
              </w:rPr>
              <w:t>加强生产设备运行期间管理，及时对零部件松动情况进行调整，</w:t>
            </w:r>
            <w:r>
              <w:rPr>
                <w:rFonts w:hint="eastAsia"/>
                <w:color w:val="auto"/>
              </w:rPr>
              <w:t>保持其具有良好的运行效果。通过上述措施处理后，各排放点噪声源强可下降</w:t>
            </w:r>
            <w:r>
              <w:rPr>
                <w:rFonts w:hint="eastAsia"/>
                <w:color w:val="auto"/>
                <w:lang w:val="en-US" w:eastAsia="zh-CN"/>
              </w:rPr>
              <w:t>30</w:t>
            </w:r>
            <w:r>
              <w:rPr>
                <w:rFonts w:hint="eastAsia"/>
                <w:color w:val="auto"/>
              </w:rPr>
              <w:t>~</w:t>
            </w:r>
            <w:r>
              <w:rPr>
                <w:rFonts w:hint="eastAsia"/>
                <w:color w:val="auto"/>
                <w:lang w:val="en-US" w:eastAsia="zh-CN"/>
              </w:rPr>
              <w:t>55</w:t>
            </w:r>
            <w:r>
              <w:rPr>
                <w:rFonts w:hint="eastAsia"/>
                <w:color w:val="auto"/>
              </w:rPr>
              <w:t>dB</w:t>
            </w:r>
            <w:r>
              <w:rPr>
                <w:rFonts w:hint="eastAsia"/>
                <w:color w:val="auto"/>
                <w:lang w:eastAsia="zh-CN"/>
              </w:rPr>
              <w:t>（</w:t>
            </w:r>
            <w:r>
              <w:rPr>
                <w:rFonts w:hint="eastAsia"/>
                <w:color w:val="auto"/>
              </w:rPr>
              <w:t>A</w:t>
            </w:r>
            <w:r>
              <w:rPr>
                <w:rFonts w:hint="eastAsia"/>
                <w:color w:val="auto"/>
                <w:lang w:eastAsia="zh-CN"/>
              </w:rPr>
              <w:t>）</w:t>
            </w:r>
            <w:r>
              <w:rPr>
                <w:rFonts w:hint="eastAsia"/>
                <w:color w:val="auto"/>
              </w:rPr>
              <w:t>左右，降噪效果较明显。</w:t>
            </w:r>
          </w:p>
          <w:p w14:paraId="630956D6">
            <w:pPr>
              <w:keepNext w:val="0"/>
              <w:keepLines w:val="0"/>
              <w:suppressLineNumbers w:val="0"/>
              <w:bidi w:val="0"/>
              <w:spacing w:before="0" w:beforeAutospacing="0" w:after="0" w:afterAutospacing="0"/>
              <w:ind w:left="0" w:right="0"/>
              <w:rPr>
                <w:rFonts w:hint="default"/>
                <w:b/>
                <w:bCs/>
                <w:color w:val="auto"/>
              </w:rPr>
            </w:pPr>
            <w:r>
              <w:rPr>
                <w:rFonts w:hint="eastAsia"/>
                <w:b/>
                <w:bCs/>
                <w:color w:val="auto"/>
              </w:rPr>
              <w:t>3、噪声达标分析</w:t>
            </w:r>
          </w:p>
          <w:p w14:paraId="66B2F3E1">
            <w:pPr>
              <w:keepNext w:val="0"/>
              <w:keepLines w:val="0"/>
              <w:suppressLineNumbers w:val="0"/>
              <w:bidi w:val="0"/>
              <w:spacing w:before="0" w:beforeAutospacing="0" w:after="0" w:afterAutospacing="0"/>
              <w:ind w:left="0" w:right="0"/>
              <w:rPr>
                <w:rFonts w:hint="eastAsia" w:eastAsia="宋体"/>
                <w:color w:val="auto"/>
                <w:lang w:eastAsia="zh-CN"/>
              </w:rPr>
            </w:pPr>
            <w:r>
              <w:rPr>
                <w:rFonts w:hint="eastAsia"/>
                <w:color w:val="auto"/>
              </w:rPr>
              <w:t>室内声源</w:t>
            </w:r>
          </w:p>
          <w:p w14:paraId="35FF2A04">
            <w:pPr>
              <w:keepNext w:val="0"/>
              <w:keepLines w:val="0"/>
              <w:suppressLineNumbers w:val="0"/>
              <w:bidi w:val="0"/>
              <w:spacing w:before="0" w:beforeAutospacing="0" w:after="0" w:afterAutospacing="0"/>
              <w:ind w:left="0" w:right="0"/>
              <w:rPr>
                <w:rFonts w:hint="eastAsia" w:eastAsia="宋体"/>
                <w:color w:val="auto"/>
                <w:lang w:eastAsia="zh-CN"/>
              </w:rPr>
            </w:pPr>
            <w:r>
              <w:rPr>
                <w:rFonts w:hint="default"/>
                <w:color w:val="auto"/>
              </w:rPr>
              <w:t>①</w:t>
            </w:r>
            <w:r>
              <w:rPr>
                <w:rFonts w:hint="eastAsia"/>
                <w:color w:val="auto"/>
              </w:rPr>
              <w:t>首先计算出某个室内靠近围护结构处的倍频带声压级：</w:t>
            </w:r>
          </w:p>
          <w:p w14:paraId="3FDCAAB7">
            <w:pPr>
              <w:pStyle w:val="39"/>
              <w:keepNext w:val="0"/>
              <w:keepLines w:val="0"/>
              <w:suppressLineNumbers w:val="0"/>
              <w:bidi w:val="0"/>
              <w:spacing w:before="0" w:beforeAutospacing="0" w:after="0" w:afterAutospacing="0"/>
              <w:ind w:left="0" w:right="0"/>
              <w:rPr>
                <w:rFonts w:hint="default"/>
                <w:color w:val="auto"/>
              </w:rPr>
            </w:pPr>
            <w:r>
              <w:rPr>
                <w:rFonts w:hint="default"/>
                <w:color w:val="auto"/>
              </w:rPr>
              <w:drawing>
                <wp:inline distT="0" distB="0" distL="114300" distR="114300">
                  <wp:extent cx="2577465" cy="515620"/>
                  <wp:effectExtent l="0" t="0" r="0" b="0"/>
                  <wp:docPr id="6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
                          <pic:cNvPicPr>
                            <a:picLocks noChangeAspect="1"/>
                          </pic:cNvPicPr>
                        </pic:nvPicPr>
                        <pic:blipFill>
                          <a:blip r:embed="rId23"/>
                          <a:srcRect t="6820" b="11735"/>
                          <a:stretch>
                            <a:fillRect/>
                          </a:stretch>
                        </pic:blipFill>
                        <pic:spPr>
                          <a:xfrm>
                            <a:off x="0" y="0"/>
                            <a:ext cx="2577465" cy="515620"/>
                          </a:xfrm>
                          <a:prstGeom prst="rect">
                            <a:avLst/>
                          </a:prstGeom>
                          <a:noFill/>
                          <a:ln>
                            <a:noFill/>
                          </a:ln>
                        </pic:spPr>
                      </pic:pic>
                    </a:graphicData>
                  </a:graphic>
                </wp:inline>
              </w:drawing>
            </w:r>
          </w:p>
          <w:p w14:paraId="0E93EA39">
            <w:pPr>
              <w:keepNext w:val="0"/>
              <w:keepLines w:val="0"/>
              <w:suppressLineNumbers w:val="0"/>
              <w:bidi w:val="0"/>
              <w:spacing w:before="0" w:beforeAutospacing="0" w:after="0" w:afterAutospacing="0"/>
              <w:ind w:left="0" w:right="0"/>
              <w:rPr>
                <w:rFonts w:hint="default"/>
                <w:color w:val="auto"/>
              </w:rPr>
            </w:pPr>
            <w:r>
              <w:rPr>
                <w:rFonts w:hint="eastAsia"/>
                <w:color w:val="auto"/>
              </w:rPr>
              <w:t>式中：</w:t>
            </w:r>
            <w:r>
              <w:rPr>
                <w:rFonts w:hint="default"/>
                <w:color w:val="auto"/>
              </w:rPr>
              <w:t>Loct</w:t>
            </w:r>
            <w:r>
              <w:rPr>
                <w:rFonts w:hint="eastAsia"/>
                <w:color w:val="auto"/>
              </w:rPr>
              <w:t>，</w:t>
            </w:r>
            <w:r>
              <w:rPr>
                <w:rFonts w:hint="default"/>
                <w:color w:val="auto"/>
              </w:rPr>
              <w:t>1</w:t>
            </w:r>
            <w:r>
              <w:rPr>
                <w:rFonts w:hint="eastAsia"/>
                <w:color w:val="auto"/>
              </w:rPr>
              <w:t>为某个室内声源在靠近围护结构处产生的倍频带声压级，</w:t>
            </w:r>
            <w:r>
              <w:rPr>
                <w:rFonts w:hint="default"/>
                <w:color w:val="auto"/>
              </w:rPr>
              <w:t>Lwoct-</w:t>
            </w:r>
            <w:r>
              <w:rPr>
                <w:rFonts w:hint="eastAsia"/>
                <w:color w:val="auto"/>
              </w:rPr>
              <w:t>为某个声源的倍频带声功率级，</w:t>
            </w:r>
            <w:r>
              <w:rPr>
                <w:rFonts w:hint="default"/>
                <w:color w:val="auto"/>
              </w:rPr>
              <w:t>r1</w:t>
            </w:r>
            <w:r>
              <w:rPr>
                <w:rFonts w:hint="eastAsia"/>
                <w:color w:val="auto"/>
              </w:rPr>
              <w:t>为室内某个声源与靠近围护结构处的距离，</w:t>
            </w:r>
            <w:r>
              <w:rPr>
                <w:rFonts w:hint="default"/>
                <w:color w:val="auto"/>
              </w:rPr>
              <w:t>R</w:t>
            </w:r>
            <w:r>
              <w:rPr>
                <w:rFonts w:hint="eastAsia"/>
                <w:color w:val="auto"/>
              </w:rPr>
              <w:t>为房间常数，</w:t>
            </w:r>
            <w:r>
              <w:rPr>
                <w:rFonts w:hint="default"/>
                <w:color w:val="auto"/>
              </w:rPr>
              <w:t>Q</w:t>
            </w:r>
            <w:r>
              <w:rPr>
                <w:rFonts w:hint="eastAsia"/>
                <w:color w:val="auto"/>
              </w:rPr>
              <w:t>为方向因子。</w:t>
            </w:r>
          </w:p>
          <w:p w14:paraId="6D965E9A">
            <w:pPr>
              <w:keepNext w:val="0"/>
              <w:keepLines w:val="0"/>
              <w:suppressLineNumbers w:val="0"/>
              <w:bidi w:val="0"/>
              <w:spacing w:before="0" w:beforeAutospacing="0" w:after="0" w:afterAutospacing="0"/>
              <w:ind w:left="0" w:right="0"/>
              <w:rPr>
                <w:rFonts w:hint="eastAsia"/>
                <w:color w:val="auto"/>
              </w:rPr>
            </w:pPr>
            <w:r>
              <w:rPr>
                <w:rFonts w:hint="default"/>
                <w:color w:val="auto"/>
              </w:rPr>
              <w:t>②</w:t>
            </w:r>
            <w:r>
              <w:rPr>
                <w:rFonts w:hint="eastAsia"/>
                <w:color w:val="auto"/>
              </w:rPr>
              <w:t>计算出所有室内声源在靠近围护结构处产生的总倍频带声压级：</w:t>
            </w:r>
          </w:p>
          <w:p w14:paraId="4C87C30E">
            <w:pPr>
              <w:pStyle w:val="39"/>
              <w:keepNext w:val="0"/>
              <w:keepLines w:val="0"/>
              <w:suppressLineNumbers w:val="0"/>
              <w:bidi w:val="0"/>
              <w:spacing w:before="0" w:beforeAutospacing="0" w:after="0" w:afterAutospacing="0"/>
              <w:ind w:left="0" w:right="0"/>
              <w:rPr>
                <w:rFonts w:hint="default"/>
                <w:color w:val="auto"/>
              </w:rPr>
            </w:pPr>
            <w:r>
              <w:rPr>
                <w:rFonts w:hint="default"/>
                <w:color w:val="auto"/>
              </w:rPr>
              <w:drawing>
                <wp:inline distT="0" distB="0" distL="114300" distR="114300">
                  <wp:extent cx="2542540" cy="525780"/>
                  <wp:effectExtent l="0" t="0" r="0" b="0"/>
                  <wp:docPr id="6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
                          <pic:cNvPicPr>
                            <a:picLocks noChangeAspect="1"/>
                          </pic:cNvPicPr>
                        </pic:nvPicPr>
                        <pic:blipFill>
                          <a:blip r:embed="rId24"/>
                          <a:srcRect t="14035" b="13333"/>
                          <a:stretch>
                            <a:fillRect/>
                          </a:stretch>
                        </pic:blipFill>
                        <pic:spPr>
                          <a:xfrm>
                            <a:off x="0" y="0"/>
                            <a:ext cx="2542540" cy="525780"/>
                          </a:xfrm>
                          <a:prstGeom prst="rect">
                            <a:avLst/>
                          </a:prstGeom>
                          <a:noFill/>
                          <a:ln>
                            <a:noFill/>
                          </a:ln>
                        </pic:spPr>
                      </pic:pic>
                    </a:graphicData>
                  </a:graphic>
                </wp:inline>
              </w:drawing>
            </w:r>
          </w:p>
          <w:p w14:paraId="033AA735">
            <w:pPr>
              <w:keepNext w:val="0"/>
              <w:keepLines w:val="0"/>
              <w:suppressLineNumbers w:val="0"/>
              <w:spacing w:before="0" w:beforeAutospacing="0" w:after="0" w:afterAutospacing="0"/>
              <w:ind w:left="0" w:right="0" w:firstLine="480"/>
              <w:rPr>
                <w:rFonts w:hint="default"/>
                <w:color w:val="auto"/>
                <w:highlight w:val="none"/>
              </w:rPr>
            </w:pPr>
            <w:r>
              <w:rPr>
                <w:rFonts w:hint="default"/>
                <w:color w:val="auto"/>
                <w:highlight w:val="none"/>
              </w:rPr>
              <w:t>③</w:t>
            </w:r>
            <w:r>
              <w:rPr>
                <w:rFonts w:hint="eastAsia"/>
                <w:color w:val="auto"/>
                <w:highlight w:val="none"/>
              </w:rPr>
              <w:t>计算出室外靠近围护结构处的声压级：</w:t>
            </w:r>
          </w:p>
          <w:p w14:paraId="2D61E4E3">
            <w:pPr>
              <w:pStyle w:val="39"/>
              <w:keepNext w:val="0"/>
              <w:keepLines w:val="0"/>
              <w:suppressLineNumbers w:val="0"/>
              <w:bidi w:val="0"/>
              <w:spacing w:before="0" w:beforeAutospacing="0" w:after="0" w:afterAutospacing="0"/>
              <w:ind w:left="0" w:right="0"/>
              <w:rPr>
                <w:rFonts w:hint="default"/>
                <w:color w:val="auto"/>
              </w:rPr>
            </w:pPr>
            <w:r>
              <w:rPr>
                <w:rFonts w:hint="default"/>
                <w:color w:val="auto"/>
              </w:rPr>
              <w:drawing>
                <wp:inline distT="0" distB="0" distL="114300" distR="114300">
                  <wp:extent cx="2628265" cy="447040"/>
                  <wp:effectExtent l="0" t="0" r="8255" b="10160"/>
                  <wp:docPr id="6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
                          <pic:cNvPicPr>
                            <a:picLocks noChangeAspect="1"/>
                          </pic:cNvPicPr>
                        </pic:nvPicPr>
                        <pic:blipFill>
                          <a:blip r:embed="rId25"/>
                          <a:stretch>
                            <a:fillRect/>
                          </a:stretch>
                        </pic:blipFill>
                        <pic:spPr>
                          <a:xfrm>
                            <a:off x="0" y="0"/>
                            <a:ext cx="2628265" cy="447040"/>
                          </a:xfrm>
                          <a:prstGeom prst="rect">
                            <a:avLst/>
                          </a:prstGeom>
                          <a:noFill/>
                          <a:ln>
                            <a:noFill/>
                          </a:ln>
                        </pic:spPr>
                      </pic:pic>
                    </a:graphicData>
                  </a:graphic>
                </wp:inline>
              </w:drawing>
            </w:r>
          </w:p>
          <w:p w14:paraId="0B7F2D66">
            <w:pPr>
              <w:keepNext w:val="0"/>
              <w:keepLines w:val="0"/>
              <w:suppressLineNumbers w:val="0"/>
              <w:spacing w:before="0" w:beforeAutospacing="0" w:after="0" w:afterAutospacing="0"/>
              <w:ind w:left="0" w:right="0" w:firstLine="480"/>
              <w:rPr>
                <w:rFonts w:hint="default"/>
                <w:color w:val="auto"/>
                <w:highlight w:val="none"/>
              </w:rPr>
            </w:pPr>
            <w:r>
              <w:rPr>
                <w:rFonts w:hint="default"/>
                <w:color w:val="auto"/>
                <w:highlight w:val="none"/>
              </w:rPr>
              <w:t>④</w:t>
            </w:r>
            <w:r>
              <w:rPr>
                <w:rFonts w:hint="eastAsia"/>
                <w:color w:val="auto"/>
                <w:highlight w:val="none"/>
              </w:rPr>
              <w:t>将室外声级</w:t>
            </w:r>
            <w:r>
              <w:rPr>
                <w:rFonts w:hint="default"/>
                <w:color w:val="auto"/>
                <w:highlight w:val="none"/>
              </w:rPr>
              <w:t>Loct</w:t>
            </w:r>
            <w:r>
              <w:rPr>
                <w:rFonts w:hint="eastAsia"/>
                <w:color w:val="auto"/>
                <w:highlight w:val="none"/>
              </w:rPr>
              <w:t>，</w:t>
            </w:r>
            <w:r>
              <w:rPr>
                <w:rFonts w:hint="default"/>
                <w:color w:val="auto"/>
                <w:highlight w:val="none"/>
              </w:rPr>
              <w:t>2</w:t>
            </w:r>
            <w:r>
              <w:rPr>
                <w:rFonts w:hint="eastAsia"/>
                <w:color w:val="auto"/>
                <w:highlight w:val="none"/>
                <w:lang w:eastAsia="zh-CN"/>
              </w:rPr>
              <w:t>（</w:t>
            </w:r>
            <w:r>
              <w:rPr>
                <w:rFonts w:hint="default"/>
                <w:color w:val="auto"/>
                <w:highlight w:val="none"/>
              </w:rPr>
              <w:t>T</w:t>
            </w:r>
            <w:r>
              <w:rPr>
                <w:rFonts w:hint="eastAsia"/>
                <w:color w:val="auto"/>
                <w:highlight w:val="none"/>
                <w:lang w:eastAsia="zh-CN"/>
              </w:rPr>
              <w:t>）</w:t>
            </w:r>
            <w:r>
              <w:rPr>
                <w:rFonts w:hint="eastAsia"/>
                <w:color w:val="auto"/>
                <w:highlight w:val="none"/>
              </w:rPr>
              <w:t>和透声面积换算成等效的室外声源，计算出等效声源第</w:t>
            </w:r>
            <w:r>
              <w:rPr>
                <w:rFonts w:hint="default"/>
                <w:color w:val="auto"/>
                <w:highlight w:val="none"/>
              </w:rPr>
              <w:t>i</w:t>
            </w:r>
            <w:r>
              <w:rPr>
                <w:rFonts w:hint="eastAsia"/>
                <w:color w:val="auto"/>
                <w:highlight w:val="none"/>
              </w:rPr>
              <w:t>个倍频带的声功率级</w:t>
            </w:r>
            <w:r>
              <w:rPr>
                <w:rFonts w:hint="default"/>
                <w:color w:val="auto"/>
                <w:highlight w:val="none"/>
              </w:rPr>
              <w:t>Lwoct</w:t>
            </w:r>
            <w:r>
              <w:rPr>
                <w:rFonts w:hint="eastAsia"/>
                <w:color w:val="auto"/>
                <w:highlight w:val="none"/>
              </w:rPr>
              <w:t>：</w:t>
            </w:r>
          </w:p>
          <w:p w14:paraId="04CDA437">
            <w:pPr>
              <w:pStyle w:val="39"/>
              <w:keepNext w:val="0"/>
              <w:keepLines w:val="0"/>
              <w:suppressLineNumbers w:val="0"/>
              <w:bidi w:val="0"/>
              <w:spacing w:before="0" w:beforeAutospacing="0" w:after="0" w:afterAutospacing="0"/>
              <w:ind w:left="0" w:right="0"/>
              <w:rPr>
                <w:rFonts w:hint="default"/>
                <w:color w:val="auto"/>
              </w:rPr>
            </w:pPr>
            <w:r>
              <w:rPr>
                <w:rFonts w:hint="default"/>
                <w:color w:val="auto"/>
              </w:rPr>
              <w:drawing>
                <wp:inline distT="0" distB="0" distL="114300" distR="114300">
                  <wp:extent cx="2276475" cy="327660"/>
                  <wp:effectExtent l="0" t="0" r="0" b="0"/>
                  <wp:docPr id="6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
                          <pic:cNvPicPr>
                            <a:picLocks noChangeAspect="1"/>
                          </pic:cNvPicPr>
                        </pic:nvPicPr>
                        <pic:blipFill>
                          <a:blip r:embed="rId26"/>
                          <a:srcRect b="23442"/>
                          <a:stretch>
                            <a:fillRect/>
                          </a:stretch>
                        </pic:blipFill>
                        <pic:spPr>
                          <a:xfrm>
                            <a:off x="0" y="0"/>
                            <a:ext cx="2276475" cy="327660"/>
                          </a:xfrm>
                          <a:prstGeom prst="rect">
                            <a:avLst/>
                          </a:prstGeom>
                          <a:noFill/>
                          <a:ln>
                            <a:noFill/>
                          </a:ln>
                        </pic:spPr>
                      </pic:pic>
                    </a:graphicData>
                  </a:graphic>
                </wp:inline>
              </w:drawing>
            </w:r>
          </w:p>
          <w:p w14:paraId="57A023E1">
            <w:pPr>
              <w:keepNext w:val="0"/>
              <w:keepLines w:val="0"/>
              <w:suppressLineNumbers w:val="0"/>
              <w:spacing w:before="0" w:beforeAutospacing="0" w:after="0" w:afterAutospacing="0"/>
              <w:ind w:left="0" w:right="0" w:firstLine="480"/>
              <w:rPr>
                <w:rFonts w:hint="default"/>
                <w:color w:val="auto"/>
                <w:highlight w:val="none"/>
              </w:rPr>
            </w:pPr>
            <w:r>
              <w:rPr>
                <w:rFonts w:hint="default"/>
                <w:color w:val="auto"/>
                <w:highlight w:val="none"/>
              </w:rPr>
              <w:t></w:t>
            </w:r>
            <w:r>
              <w:rPr>
                <w:rFonts w:hint="eastAsia"/>
                <w:color w:val="auto"/>
                <w:highlight w:val="none"/>
              </w:rPr>
              <w:t>式中：</w:t>
            </w:r>
            <w:r>
              <w:rPr>
                <w:rFonts w:hint="default"/>
                <w:color w:val="auto"/>
                <w:highlight w:val="none"/>
              </w:rPr>
              <w:t>S</w:t>
            </w:r>
            <w:r>
              <w:rPr>
                <w:rFonts w:hint="eastAsia"/>
                <w:color w:val="auto"/>
                <w:highlight w:val="none"/>
              </w:rPr>
              <w:t>为透声面积，</w:t>
            </w:r>
            <w:r>
              <w:rPr>
                <w:rFonts w:hint="eastAsia"/>
                <w:color w:val="auto"/>
                <w:highlight w:val="none"/>
                <w:lang w:val="en-US" w:eastAsia="zh-CN"/>
              </w:rPr>
              <w:t>m</w:t>
            </w:r>
            <w:r>
              <w:rPr>
                <w:rFonts w:hint="eastAsia"/>
                <w:color w:val="auto"/>
                <w:highlight w:val="none"/>
                <w:vertAlign w:val="superscript"/>
                <w:lang w:val="en-US" w:eastAsia="zh-CN"/>
              </w:rPr>
              <w:t>2</w:t>
            </w:r>
            <w:r>
              <w:rPr>
                <w:rFonts w:hint="eastAsia"/>
                <w:color w:val="auto"/>
                <w:highlight w:val="none"/>
              </w:rPr>
              <w:t>。</w:t>
            </w:r>
          </w:p>
          <w:p w14:paraId="1A879F1E">
            <w:pPr>
              <w:keepNext w:val="0"/>
              <w:keepLines w:val="0"/>
              <w:suppressLineNumbers w:val="0"/>
              <w:spacing w:before="0" w:beforeAutospacing="0" w:after="0" w:afterAutospacing="0"/>
              <w:ind w:left="0" w:right="0" w:firstLine="480"/>
              <w:rPr>
                <w:rFonts w:hint="default"/>
                <w:color w:val="auto"/>
                <w:highlight w:val="none"/>
              </w:rPr>
            </w:pPr>
            <w:r>
              <w:rPr>
                <w:rFonts w:hint="default"/>
                <w:color w:val="auto"/>
                <w:highlight w:val="none"/>
              </w:rPr>
              <w:t>⑤</w:t>
            </w:r>
            <w:r>
              <w:rPr>
                <w:rFonts w:hint="eastAsia"/>
                <w:color w:val="auto"/>
                <w:highlight w:val="none"/>
              </w:rPr>
              <w:t>等效室外声源的位置为围护结构的位置，其倍频带声功率级为</w:t>
            </w:r>
            <w:r>
              <w:rPr>
                <w:rFonts w:hint="default"/>
                <w:color w:val="auto"/>
                <w:highlight w:val="none"/>
              </w:rPr>
              <w:t>Lwoct</w:t>
            </w:r>
            <w:r>
              <w:rPr>
                <w:rFonts w:hint="eastAsia"/>
                <w:color w:val="auto"/>
                <w:highlight w:val="none"/>
              </w:rPr>
              <w:t>，由此按室外声源方法计算等效室外声源在预测点产生的声级。</w:t>
            </w:r>
          </w:p>
          <w:p w14:paraId="7D92EB0E">
            <w:pPr>
              <w:keepNext w:val="0"/>
              <w:keepLines w:val="0"/>
              <w:suppressLineNumbers w:val="0"/>
              <w:spacing w:before="0" w:beforeAutospacing="0" w:after="0" w:afterAutospacing="0"/>
              <w:ind w:left="0" w:right="0" w:firstLine="480"/>
              <w:rPr>
                <w:rFonts w:hint="eastAsia" w:eastAsia="宋体"/>
                <w:color w:val="auto"/>
                <w:highlight w:val="none"/>
                <w:lang w:eastAsia="zh-CN"/>
              </w:rPr>
            </w:pPr>
            <w:r>
              <w:rPr>
                <w:rFonts w:hint="eastAsia"/>
                <w:color w:val="auto"/>
                <w:highlight w:val="none"/>
              </w:rPr>
              <w:t>计算总声压级</w:t>
            </w:r>
          </w:p>
          <w:p w14:paraId="3C5854FD">
            <w:pPr>
              <w:keepNext w:val="0"/>
              <w:keepLines w:val="0"/>
              <w:suppressLineNumbers w:val="0"/>
              <w:spacing w:before="0" w:beforeAutospacing="0" w:after="0" w:afterAutospacing="0"/>
              <w:ind w:left="0" w:right="0" w:firstLine="480"/>
              <w:rPr>
                <w:rFonts w:hint="default"/>
                <w:color w:val="auto"/>
                <w:highlight w:val="none"/>
              </w:rPr>
            </w:pPr>
            <w:r>
              <w:rPr>
                <w:rFonts w:hint="eastAsia"/>
                <w:color w:val="auto"/>
                <w:highlight w:val="none"/>
              </w:rPr>
              <w:t>设第</w:t>
            </w:r>
            <w:r>
              <w:rPr>
                <w:rFonts w:hint="default"/>
                <w:color w:val="auto"/>
                <w:highlight w:val="none"/>
              </w:rPr>
              <w:t>i</w:t>
            </w:r>
            <w:r>
              <w:rPr>
                <w:rFonts w:hint="eastAsia"/>
                <w:color w:val="auto"/>
                <w:highlight w:val="none"/>
              </w:rPr>
              <w:t>个室外声源在预测点产生的</w:t>
            </w:r>
            <w:r>
              <w:rPr>
                <w:rFonts w:hint="default"/>
                <w:color w:val="auto"/>
                <w:highlight w:val="none"/>
              </w:rPr>
              <w:t>A</w:t>
            </w:r>
            <w:r>
              <w:rPr>
                <w:rFonts w:hint="eastAsia"/>
                <w:color w:val="auto"/>
                <w:highlight w:val="none"/>
              </w:rPr>
              <w:t>声级为</w:t>
            </w:r>
            <w:r>
              <w:rPr>
                <w:rFonts w:hint="default"/>
                <w:color w:val="auto"/>
                <w:highlight w:val="none"/>
              </w:rPr>
              <w:t>LAin</w:t>
            </w:r>
            <w:r>
              <w:rPr>
                <w:rFonts w:hint="eastAsia"/>
                <w:color w:val="auto"/>
                <w:highlight w:val="none"/>
              </w:rPr>
              <w:t>，</w:t>
            </w:r>
            <w:r>
              <w:rPr>
                <w:rFonts w:hint="default"/>
                <w:color w:val="auto"/>
                <w:highlight w:val="none"/>
              </w:rPr>
              <w:t>i</w:t>
            </w:r>
            <w:r>
              <w:rPr>
                <w:rFonts w:hint="eastAsia"/>
                <w:color w:val="auto"/>
                <w:highlight w:val="none"/>
              </w:rPr>
              <w:t>，在</w:t>
            </w:r>
            <w:r>
              <w:rPr>
                <w:rFonts w:hint="default"/>
                <w:color w:val="auto"/>
                <w:highlight w:val="none"/>
              </w:rPr>
              <w:t>T</w:t>
            </w:r>
            <w:r>
              <w:rPr>
                <w:rFonts w:hint="eastAsia"/>
                <w:color w:val="auto"/>
                <w:highlight w:val="none"/>
              </w:rPr>
              <w:t>时间内该声源工作</w:t>
            </w:r>
          </w:p>
          <w:p w14:paraId="157BFE71">
            <w:pPr>
              <w:keepNext w:val="0"/>
              <w:keepLines w:val="0"/>
              <w:suppressLineNumbers w:val="0"/>
              <w:spacing w:before="0" w:beforeAutospacing="0" w:after="0" w:afterAutospacing="0"/>
              <w:ind w:left="0" w:right="0" w:firstLine="480"/>
              <w:rPr>
                <w:rFonts w:hint="default"/>
                <w:color w:val="auto"/>
                <w:highlight w:val="none"/>
              </w:rPr>
            </w:pPr>
            <w:r>
              <w:rPr>
                <w:rFonts w:hint="eastAsia"/>
                <w:color w:val="auto"/>
                <w:highlight w:val="none"/>
              </w:rPr>
              <w:t>时间为</w:t>
            </w:r>
            <w:r>
              <w:rPr>
                <w:rFonts w:hint="default"/>
                <w:color w:val="auto"/>
                <w:highlight w:val="none"/>
              </w:rPr>
              <w:t>tin</w:t>
            </w:r>
            <w:r>
              <w:rPr>
                <w:rFonts w:hint="eastAsia"/>
                <w:color w:val="auto"/>
                <w:highlight w:val="none"/>
              </w:rPr>
              <w:t>，</w:t>
            </w:r>
            <w:r>
              <w:rPr>
                <w:rFonts w:hint="default"/>
                <w:color w:val="auto"/>
                <w:highlight w:val="none"/>
              </w:rPr>
              <w:t>i</w:t>
            </w:r>
            <w:r>
              <w:rPr>
                <w:rFonts w:hint="eastAsia"/>
                <w:color w:val="auto"/>
                <w:highlight w:val="none"/>
              </w:rPr>
              <w:t>；第</w:t>
            </w:r>
            <w:r>
              <w:rPr>
                <w:rFonts w:hint="default"/>
                <w:color w:val="auto"/>
                <w:highlight w:val="none"/>
              </w:rPr>
              <w:t>j</w:t>
            </w:r>
            <w:r>
              <w:rPr>
                <w:rFonts w:hint="eastAsia"/>
                <w:color w:val="auto"/>
                <w:highlight w:val="none"/>
              </w:rPr>
              <w:t>个等效室外声源在预测点产生的</w:t>
            </w:r>
            <w:r>
              <w:rPr>
                <w:rFonts w:hint="default"/>
                <w:color w:val="auto"/>
                <w:highlight w:val="none"/>
              </w:rPr>
              <w:t>A</w:t>
            </w:r>
            <w:r>
              <w:rPr>
                <w:rFonts w:hint="eastAsia"/>
                <w:color w:val="auto"/>
                <w:highlight w:val="none"/>
              </w:rPr>
              <w:t>声级为</w:t>
            </w:r>
            <w:r>
              <w:rPr>
                <w:rFonts w:hint="default"/>
                <w:color w:val="auto"/>
                <w:highlight w:val="none"/>
              </w:rPr>
              <w:t>LAout</w:t>
            </w:r>
            <w:r>
              <w:rPr>
                <w:rFonts w:hint="eastAsia"/>
                <w:color w:val="auto"/>
                <w:highlight w:val="none"/>
              </w:rPr>
              <w:t>，</w:t>
            </w:r>
            <w:r>
              <w:rPr>
                <w:rFonts w:hint="default"/>
                <w:color w:val="auto"/>
                <w:highlight w:val="none"/>
              </w:rPr>
              <w:t>j</w:t>
            </w:r>
            <w:r>
              <w:rPr>
                <w:rFonts w:hint="eastAsia"/>
                <w:color w:val="auto"/>
                <w:highlight w:val="none"/>
              </w:rPr>
              <w:t>，在</w:t>
            </w:r>
            <w:r>
              <w:rPr>
                <w:rFonts w:hint="default"/>
                <w:color w:val="auto"/>
                <w:highlight w:val="none"/>
              </w:rPr>
              <w:t>T</w:t>
            </w:r>
            <w:r>
              <w:rPr>
                <w:rFonts w:hint="eastAsia"/>
                <w:color w:val="auto"/>
                <w:highlight w:val="none"/>
              </w:rPr>
              <w:t>时间内</w:t>
            </w:r>
          </w:p>
          <w:p w14:paraId="26A18021">
            <w:pPr>
              <w:keepNext w:val="0"/>
              <w:keepLines w:val="0"/>
              <w:suppressLineNumbers w:val="0"/>
              <w:spacing w:before="0" w:beforeAutospacing="0" w:after="0" w:afterAutospacing="0"/>
              <w:ind w:left="0" w:right="0" w:firstLine="480"/>
              <w:rPr>
                <w:rFonts w:hint="default"/>
                <w:color w:val="auto"/>
                <w:highlight w:val="none"/>
              </w:rPr>
            </w:pPr>
            <w:r>
              <w:rPr>
                <w:rFonts w:hint="eastAsia"/>
                <w:color w:val="auto"/>
                <w:highlight w:val="none"/>
              </w:rPr>
              <w:t>该声源工作时间为</w:t>
            </w:r>
            <w:r>
              <w:rPr>
                <w:rFonts w:hint="default"/>
                <w:color w:val="auto"/>
                <w:highlight w:val="none"/>
              </w:rPr>
              <w:t>tout</w:t>
            </w:r>
            <w:r>
              <w:rPr>
                <w:rFonts w:hint="eastAsia"/>
                <w:color w:val="auto"/>
                <w:highlight w:val="none"/>
              </w:rPr>
              <w:t>，</w:t>
            </w:r>
            <w:r>
              <w:rPr>
                <w:rFonts w:hint="default"/>
                <w:color w:val="auto"/>
                <w:highlight w:val="none"/>
              </w:rPr>
              <w:t>j</w:t>
            </w:r>
            <w:r>
              <w:rPr>
                <w:rFonts w:hint="eastAsia"/>
                <w:color w:val="auto"/>
                <w:highlight w:val="none"/>
              </w:rPr>
              <w:t>，则预测点的总等效声级为</w:t>
            </w:r>
          </w:p>
          <w:p w14:paraId="4B44C75D">
            <w:pPr>
              <w:pStyle w:val="39"/>
              <w:keepNext w:val="0"/>
              <w:keepLines w:val="0"/>
              <w:suppressLineNumbers w:val="0"/>
              <w:bidi w:val="0"/>
              <w:spacing w:before="0" w:beforeAutospacing="0" w:after="0" w:afterAutospacing="0"/>
              <w:ind w:left="0" w:right="0"/>
              <w:rPr>
                <w:rFonts w:hint="default"/>
                <w:color w:val="auto"/>
              </w:rPr>
            </w:pPr>
            <w:r>
              <w:rPr>
                <w:rFonts w:hint="default"/>
                <w:color w:val="auto"/>
              </w:rPr>
              <w:drawing>
                <wp:inline distT="0" distB="0" distL="114300" distR="114300">
                  <wp:extent cx="4300855" cy="619760"/>
                  <wp:effectExtent l="0" t="0" r="0" b="0"/>
                  <wp:docPr id="6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7"/>
                          <pic:cNvPicPr>
                            <a:picLocks noChangeAspect="1"/>
                          </pic:cNvPicPr>
                        </pic:nvPicPr>
                        <pic:blipFill>
                          <a:blip r:embed="rId27"/>
                          <a:srcRect b="15717"/>
                          <a:stretch>
                            <a:fillRect/>
                          </a:stretch>
                        </pic:blipFill>
                        <pic:spPr>
                          <a:xfrm>
                            <a:off x="0" y="0"/>
                            <a:ext cx="4300855" cy="619760"/>
                          </a:xfrm>
                          <a:prstGeom prst="rect">
                            <a:avLst/>
                          </a:prstGeom>
                          <a:noFill/>
                          <a:ln>
                            <a:noFill/>
                          </a:ln>
                        </pic:spPr>
                      </pic:pic>
                    </a:graphicData>
                  </a:graphic>
                </wp:inline>
              </w:drawing>
            </w:r>
          </w:p>
          <w:p w14:paraId="1F3E8E0B">
            <w:pPr>
              <w:keepNext w:val="0"/>
              <w:keepLines w:val="0"/>
              <w:suppressLineNumbers w:val="0"/>
              <w:bidi w:val="0"/>
              <w:spacing w:before="0" w:beforeAutospacing="0" w:after="0" w:afterAutospacing="0"/>
              <w:ind w:left="0" w:right="0"/>
              <w:rPr>
                <w:rFonts w:hint="default"/>
                <w:color w:val="auto"/>
              </w:rPr>
            </w:pPr>
            <w:r>
              <w:rPr>
                <w:rFonts w:hint="eastAsia"/>
                <w:color w:val="auto"/>
              </w:rPr>
              <w:t>式中：</w:t>
            </w:r>
            <w:r>
              <w:rPr>
                <w:rFonts w:hint="default"/>
                <w:color w:val="auto"/>
              </w:rPr>
              <w:t>T</w:t>
            </w:r>
            <w:r>
              <w:rPr>
                <w:rFonts w:hint="eastAsia"/>
                <w:color w:val="auto"/>
              </w:rPr>
              <w:t>为计算等效声级的时间，</w:t>
            </w:r>
            <w:r>
              <w:rPr>
                <w:rFonts w:hint="default"/>
                <w:color w:val="auto"/>
              </w:rPr>
              <w:t>N</w:t>
            </w:r>
            <w:r>
              <w:rPr>
                <w:rFonts w:hint="eastAsia"/>
                <w:color w:val="auto"/>
              </w:rPr>
              <w:t>为室外声源个数，</w:t>
            </w:r>
            <w:r>
              <w:rPr>
                <w:rFonts w:hint="default"/>
                <w:color w:val="auto"/>
              </w:rPr>
              <w:t>M</w:t>
            </w:r>
            <w:r>
              <w:rPr>
                <w:rFonts w:hint="eastAsia"/>
                <w:color w:val="auto"/>
              </w:rPr>
              <w:t>为等效室外声源个数。</w:t>
            </w:r>
          </w:p>
          <w:p w14:paraId="0BB908F2">
            <w:pPr>
              <w:keepNext w:val="0"/>
              <w:keepLines w:val="0"/>
              <w:suppressLineNumbers w:val="0"/>
              <w:bidi w:val="0"/>
              <w:spacing w:before="0" w:beforeAutospacing="0" w:after="0" w:afterAutospacing="0"/>
              <w:ind w:left="0" w:right="0"/>
              <w:rPr>
                <w:rFonts w:hint="eastAsia"/>
                <w:color w:val="auto"/>
              </w:rPr>
            </w:pPr>
            <w:r>
              <w:rPr>
                <w:rFonts w:hint="eastAsia"/>
                <w:color w:val="auto"/>
              </w:rPr>
              <w:t>根据上述的预测方法和模式，根据平面布置图、高噪声设备数量及距厂界距离，在考虑采取设备噪声隔声、减振、消声等措施的情况下，计算对距离最近的四个厂界的噪声贡献值。本项目预测结果详见下表：</w:t>
            </w:r>
          </w:p>
          <w:p w14:paraId="2F1A2DF4">
            <w:pPr>
              <w:pStyle w:val="53"/>
              <w:keepNext w:val="0"/>
              <w:keepLines w:val="0"/>
              <w:suppressLineNumbers w:val="0"/>
              <w:bidi w:val="0"/>
              <w:spacing w:before="0" w:beforeAutospacing="0" w:after="0" w:afterAutospacing="0"/>
              <w:ind w:left="0" w:right="0"/>
              <w:rPr>
                <w:rFonts w:hint="default"/>
                <w:color w:val="auto"/>
              </w:rPr>
            </w:pPr>
            <w:r>
              <w:rPr>
                <w:rFonts w:hint="default"/>
                <w:color w:val="auto"/>
              </w:rPr>
              <w:t>表</w:t>
            </w:r>
            <w:r>
              <w:rPr>
                <w:rFonts w:hint="eastAsia"/>
                <w:color w:val="auto"/>
              </w:rPr>
              <w:t>4-</w:t>
            </w:r>
            <w:r>
              <w:rPr>
                <w:rFonts w:hint="eastAsia"/>
                <w:color w:val="auto"/>
                <w:lang w:val="en-US" w:eastAsia="zh-CN"/>
              </w:rPr>
              <w:t>16</w:t>
            </w:r>
            <w:r>
              <w:rPr>
                <w:rFonts w:hint="eastAsia"/>
                <w:color w:val="auto"/>
                <w:lang w:eastAsia="zh-CN"/>
              </w:rPr>
              <w:t xml:space="preserve">  </w:t>
            </w:r>
            <w:r>
              <w:rPr>
                <w:rFonts w:hint="default"/>
                <w:color w:val="auto"/>
              </w:rPr>
              <w:t>项目厂界噪声预测结果一览表（单位：dB(A</w:t>
            </w:r>
            <w:r>
              <w:rPr>
                <w:rFonts w:hint="eastAsia"/>
                <w:color w:val="auto"/>
                <w:lang w:eastAsia="zh-CN"/>
              </w:rPr>
              <w:t>）</w:t>
            </w:r>
            <w:r>
              <w:rPr>
                <w:rFonts w:hint="default"/>
                <w:color w:val="auto"/>
              </w:rPr>
              <w:t>）</w:t>
            </w:r>
          </w:p>
          <w:tbl>
            <w:tblPr>
              <w:tblStyle w:val="1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537"/>
              <w:gridCol w:w="600"/>
              <w:gridCol w:w="517"/>
              <w:gridCol w:w="600"/>
              <w:gridCol w:w="883"/>
              <w:gridCol w:w="2753"/>
              <w:gridCol w:w="1003"/>
            </w:tblGrid>
            <w:tr w14:paraId="1C735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973" w:type="pct"/>
                  <w:vMerge w:val="restart"/>
                  <w:noWrap w:val="0"/>
                  <w:vAlign w:val="center"/>
                </w:tcPr>
                <w:p w14:paraId="7C8CCB6F">
                  <w:pPr>
                    <w:pStyle w:val="46"/>
                    <w:keepNext w:val="0"/>
                    <w:keepLines w:val="0"/>
                    <w:suppressLineNumbers w:val="0"/>
                    <w:bidi w:val="0"/>
                    <w:spacing w:before="0" w:beforeAutospacing="0" w:after="0" w:afterAutospacing="0"/>
                    <w:rPr>
                      <w:b/>
                      <w:bCs/>
                      <w:color w:val="auto"/>
                    </w:rPr>
                  </w:pPr>
                  <w:r>
                    <w:rPr>
                      <w:b/>
                      <w:bCs/>
                      <w:color w:val="auto"/>
                    </w:rPr>
                    <w:t>测点号及位置</w:t>
                  </w:r>
                </w:p>
              </w:tc>
              <w:tc>
                <w:tcPr>
                  <w:tcW w:w="1087" w:type="pct"/>
                  <w:gridSpan w:val="3"/>
                  <w:noWrap w:val="0"/>
                  <w:vAlign w:val="center"/>
                </w:tcPr>
                <w:p w14:paraId="339C15A5">
                  <w:pPr>
                    <w:pStyle w:val="46"/>
                    <w:keepNext w:val="0"/>
                    <w:keepLines w:val="0"/>
                    <w:suppressLineNumbers w:val="0"/>
                    <w:bidi w:val="0"/>
                    <w:spacing w:before="0" w:beforeAutospacing="0" w:after="0" w:afterAutospacing="0"/>
                    <w:rPr>
                      <w:rFonts w:hint="default" w:eastAsia="宋体"/>
                      <w:b/>
                      <w:bCs/>
                      <w:color w:val="auto"/>
                      <w:lang w:val="en-US" w:eastAsia="zh-CN"/>
                    </w:rPr>
                  </w:pPr>
                  <w:r>
                    <w:rPr>
                      <w:rFonts w:hint="eastAsia"/>
                      <w:b/>
                      <w:bCs/>
                      <w:color w:val="auto"/>
                      <w:lang w:val="en-US" w:eastAsia="zh-CN"/>
                    </w:rPr>
                    <w:t>空间相对位置/m</w:t>
                  </w:r>
                </w:p>
              </w:tc>
              <w:tc>
                <w:tcPr>
                  <w:tcW w:w="559" w:type="pct"/>
                  <w:noWrap w:val="0"/>
                  <w:vAlign w:val="center"/>
                </w:tcPr>
                <w:p w14:paraId="64EDCBEE">
                  <w:pPr>
                    <w:pStyle w:val="46"/>
                    <w:keepNext w:val="0"/>
                    <w:keepLines w:val="0"/>
                    <w:suppressLineNumbers w:val="0"/>
                    <w:bidi w:val="0"/>
                    <w:spacing w:before="0" w:beforeAutospacing="0" w:after="0" w:afterAutospacing="0"/>
                    <w:rPr>
                      <w:b/>
                      <w:bCs/>
                      <w:color w:val="auto"/>
                    </w:rPr>
                  </w:pPr>
                  <w:r>
                    <w:rPr>
                      <w:b/>
                      <w:bCs/>
                      <w:color w:val="auto"/>
                    </w:rPr>
                    <w:t>Leq</w:t>
                  </w:r>
                </w:p>
              </w:tc>
              <w:tc>
                <w:tcPr>
                  <w:tcW w:w="1743" w:type="pct"/>
                  <w:vMerge w:val="restart"/>
                  <w:noWrap w:val="0"/>
                  <w:vAlign w:val="center"/>
                </w:tcPr>
                <w:p w14:paraId="322DD62B">
                  <w:pPr>
                    <w:pStyle w:val="46"/>
                    <w:keepNext w:val="0"/>
                    <w:keepLines w:val="0"/>
                    <w:suppressLineNumbers w:val="0"/>
                    <w:bidi w:val="0"/>
                    <w:spacing w:before="0" w:beforeAutospacing="0" w:after="0" w:afterAutospacing="0"/>
                    <w:rPr>
                      <w:rFonts w:hint="default" w:eastAsia="宋体"/>
                      <w:b/>
                      <w:bCs/>
                      <w:color w:val="auto"/>
                      <w:lang w:val="en-US" w:eastAsia="zh-CN"/>
                    </w:rPr>
                  </w:pPr>
                  <w:r>
                    <w:rPr>
                      <w:rFonts w:hint="eastAsia"/>
                      <w:b/>
                      <w:bCs/>
                      <w:color w:val="auto"/>
                      <w:lang w:val="en-US" w:eastAsia="zh-CN"/>
                    </w:rPr>
                    <w:t>标准限值</w:t>
                  </w:r>
                </w:p>
              </w:tc>
              <w:tc>
                <w:tcPr>
                  <w:tcW w:w="635" w:type="pct"/>
                  <w:vMerge w:val="restart"/>
                  <w:noWrap w:val="0"/>
                  <w:vAlign w:val="center"/>
                </w:tcPr>
                <w:p w14:paraId="12A979E1">
                  <w:pPr>
                    <w:pStyle w:val="46"/>
                    <w:keepNext w:val="0"/>
                    <w:keepLines w:val="0"/>
                    <w:suppressLineNumbers w:val="0"/>
                    <w:bidi w:val="0"/>
                    <w:spacing w:before="0" w:beforeAutospacing="0" w:after="0" w:afterAutospacing="0"/>
                    <w:rPr>
                      <w:color w:val="auto"/>
                    </w:rPr>
                  </w:pPr>
                  <w:r>
                    <w:rPr>
                      <w:b/>
                      <w:bCs/>
                      <w:color w:val="auto"/>
                    </w:rPr>
                    <w:t>达标情况</w:t>
                  </w:r>
                </w:p>
              </w:tc>
            </w:tr>
            <w:tr w14:paraId="6F8F8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973" w:type="pct"/>
                  <w:vMerge w:val="continue"/>
                  <w:noWrap w:val="0"/>
                  <w:vAlign w:val="center"/>
                </w:tcPr>
                <w:p w14:paraId="14C8E800">
                  <w:pPr>
                    <w:pStyle w:val="46"/>
                    <w:keepNext w:val="0"/>
                    <w:keepLines w:val="0"/>
                    <w:suppressLineNumbers w:val="0"/>
                    <w:bidi w:val="0"/>
                    <w:spacing w:before="0" w:beforeAutospacing="0" w:after="0" w:afterAutospacing="0"/>
                    <w:rPr>
                      <w:b/>
                      <w:bCs/>
                      <w:color w:val="auto"/>
                    </w:rPr>
                  </w:pPr>
                </w:p>
              </w:tc>
              <w:tc>
                <w:tcPr>
                  <w:tcW w:w="380" w:type="pct"/>
                  <w:noWrap w:val="0"/>
                  <w:vAlign w:val="center"/>
                </w:tcPr>
                <w:p w14:paraId="2803D679">
                  <w:pPr>
                    <w:pStyle w:val="46"/>
                    <w:keepNext w:val="0"/>
                    <w:keepLines w:val="0"/>
                    <w:suppressLineNumbers w:val="0"/>
                    <w:bidi w:val="0"/>
                    <w:spacing w:before="0" w:beforeAutospacing="0" w:after="0" w:afterAutospacing="0"/>
                    <w:rPr>
                      <w:rFonts w:hint="eastAsia" w:eastAsia="宋体"/>
                      <w:b/>
                      <w:bCs/>
                      <w:color w:val="auto"/>
                      <w:lang w:val="en-US" w:eastAsia="zh-CN"/>
                    </w:rPr>
                  </w:pPr>
                  <w:r>
                    <w:rPr>
                      <w:rFonts w:hint="eastAsia"/>
                      <w:b/>
                      <w:bCs/>
                      <w:color w:val="auto"/>
                      <w:lang w:val="en-US" w:eastAsia="zh-CN"/>
                    </w:rPr>
                    <w:t>X</w:t>
                  </w:r>
                </w:p>
              </w:tc>
              <w:tc>
                <w:tcPr>
                  <w:tcW w:w="327" w:type="pct"/>
                  <w:noWrap w:val="0"/>
                  <w:vAlign w:val="center"/>
                </w:tcPr>
                <w:p w14:paraId="55898789">
                  <w:pPr>
                    <w:pStyle w:val="46"/>
                    <w:keepNext w:val="0"/>
                    <w:keepLines w:val="0"/>
                    <w:suppressLineNumbers w:val="0"/>
                    <w:bidi w:val="0"/>
                    <w:spacing w:before="0" w:beforeAutospacing="0" w:after="0" w:afterAutospacing="0"/>
                    <w:rPr>
                      <w:rFonts w:hint="eastAsia" w:eastAsia="宋体"/>
                      <w:b/>
                      <w:bCs/>
                      <w:color w:val="auto"/>
                      <w:lang w:val="en-US" w:eastAsia="zh-CN"/>
                    </w:rPr>
                  </w:pPr>
                  <w:r>
                    <w:rPr>
                      <w:rFonts w:hint="eastAsia"/>
                      <w:b/>
                      <w:bCs/>
                      <w:color w:val="auto"/>
                      <w:lang w:val="en-US" w:eastAsia="zh-CN"/>
                    </w:rPr>
                    <w:t>Y</w:t>
                  </w:r>
                </w:p>
              </w:tc>
              <w:tc>
                <w:tcPr>
                  <w:tcW w:w="380" w:type="pct"/>
                  <w:noWrap w:val="0"/>
                  <w:vAlign w:val="center"/>
                </w:tcPr>
                <w:p w14:paraId="2B453134">
                  <w:pPr>
                    <w:pStyle w:val="46"/>
                    <w:keepNext w:val="0"/>
                    <w:keepLines w:val="0"/>
                    <w:suppressLineNumbers w:val="0"/>
                    <w:bidi w:val="0"/>
                    <w:spacing w:before="0" w:beforeAutospacing="0" w:after="0" w:afterAutospacing="0"/>
                    <w:rPr>
                      <w:rFonts w:hint="eastAsia" w:eastAsia="宋体"/>
                      <w:b/>
                      <w:bCs/>
                      <w:color w:val="auto"/>
                      <w:lang w:val="en-US" w:eastAsia="zh-CN"/>
                    </w:rPr>
                  </w:pPr>
                  <w:r>
                    <w:rPr>
                      <w:rFonts w:hint="eastAsia"/>
                      <w:b/>
                      <w:bCs/>
                      <w:color w:val="auto"/>
                      <w:lang w:val="en-US" w:eastAsia="zh-CN"/>
                    </w:rPr>
                    <w:t>Z</w:t>
                  </w:r>
                </w:p>
              </w:tc>
              <w:tc>
                <w:tcPr>
                  <w:tcW w:w="559" w:type="pct"/>
                  <w:noWrap w:val="0"/>
                  <w:vAlign w:val="center"/>
                </w:tcPr>
                <w:p w14:paraId="3A74D5EA">
                  <w:pPr>
                    <w:pStyle w:val="46"/>
                    <w:keepNext w:val="0"/>
                    <w:keepLines w:val="0"/>
                    <w:suppressLineNumbers w:val="0"/>
                    <w:bidi w:val="0"/>
                    <w:spacing w:before="0" w:beforeAutospacing="0" w:after="0" w:afterAutospacing="0"/>
                    <w:rPr>
                      <w:b/>
                      <w:bCs/>
                      <w:color w:val="auto"/>
                    </w:rPr>
                  </w:pPr>
                  <w:r>
                    <w:rPr>
                      <w:b/>
                      <w:bCs/>
                      <w:color w:val="auto"/>
                    </w:rPr>
                    <w:t>贡献值</w:t>
                  </w:r>
                </w:p>
              </w:tc>
              <w:tc>
                <w:tcPr>
                  <w:tcW w:w="1743" w:type="pct"/>
                  <w:vMerge w:val="continue"/>
                  <w:noWrap w:val="0"/>
                  <w:vAlign w:val="center"/>
                </w:tcPr>
                <w:p w14:paraId="7E6E131C">
                  <w:pPr>
                    <w:pStyle w:val="46"/>
                    <w:keepNext w:val="0"/>
                    <w:keepLines w:val="0"/>
                    <w:suppressLineNumbers w:val="0"/>
                    <w:bidi w:val="0"/>
                    <w:spacing w:before="0" w:beforeAutospacing="0" w:after="0" w:afterAutospacing="0"/>
                    <w:rPr>
                      <w:color w:val="auto"/>
                    </w:rPr>
                  </w:pPr>
                </w:p>
              </w:tc>
              <w:tc>
                <w:tcPr>
                  <w:tcW w:w="635" w:type="pct"/>
                  <w:vMerge w:val="continue"/>
                  <w:noWrap w:val="0"/>
                  <w:vAlign w:val="center"/>
                </w:tcPr>
                <w:p w14:paraId="6C8A0B5A">
                  <w:pPr>
                    <w:pStyle w:val="46"/>
                    <w:keepNext w:val="0"/>
                    <w:keepLines w:val="0"/>
                    <w:suppressLineNumbers w:val="0"/>
                    <w:bidi w:val="0"/>
                    <w:spacing w:before="0" w:beforeAutospacing="0" w:after="0" w:afterAutospacing="0"/>
                    <w:rPr>
                      <w:color w:val="auto"/>
                    </w:rPr>
                  </w:pPr>
                </w:p>
              </w:tc>
            </w:tr>
            <w:tr w14:paraId="3100E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973" w:type="pct"/>
                  <w:shd w:val="clear" w:color="auto" w:fill="auto"/>
                  <w:noWrap w:val="0"/>
                  <w:vAlign w:val="center"/>
                </w:tcPr>
                <w:p w14:paraId="78D459C7">
                  <w:pPr>
                    <w:pStyle w:val="46"/>
                    <w:keepNext w:val="0"/>
                    <w:keepLines w:val="0"/>
                    <w:suppressLineNumbers w:val="0"/>
                    <w:bidi w:val="0"/>
                    <w:spacing w:before="0" w:beforeAutospacing="0" w:after="0" w:afterAutospacing="0"/>
                    <w:rPr>
                      <w:rFonts w:hint="eastAsia"/>
                      <w:color w:val="auto"/>
                      <w:lang w:val="en-US" w:eastAsia="zh-CN"/>
                    </w:rPr>
                  </w:pPr>
                  <w:r>
                    <w:rPr>
                      <w:color w:val="auto"/>
                    </w:rPr>
                    <w:t>N1东厂界</w:t>
                  </w:r>
                </w:p>
              </w:tc>
              <w:tc>
                <w:tcPr>
                  <w:tcW w:w="380" w:type="pct"/>
                  <w:shd w:val="clear" w:color="auto" w:fill="auto"/>
                  <w:noWrap w:val="0"/>
                  <w:vAlign w:val="center"/>
                </w:tcPr>
                <w:p w14:paraId="1C01336E">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45</w:t>
                  </w:r>
                </w:p>
              </w:tc>
              <w:tc>
                <w:tcPr>
                  <w:tcW w:w="327" w:type="pct"/>
                  <w:shd w:val="clear" w:color="auto" w:fill="auto"/>
                  <w:noWrap w:val="0"/>
                  <w:vAlign w:val="center"/>
                </w:tcPr>
                <w:p w14:paraId="3AB728E1">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7</w:t>
                  </w:r>
                </w:p>
              </w:tc>
              <w:tc>
                <w:tcPr>
                  <w:tcW w:w="380" w:type="pct"/>
                  <w:shd w:val="clear" w:color="auto" w:fill="auto"/>
                  <w:noWrap w:val="0"/>
                  <w:vAlign w:val="center"/>
                </w:tcPr>
                <w:p w14:paraId="652FAD4C">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1.2</w:t>
                  </w:r>
                </w:p>
              </w:tc>
              <w:tc>
                <w:tcPr>
                  <w:tcW w:w="559" w:type="pct"/>
                  <w:shd w:val="clear" w:color="auto" w:fill="auto"/>
                  <w:noWrap w:val="0"/>
                  <w:vAlign w:val="center"/>
                </w:tcPr>
                <w:p w14:paraId="6E9D7457">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57.5</w:t>
                  </w:r>
                </w:p>
              </w:tc>
              <w:tc>
                <w:tcPr>
                  <w:tcW w:w="1743" w:type="pct"/>
                  <w:vMerge w:val="restart"/>
                  <w:shd w:val="clear" w:color="auto" w:fill="auto"/>
                  <w:noWrap w:val="0"/>
                  <w:vAlign w:val="center"/>
                </w:tcPr>
                <w:p w14:paraId="150104A6">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auto"/>
                      <w:kern w:val="2"/>
                      <w:sz w:val="21"/>
                      <w:szCs w:val="21"/>
                      <w:lang w:val="en-US" w:eastAsia="zh-CN" w:bidi="ar-SA"/>
                    </w:rPr>
                  </w:pPr>
                  <w:r>
                    <w:rPr>
                      <w:rFonts w:hint="eastAsia"/>
                      <w:color w:val="auto"/>
                    </w:rPr>
                    <w:t>GB</w:t>
                  </w:r>
                  <w:r>
                    <w:rPr>
                      <w:rFonts w:hint="eastAsia"/>
                      <w:color w:val="auto"/>
                      <w:lang w:val="en-US" w:eastAsia="zh-CN"/>
                    </w:rPr>
                    <w:t xml:space="preserve"> </w:t>
                  </w:r>
                  <w:r>
                    <w:rPr>
                      <w:rFonts w:hint="eastAsia"/>
                      <w:color w:val="auto"/>
                    </w:rPr>
                    <w:t>12348-2008中</w:t>
                  </w:r>
                  <w:r>
                    <w:rPr>
                      <w:rFonts w:hint="eastAsia"/>
                      <w:color w:val="auto"/>
                      <w:lang w:val="en-US" w:eastAsia="zh-CN"/>
                    </w:rPr>
                    <w:t>3</w:t>
                  </w:r>
                  <w:r>
                    <w:rPr>
                      <w:rFonts w:hint="eastAsia"/>
                      <w:color w:val="auto"/>
                    </w:rPr>
                    <w:t>类标准</w:t>
                  </w:r>
                  <w:r>
                    <w:rPr>
                      <w:rFonts w:hint="eastAsia"/>
                      <w:color w:val="auto"/>
                      <w:lang w:eastAsia="zh-CN"/>
                    </w:rPr>
                    <w:t>：</w:t>
                  </w:r>
                  <w:r>
                    <w:rPr>
                      <w:rFonts w:hint="eastAsia"/>
                      <w:color w:val="auto"/>
                    </w:rPr>
                    <w:t>昼</w:t>
                  </w:r>
                  <w:r>
                    <w:rPr>
                      <w:rFonts w:hint="eastAsia"/>
                      <w:color w:val="auto"/>
                      <w:lang w:val="en-US" w:eastAsia="zh-CN"/>
                    </w:rPr>
                    <w:t>间65</w:t>
                  </w:r>
                </w:p>
              </w:tc>
              <w:tc>
                <w:tcPr>
                  <w:tcW w:w="635" w:type="pct"/>
                  <w:shd w:val="clear" w:color="auto" w:fill="auto"/>
                  <w:noWrap w:val="0"/>
                  <w:vAlign w:val="center"/>
                </w:tcPr>
                <w:p w14:paraId="2911649B">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auto"/>
                      <w:kern w:val="2"/>
                      <w:sz w:val="21"/>
                      <w:szCs w:val="21"/>
                      <w:lang w:val="en-US" w:eastAsia="zh-CN" w:bidi="ar-SA"/>
                    </w:rPr>
                  </w:pPr>
                  <w:r>
                    <w:rPr>
                      <w:color w:val="auto"/>
                    </w:rPr>
                    <w:t>达标</w:t>
                  </w:r>
                </w:p>
              </w:tc>
            </w:tr>
            <w:tr w14:paraId="74247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90" w:hRule="atLeast"/>
                <w:jc w:val="center"/>
              </w:trPr>
              <w:tc>
                <w:tcPr>
                  <w:tcW w:w="973" w:type="pct"/>
                  <w:shd w:val="clear" w:color="auto" w:fill="auto"/>
                  <w:noWrap w:val="0"/>
                  <w:vAlign w:val="center"/>
                </w:tcPr>
                <w:p w14:paraId="2FF6E931">
                  <w:pPr>
                    <w:pStyle w:val="46"/>
                    <w:keepNext w:val="0"/>
                    <w:keepLines w:val="0"/>
                    <w:suppressLineNumbers w:val="0"/>
                    <w:bidi w:val="0"/>
                    <w:spacing w:before="0" w:beforeAutospacing="0" w:after="0" w:afterAutospacing="0"/>
                    <w:rPr>
                      <w:rFonts w:hint="eastAsia"/>
                      <w:color w:val="auto"/>
                      <w:lang w:val="en-US" w:eastAsia="zh-CN"/>
                    </w:rPr>
                  </w:pPr>
                  <w:r>
                    <w:rPr>
                      <w:color w:val="auto"/>
                    </w:rPr>
                    <w:t>N2南厂界</w:t>
                  </w:r>
                </w:p>
              </w:tc>
              <w:tc>
                <w:tcPr>
                  <w:tcW w:w="380" w:type="pct"/>
                  <w:shd w:val="clear" w:color="auto" w:fill="auto"/>
                  <w:noWrap w:val="0"/>
                  <w:vAlign w:val="center"/>
                </w:tcPr>
                <w:p w14:paraId="7C1C1062">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-1</w:t>
                  </w:r>
                </w:p>
              </w:tc>
              <w:tc>
                <w:tcPr>
                  <w:tcW w:w="327" w:type="pct"/>
                  <w:shd w:val="clear" w:color="auto" w:fill="auto"/>
                  <w:noWrap w:val="0"/>
                  <w:vAlign w:val="center"/>
                </w:tcPr>
                <w:p w14:paraId="7E23531D">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-120</w:t>
                  </w:r>
                </w:p>
              </w:tc>
              <w:tc>
                <w:tcPr>
                  <w:tcW w:w="380" w:type="pct"/>
                  <w:shd w:val="clear" w:color="auto" w:fill="auto"/>
                  <w:noWrap w:val="0"/>
                  <w:vAlign w:val="center"/>
                </w:tcPr>
                <w:p w14:paraId="393B54BD">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1.2</w:t>
                  </w:r>
                </w:p>
              </w:tc>
              <w:tc>
                <w:tcPr>
                  <w:tcW w:w="559" w:type="pct"/>
                  <w:shd w:val="clear" w:color="auto" w:fill="auto"/>
                  <w:noWrap w:val="0"/>
                  <w:vAlign w:val="center"/>
                </w:tcPr>
                <w:p w14:paraId="7282BBDE">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32.6</w:t>
                  </w:r>
                </w:p>
              </w:tc>
              <w:tc>
                <w:tcPr>
                  <w:tcW w:w="1743" w:type="pct"/>
                  <w:vMerge w:val="continue"/>
                  <w:shd w:val="clear" w:color="auto" w:fill="auto"/>
                  <w:noWrap w:val="0"/>
                  <w:vAlign w:val="center"/>
                </w:tcPr>
                <w:p w14:paraId="59EFD811">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rPr>
                  </w:pPr>
                </w:p>
              </w:tc>
              <w:tc>
                <w:tcPr>
                  <w:tcW w:w="635" w:type="pct"/>
                  <w:shd w:val="clear" w:color="auto" w:fill="auto"/>
                  <w:noWrap w:val="0"/>
                  <w:vAlign w:val="center"/>
                </w:tcPr>
                <w:p w14:paraId="44F03CA2">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auto"/>
                      <w:kern w:val="2"/>
                      <w:sz w:val="21"/>
                      <w:szCs w:val="21"/>
                      <w:lang w:val="en-US" w:eastAsia="zh-CN" w:bidi="ar-SA"/>
                    </w:rPr>
                  </w:pPr>
                  <w:r>
                    <w:rPr>
                      <w:color w:val="auto"/>
                    </w:rPr>
                    <w:t>达标</w:t>
                  </w:r>
                </w:p>
              </w:tc>
            </w:tr>
            <w:tr w14:paraId="4277B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973" w:type="pct"/>
                  <w:shd w:val="clear" w:color="auto" w:fill="auto"/>
                  <w:noWrap w:val="0"/>
                  <w:vAlign w:val="center"/>
                </w:tcPr>
                <w:p w14:paraId="3607D7C3">
                  <w:pPr>
                    <w:pStyle w:val="46"/>
                    <w:keepNext w:val="0"/>
                    <w:keepLines w:val="0"/>
                    <w:suppressLineNumbers w:val="0"/>
                    <w:bidi w:val="0"/>
                    <w:spacing w:before="0" w:beforeAutospacing="0" w:after="0" w:afterAutospacing="0"/>
                    <w:rPr>
                      <w:rFonts w:hint="eastAsia"/>
                      <w:color w:val="auto"/>
                      <w:lang w:val="en-US" w:eastAsia="zh-CN"/>
                    </w:rPr>
                  </w:pPr>
                  <w:r>
                    <w:rPr>
                      <w:color w:val="auto"/>
                    </w:rPr>
                    <w:t>N</w:t>
                  </w:r>
                  <w:r>
                    <w:rPr>
                      <w:rFonts w:hint="eastAsia"/>
                      <w:color w:val="auto"/>
                      <w:lang w:val="en-US" w:eastAsia="zh-CN"/>
                    </w:rPr>
                    <w:t>3</w:t>
                  </w:r>
                  <w:r>
                    <w:rPr>
                      <w:color w:val="auto"/>
                    </w:rPr>
                    <w:t>北厂界</w:t>
                  </w:r>
                </w:p>
              </w:tc>
              <w:tc>
                <w:tcPr>
                  <w:tcW w:w="380" w:type="pct"/>
                  <w:shd w:val="clear" w:color="auto" w:fill="auto"/>
                  <w:noWrap w:val="0"/>
                  <w:vAlign w:val="center"/>
                </w:tcPr>
                <w:p w14:paraId="261F6DD9">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27</w:t>
                  </w:r>
                </w:p>
              </w:tc>
              <w:tc>
                <w:tcPr>
                  <w:tcW w:w="327" w:type="pct"/>
                  <w:shd w:val="clear" w:color="auto" w:fill="auto"/>
                  <w:noWrap w:val="0"/>
                  <w:vAlign w:val="center"/>
                </w:tcPr>
                <w:p w14:paraId="38D29012">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18</w:t>
                  </w:r>
                </w:p>
              </w:tc>
              <w:tc>
                <w:tcPr>
                  <w:tcW w:w="380" w:type="pct"/>
                  <w:shd w:val="clear" w:color="auto" w:fill="auto"/>
                  <w:noWrap w:val="0"/>
                  <w:vAlign w:val="center"/>
                </w:tcPr>
                <w:p w14:paraId="36E57E9D">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1.2</w:t>
                  </w:r>
                </w:p>
              </w:tc>
              <w:tc>
                <w:tcPr>
                  <w:tcW w:w="559" w:type="pct"/>
                  <w:shd w:val="clear" w:color="auto" w:fill="auto"/>
                  <w:noWrap w:val="0"/>
                  <w:vAlign w:val="center"/>
                </w:tcPr>
                <w:p w14:paraId="534B5A22">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64.8</w:t>
                  </w:r>
                </w:p>
              </w:tc>
              <w:tc>
                <w:tcPr>
                  <w:tcW w:w="1743" w:type="pct"/>
                  <w:vMerge w:val="restart"/>
                  <w:noWrap w:val="0"/>
                  <w:vAlign w:val="center"/>
                </w:tcPr>
                <w:p w14:paraId="4D102552">
                  <w:pPr>
                    <w:pStyle w:val="46"/>
                    <w:keepNext w:val="0"/>
                    <w:keepLines w:val="0"/>
                    <w:suppressLineNumbers w:val="0"/>
                    <w:bidi w:val="0"/>
                    <w:spacing w:before="0" w:beforeAutospacing="0" w:after="0" w:afterAutospacing="0"/>
                    <w:rPr>
                      <w:color w:val="auto"/>
                    </w:rPr>
                  </w:pPr>
                  <w:r>
                    <w:rPr>
                      <w:rFonts w:hint="eastAsia"/>
                      <w:color w:val="auto"/>
                    </w:rPr>
                    <w:t>GB</w:t>
                  </w:r>
                  <w:r>
                    <w:rPr>
                      <w:rFonts w:hint="eastAsia"/>
                      <w:color w:val="auto"/>
                      <w:lang w:val="en-US" w:eastAsia="zh-CN"/>
                    </w:rPr>
                    <w:t xml:space="preserve"> </w:t>
                  </w:r>
                  <w:r>
                    <w:rPr>
                      <w:rFonts w:hint="eastAsia"/>
                      <w:color w:val="auto"/>
                    </w:rPr>
                    <w:t>12348-2008中</w:t>
                  </w:r>
                  <w:r>
                    <w:rPr>
                      <w:rFonts w:hint="eastAsia"/>
                      <w:color w:val="auto"/>
                      <w:lang w:val="en-US" w:eastAsia="zh-CN"/>
                    </w:rPr>
                    <w:t>4</w:t>
                  </w:r>
                  <w:r>
                    <w:rPr>
                      <w:rFonts w:hint="eastAsia"/>
                      <w:color w:val="auto"/>
                    </w:rPr>
                    <w:t>类标准</w:t>
                  </w:r>
                  <w:r>
                    <w:rPr>
                      <w:rFonts w:hint="eastAsia"/>
                      <w:color w:val="auto"/>
                      <w:lang w:eastAsia="zh-CN"/>
                    </w:rPr>
                    <w:t>：</w:t>
                  </w:r>
                  <w:r>
                    <w:rPr>
                      <w:rFonts w:hint="eastAsia"/>
                      <w:color w:val="auto"/>
                    </w:rPr>
                    <w:t>昼</w:t>
                  </w:r>
                  <w:r>
                    <w:rPr>
                      <w:rFonts w:hint="eastAsia"/>
                      <w:color w:val="auto"/>
                      <w:lang w:val="en-US" w:eastAsia="zh-CN"/>
                    </w:rPr>
                    <w:t>间70</w:t>
                  </w:r>
                </w:p>
              </w:tc>
              <w:tc>
                <w:tcPr>
                  <w:tcW w:w="635" w:type="pct"/>
                  <w:shd w:val="clear" w:color="auto" w:fill="auto"/>
                  <w:noWrap w:val="0"/>
                  <w:vAlign w:val="center"/>
                </w:tcPr>
                <w:p w14:paraId="7696D8A1">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auto"/>
                      <w:kern w:val="2"/>
                      <w:sz w:val="21"/>
                      <w:szCs w:val="21"/>
                      <w:lang w:val="en-US" w:eastAsia="zh-CN" w:bidi="ar-SA"/>
                    </w:rPr>
                  </w:pPr>
                  <w:r>
                    <w:rPr>
                      <w:color w:val="auto"/>
                    </w:rPr>
                    <w:t>达标</w:t>
                  </w:r>
                </w:p>
              </w:tc>
            </w:tr>
            <w:tr w14:paraId="0C098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973" w:type="pct"/>
                  <w:shd w:val="clear" w:color="auto" w:fill="auto"/>
                  <w:noWrap w:val="0"/>
                  <w:vAlign w:val="center"/>
                </w:tcPr>
                <w:p w14:paraId="6D6F96F4">
                  <w:pPr>
                    <w:pStyle w:val="46"/>
                    <w:keepNext w:val="0"/>
                    <w:keepLines w:val="0"/>
                    <w:suppressLineNumbers w:val="0"/>
                    <w:bidi w:val="0"/>
                    <w:spacing w:before="0" w:beforeAutospacing="0" w:after="0" w:afterAutospacing="0"/>
                    <w:rPr>
                      <w:rFonts w:hint="eastAsia"/>
                      <w:color w:val="auto"/>
                      <w:lang w:val="en-US" w:eastAsia="zh-CN"/>
                    </w:rPr>
                  </w:pPr>
                  <w:r>
                    <w:rPr>
                      <w:color w:val="auto"/>
                    </w:rPr>
                    <w:t>N</w:t>
                  </w:r>
                  <w:r>
                    <w:rPr>
                      <w:rFonts w:hint="eastAsia"/>
                      <w:color w:val="auto"/>
                      <w:lang w:val="en-US" w:eastAsia="zh-CN"/>
                    </w:rPr>
                    <w:t>4</w:t>
                  </w:r>
                  <w:r>
                    <w:rPr>
                      <w:color w:val="auto"/>
                    </w:rPr>
                    <w:t>西厂界</w:t>
                  </w:r>
                </w:p>
              </w:tc>
              <w:tc>
                <w:tcPr>
                  <w:tcW w:w="380" w:type="pct"/>
                  <w:shd w:val="clear" w:color="auto" w:fill="auto"/>
                  <w:noWrap w:val="0"/>
                  <w:vAlign w:val="center"/>
                </w:tcPr>
                <w:p w14:paraId="387F4DAE">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-102</w:t>
                  </w:r>
                </w:p>
              </w:tc>
              <w:tc>
                <w:tcPr>
                  <w:tcW w:w="327" w:type="pct"/>
                  <w:shd w:val="clear" w:color="auto" w:fill="auto"/>
                  <w:noWrap w:val="0"/>
                  <w:vAlign w:val="center"/>
                </w:tcPr>
                <w:p w14:paraId="2661D040">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34</w:t>
                  </w:r>
                </w:p>
              </w:tc>
              <w:tc>
                <w:tcPr>
                  <w:tcW w:w="380" w:type="pct"/>
                  <w:shd w:val="clear" w:color="auto" w:fill="auto"/>
                  <w:noWrap w:val="0"/>
                  <w:vAlign w:val="center"/>
                </w:tcPr>
                <w:p w14:paraId="629AB85F">
                  <w:pPr>
                    <w:pStyle w:val="46"/>
                    <w:keepNext w:val="0"/>
                    <w:keepLines w:val="0"/>
                    <w:suppressLineNumbers w:val="0"/>
                    <w:bidi w:val="0"/>
                    <w:spacing w:before="0" w:beforeAutospacing="0" w:after="0" w:afterAutospacing="0"/>
                    <w:rPr>
                      <w:rFonts w:hint="eastAsia"/>
                      <w:color w:val="auto"/>
                      <w:lang w:val="en-US" w:eastAsia="zh-CN"/>
                    </w:rPr>
                  </w:pPr>
                  <w:r>
                    <w:rPr>
                      <w:rFonts w:hint="eastAsia"/>
                      <w:color w:val="auto"/>
                      <w:lang w:val="en-US" w:eastAsia="zh-CN"/>
                    </w:rPr>
                    <w:t>1.2</w:t>
                  </w:r>
                </w:p>
              </w:tc>
              <w:tc>
                <w:tcPr>
                  <w:tcW w:w="559" w:type="pct"/>
                  <w:shd w:val="clear" w:color="auto" w:fill="auto"/>
                  <w:noWrap w:val="0"/>
                  <w:vAlign w:val="center"/>
                </w:tcPr>
                <w:p w14:paraId="0EE610FD">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28.1</w:t>
                  </w:r>
                </w:p>
              </w:tc>
              <w:tc>
                <w:tcPr>
                  <w:tcW w:w="1743" w:type="pct"/>
                  <w:vMerge w:val="continue"/>
                  <w:noWrap w:val="0"/>
                  <w:vAlign w:val="center"/>
                </w:tcPr>
                <w:p w14:paraId="5092934F">
                  <w:pPr>
                    <w:pStyle w:val="46"/>
                    <w:keepNext w:val="0"/>
                    <w:keepLines w:val="0"/>
                    <w:suppressLineNumbers w:val="0"/>
                    <w:bidi w:val="0"/>
                    <w:spacing w:before="0" w:beforeAutospacing="0" w:after="0" w:afterAutospacing="0"/>
                    <w:rPr>
                      <w:rFonts w:hint="default"/>
                      <w:color w:val="auto"/>
                      <w:lang w:val="en-US"/>
                    </w:rPr>
                  </w:pPr>
                </w:p>
              </w:tc>
              <w:tc>
                <w:tcPr>
                  <w:tcW w:w="635" w:type="pct"/>
                  <w:shd w:val="clear" w:color="auto" w:fill="auto"/>
                  <w:noWrap w:val="0"/>
                  <w:vAlign w:val="center"/>
                </w:tcPr>
                <w:p w14:paraId="5C14EAC1">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auto"/>
                      <w:kern w:val="2"/>
                      <w:sz w:val="21"/>
                      <w:szCs w:val="21"/>
                      <w:lang w:val="en-US" w:eastAsia="zh-CN" w:bidi="ar-SA"/>
                    </w:rPr>
                  </w:pPr>
                  <w:r>
                    <w:rPr>
                      <w:color w:val="auto"/>
                    </w:rPr>
                    <w:t>达标</w:t>
                  </w:r>
                </w:p>
              </w:tc>
            </w:tr>
            <w:tr w14:paraId="72844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40" w:hRule="atLeast"/>
                <w:jc w:val="center"/>
              </w:trPr>
              <w:tc>
                <w:tcPr>
                  <w:tcW w:w="5000" w:type="pct"/>
                  <w:gridSpan w:val="7"/>
                  <w:noWrap w:val="0"/>
                  <w:vAlign w:val="center"/>
                </w:tcPr>
                <w:p w14:paraId="0D5E8E47">
                  <w:pPr>
                    <w:pStyle w:val="46"/>
                    <w:keepNext w:val="0"/>
                    <w:keepLines w:val="0"/>
                    <w:suppressLineNumbers w:val="0"/>
                    <w:bidi w:val="0"/>
                    <w:spacing w:before="0" w:beforeAutospacing="0" w:after="0" w:afterAutospacing="0"/>
                    <w:jc w:val="both"/>
                    <w:rPr>
                      <w:rFonts w:hint="default" w:eastAsia="宋体"/>
                      <w:color w:val="045CE9"/>
                      <w:lang w:val="en-US" w:eastAsia="zh-CN"/>
                    </w:rPr>
                  </w:pPr>
                  <w:r>
                    <w:rPr>
                      <w:rFonts w:hint="eastAsia"/>
                      <w:b/>
                      <w:bCs/>
                      <w:color w:val="auto"/>
                      <w:sz w:val="18"/>
                      <w:szCs w:val="18"/>
                      <w:lang w:val="en-US" w:eastAsia="zh-CN"/>
                    </w:rPr>
                    <w:t>备注：以1#厂房西南角为原点</w:t>
                  </w:r>
                </w:p>
              </w:tc>
            </w:tr>
          </w:tbl>
          <w:p w14:paraId="3D0CD948">
            <w:pPr>
              <w:keepNext w:val="0"/>
              <w:keepLines w:val="0"/>
              <w:suppressLineNumbers w:val="0"/>
              <w:bidi w:val="0"/>
              <w:spacing w:before="0" w:beforeAutospacing="0" w:after="0" w:afterAutospacing="0"/>
              <w:ind w:left="0" w:right="0"/>
              <w:rPr>
                <w:rFonts w:hint="eastAsia"/>
                <w:color w:val="auto"/>
                <w:lang w:eastAsia="zh-CN"/>
              </w:rPr>
            </w:pPr>
            <w:r>
              <w:rPr>
                <w:rFonts w:hint="eastAsia"/>
                <w:color w:val="auto"/>
              </w:rPr>
              <w:t>由上表可知，本项目运营期通过利用厂房隔声和距离衰减的情况下，</w:t>
            </w:r>
            <w:r>
              <w:rPr>
                <w:rFonts w:hint="eastAsia"/>
                <w:color w:val="auto"/>
                <w:lang w:val="en-US" w:eastAsia="zh-CN"/>
              </w:rPr>
              <w:t>项目东、南</w:t>
            </w:r>
            <w:r>
              <w:rPr>
                <w:rFonts w:hint="eastAsia"/>
                <w:color w:val="auto"/>
              </w:rPr>
              <w:t>厂界噪声能够达到《工业企业厂界环境噪声排放标准》</w:t>
            </w:r>
            <w:r>
              <w:rPr>
                <w:rFonts w:hint="eastAsia"/>
                <w:color w:val="auto"/>
                <w:lang w:eastAsia="zh-CN"/>
              </w:rPr>
              <w:t>（</w:t>
            </w:r>
            <w:r>
              <w:rPr>
                <w:rFonts w:hint="default"/>
                <w:color w:val="auto"/>
              </w:rPr>
              <w:t>GB12348-2008</w:t>
            </w:r>
            <w:r>
              <w:rPr>
                <w:rFonts w:hint="eastAsia"/>
                <w:color w:val="auto"/>
                <w:lang w:eastAsia="zh-CN"/>
              </w:rPr>
              <w:t>）</w:t>
            </w:r>
            <w:r>
              <w:rPr>
                <w:rFonts w:hint="eastAsia"/>
                <w:color w:val="auto"/>
              </w:rPr>
              <w:t>中的3类标准要求</w:t>
            </w:r>
            <w:r>
              <w:rPr>
                <w:rFonts w:hint="eastAsia"/>
                <w:color w:val="auto"/>
                <w:lang w:eastAsia="zh-CN"/>
              </w:rPr>
              <w:t>，</w:t>
            </w:r>
            <w:r>
              <w:rPr>
                <w:rFonts w:hint="eastAsia"/>
                <w:color w:val="auto"/>
                <w:lang w:val="en-US" w:eastAsia="zh-CN"/>
              </w:rPr>
              <w:t>西、北侧</w:t>
            </w:r>
            <w:r>
              <w:rPr>
                <w:rFonts w:hint="eastAsia"/>
                <w:color w:val="auto"/>
              </w:rPr>
              <w:t>厂界噪声能够达到《工业企业厂界环境噪声排放标准》</w:t>
            </w:r>
            <w:r>
              <w:rPr>
                <w:rFonts w:hint="eastAsia"/>
                <w:color w:val="auto"/>
                <w:lang w:eastAsia="zh-CN"/>
              </w:rPr>
              <w:t>（</w:t>
            </w:r>
            <w:r>
              <w:rPr>
                <w:rFonts w:hint="default"/>
                <w:color w:val="auto"/>
              </w:rPr>
              <w:t>GB12348-2008</w:t>
            </w:r>
            <w:r>
              <w:rPr>
                <w:rFonts w:hint="eastAsia"/>
                <w:color w:val="auto"/>
                <w:lang w:eastAsia="zh-CN"/>
              </w:rPr>
              <w:t>）</w:t>
            </w:r>
            <w:r>
              <w:rPr>
                <w:rFonts w:hint="eastAsia"/>
                <w:color w:val="auto"/>
              </w:rPr>
              <w:t>中的</w:t>
            </w:r>
            <w:r>
              <w:rPr>
                <w:rFonts w:hint="eastAsia"/>
                <w:color w:val="auto"/>
                <w:lang w:val="en-US" w:eastAsia="zh-CN"/>
              </w:rPr>
              <w:t>4</w:t>
            </w:r>
            <w:r>
              <w:rPr>
                <w:rFonts w:hint="eastAsia"/>
                <w:color w:val="auto"/>
              </w:rPr>
              <w:t>类标准要求</w:t>
            </w:r>
            <w:r>
              <w:rPr>
                <w:rFonts w:hint="eastAsia"/>
                <w:color w:val="auto"/>
                <w:lang w:eastAsia="zh-CN"/>
              </w:rPr>
              <w:t>。</w:t>
            </w:r>
          </w:p>
          <w:p w14:paraId="571D9ED5">
            <w:pPr>
              <w:keepNext w:val="0"/>
              <w:keepLines w:val="0"/>
              <w:suppressLineNumbers w:val="0"/>
              <w:bidi w:val="0"/>
              <w:spacing w:before="0" w:beforeAutospacing="0" w:after="0" w:afterAutospacing="0"/>
              <w:ind w:left="0" w:right="0"/>
              <w:rPr>
                <w:rFonts w:hint="default"/>
                <w:b/>
                <w:bCs/>
                <w:color w:val="auto"/>
              </w:rPr>
            </w:pPr>
            <w:r>
              <w:rPr>
                <w:rFonts w:hint="eastAsia"/>
                <w:b/>
                <w:bCs/>
                <w:color w:val="auto"/>
              </w:rPr>
              <w:t>4、噪声自行监测计划</w:t>
            </w:r>
          </w:p>
          <w:p w14:paraId="38A081AD">
            <w:pPr>
              <w:keepNext w:val="0"/>
              <w:keepLines w:val="0"/>
              <w:suppressLineNumbers w:val="0"/>
              <w:bidi w:val="0"/>
              <w:spacing w:before="0" w:beforeAutospacing="0" w:after="0" w:afterAutospacing="0"/>
              <w:ind w:left="0" w:right="0"/>
              <w:rPr>
                <w:rFonts w:hint="default"/>
                <w:color w:val="auto"/>
                <w:lang w:val="en-GB"/>
              </w:rPr>
            </w:pPr>
            <w:r>
              <w:rPr>
                <w:rFonts w:hint="eastAsia"/>
                <w:color w:val="auto"/>
              </w:rPr>
              <w:t>依据《排污</w:t>
            </w:r>
            <w:r>
              <w:rPr>
                <w:rFonts w:hint="eastAsia"/>
                <w:color w:val="auto"/>
                <w:lang w:val="en-US" w:eastAsia="zh-CN"/>
              </w:rPr>
              <w:t>许可证申请与核发技术规范 工业噪声》</w:t>
            </w:r>
            <w:r>
              <w:rPr>
                <w:rFonts w:hint="eastAsia"/>
                <w:color w:val="auto"/>
              </w:rPr>
              <w:t>（HJ</w:t>
            </w:r>
            <w:r>
              <w:rPr>
                <w:rFonts w:hint="eastAsia"/>
                <w:color w:val="auto"/>
                <w:lang w:val="en-US" w:eastAsia="zh-CN"/>
              </w:rPr>
              <w:t>1301</w:t>
            </w:r>
            <w:r>
              <w:rPr>
                <w:rFonts w:hint="eastAsia"/>
                <w:color w:val="auto"/>
              </w:rPr>
              <w:t>-20</w:t>
            </w:r>
            <w:r>
              <w:rPr>
                <w:rFonts w:hint="eastAsia"/>
                <w:color w:val="auto"/>
                <w:lang w:val="en-US" w:eastAsia="zh-CN"/>
              </w:rPr>
              <w:t>23</w:t>
            </w:r>
            <w:r>
              <w:rPr>
                <w:rFonts w:hint="eastAsia"/>
                <w:color w:val="auto"/>
              </w:rPr>
              <w:t>）</w:t>
            </w:r>
            <w:r>
              <w:rPr>
                <w:rFonts w:hint="eastAsia"/>
                <w:color w:val="auto"/>
                <w:lang w:val="en-GB"/>
              </w:rPr>
              <w:t>，项目</w:t>
            </w:r>
            <w:r>
              <w:rPr>
                <w:rFonts w:hint="eastAsia"/>
                <w:color w:val="auto"/>
              </w:rPr>
              <w:t>噪声排放</w:t>
            </w:r>
            <w:r>
              <w:rPr>
                <w:rFonts w:hint="eastAsia"/>
                <w:color w:val="auto"/>
                <w:lang w:val="en-GB"/>
              </w:rPr>
              <w:t>基本情况及监测要求见</w:t>
            </w:r>
            <w:r>
              <w:rPr>
                <w:rFonts w:hint="eastAsia"/>
                <w:color w:val="auto"/>
              </w:rPr>
              <w:t>下</w:t>
            </w:r>
            <w:r>
              <w:rPr>
                <w:rFonts w:hint="eastAsia"/>
                <w:color w:val="auto"/>
                <w:lang w:val="en-GB"/>
              </w:rPr>
              <w:t>表：</w:t>
            </w:r>
          </w:p>
          <w:p w14:paraId="1B4C1372">
            <w:pPr>
              <w:pStyle w:val="43"/>
              <w:keepNext w:val="0"/>
              <w:keepLines w:val="0"/>
              <w:suppressLineNumbers w:val="0"/>
              <w:bidi w:val="0"/>
              <w:spacing w:before="0" w:beforeAutospacing="0" w:after="0" w:afterAutospacing="0"/>
              <w:ind w:left="0" w:right="0"/>
              <w:rPr>
                <w:rFonts w:hint="default"/>
                <w:color w:val="auto"/>
              </w:rPr>
            </w:pPr>
            <w:r>
              <w:rPr>
                <w:color w:val="auto"/>
              </w:rPr>
              <w:t>表4-</w:t>
            </w:r>
            <w:r>
              <w:rPr>
                <w:rFonts w:hint="eastAsia"/>
                <w:color w:val="auto"/>
                <w:lang w:val="en-US" w:eastAsia="zh-CN"/>
              </w:rPr>
              <w:t>17</w:t>
            </w:r>
            <w:r>
              <w:rPr>
                <w:color w:val="auto"/>
              </w:rPr>
              <w:t xml:space="preserve"> </w:t>
            </w:r>
            <w:r>
              <w:rPr>
                <w:rFonts w:hint="eastAsia"/>
                <w:color w:val="auto"/>
                <w:lang w:val="en-US" w:eastAsia="zh-CN"/>
              </w:rPr>
              <w:t xml:space="preserve"> </w:t>
            </w:r>
            <w:r>
              <w:rPr>
                <w:color w:val="auto"/>
              </w:rPr>
              <w:t>项目营运期厂界噪声环境监测计划</w:t>
            </w:r>
          </w:p>
          <w:tbl>
            <w:tblPr>
              <w:tblStyle w:val="19"/>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46"/>
              <w:gridCol w:w="1112"/>
              <w:gridCol w:w="945"/>
              <w:gridCol w:w="1023"/>
              <w:gridCol w:w="2050"/>
              <w:gridCol w:w="2011"/>
            </w:tblGrid>
            <w:tr w14:paraId="0CE2A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73" w:type="pct"/>
                  <w:vAlign w:val="center"/>
                </w:tcPr>
                <w:p w14:paraId="7EC2E4E3">
                  <w:pPr>
                    <w:pStyle w:val="46"/>
                    <w:keepNext w:val="0"/>
                    <w:keepLines w:val="0"/>
                    <w:suppressLineNumbers w:val="0"/>
                    <w:bidi w:val="0"/>
                    <w:spacing w:before="0" w:beforeAutospacing="0" w:after="0" w:afterAutospacing="0"/>
                    <w:rPr>
                      <w:b/>
                      <w:bCs/>
                      <w:color w:val="auto"/>
                    </w:rPr>
                  </w:pPr>
                  <w:r>
                    <w:rPr>
                      <w:rFonts w:hint="eastAsia"/>
                      <w:b/>
                      <w:bCs/>
                      <w:color w:val="auto"/>
                    </w:rPr>
                    <w:t>监测内容</w:t>
                  </w:r>
                </w:p>
              </w:tc>
              <w:tc>
                <w:tcPr>
                  <w:tcW w:w="705" w:type="pct"/>
                  <w:vAlign w:val="center"/>
                </w:tcPr>
                <w:p w14:paraId="2C9426CE">
                  <w:pPr>
                    <w:pStyle w:val="46"/>
                    <w:keepNext w:val="0"/>
                    <w:keepLines w:val="0"/>
                    <w:suppressLineNumbers w:val="0"/>
                    <w:bidi w:val="0"/>
                    <w:spacing w:before="0" w:beforeAutospacing="0" w:after="0" w:afterAutospacing="0"/>
                    <w:rPr>
                      <w:b/>
                      <w:bCs/>
                      <w:color w:val="auto"/>
                    </w:rPr>
                  </w:pPr>
                  <w:r>
                    <w:rPr>
                      <w:rFonts w:hint="eastAsia"/>
                      <w:b/>
                      <w:bCs/>
                      <w:color w:val="auto"/>
                    </w:rPr>
                    <w:t>监测点位</w:t>
                  </w:r>
                </w:p>
              </w:tc>
              <w:tc>
                <w:tcPr>
                  <w:tcW w:w="599" w:type="pct"/>
                  <w:vAlign w:val="center"/>
                </w:tcPr>
                <w:p w14:paraId="365B731E">
                  <w:pPr>
                    <w:pStyle w:val="46"/>
                    <w:keepNext w:val="0"/>
                    <w:keepLines w:val="0"/>
                    <w:suppressLineNumbers w:val="0"/>
                    <w:bidi w:val="0"/>
                    <w:spacing w:before="0" w:beforeAutospacing="0" w:after="0" w:afterAutospacing="0"/>
                    <w:rPr>
                      <w:b/>
                      <w:bCs/>
                      <w:color w:val="auto"/>
                    </w:rPr>
                  </w:pPr>
                  <w:r>
                    <w:rPr>
                      <w:rFonts w:hint="eastAsia"/>
                      <w:b/>
                      <w:bCs/>
                      <w:color w:val="auto"/>
                    </w:rPr>
                    <w:t>监测项目</w:t>
                  </w:r>
                </w:p>
              </w:tc>
              <w:tc>
                <w:tcPr>
                  <w:tcW w:w="648" w:type="pct"/>
                  <w:vAlign w:val="center"/>
                </w:tcPr>
                <w:p w14:paraId="3FA5AC4D">
                  <w:pPr>
                    <w:pStyle w:val="46"/>
                    <w:keepNext w:val="0"/>
                    <w:keepLines w:val="0"/>
                    <w:suppressLineNumbers w:val="0"/>
                    <w:bidi w:val="0"/>
                    <w:spacing w:before="0" w:beforeAutospacing="0" w:after="0" w:afterAutospacing="0"/>
                    <w:rPr>
                      <w:b/>
                      <w:bCs/>
                      <w:color w:val="auto"/>
                    </w:rPr>
                  </w:pPr>
                  <w:r>
                    <w:rPr>
                      <w:rFonts w:hint="eastAsia"/>
                      <w:b/>
                      <w:bCs/>
                      <w:color w:val="auto"/>
                    </w:rPr>
                    <w:t>监测频次</w:t>
                  </w:r>
                </w:p>
              </w:tc>
              <w:tc>
                <w:tcPr>
                  <w:tcW w:w="1299" w:type="pct"/>
                  <w:vAlign w:val="center"/>
                </w:tcPr>
                <w:p w14:paraId="4FB298A2">
                  <w:pPr>
                    <w:pStyle w:val="46"/>
                    <w:keepNext w:val="0"/>
                    <w:keepLines w:val="0"/>
                    <w:suppressLineNumbers w:val="0"/>
                    <w:bidi w:val="0"/>
                    <w:spacing w:before="0" w:beforeAutospacing="0" w:after="0" w:afterAutospacing="0"/>
                    <w:rPr>
                      <w:b/>
                      <w:bCs/>
                      <w:color w:val="auto"/>
                    </w:rPr>
                  </w:pPr>
                  <w:r>
                    <w:rPr>
                      <w:b/>
                      <w:bCs/>
                      <w:color w:val="auto"/>
                    </w:rPr>
                    <w:t>监测依据</w:t>
                  </w:r>
                </w:p>
              </w:tc>
              <w:tc>
                <w:tcPr>
                  <w:tcW w:w="1274" w:type="pct"/>
                  <w:vAlign w:val="center"/>
                </w:tcPr>
                <w:p w14:paraId="3D347A48">
                  <w:pPr>
                    <w:pStyle w:val="46"/>
                    <w:keepNext w:val="0"/>
                    <w:keepLines w:val="0"/>
                    <w:suppressLineNumbers w:val="0"/>
                    <w:bidi w:val="0"/>
                    <w:spacing w:before="0" w:beforeAutospacing="0" w:after="0" w:afterAutospacing="0"/>
                    <w:rPr>
                      <w:b/>
                      <w:bCs/>
                      <w:color w:val="auto"/>
                    </w:rPr>
                  </w:pPr>
                  <w:r>
                    <w:rPr>
                      <w:b/>
                      <w:bCs/>
                      <w:color w:val="auto"/>
                    </w:rPr>
                    <w:t>执行排放标准</w:t>
                  </w:r>
                </w:p>
              </w:tc>
            </w:tr>
            <w:tr w14:paraId="6013EA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73" w:type="pct"/>
                  <w:vAlign w:val="center"/>
                </w:tcPr>
                <w:p w14:paraId="07442F08">
                  <w:pPr>
                    <w:pStyle w:val="46"/>
                    <w:keepNext w:val="0"/>
                    <w:keepLines w:val="0"/>
                    <w:suppressLineNumbers w:val="0"/>
                    <w:bidi w:val="0"/>
                    <w:spacing w:before="0" w:beforeAutospacing="0" w:after="0" w:afterAutospacing="0"/>
                    <w:rPr>
                      <w:color w:val="auto"/>
                    </w:rPr>
                  </w:pPr>
                  <w:r>
                    <w:rPr>
                      <w:rFonts w:hint="eastAsia"/>
                      <w:color w:val="auto"/>
                    </w:rPr>
                    <w:t>噪声</w:t>
                  </w:r>
                </w:p>
              </w:tc>
              <w:tc>
                <w:tcPr>
                  <w:tcW w:w="705" w:type="pct"/>
                  <w:vAlign w:val="center"/>
                </w:tcPr>
                <w:p w14:paraId="1A18908F">
                  <w:pPr>
                    <w:pStyle w:val="46"/>
                    <w:keepNext w:val="0"/>
                    <w:keepLines w:val="0"/>
                    <w:suppressLineNumbers w:val="0"/>
                    <w:bidi w:val="0"/>
                    <w:spacing w:before="0" w:beforeAutospacing="0" w:after="0" w:afterAutospacing="0"/>
                    <w:rPr>
                      <w:color w:val="auto"/>
                    </w:rPr>
                  </w:pPr>
                  <w:r>
                    <w:rPr>
                      <w:rFonts w:hint="eastAsia"/>
                      <w:color w:val="auto"/>
                    </w:rPr>
                    <w:t>厂界四周</w:t>
                  </w:r>
                </w:p>
              </w:tc>
              <w:tc>
                <w:tcPr>
                  <w:tcW w:w="599" w:type="pct"/>
                  <w:vAlign w:val="center"/>
                </w:tcPr>
                <w:p w14:paraId="5AF3CEA9">
                  <w:pPr>
                    <w:pStyle w:val="46"/>
                    <w:keepNext w:val="0"/>
                    <w:keepLines w:val="0"/>
                    <w:suppressLineNumbers w:val="0"/>
                    <w:bidi w:val="0"/>
                    <w:spacing w:before="0" w:beforeAutospacing="0" w:after="0" w:afterAutospacing="0"/>
                    <w:rPr>
                      <w:color w:val="auto"/>
                    </w:rPr>
                  </w:pPr>
                  <w:r>
                    <w:rPr>
                      <w:rFonts w:hint="eastAsia"/>
                      <w:color w:val="auto"/>
                    </w:rPr>
                    <w:t>LAeq</w:t>
                  </w:r>
                </w:p>
              </w:tc>
              <w:tc>
                <w:tcPr>
                  <w:tcW w:w="648" w:type="pct"/>
                  <w:vAlign w:val="center"/>
                </w:tcPr>
                <w:p w14:paraId="7E170158">
                  <w:pPr>
                    <w:pStyle w:val="46"/>
                    <w:keepNext w:val="0"/>
                    <w:keepLines w:val="0"/>
                    <w:suppressLineNumbers w:val="0"/>
                    <w:bidi w:val="0"/>
                    <w:spacing w:before="0" w:beforeAutospacing="0" w:after="0" w:afterAutospacing="0"/>
                    <w:rPr>
                      <w:color w:val="auto"/>
                    </w:rPr>
                  </w:pPr>
                  <w:r>
                    <w:rPr>
                      <w:rFonts w:hint="eastAsia"/>
                      <w:color w:val="auto"/>
                    </w:rPr>
                    <w:t>1次/季，昼夜各一次</w:t>
                  </w:r>
                </w:p>
              </w:tc>
              <w:tc>
                <w:tcPr>
                  <w:tcW w:w="1299" w:type="pct"/>
                  <w:vAlign w:val="center"/>
                </w:tcPr>
                <w:p w14:paraId="0EAAE7F7">
                  <w:pPr>
                    <w:pStyle w:val="46"/>
                    <w:keepNext w:val="0"/>
                    <w:keepLines w:val="0"/>
                    <w:suppressLineNumbers w:val="0"/>
                    <w:bidi w:val="0"/>
                    <w:spacing w:before="0" w:beforeAutospacing="0" w:after="0" w:afterAutospacing="0"/>
                    <w:rPr>
                      <w:color w:val="auto"/>
                    </w:rPr>
                  </w:pPr>
                  <w:r>
                    <w:rPr>
                      <w:rFonts w:hint="eastAsia"/>
                      <w:color w:val="auto"/>
                    </w:rPr>
                    <w:t>《排污</w:t>
                  </w:r>
                  <w:r>
                    <w:rPr>
                      <w:rFonts w:hint="eastAsia"/>
                      <w:color w:val="auto"/>
                      <w:lang w:val="en-US" w:eastAsia="zh-CN"/>
                    </w:rPr>
                    <w:t>许可证申请与核发技术规范 工业噪声》</w:t>
                  </w:r>
                  <w:r>
                    <w:rPr>
                      <w:rFonts w:hint="eastAsia"/>
                      <w:color w:val="auto"/>
                    </w:rPr>
                    <w:t>（HJ</w:t>
                  </w:r>
                  <w:r>
                    <w:rPr>
                      <w:rFonts w:hint="eastAsia"/>
                      <w:color w:val="auto"/>
                      <w:lang w:val="en-US" w:eastAsia="zh-CN"/>
                    </w:rPr>
                    <w:t>1301</w:t>
                  </w:r>
                  <w:r>
                    <w:rPr>
                      <w:rFonts w:hint="eastAsia"/>
                      <w:color w:val="auto"/>
                    </w:rPr>
                    <w:t>-20</w:t>
                  </w:r>
                  <w:r>
                    <w:rPr>
                      <w:rFonts w:hint="eastAsia"/>
                      <w:color w:val="auto"/>
                      <w:lang w:val="en-US" w:eastAsia="zh-CN"/>
                    </w:rPr>
                    <w:t>23</w:t>
                  </w:r>
                  <w:r>
                    <w:rPr>
                      <w:rFonts w:hint="eastAsia"/>
                      <w:color w:val="auto"/>
                    </w:rPr>
                    <w:t>）</w:t>
                  </w:r>
                </w:p>
              </w:tc>
              <w:tc>
                <w:tcPr>
                  <w:tcW w:w="1274" w:type="pct"/>
                  <w:vAlign w:val="center"/>
                </w:tcPr>
                <w:p w14:paraId="76F0D3C4">
                  <w:pPr>
                    <w:pStyle w:val="46"/>
                    <w:keepNext w:val="0"/>
                    <w:keepLines w:val="0"/>
                    <w:suppressLineNumbers w:val="0"/>
                    <w:bidi w:val="0"/>
                    <w:spacing w:before="0" w:beforeAutospacing="0" w:after="0" w:afterAutospacing="0"/>
                    <w:rPr>
                      <w:color w:val="auto"/>
                    </w:rPr>
                  </w:pPr>
                  <w:r>
                    <w:rPr>
                      <w:color w:val="auto"/>
                    </w:rPr>
                    <w:t>《工业企业厂界环境噪声排放标准》</w:t>
                  </w:r>
                  <w:r>
                    <w:rPr>
                      <w:rFonts w:hint="eastAsia"/>
                      <w:color w:val="auto"/>
                      <w:lang w:eastAsia="zh-CN"/>
                    </w:rPr>
                    <w:t>（</w:t>
                  </w:r>
                  <w:r>
                    <w:rPr>
                      <w:color w:val="auto"/>
                    </w:rPr>
                    <w:t>GB12348-2008</w:t>
                  </w:r>
                  <w:r>
                    <w:rPr>
                      <w:rFonts w:hint="eastAsia"/>
                      <w:color w:val="auto"/>
                      <w:lang w:eastAsia="zh-CN"/>
                    </w:rPr>
                    <w:t>）</w:t>
                  </w:r>
                  <w:r>
                    <w:rPr>
                      <w:rFonts w:hint="eastAsia"/>
                      <w:color w:val="auto"/>
                    </w:rPr>
                    <w:t>3</w:t>
                  </w:r>
                  <w:r>
                    <w:rPr>
                      <w:color w:val="auto"/>
                    </w:rPr>
                    <w:t>类</w:t>
                  </w:r>
                  <w:r>
                    <w:rPr>
                      <w:rFonts w:hint="eastAsia"/>
                      <w:color w:val="auto"/>
                      <w:lang w:eastAsia="zh-CN"/>
                    </w:rPr>
                    <w:t>、</w:t>
                  </w:r>
                  <w:r>
                    <w:rPr>
                      <w:rFonts w:hint="eastAsia"/>
                      <w:color w:val="auto"/>
                      <w:lang w:val="en-US" w:eastAsia="zh-CN"/>
                    </w:rPr>
                    <w:t>4类</w:t>
                  </w:r>
                  <w:r>
                    <w:rPr>
                      <w:color w:val="auto"/>
                    </w:rPr>
                    <w:t>标准</w:t>
                  </w:r>
                </w:p>
              </w:tc>
            </w:tr>
          </w:tbl>
          <w:p w14:paraId="3A6C0555">
            <w:pPr>
              <w:keepNext w:val="0"/>
              <w:keepLines w:val="0"/>
              <w:suppressLineNumbers w:val="0"/>
              <w:spacing w:before="0" w:beforeAutospacing="0" w:after="0" w:afterAutospacing="0"/>
              <w:ind w:left="0" w:right="0" w:firstLine="482"/>
              <w:rPr>
                <w:rFonts w:hint="default"/>
                <w:b/>
                <w:bCs/>
                <w:color w:val="auto"/>
                <w:highlight w:val="none"/>
              </w:rPr>
            </w:pPr>
            <w:r>
              <w:rPr>
                <w:rFonts w:hint="eastAsia"/>
                <w:b/>
                <w:bCs/>
                <w:color w:val="auto"/>
                <w:highlight w:val="none"/>
              </w:rPr>
              <w:t>四、固体废物</w:t>
            </w:r>
          </w:p>
          <w:p w14:paraId="4753E6AC">
            <w:pPr>
              <w:keepNext w:val="0"/>
              <w:keepLines w:val="0"/>
              <w:suppressLineNumbers w:val="0"/>
              <w:spacing w:before="24" w:beforeAutospacing="0" w:after="24" w:afterAutospacing="0"/>
              <w:ind w:left="0" w:right="0" w:firstLine="480"/>
              <w:rPr>
                <w:rFonts w:hint="eastAsia"/>
                <w:color w:val="auto"/>
                <w:highlight w:val="none"/>
                <w:lang w:val="en-US" w:eastAsia="zh-CN"/>
              </w:rPr>
            </w:pPr>
            <w:r>
              <w:rPr>
                <w:rFonts w:hint="default"/>
                <w:color w:val="auto"/>
                <w:highlight w:val="none"/>
              </w:rPr>
              <w:t>本项目</w:t>
            </w:r>
            <w:r>
              <w:rPr>
                <w:rFonts w:hint="eastAsia"/>
                <w:color w:val="auto"/>
                <w:highlight w:val="none"/>
                <w:lang w:val="en-US" w:eastAsia="zh-CN"/>
              </w:rPr>
              <w:t>产生的</w:t>
            </w:r>
            <w:r>
              <w:rPr>
                <w:rFonts w:hint="default"/>
                <w:color w:val="auto"/>
                <w:highlight w:val="none"/>
              </w:rPr>
              <w:t>固体废物主要</w:t>
            </w:r>
            <w:r>
              <w:rPr>
                <w:rFonts w:hint="eastAsia"/>
                <w:color w:val="auto"/>
                <w:highlight w:val="none"/>
                <w:lang w:val="en-US" w:eastAsia="zh-CN"/>
              </w:rPr>
              <w:t>为生活垃圾、电动自行车拆解废物、废滤网、废刀片、污泥、废润滑油及废润滑油包装桶</w:t>
            </w:r>
            <w:r>
              <w:rPr>
                <w:rFonts w:hint="eastAsia"/>
                <w:color w:val="auto"/>
                <w:lang w:val="en-US" w:eastAsia="zh-CN"/>
              </w:rPr>
              <w:t>、废含油手套抹布</w:t>
            </w:r>
            <w:r>
              <w:rPr>
                <w:rFonts w:hint="eastAsia"/>
                <w:color w:val="auto"/>
                <w:highlight w:val="none"/>
                <w:lang w:val="en-US" w:eastAsia="zh-CN"/>
              </w:rPr>
              <w:t>、除尘器收集粉尘、废布袋。</w:t>
            </w:r>
          </w:p>
          <w:p w14:paraId="27DB7D63">
            <w:pPr>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本项目电动自行车拆解过程中产生的固体废物主要为废铅蓄电池、废锂电池、废钢铁件、废塑料、废玻璃、废电线、废电机、废橡胶、废皮/布制品、废减震器、废电路板及电子元器件、废液压油，其中除废铅蓄电池、废电路板及电子元器件、废液压油外其他均为一般工业固体废物。</w:t>
            </w:r>
          </w:p>
          <w:p w14:paraId="306691F0">
            <w:pPr>
              <w:keepNext w:val="0"/>
              <w:keepLines w:val="0"/>
              <w:suppressLineNumbers w:val="0"/>
              <w:bidi w:val="0"/>
              <w:spacing w:before="0" w:beforeAutospacing="0" w:after="0" w:afterAutospacing="0"/>
              <w:ind w:left="0" w:right="0"/>
              <w:rPr>
                <w:rFonts w:hint="eastAsia"/>
                <w:b/>
                <w:bCs/>
                <w:color w:val="auto"/>
              </w:rPr>
            </w:pPr>
            <w:r>
              <w:rPr>
                <w:rFonts w:hint="eastAsia"/>
                <w:b/>
                <w:bCs/>
                <w:color w:val="auto"/>
                <w:lang w:val="en-US" w:eastAsia="zh-CN"/>
              </w:rPr>
              <w:t>1、一般固体废物</w:t>
            </w:r>
            <w:r>
              <w:rPr>
                <w:rFonts w:hint="eastAsia"/>
                <w:b/>
                <w:bCs/>
                <w:color w:val="auto"/>
              </w:rPr>
              <w:t>产生及处置情况</w:t>
            </w:r>
          </w:p>
          <w:p w14:paraId="7C535ED5">
            <w:pPr>
              <w:keepNext w:val="0"/>
              <w:keepLines w:val="0"/>
              <w:suppressLineNumbers w:val="0"/>
              <w:bidi w:val="0"/>
              <w:spacing w:before="0" w:beforeAutospacing="0" w:after="0" w:afterAutospacing="0"/>
              <w:ind w:left="0" w:right="0"/>
              <w:jc w:val="both"/>
              <w:rPr>
                <w:rFonts w:hint="default" w:eastAsia="宋体"/>
                <w:b/>
                <w:bCs/>
                <w:color w:val="auto"/>
                <w:lang w:val="en-US" w:eastAsia="zh-CN"/>
              </w:rPr>
            </w:pPr>
            <w:r>
              <w:rPr>
                <w:rFonts w:hint="eastAsia"/>
                <w:b/>
                <w:bCs/>
                <w:color w:val="auto"/>
                <w:lang w:eastAsia="zh-CN"/>
              </w:rPr>
              <w:t>（</w:t>
            </w:r>
            <w:r>
              <w:rPr>
                <w:rFonts w:hint="eastAsia"/>
                <w:b/>
                <w:bCs/>
                <w:color w:val="auto"/>
                <w:lang w:val="en-US" w:eastAsia="zh-CN"/>
              </w:rPr>
              <w:t>1</w:t>
            </w:r>
            <w:r>
              <w:rPr>
                <w:rFonts w:hint="eastAsia"/>
                <w:b/>
                <w:bCs/>
                <w:color w:val="auto"/>
                <w:lang w:eastAsia="zh-CN"/>
              </w:rPr>
              <w:t>）</w:t>
            </w:r>
            <w:r>
              <w:rPr>
                <w:rFonts w:hint="eastAsia"/>
                <w:b/>
                <w:bCs/>
                <w:color w:val="auto"/>
                <w:lang w:val="en-US" w:eastAsia="zh-CN"/>
              </w:rPr>
              <w:t>一般工业固体废物</w:t>
            </w:r>
          </w:p>
          <w:p w14:paraId="7D377AF7">
            <w:pPr>
              <w:keepNext w:val="0"/>
              <w:keepLines w:val="0"/>
              <w:numPr>
                <w:ilvl w:val="0"/>
                <w:numId w:val="0"/>
              </w:numPr>
              <w:suppressLineNumbers w:val="0"/>
              <w:bidi w:val="0"/>
              <w:spacing w:before="0" w:beforeAutospacing="0" w:after="0" w:afterAutospacing="0"/>
              <w:ind w:left="480" w:leftChars="200" w:right="0" w:rightChars="0"/>
              <w:jc w:val="both"/>
              <w:rPr>
                <w:rFonts w:hint="eastAsia"/>
                <w:b/>
                <w:bCs/>
                <w:color w:val="auto"/>
                <w:lang w:val="en-US" w:eastAsia="zh-CN"/>
              </w:rPr>
            </w:pPr>
            <w:r>
              <w:rPr>
                <w:rFonts w:hint="eastAsia"/>
                <w:b/>
                <w:bCs/>
                <w:color w:val="auto"/>
                <w:lang w:val="en-US" w:eastAsia="zh-CN"/>
              </w:rPr>
              <w:t>①生活垃圾</w:t>
            </w:r>
          </w:p>
          <w:p w14:paraId="28C16033">
            <w:pPr>
              <w:keepNext w:val="0"/>
              <w:keepLines w:val="0"/>
              <w:suppressLineNumbers w:val="0"/>
              <w:bidi w:val="0"/>
              <w:spacing w:before="0" w:beforeAutospacing="0" w:after="0" w:afterAutospacing="0"/>
              <w:ind w:left="0" w:right="0"/>
              <w:rPr>
                <w:rFonts w:hint="eastAsia"/>
                <w:lang w:eastAsia="zh-CN"/>
              </w:rPr>
            </w:pPr>
            <w:r>
              <w:rPr>
                <w:rFonts w:hint="eastAsia"/>
              </w:rPr>
              <w:t>项目建成后全厂职工定员</w:t>
            </w:r>
            <w:r>
              <w:rPr>
                <w:rFonts w:hint="eastAsia"/>
                <w:lang w:val="en-US" w:eastAsia="zh-CN"/>
              </w:rPr>
              <w:t>20</w:t>
            </w:r>
            <w:r>
              <w:rPr>
                <w:rFonts w:hint="eastAsia"/>
              </w:rPr>
              <w:t>人，生活垃圾产生量按0.5kg/人天计算，则每天产生职工生活垃圾</w:t>
            </w:r>
            <w:r>
              <w:rPr>
                <w:rFonts w:hint="eastAsia"/>
                <w:lang w:val="en-US" w:eastAsia="zh-CN"/>
              </w:rPr>
              <w:t>10</w:t>
            </w:r>
            <w:r>
              <w:rPr>
                <w:rFonts w:hint="eastAsia"/>
              </w:rPr>
              <w:t>kg/d，年产生量约为</w:t>
            </w:r>
            <w:r>
              <w:rPr>
                <w:rFonts w:hint="eastAsia"/>
                <w:lang w:val="en-US" w:eastAsia="zh-CN"/>
              </w:rPr>
              <w:t>3.0</w:t>
            </w:r>
            <w:r>
              <w:rPr>
                <w:rFonts w:hint="eastAsia"/>
              </w:rPr>
              <w:t>t/a。生活垃圾委托环卫部门清运。</w:t>
            </w:r>
            <w:r>
              <w:rPr>
                <w:rFonts w:hint="eastAsia"/>
                <w:lang w:val="en-US" w:eastAsia="zh-CN"/>
              </w:rPr>
              <w:t>根据《关于发布&lt;固体废物分类与代码名录&gt;》（生态环境部公告2024年第4号），其属于生活垃圾中SW64其他垃圾，类别代码为“900-099-S64”，经厂房及综合楼设立的分类垃圾桶分类收集后委托环卫部门定期清运。</w:t>
            </w:r>
          </w:p>
          <w:p w14:paraId="06A20041">
            <w:pPr>
              <w:keepNext w:val="0"/>
              <w:keepLines w:val="0"/>
              <w:numPr>
                <w:ilvl w:val="0"/>
                <w:numId w:val="0"/>
              </w:numPr>
              <w:suppressLineNumbers w:val="0"/>
              <w:bidi w:val="0"/>
              <w:spacing w:before="0" w:beforeAutospacing="0" w:after="0" w:afterAutospacing="0"/>
              <w:ind w:left="480" w:leftChars="200" w:right="0" w:rightChars="0"/>
              <w:jc w:val="both"/>
              <w:rPr>
                <w:rFonts w:hint="eastAsia" w:ascii="Times New Roman" w:hAnsi="Times New Roman" w:eastAsia="宋体" w:cs="Times New Roman"/>
                <w:b/>
                <w:bCs/>
                <w:color w:val="auto"/>
                <w:lang w:val="en-US" w:eastAsia="zh-CN"/>
              </w:rPr>
            </w:pPr>
            <w:r>
              <w:rPr>
                <w:rFonts w:hint="eastAsia" w:ascii="Times New Roman" w:hAnsi="Times New Roman" w:eastAsia="宋体" w:cs="Times New Roman"/>
                <w:b/>
                <w:bCs/>
                <w:color w:val="auto"/>
                <w:lang w:val="en-US" w:eastAsia="zh-CN"/>
              </w:rPr>
              <w:t>②电动自行车拆解废物</w:t>
            </w:r>
          </w:p>
          <w:p w14:paraId="487909B2">
            <w:pPr>
              <w:keepNext w:val="0"/>
              <w:keepLines w:val="0"/>
              <w:suppressLineNumbers w:val="0"/>
              <w:bidi w:val="0"/>
              <w:spacing w:before="0" w:beforeAutospacing="0" w:after="0" w:afterAutospacing="0"/>
              <w:ind w:left="0" w:right="0"/>
              <w:rPr>
                <w:rFonts w:hint="default"/>
                <w:color w:val="auto"/>
                <w:highlight w:val="none"/>
                <w:lang w:val="en-US" w:eastAsia="zh-CN"/>
              </w:rPr>
            </w:pPr>
            <w:r>
              <w:rPr>
                <w:rFonts w:hint="eastAsia"/>
                <w:color w:val="auto"/>
                <w:lang w:val="en-US" w:eastAsia="zh-CN"/>
              </w:rPr>
              <w:t>根据工程分</w:t>
            </w:r>
            <w:r>
              <w:rPr>
                <w:rFonts w:hint="eastAsia"/>
                <w:color w:val="auto"/>
                <w:highlight w:val="none"/>
                <w:lang w:val="en-US" w:eastAsia="zh-CN"/>
              </w:rPr>
              <w:t>析表2-7可知，本项目电动自行车拆解过程中一般固废产生情况见下表。</w:t>
            </w:r>
          </w:p>
          <w:p w14:paraId="71B2FDC1">
            <w:pPr>
              <w:pStyle w:val="43"/>
              <w:keepNext w:val="0"/>
              <w:keepLines w:val="0"/>
              <w:suppressLineNumbers w:val="0"/>
              <w:bidi w:val="0"/>
              <w:spacing w:before="0" w:beforeAutospacing="0" w:after="0" w:afterAutospacing="0"/>
              <w:ind w:left="0" w:right="0"/>
              <w:rPr>
                <w:rFonts w:hint="eastAsia"/>
                <w:color w:val="auto"/>
                <w:lang w:val="en-US" w:eastAsia="zh-CN"/>
              </w:rPr>
            </w:pPr>
            <w:r>
              <w:rPr>
                <w:color w:val="auto"/>
              </w:rPr>
              <w:t>表4-</w:t>
            </w:r>
            <w:r>
              <w:rPr>
                <w:rFonts w:hint="eastAsia"/>
                <w:color w:val="auto"/>
                <w:lang w:val="en-US" w:eastAsia="zh-CN"/>
              </w:rPr>
              <w:t>18</w:t>
            </w:r>
            <w:r>
              <w:rPr>
                <w:color w:val="auto"/>
              </w:rPr>
              <w:t xml:space="preserve"> </w:t>
            </w:r>
            <w:r>
              <w:rPr>
                <w:rFonts w:hint="eastAsia"/>
                <w:color w:val="auto"/>
                <w:lang w:val="en-US" w:eastAsia="zh-CN"/>
              </w:rPr>
              <w:t xml:space="preserve"> 电动自行车拆解一般固废明细表</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578"/>
              <w:gridCol w:w="2910"/>
              <w:gridCol w:w="1170"/>
              <w:gridCol w:w="1050"/>
              <w:gridCol w:w="1185"/>
            </w:tblGrid>
            <w:tr w14:paraId="22732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578" w:type="dxa"/>
                  <w:vAlign w:val="center"/>
                </w:tcPr>
                <w:p w14:paraId="7BFA217A">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固废名称</w:t>
                  </w:r>
                </w:p>
              </w:tc>
              <w:tc>
                <w:tcPr>
                  <w:tcW w:w="2910" w:type="dxa"/>
                  <w:vAlign w:val="center"/>
                </w:tcPr>
                <w:p w14:paraId="20DF334B">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固废代码</w:t>
                  </w:r>
                </w:p>
              </w:tc>
              <w:tc>
                <w:tcPr>
                  <w:tcW w:w="1170" w:type="dxa"/>
                  <w:vAlign w:val="center"/>
                </w:tcPr>
                <w:p w14:paraId="251F89D5">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产生量t/a</w:t>
                  </w:r>
                </w:p>
              </w:tc>
              <w:tc>
                <w:tcPr>
                  <w:tcW w:w="1050" w:type="dxa"/>
                  <w:vAlign w:val="center"/>
                </w:tcPr>
                <w:p w14:paraId="1928A66D">
                  <w:pPr>
                    <w:pStyle w:val="61"/>
                    <w:keepNext w:val="0"/>
                    <w:keepLines w:val="0"/>
                    <w:suppressLineNumbers w:val="0"/>
                    <w:bidi w:val="0"/>
                    <w:spacing w:before="0" w:beforeAutospacing="0" w:after="0" w:afterAutospacing="0"/>
                    <w:ind w:left="0" w:right="0"/>
                    <w:rPr>
                      <w:rFonts w:hint="eastAsia"/>
                      <w:b/>
                      <w:bCs/>
                      <w:lang w:val="en-US" w:eastAsia="zh-CN"/>
                    </w:rPr>
                  </w:pPr>
                  <w:r>
                    <w:rPr>
                      <w:rFonts w:hint="eastAsia"/>
                      <w:b/>
                      <w:bCs/>
                      <w:lang w:val="en-US" w:eastAsia="zh-CN"/>
                    </w:rPr>
                    <w:t>状态</w:t>
                  </w:r>
                </w:p>
              </w:tc>
              <w:tc>
                <w:tcPr>
                  <w:tcW w:w="1185" w:type="dxa"/>
                  <w:vAlign w:val="center"/>
                </w:tcPr>
                <w:p w14:paraId="54721EB6">
                  <w:pPr>
                    <w:pStyle w:val="61"/>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最终去向</w:t>
                  </w:r>
                </w:p>
              </w:tc>
            </w:tr>
            <w:tr w14:paraId="04B5B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578" w:type="dxa"/>
                  <w:vAlign w:val="center"/>
                </w:tcPr>
                <w:p w14:paraId="23EFA2C6">
                  <w:pPr>
                    <w:pStyle w:val="61"/>
                    <w:keepNext w:val="0"/>
                    <w:keepLines w:val="0"/>
                    <w:suppressLineNumbers w:val="0"/>
                    <w:bidi w:val="0"/>
                    <w:spacing w:before="0" w:beforeAutospacing="0" w:after="0" w:afterAutospacing="0"/>
                    <w:ind w:left="0" w:right="0"/>
                    <w:rPr>
                      <w:rFonts w:hint="eastAsia" w:eastAsia="宋体"/>
                      <w:lang w:val="en-US" w:eastAsia="zh-CN"/>
                    </w:rPr>
                  </w:pPr>
                  <w:r>
                    <w:rPr>
                      <w:rFonts w:hint="eastAsia"/>
                      <w:lang w:val="en-US" w:eastAsia="zh-CN"/>
                    </w:rPr>
                    <w:t>废电机</w:t>
                  </w:r>
                </w:p>
              </w:tc>
              <w:tc>
                <w:tcPr>
                  <w:tcW w:w="2910" w:type="dxa"/>
                  <w:vAlign w:val="center"/>
                </w:tcPr>
                <w:p w14:paraId="4DC3CCFA">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SW17  900-013-S17</w:t>
                  </w:r>
                </w:p>
              </w:tc>
              <w:tc>
                <w:tcPr>
                  <w:tcW w:w="1170" w:type="dxa"/>
                  <w:vAlign w:val="center"/>
                </w:tcPr>
                <w:p w14:paraId="0A349DA1">
                  <w:pPr>
                    <w:pStyle w:val="61"/>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784</w:t>
                  </w:r>
                </w:p>
              </w:tc>
              <w:tc>
                <w:tcPr>
                  <w:tcW w:w="1050" w:type="dxa"/>
                  <w:vAlign w:val="center"/>
                </w:tcPr>
                <w:p w14:paraId="235B2933">
                  <w:pPr>
                    <w:pStyle w:val="61"/>
                    <w:keepNext w:val="0"/>
                    <w:keepLines w:val="0"/>
                    <w:suppressLineNumbers w:val="0"/>
                    <w:bidi w:val="0"/>
                    <w:spacing w:before="0" w:beforeAutospacing="0" w:after="0" w:afterAutospacing="0"/>
                    <w:ind w:left="0" w:right="0"/>
                    <w:rPr>
                      <w:rFonts w:hint="eastAsia" w:eastAsia="宋体"/>
                      <w:lang w:val="en-US" w:eastAsia="zh-CN"/>
                    </w:rPr>
                  </w:pPr>
                  <w:r>
                    <w:rPr>
                      <w:rFonts w:hint="eastAsia"/>
                      <w:lang w:val="en-US" w:eastAsia="zh-CN"/>
                    </w:rPr>
                    <w:t>固态</w:t>
                  </w:r>
                </w:p>
              </w:tc>
              <w:tc>
                <w:tcPr>
                  <w:tcW w:w="1185" w:type="dxa"/>
                  <w:vMerge w:val="restart"/>
                  <w:vAlign w:val="center"/>
                </w:tcPr>
                <w:p w14:paraId="5A4B1047">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分区暂存后外售</w:t>
                  </w:r>
                </w:p>
              </w:tc>
            </w:tr>
            <w:tr w14:paraId="0BB74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578" w:type="dxa"/>
                  <w:vAlign w:val="center"/>
                </w:tcPr>
                <w:p w14:paraId="30E8D09C">
                  <w:pPr>
                    <w:pStyle w:val="61"/>
                    <w:keepNext w:val="0"/>
                    <w:keepLines w:val="0"/>
                    <w:suppressLineNumbers w:val="0"/>
                    <w:bidi w:val="0"/>
                    <w:spacing w:before="0" w:beforeAutospacing="0" w:after="0" w:afterAutospacing="0"/>
                    <w:ind w:left="0" w:right="0"/>
                    <w:rPr>
                      <w:rFonts w:hint="eastAsia" w:eastAsia="宋体"/>
                      <w:lang w:val="en-US" w:eastAsia="zh-CN"/>
                    </w:rPr>
                  </w:pPr>
                  <w:r>
                    <w:rPr>
                      <w:rFonts w:hint="eastAsia"/>
                      <w:lang w:val="en-US" w:eastAsia="zh-CN"/>
                    </w:rPr>
                    <w:t>废钢铁件</w:t>
                  </w:r>
                </w:p>
              </w:tc>
              <w:tc>
                <w:tcPr>
                  <w:tcW w:w="2910" w:type="dxa"/>
                  <w:vAlign w:val="center"/>
                </w:tcPr>
                <w:p w14:paraId="6BFC0C57">
                  <w:pPr>
                    <w:pStyle w:val="61"/>
                    <w:keepNext w:val="0"/>
                    <w:keepLines w:val="0"/>
                    <w:suppressLineNumbers w:val="0"/>
                    <w:bidi w:val="0"/>
                    <w:spacing w:before="0" w:beforeAutospacing="0" w:after="0" w:afterAutospacing="0"/>
                    <w:ind w:left="0" w:right="0"/>
                    <w:rPr>
                      <w:rFonts w:hint="default"/>
                      <w:lang w:val="en-US"/>
                    </w:rPr>
                  </w:pPr>
                  <w:r>
                    <w:rPr>
                      <w:rFonts w:hint="eastAsia"/>
                      <w:lang w:val="en-US" w:eastAsia="zh-CN"/>
                    </w:rPr>
                    <w:t>SW17  900-001-S17</w:t>
                  </w:r>
                </w:p>
              </w:tc>
              <w:tc>
                <w:tcPr>
                  <w:tcW w:w="1170" w:type="dxa"/>
                  <w:vAlign w:val="center"/>
                </w:tcPr>
                <w:p w14:paraId="0073CD35">
                  <w:pPr>
                    <w:pStyle w:val="61"/>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5687</w:t>
                  </w:r>
                </w:p>
              </w:tc>
              <w:tc>
                <w:tcPr>
                  <w:tcW w:w="1050" w:type="dxa"/>
                  <w:vAlign w:val="center"/>
                </w:tcPr>
                <w:p w14:paraId="670B3980">
                  <w:pPr>
                    <w:pStyle w:val="61"/>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固态</w:t>
                  </w:r>
                </w:p>
              </w:tc>
              <w:tc>
                <w:tcPr>
                  <w:tcW w:w="1185" w:type="dxa"/>
                  <w:vMerge w:val="continue"/>
                  <w:vAlign w:val="center"/>
                </w:tcPr>
                <w:p w14:paraId="30C70803">
                  <w:pPr>
                    <w:pStyle w:val="61"/>
                    <w:keepNext w:val="0"/>
                    <w:keepLines w:val="0"/>
                    <w:suppressLineNumbers w:val="0"/>
                    <w:bidi w:val="0"/>
                    <w:spacing w:before="0" w:beforeAutospacing="0" w:after="0" w:afterAutospacing="0"/>
                    <w:ind w:left="0" w:right="0"/>
                    <w:rPr>
                      <w:rFonts w:hint="eastAsia"/>
                      <w:lang w:val="en-US" w:eastAsia="zh-CN"/>
                    </w:rPr>
                  </w:pPr>
                </w:p>
              </w:tc>
            </w:tr>
            <w:tr w14:paraId="460757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578" w:type="dxa"/>
                  <w:vAlign w:val="center"/>
                </w:tcPr>
                <w:p w14:paraId="016E5B11">
                  <w:pPr>
                    <w:pStyle w:val="61"/>
                    <w:keepNext w:val="0"/>
                    <w:keepLines w:val="0"/>
                    <w:suppressLineNumbers w:val="0"/>
                    <w:bidi w:val="0"/>
                    <w:spacing w:before="0" w:beforeAutospacing="0" w:after="0" w:afterAutospacing="0"/>
                    <w:ind w:left="0" w:right="0"/>
                    <w:rPr>
                      <w:rFonts w:hint="eastAsia" w:eastAsia="宋体"/>
                      <w:lang w:val="en-US" w:eastAsia="zh-CN"/>
                    </w:rPr>
                  </w:pPr>
                  <w:r>
                    <w:rPr>
                      <w:rFonts w:hint="eastAsia"/>
                      <w:lang w:val="en-US" w:eastAsia="zh-CN"/>
                    </w:rPr>
                    <w:t>废轮胎/密封件</w:t>
                  </w:r>
                </w:p>
              </w:tc>
              <w:tc>
                <w:tcPr>
                  <w:tcW w:w="2910" w:type="dxa"/>
                  <w:vAlign w:val="center"/>
                </w:tcPr>
                <w:p w14:paraId="653C3163">
                  <w:pPr>
                    <w:pStyle w:val="61"/>
                    <w:keepNext w:val="0"/>
                    <w:keepLines w:val="0"/>
                    <w:suppressLineNumbers w:val="0"/>
                    <w:bidi w:val="0"/>
                    <w:spacing w:before="0" w:beforeAutospacing="0" w:after="0" w:afterAutospacing="0"/>
                    <w:ind w:left="0" w:right="0"/>
                    <w:rPr>
                      <w:rFonts w:hint="default"/>
                      <w:lang w:val="en-US"/>
                    </w:rPr>
                  </w:pPr>
                  <w:r>
                    <w:rPr>
                      <w:rFonts w:hint="eastAsia"/>
                      <w:lang w:val="en-US" w:eastAsia="zh-CN"/>
                    </w:rPr>
                    <w:t>SW17  900-006-S17</w:t>
                  </w:r>
                </w:p>
              </w:tc>
              <w:tc>
                <w:tcPr>
                  <w:tcW w:w="1170" w:type="dxa"/>
                  <w:vAlign w:val="center"/>
                </w:tcPr>
                <w:p w14:paraId="4389E8A6">
                  <w:pPr>
                    <w:pStyle w:val="61"/>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626</w:t>
                  </w:r>
                </w:p>
              </w:tc>
              <w:tc>
                <w:tcPr>
                  <w:tcW w:w="1050" w:type="dxa"/>
                  <w:vAlign w:val="center"/>
                </w:tcPr>
                <w:p w14:paraId="72544AEB">
                  <w:pPr>
                    <w:pStyle w:val="61"/>
                    <w:keepNext w:val="0"/>
                    <w:keepLines w:val="0"/>
                    <w:suppressLineNumbers w:val="0"/>
                    <w:bidi w:val="0"/>
                    <w:spacing w:before="0" w:beforeAutospacing="0" w:after="0" w:afterAutospacing="0"/>
                    <w:ind w:left="0" w:right="0" w:firstLine="0" w:firstLineChars="0"/>
                    <w:rPr>
                      <w:rFonts w:hint="default"/>
                      <w:lang w:val="en-US"/>
                    </w:rPr>
                  </w:pPr>
                  <w:r>
                    <w:rPr>
                      <w:rFonts w:hint="eastAsia"/>
                      <w:lang w:val="en-US" w:eastAsia="zh-CN"/>
                    </w:rPr>
                    <w:t>固态</w:t>
                  </w:r>
                </w:p>
              </w:tc>
              <w:tc>
                <w:tcPr>
                  <w:tcW w:w="1185" w:type="dxa"/>
                  <w:vMerge w:val="continue"/>
                  <w:vAlign w:val="center"/>
                </w:tcPr>
                <w:p w14:paraId="28A2BD2C">
                  <w:pPr>
                    <w:pStyle w:val="61"/>
                    <w:keepNext w:val="0"/>
                    <w:keepLines w:val="0"/>
                    <w:suppressLineNumbers w:val="0"/>
                    <w:bidi w:val="0"/>
                    <w:spacing w:before="0" w:beforeAutospacing="0" w:after="0" w:afterAutospacing="0"/>
                    <w:ind w:left="0" w:right="0" w:firstLine="0" w:firstLineChars="0"/>
                    <w:rPr>
                      <w:rFonts w:hint="eastAsia"/>
                      <w:lang w:val="en-US" w:eastAsia="zh-CN"/>
                    </w:rPr>
                  </w:pPr>
                </w:p>
              </w:tc>
            </w:tr>
            <w:tr w14:paraId="2CAAA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578" w:type="dxa"/>
                  <w:vAlign w:val="center"/>
                </w:tcPr>
                <w:p w14:paraId="580214EB">
                  <w:pPr>
                    <w:pStyle w:val="61"/>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废塑料</w:t>
                  </w:r>
                </w:p>
              </w:tc>
              <w:tc>
                <w:tcPr>
                  <w:tcW w:w="2910" w:type="dxa"/>
                  <w:vAlign w:val="center"/>
                </w:tcPr>
                <w:p w14:paraId="5CADAD53">
                  <w:pPr>
                    <w:pStyle w:val="61"/>
                    <w:keepNext w:val="0"/>
                    <w:keepLines w:val="0"/>
                    <w:suppressLineNumbers w:val="0"/>
                    <w:bidi w:val="0"/>
                    <w:spacing w:before="0" w:beforeAutospacing="0" w:after="0" w:afterAutospacing="0"/>
                    <w:ind w:left="0" w:right="0"/>
                    <w:rPr>
                      <w:rFonts w:hint="default"/>
                      <w:lang w:val="en-US"/>
                    </w:rPr>
                  </w:pPr>
                  <w:r>
                    <w:rPr>
                      <w:rFonts w:hint="eastAsia"/>
                      <w:lang w:val="en-US" w:eastAsia="zh-CN"/>
                    </w:rPr>
                    <w:t>SW17  900-003-S17</w:t>
                  </w:r>
                </w:p>
              </w:tc>
              <w:tc>
                <w:tcPr>
                  <w:tcW w:w="1170" w:type="dxa"/>
                  <w:vAlign w:val="center"/>
                </w:tcPr>
                <w:p w14:paraId="42D5E761">
                  <w:pPr>
                    <w:pStyle w:val="61"/>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293</w:t>
                  </w:r>
                </w:p>
              </w:tc>
              <w:tc>
                <w:tcPr>
                  <w:tcW w:w="1050" w:type="dxa"/>
                  <w:vAlign w:val="center"/>
                </w:tcPr>
                <w:p w14:paraId="0D43FF1B">
                  <w:pPr>
                    <w:pStyle w:val="61"/>
                    <w:keepNext w:val="0"/>
                    <w:keepLines w:val="0"/>
                    <w:suppressLineNumbers w:val="0"/>
                    <w:bidi w:val="0"/>
                    <w:spacing w:before="0" w:beforeAutospacing="0" w:after="0" w:afterAutospacing="0"/>
                    <w:ind w:left="0" w:right="0" w:firstLine="0" w:firstLineChars="0"/>
                    <w:rPr>
                      <w:rFonts w:hint="default"/>
                      <w:lang w:val="en-US"/>
                    </w:rPr>
                  </w:pPr>
                  <w:r>
                    <w:rPr>
                      <w:rFonts w:hint="eastAsia"/>
                      <w:lang w:val="en-US" w:eastAsia="zh-CN"/>
                    </w:rPr>
                    <w:t>固态</w:t>
                  </w:r>
                </w:p>
              </w:tc>
              <w:tc>
                <w:tcPr>
                  <w:tcW w:w="1185" w:type="dxa"/>
                  <w:vMerge w:val="continue"/>
                  <w:vAlign w:val="center"/>
                </w:tcPr>
                <w:p w14:paraId="3D93748E">
                  <w:pPr>
                    <w:pStyle w:val="61"/>
                    <w:keepNext w:val="0"/>
                    <w:keepLines w:val="0"/>
                    <w:suppressLineNumbers w:val="0"/>
                    <w:bidi w:val="0"/>
                    <w:spacing w:before="0" w:beforeAutospacing="0" w:after="0" w:afterAutospacing="0"/>
                    <w:ind w:left="0" w:right="0" w:firstLine="0" w:firstLineChars="0"/>
                    <w:rPr>
                      <w:rFonts w:hint="eastAsia"/>
                      <w:lang w:val="en-US" w:eastAsia="zh-CN"/>
                    </w:rPr>
                  </w:pPr>
                </w:p>
              </w:tc>
            </w:tr>
            <w:tr w14:paraId="4F9B56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578" w:type="dxa"/>
                  <w:vAlign w:val="center"/>
                </w:tcPr>
                <w:p w14:paraId="328CDDEA">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废电线</w:t>
                  </w:r>
                </w:p>
              </w:tc>
              <w:tc>
                <w:tcPr>
                  <w:tcW w:w="2910" w:type="dxa"/>
                  <w:vAlign w:val="center"/>
                </w:tcPr>
                <w:p w14:paraId="6E96D093">
                  <w:pPr>
                    <w:pStyle w:val="61"/>
                    <w:keepNext w:val="0"/>
                    <w:keepLines w:val="0"/>
                    <w:suppressLineNumbers w:val="0"/>
                    <w:bidi w:val="0"/>
                    <w:spacing w:before="0" w:beforeAutospacing="0" w:after="0" w:afterAutospacing="0"/>
                    <w:ind w:left="0" w:right="0"/>
                    <w:rPr>
                      <w:rFonts w:hint="default"/>
                      <w:lang w:val="en-US"/>
                    </w:rPr>
                  </w:pPr>
                  <w:r>
                    <w:rPr>
                      <w:rFonts w:hint="eastAsia"/>
                      <w:lang w:val="en-US" w:eastAsia="zh-CN"/>
                    </w:rPr>
                    <w:t>SW17  900-099-S17</w:t>
                  </w:r>
                </w:p>
              </w:tc>
              <w:tc>
                <w:tcPr>
                  <w:tcW w:w="1170" w:type="dxa"/>
                  <w:vAlign w:val="center"/>
                </w:tcPr>
                <w:p w14:paraId="18EE3F40">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100</w:t>
                  </w:r>
                </w:p>
              </w:tc>
              <w:tc>
                <w:tcPr>
                  <w:tcW w:w="1050" w:type="dxa"/>
                  <w:vAlign w:val="center"/>
                </w:tcPr>
                <w:p w14:paraId="15BC8B61">
                  <w:pPr>
                    <w:pStyle w:val="61"/>
                    <w:keepNext w:val="0"/>
                    <w:keepLines w:val="0"/>
                    <w:suppressLineNumbers w:val="0"/>
                    <w:bidi w:val="0"/>
                    <w:spacing w:before="0" w:beforeAutospacing="0" w:after="0" w:afterAutospacing="0"/>
                    <w:ind w:left="0" w:right="0" w:firstLine="0" w:firstLineChars="0"/>
                    <w:rPr>
                      <w:rFonts w:hint="default"/>
                      <w:lang w:val="en-US"/>
                    </w:rPr>
                  </w:pPr>
                  <w:r>
                    <w:rPr>
                      <w:rFonts w:hint="eastAsia"/>
                      <w:lang w:val="en-US" w:eastAsia="zh-CN"/>
                    </w:rPr>
                    <w:t>固态</w:t>
                  </w:r>
                </w:p>
              </w:tc>
              <w:tc>
                <w:tcPr>
                  <w:tcW w:w="1185" w:type="dxa"/>
                  <w:vMerge w:val="continue"/>
                  <w:vAlign w:val="center"/>
                </w:tcPr>
                <w:p w14:paraId="2CD066D5">
                  <w:pPr>
                    <w:pStyle w:val="61"/>
                    <w:keepNext w:val="0"/>
                    <w:keepLines w:val="0"/>
                    <w:suppressLineNumbers w:val="0"/>
                    <w:bidi w:val="0"/>
                    <w:spacing w:before="0" w:beforeAutospacing="0" w:after="0" w:afterAutospacing="0"/>
                    <w:ind w:left="0" w:right="0" w:firstLine="0" w:firstLineChars="0"/>
                    <w:rPr>
                      <w:rFonts w:hint="eastAsia"/>
                      <w:lang w:val="en-US" w:eastAsia="zh-CN"/>
                    </w:rPr>
                  </w:pPr>
                </w:p>
              </w:tc>
            </w:tr>
            <w:tr w14:paraId="00C6B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578" w:type="dxa"/>
                  <w:vAlign w:val="center"/>
                </w:tcPr>
                <w:p w14:paraId="0E199198">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废玻璃</w:t>
                  </w:r>
                </w:p>
              </w:tc>
              <w:tc>
                <w:tcPr>
                  <w:tcW w:w="2910" w:type="dxa"/>
                  <w:vAlign w:val="center"/>
                </w:tcPr>
                <w:p w14:paraId="20B417A2">
                  <w:pPr>
                    <w:pStyle w:val="61"/>
                    <w:keepNext w:val="0"/>
                    <w:keepLines w:val="0"/>
                    <w:suppressLineNumbers w:val="0"/>
                    <w:bidi w:val="0"/>
                    <w:spacing w:before="0" w:beforeAutospacing="0" w:after="0" w:afterAutospacing="0"/>
                    <w:ind w:left="0" w:right="0"/>
                    <w:rPr>
                      <w:rFonts w:hint="default"/>
                      <w:lang w:val="en-US"/>
                    </w:rPr>
                  </w:pPr>
                  <w:r>
                    <w:rPr>
                      <w:rFonts w:hint="eastAsia"/>
                      <w:lang w:val="en-US" w:eastAsia="zh-CN"/>
                    </w:rPr>
                    <w:t>SW17  900-004-S17</w:t>
                  </w:r>
                </w:p>
              </w:tc>
              <w:tc>
                <w:tcPr>
                  <w:tcW w:w="1170" w:type="dxa"/>
                  <w:vAlign w:val="center"/>
                </w:tcPr>
                <w:p w14:paraId="2271188B">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300</w:t>
                  </w:r>
                </w:p>
              </w:tc>
              <w:tc>
                <w:tcPr>
                  <w:tcW w:w="1050" w:type="dxa"/>
                  <w:vAlign w:val="center"/>
                </w:tcPr>
                <w:p w14:paraId="45FFB721">
                  <w:pPr>
                    <w:pStyle w:val="61"/>
                    <w:keepNext w:val="0"/>
                    <w:keepLines w:val="0"/>
                    <w:suppressLineNumbers w:val="0"/>
                    <w:bidi w:val="0"/>
                    <w:spacing w:before="0" w:beforeAutospacing="0" w:after="0" w:afterAutospacing="0"/>
                    <w:ind w:left="0" w:right="0" w:firstLine="0" w:firstLineChars="0"/>
                    <w:rPr>
                      <w:rFonts w:hint="default"/>
                      <w:lang w:val="en-US"/>
                    </w:rPr>
                  </w:pPr>
                  <w:r>
                    <w:rPr>
                      <w:rFonts w:hint="eastAsia"/>
                      <w:lang w:val="en-US" w:eastAsia="zh-CN"/>
                    </w:rPr>
                    <w:t>固态</w:t>
                  </w:r>
                </w:p>
              </w:tc>
              <w:tc>
                <w:tcPr>
                  <w:tcW w:w="1185" w:type="dxa"/>
                  <w:vMerge w:val="continue"/>
                  <w:vAlign w:val="center"/>
                </w:tcPr>
                <w:p w14:paraId="52B8ED57">
                  <w:pPr>
                    <w:pStyle w:val="61"/>
                    <w:keepNext w:val="0"/>
                    <w:keepLines w:val="0"/>
                    <w:suppressLineNumbers w:val="0"/>
                    <w:bidi w:val="0"/>
                    <w:spacing w:before="0" w:beforeAutospacing="0" w:after="0" w:afterAutospacing="0"/>
                    <w:ind w:left="0" w:right="0" w:firstLine="0" w:firstLineChars="0"/>
                    <w:rPr>
                      <w:rFonts w:hint="eastAsia"/>
                      <w:lang w:val="en-US" w:eastAsia="zh-CN"/>
                    </w:rPr>
                  </w:pPr>
                </w:p>
              </w:tc>
            </w:tr>
            <w:tr w14:paraId="1933D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578" w:type="dxa"/>
                  <w:vAlign w:val="center"/>
                </w:tcPr>
                <w:p w14:paraId="5738597E">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废座椅、内饰</w:t>
                  </w:r>
                </w:p>
              </w:tc>
              <w:tc>
                <w:tcPr>
                  <w:tcW w:w="2910" w:type="dxa"/>
                  <w:vAlign w:val="center"/>
                </w:tcPr>
                <w:p w14:paraId="654A410A">
                  <w:pPr>
                    <w:pStyle w:val="61"/>
                    <w:keepNext w:val="0"/>
                    <w:keepLines w:val="0"/>
                    <w:suppressLineNumbers w:val="0"/>
                    <w:bidi w:val="0"/>
                    <w:spacing w:before="0" w:beforeAutospacing="0" w:after="0" w:afterAutospacing="0"/>
                    <w:ind w:left="0" w:right="0"/>
                    <w:rPr>
                      <w:rFonts w:hint="default"/>
                      <w:lang w:val="en-US"/>
                    </w:rPr>
                  </w:pPr>
                  <w:r>
                    <w:rPr>
                      <w:rFonts w:hint="eastAsia"/>
                      <w:lang w:val="en-US" w:eastAsia="zh-CN"/>
                    </w:rPr>
                    <w:t>SW17  900-007-S17</w:t>
                  </w:r>
                </w:p>
              </w:tc>
              <w:tc>
                <w:tcPr>
                  <w:tcW w:w="1170" w:type="dxa"/>
                  <w:vAlign w:val="center"/>
                </w:tcPr>
                <w:p w14:paraId="00DBC13C">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134</w:t>
                  </w:r>
                </w:p>
              </w:tc>
              <w:tc>
                <w:tcPr>
                  <w:tcW w:w="1050" w:type="dxa"/>
                  <w:vAlign w:val="center"/>
                </w:tcPr>
                <w:p w14:paraId="4FE4C308">
                  <w:pPr>
                    <w:pStyle w:val="61"/>
                    <w:keepNext w:val="0"/>
                    <w:keepLines w:val="0"/>
                    <w:suppressLineNumbers w:val="0"/>
                    <w:bidi w:val="0"/>
                    <w:spacing w:before="0" w:beforeAutospacing="0" w:after="0" w:afterAutospacing="0"/>
                    <w:ind w:left="0" w:right="0" w:firstLine="0" w:firstLineChars="0"/>
                    <w:rPr>
                      <w:rFonts w:hint="default"/>
                      <w:lang w:val="en-US"/>
                    </w:rPr>
                  </w:pPr>
                  <w:r>
                    <w:rPr>
                      <w:rFonts w:hint="eastAsia"/>
                      <w:lang w:val="en-US" w:eastAsia="zh-CN"/>
                    </w:rPr>
                    <w:t>固态</w:t>
                  </w:r>
                </w:p>
              </w:tc>
              <w:tc>
                <w:tcPr>
                  <w:tcW w:w="1185" w:type="dxa"/>
                  <w:vMerge w:val="continue"/>
                  <w:vAlign w:val="center"/>
                </w:tcPr>
                <w:p w14:paraId="7160F383">
                  <w:pPr>
                    <w:pStyle w:val="61"/>
                    <w:keepNext w:val="0"/>
                    <w:keepLines w:val="0"/>
                    <w:suppressLineNumbers w:val="0"/>
                    <w:bidi w:val="0"/>
                    <w:spacing w:before="0" w:beforeAutospacing="0" w:after="0" w:afterAutospacing="0"/>
                    <w:ind w:left="0" w:right="0" w:firstLine="0" w:firstLineChars="0"/>
                    <w:rPr>
                      <w:rFonts w:hint="eastAsia"/>
                      <w:lang w:val="en-US" w:eastAsia="zh-CN"/>
                    </w:rPr>
                  </w:pPr>
                </w:p>
              </w:tc>
            </w:tr>
            <w:tr w14:paraId="1A1C1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578" w:type="dxa"/>
                  <w:vAlign w:val="center"/>
                </w:tcPr>
                <w:p w14:paraId="19464040">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锂电池</w:t>
                  </w:r>
                </w:p>
              </w:tc>
              <w:tc>
                <w:tcPr>
                  <w:tcW w:w="2910" w:type="dxa"/>
                  <w:vAlign w:val="center"/>
                </w:tcPr>
                <w:p w14:paraId="72CA5F7F">
                  <w:pPr>
                    <w:pStyle w:val="61"/>
                    <w:keepNext w:val="0"/>
                    <w:keepLines w:val="0"/>
                    <w:suppressLineNumbers w:val="0"/>
                    <w:bidi w:val="0"/>
                    <w:spacing w:before="0" w:beforeAutospacing="0" w:after="0" w:afterAutospacing="0"/>
                    <w:ind w:left="0" w:right="0"/>
                    <w:rPr>
                      <w:rFonts w:hint="default"/>
                      <w:lang w:val="en-US"/>
                    </w:rPr>
                  </w:pPr>
                  <w:r>
                    <w:rPr>
                      <w:rFonts w:hint="eastAsia"/>
                      <w:lang w:val="en-US" w:eastAsia="zh-CN"/>
                    </w:rPr>
                    <w:t>SW17  900-012-S17</w:t>
                  </w:r>
                </w:p>
              </w:tc>
              <w:tc>
                <w:tcPr>
                  <w:tcW w:w="1170" w:type="dxa"/>
                  <w:vAlign w:val="center"/>
                </w:tcPr>
                <w:p w14:paraId="324416D8">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80.825</w:t>
                  </w:r>
                </w:p>
              </w:tc>
              <w:tc>
                <w:tcPr>
                  <w:tcW w:w="1050" w:type="dxa"/>
                  <w:vAlign w:val="center"/>
                </w:tcPr>
                <w:p w14:paraId="3376EB97">
                  <w:pPr>
                    <w:pStyle w:val="61"/>
                    <w:keepNext w:val="0"/>
                    <w:keepLines w:val="0"/>
                    <w:suppressLineNumbers w:val="0"/>
                    <w:bidi w:val="0"/>
                    <w:spacing w:before="0" w:beforeAutospacing="0" w:after="0" w:afterAutospacing="0"/>
                    <w:ind w:left="0" w:right="0" w:firstLine="0" w:firstLineChars="0"/>
                    <w:rPr>
                      <w:rFonts w:hint="default"/>
                      <w:lang w:val="en-US"/>
                    </w:rPr>
                  </w:pPr>
                  <w:r>
                    <w:rPr>
                      <w:rFonts w:hint="eastAsia"/>
                      <w:lang w:val="en-US" w:eastAsia="zh-CN"/>
                    </w:rPr>
                    <w:t>固态</w:t>
                  </w:r>
                </w:p>
              </w:tc>
              <w:tc>
                <w:tcPr>
                  <w:tcW w:w="1185" w:type="dxa"/>
                  <w:vMerge w:val="continue"/>
                  <w:vAlign w:val="center"/>
                </w:tcPr>
                <w:p w14:paraId="7289E9DB">
                  <w:pPr>
                    <w:pStyle w:val="61"/>
                    <w:keepNext w:val="0"/>
                    <w:keepLines w:val="0"/>
                    <w:suppressLineNumbers w:val="0"/>
                    <w:bidi w:val="0"/>
                    <w:spacing w:before="0" w:beforeAutospacing="0" w:after="0" w:afterAutospacing="0"/>
                    <w:ind w:left="0" w:right="0" w:firstLine="0" w:firstLineChars="0"/>
                    <w:rPr>
                      <w:rFonts w:hint="eastAsia"/>
                      <w:lang w:val="en-US" w:eastAsia="zh-CN"/>
                    </w:rPr>
                  </w:pPr>
                </w:p>
              </w:tc>
            </w:tr>
          </w:tbl>
          <w:p w14:paraId="4BC7A341">
            <w:pPr>
              <w:keepNext w:val="0"/>
              <w:keepLines w:val="0"/>
              <w:suppressLineNumbers w:val="0"/>
              <w:bidi w:val="0"/>
              <w:spacing w:before="0" w:beforeAutospacing="0" w:after="0" w:afterAutospacing="0"/>
              <w:ind w:left="0" w:right="0"/>
              <w:rPr>
                <w:rFonts w:hint="eastAsia"/>
                <w:b/>
                <w:bCs/>
                <w:lang w:val="en-US" w:eastAsia="zh-CN"/>
              </w:rPr>
            </w:pPr>
            <w:r>
              <w:rPr>
                <w:rFonts w:hint="eastAsia"/>
                <w:b/>
                <w:bCs/>
                <w:lang w:val="en-US" w:eastAsia="zh-CN"/>
              </w:rPr>
              <w:t>③废滤网、废刀片</w:t>
            </w:r>
          </w:p>
          <w:p w14:paraId="7624A6C7">
            <w:pPr>
              <w:keepNext w:val="0"/>
              <w:keepLines w:val="0"/>
              <w:suppressLineNumbers w:val="0"/>
              <w:bidi w:val="0"/>
              <w:spacing w:before="0" w:beforeAutospacing="0" w:after="0" w:afterAutospacing="0"/>
              <w:ind w:left="0" w:right="0"/>
              <w:rPr>
                <w:rFonts w:hint="eastAsia"/>
                <w:lang w:eastAsia="zh-CN"/>
              </w:rPr>
            </w:pPr>
            <w:r>
              <w:rPr>
                <w:rFonts w:hint="eastAsia"/>
                <w:lang w:val="en-US" w:eastAsia="zh-CN"/>
              </w:rPr>
              <w:t>项目破碎工序产生废刀片、滤网，根据建设单位提供信息，刀式破碎机每月更换一次刀片（每组刀片重约50kg），每年更换一次滤网（滤网重约50kg），则年产生废刀片、滤网重0.65t。根据《关于发布&lt;固体废物分类与代码名录&gt;》（生态环境部公告2024年第4号），废包装物属于</w:t>
            </w:r>
            <w:r>
              <w:rPr>
                <w:rFonts w:hint="eastAsia"/>
              </w:rPr>
              <w:t>一般固废</w:t>
            </w:r>
            <w:r>
              <w:rPr>
                <w:rFonts w:hint="eastAsia"/>
                <w:lang w:val="en-US" w:eastAsia="zh-CN"/>
              </w:rPr>
              <w:t>属于SW17可再生类废物，类别代码为“900-003-S17”，集中收集暂存于一般固废区域，定期外售物资回收部门</w:t>
            </w:r>
            <w:r>
              <w:rPr>
                <w:rFonts w:hint="eastAsia"/>
                <w:lang w:eastAsia="zh-CN"/>
              </w:rPr>
              <w:t>。</w:t>
            </w:r>
          </w:p>
          <w:p w14:paraId="0582647F">
            <w:pPr>
              <w:keepNext w:val="0"/>
              <w:keepLines w:val="0"/>
              <w:suppressLineNumbers w:val="0"/>
              <w:spacing w:before="0" w:beforeAutospacing="0" w:after="0" w:afterAutospacing="0"/>
              <w:ind w:left="0" w:right="0"/>
              <w:jc w:val="both"/>
              <w:rPr>
                <w:rFonts w:hint="eastAsia"/>
                <w:b/>
                <w:bCs/>
                <w:color w:val="auto"/>
                <w:lang w:val="en-US" w:eastAsia="zh-CN"/>
              </w:rPr>
            </w:pPr>
            <w:r>
              <w:rPr>
                <w:rFonts w:hint="eastAsia"/>
                <w:b/>
                <w:bCs/>
                <w:color w:val="auto"/>
                <w:lang w:val="en-US" w:eastAsia="zh-CN"/>
              </w:rPr>
              <w:t>④污泥</w:t>
            </w:r>
          </w:p>
          <w:p w14:paraId="7FBA15FA">
            <w:pPr>
              <w:keepNext w:val="0"/>
              <w:keepLines w:val="0"/>
              <w:suppressLineNumbers w:val="0"/>
              <w:bidi w:val="0"/>
              <w:spacing w:before="0" w:beforeAutospacing="0" w:after="0" w:afterAutospacing="0"/>
              <w:ind w:left="0" w:right="0"/>
              <w:rPr>
                <w:rFonts w:hint="eastAsia"/>
                <w:color w:val="045CE9"/>
                <w:lang w:val="en-US" w:eastAsia="zh-CN"/>
              </w:rPr>
            </w:pPr>
            <w:r>
              <w:rPr>
                <w:rFonts w:hint="default"/>
                <w:color w:val="auto"/>
                <w:lang w:val="en-US" w:eastAsia="zh-CN"/>
              </w:rPr>
              <w:t>本项目</w:t>
            </w:r>
            <w:r>
              <w:rPr>
                <w:rFonts w:hint="eastAsia"/>
                <w:color w:val="auto"/>
                <w:lang w:val="en-US" w:eastAsia="zh-CN"/>
              </w:rPr>
              <w:t>破碎废水</w:t>
            </w:r>
            <w:r>
              <w:rPr>
                <w:rFonts w:hint="default"/>
                <w:color w:val="auto"/>
                <w:lang w:val="en-US" w:eastAsia="zh-CN"/>
              </w:rPr>
              <w:t>采用絮凝沉淀的工艺进行处理，</w:t>
            </w:r>
            <w:r>
              <w:rPr>
                <w:rFonts w:hint="eastAsia"/>
                <w:color w:val="auto"/>
                <w:lang w:val="en-US" w:eastAsia="zh-CN"/>
              </w:rPr>
              <w:t>废水处理过程中产生污泥</w:t>
            </w:r>
            <w:r>
              <w:rPr>
                <w:rFonts w:hint="default"/>
                <w:color w:val="auto"/>
                <w:lang w:val="en-US" w:eastAsia="zh-CN"/>
              </w:rPr>
              <w:t>，</w:t>
            </w:r>
            <w:r>
              <w:rPr>
                <w:rFonts w:hint="eastAsia"/>
                <w:color w:val="auto"/>
                <w:highlight w:val="none"/>
                <w:lang w:val="en-US" w:eastAsia="zh-CN"/>
              </w:rPr>
              <w:t>污泥产生量约7.325t/a。</w:t>
            </w:r>
            <w:r>
              <w:rPr>
                <w:rFonts w:hint="eastAsia"/>
                <w:color w:val="auto"/>
                <w:lang w:val="en-US" w:eastAsia="zh-CN"/>
              </w:rPr>
              <w:t>根据《关于发布&lt;固体废物分类与代码名录&gt;》（生态环境部公告2024年第4号），污泥</w:t>
            </w:r>
            <w:r>
              <w:rPr>
                <w:rFonts w:hint="eastAsia"/>
                <w:color w:val="auto"/>
                <w:highlight w:val="none"/>
                <w:lang w:val="en-US" w:eastAsia="zh-CN"/>
              </w:rPr>
              <w:t>属于</w:t>
            </w:r>
            <w:r>
              <w:rPr>
                <w:rFonts w:hint="eastAsia"/>
                <w:color w:val="auto"/>
                <w:highlight w:val="none"/>
              </w:rPr>
              <w:t>一般固废</w:t>
            </w:r>
            <w:r>
              <w:rPr>
                <w:rFonts w:hint="eastAsia"/>
                <w:color w:val="auto"/>
                <w:lang w:val="en-US" w:eastAsia="zh-CN"/>
              </w:rPr>
              <w:t>属于SW07污泥，类别代码为“900-099-S07”</w:t>
            </w:r>
            <w:r>
              <w:rPr>
                <w:rFonts w:hint="default"/>
                <w:color w:val="auto"/>
                <w:lang w:val="en-US" w:eastAsia="zh-CN"/>
              </w:rPr>
              <w:t>污泥定期清掏后委托污泥处置单位进行处理</w:t>
            </w:r>
            <w:r>
              <w:rPr>
                <w:rFonts w:hint="eastAsia"/>
                <w:color w:val="auto"/>
                <w:lang w:val="en-US" w:eastAsia="zh-CN"/>
              </w:rPr>
              <w:t>。</w:t>
            </w:r>
          </w:p>
          <w:p w14:paraId="6F0369C3">
            <w:pPr>
              <w:keepNext w:val="0"/>
              <w:keepLines w:val="0"/>
              <w:suppressLineNumbers w:val="0"/>
              <w:bidi w:val="0"/>
              <w:spacing w:before="0" w:beforeAutospacing="0" w:after="0" w:afterAutospacing="0"/>
              <w:ind w:left="0" w:right="0"/>
              <w:rPr>
                <w:rFonts w:hint="eastAsia"/>
                <w:b/>
                <w:bCs/>
                <w:color w:val="auto"/>
                <w:lang w:val="en-US" w:eastAsia="zh-CN"/>
              </w:rPr>
            </w:pPr>
            <w:r>
              <w:rPr>
                <w:rFonts w:hint="eastAsia"/>
                <w:b/>
                <w:bCs/>
                <w:color w:val="auto"/>
                <w:lang w:val="en-US" w:eastAsia="zh-CN"/>
              </w:rPr>
              <w:t>⑤除尘灰</w:t>
            </w:r>
          </w:p>
          <w:p w14:paraId="3DED947C">
            <w:pPr>
              <w:keepNext w:val="0"/>
              <w:keepLines w:val="0"/>
              <w:suppressLineNumbers w:val="0"/>
              <w:bidi w:val="0"/>
              <w:spacing w:before="0" w:beforeAutospacing="0" w:after="0" w:afterAutospacing="0"/>
              <w:ind w:left="0" w:right="0"/>
              <w:rPr>
                <w:rFonts w:hint="eastAsia"/>
                <w:color w:val="000000" w:themeColor="text1"/>
                <w14:textFill>
                  <w14:solidFill>
                    <w14:schemeClr w14:val="tx1"/>
                  </w14:solidFill>
                </w14:textFill>
              </w:rPr>
            </w:pPr>
            <w:r>
              <w:rPr>
                <w:rFonts w:hint="eastAsia"/>
                <w:color w:val="auto"/>
                <w:lang w:val="en-US" w:eastAsia="zh-CN"/>
              </w:rPr>
              <w:t>根据废气源强核算，本项目建成后袋式除尘器处理后粉尘收集量</w:t>
            </w:r>
            <w:r>
              <w:rPr>
                <w:rFonts w:hint="eastAsia"/>
                <w:color w:val="000000" w:themeColor="text1"/>
                <w:lang w:val="en-US" w:eastAsia="zh-CN"/>
                <w14:textFill>
                  <w14:solidFill>
                    <w14:schemeClr w14:val="tx1"/>
                  </w14:solidFill>
                </w14:textFill>
              </w:rPr>
              <w:t>为</w:t>
            </w:r>
            <w:r>
              <w:rPr>
                <w:rFonts w:hint="eastAsia"/>
                <w:color w:val="000000" w:themeColor="text1"/>
                <w:highlight w:val="none"/>
                <w:lang w:val="en-US" w:eastAsia="zh-CN"/>
                <w14:textFill>
                  <w14:solidFill>
                    <w14:schemeClr w14:val="tx1"/>
                  </w14:solidFill>
                </w14:textFill>
              </w:rPr>
              <w:t>0.051t/a</w:t>
            </w:r>
            <w:r>
              <w:rPr>
                <w:rFonts w:hint="eastAsia"/>
                <w:color w:val="000000" w:themeColor="text1"/>
                <w:lang w:val="en-US" w:eastAsia="zh-CN"/>
                <w14:textFill>
                  <w14:solidFill>
                    <w14:schemeClr w14:val="tx1"/>
                  </w14:solidFill>
                </w14:textFill>
              </w:rPr>
              <w:t>。</w:t>
            </w:r>
            <w:r>
              <w:rPr>
                <w:rFonts w:hint="eastAsia"/>
                <w:color w:val="auto"/>
                <w:highlight w:val="none"/>
                <w:lang w:val="en-US" w:eastAsia="zh-CN"/>
              </w:rPr>
              <w:t>根据《关于发布&lt;固体废物分类与代码名录&gt;》（生态环境部公告2024年第4号），</w:t>
            </w:r>
            <w:r>
              <w:rPr>
                <w:rFonts w:hint="eastAsia"/>
                <w:highlight w:val="none"/>
                <w:lang w:val="en-US" w:eastAsia="zh-CN"/>
              </w:rPr>
              <w:t>除尘器收集粉尘属于</w:t>
            </w:r>
            <w:r>
              <w:rPr>
                <w:rFonts w:hint="eastAsia"/>
                <w:highlight w:val="none"/>
              </w:rPr>
              <w:t>一般固废</w:t>
            </w:r>
            <w:r>
              <w:rPr>
                <w:rFonts w:hint="eastAsia"/>
                <w:color w:val="auto"/>
                <w:highlight w:val="none"/>
                <w:lang w:val="en-US" w:eastAsia="zh-CN"/>
              </w:rPr>
              <w:t>中SW59其他工业固体废物，类别代码为“900-099-S59”</w:t>
            </w:r>
            <w:r>
              <w:rPr>
                <w:rFonts w:hint="eastAsia"/>
                <w:b w:val="0"/>
                <w:bCs w:val="0"/>
                <w:highlight w:val="none"/>
                <w:lang w:val="en-US" w:eastAsia="zh-CN"/>
              </w:rPr>
              <w:t>，收集后外售。</w:t>
            </w:r>
          </w:p>
          <w:p w14:paraId="0EB63ECD">
            <w:pPr>
              <w:keepNext w:val="0"/>
              <w:keepLines w:val="0"/>
              <w:suppressLineNumbers w:val="0"/>
              <w:bidi w:val="0"/>
              <w:spacing w:before="0" w:beforeAutospacing="0" w:after="0" w:afterAutospacing="0"/>
              <w:ind w:left="0" w:right="0"/>
              <w:rPr>
                <w:rFonts w:hint="eastAsia"/>
                <w:b/>
                <w:bCs/>
                <w:color w:val="000000" w:themeColor="text1"/>
                <w14:textFill>
                  <w14:solidFill>
                    <w14:schemeClr w14:val="tx1"/>
                  </w14:solidFill>
                </w14:textFill>
              </w:rPr>
            </w:pPr>
            <w:r>
              <w:rPr>
                <w:rFonts w:hint="eastAsia"/>
                <w:b/>
                <w:bCs/>
                <w:color w:val="000000" w:themeColor="text1"/>
                <w:lang w:val="en-US" w:eastAsia="zh-CN"/>
                <w14:textFill>
                  <w14:solidFill>
                    <w14:schemeClr w14:val="tx1"/>
                  </w14:solidFill>
                </w14:textFill>
              </w:rPr>
              <w:t>⑥</w:t>
            </w:r>
            <w:r>
              <w:rPr>
                <w:rFonts w:hint="default"/>
                <w:b/>
                <w:bCs/>
                <w:color w:val="000000" w:themeColor="text1"/>
                <w14:textFill>
                  <w14:solidFill>
                    <w14:schemeClr w14:val="tx1"/>
                  </w14:solidFill>
                </w14:textFill>
              </w:rPr>
              <w:t>废</w:t>
            </w:r>
            <w:r>
              <w:rPr>
                <w:rFonts w:hint="eastAsia"/>
                <w:b/>
                <w:bCs/>
                <w:color w:val="000000" w:themeColor="text1"/>
                <w:lang w:val="en-US" w:eastAsia="zh-CN"/>
                <w14:textFill>
                  <w14:solidFill>
                    <w14:schemeClr w14:val="tx1"/>
                  </w14:solidFill>
                </w14:textFill>
              </w:rPr>
              <w:t>布袋</w:t>
            </w:r>
          </w:p>
          <w:p w14:paraId="26CB1884">
            <w:pPr>
              <w:keepNext w:val="0"/>
              <w:keepLines w:val="0"/>
              <w:suppressLineNumbers w:val="0"/>
              <w:bidi w:val="0"/>
              <w:spacing w:before="0" w:beforeAutospacing="0" w:after="0" w:afterAutospacing="0"/>
              <w:ind w:left="0" w:right="0"/>
              <w:rPr>
                <w:rFonts w:hint="eastAsia"/>
                <w:color w:val="auto"/>
                <w:lang w:val="en-US" w:eastAsia="zh-CN"/>
              </w:rPr>
            </w:pPr>
            <w:r>
              <w:rPr>
                <w:rFonts w:hint="default"/>
                <w:lang w:val="en-US" w:eastAsia="zh-CN"/>
              </w:rPr>
              <w:t>项目</w:t>
            </w:r>
            <w:r>
              <w:rPr>
                <w:rFonts w:hint="eastAsia"/>
                <w:lang w:val="en-US" w:eastAsia="zh-CN"/>
              </w:rPr>
              <w:t>生产过程中</w:t>
            </w:r>
            <w:r>
              <w:rPr>
                <w:rFonts w:hint="eastAsia"/>
                <w:b w:val="0"/>
                <w:bCs w:val="0"/>
                <w:lang w:val="en-US" w:eastAsia="zh-CN"/>
              </w:rPr>
              <w:t>粉尘废气经布袋除尘器处理后排放</w:t>
            </w:r>
            <w:r>
              <w:rPr>
                <w:rFonts w:hint="default"/>
                <w:lang w:val="en-US" w:eastAsia="zh-CN"/>
              </w:rPr>
              <w:t>，除尘器内布袋</w:t>
            </w:r>
            <w:r>
              <w:rPr>
                <w:rFonts w:hint="eastAsia"/>
                <w:lang w:val="en-US" w:eastAsia="zh-CN"/>
              </w:rPr>
              <w:t>每年更换一次</w:t>
            </w:r>
            <w:r>
              <w:rPr>
                <w:rFonts w:hint="default"/>
                <w:lang w:val="en-US" w:eastAsia="zh-CN"/>
              </w:rPr>
              <w:t>，</w:t>
            </w:r>
            <w:r>
              <w:rPr>
                <w:rFonts w:hint="eastAsia"/>
                <w:color w:val="000000" w:themeColor="text1"/>
                <w:lang w:val="en-US" w:eastAsia="zh-CN"/>
                <w14:textFill>
                  <w14:solidFill>
                    <w14:schemeClr w14:val="tx1"/>
                  </w14:solidFill>
                </w14:textFill>
              </w:rPr>
              <w:t>废布袋产生量约为0.5t/a。</w:t>
            </w:r>
            <w:r>
              <w:rPr>
                <w:rFonts w:hint="eastAsia"/>
                <w:color w:val="auto"/>
                <w:lang w:val="en-US" w:eastAsia="zh-CN"/>
              </w:rPr>
              <w:t>根据《关于发布&lt;固体废物分类与代码名录&gt;》（生态环境部公告2024年第4号），</w:t>
            </w:r>
            <w:r>
              <w:rPr>
                <w:rFonts w:hint="eastAsia"/>
                <w:highlight w:val="none"/>
                <w:lang w:val="en-US" w:eastAsia="zh-CN"/>
              </w:rPr>
              <w:t>除尘器废布袋属于</w:t>
            </w:r>
            <w:r>
              <w:rPr>
                <w:rFonts w:hint="eastAsia"/>
                <w:highlight w:val="none"/>
              </w:rPr>
              <w:t>一般固废</w:t>
            </w:r>
            <w:r>
              <w:rPr>
                <w:rFonts w:hint="eastAsia"/>
                <w:color w:val="auto"/>
                <w:lang w:val="en-US" w:eastAsia="zh-CN"/>
              </w:rPr>
              <w:t>中SW59其他工业固体废物，类别代码为“900-009-S59”，收集后外售。</w:t>
            </w:r>
          </w:p>
          <w:p w14:paraId="7626367D">
            <w:pPr>
              <w:keepNext w:val="0"/>
              <w:keepLines w:val="0"/>
              <w:suppressLineNumbers w:val="0"/>
              <w:bidi w:val="0"/>
              <w:spacing w:before="0" w:beforeAutospacing="0" w:after="0" w:afterAutospacing="0"/>
              <w:ind w:left="0" w:right="0"/>
              <w:rPr>
                <w:rFonts w:hint="eastAsia"/>
                <w:color w:val="auto"/>
                <w:lang w:val="en-US" w:eastAsia="zh-CN"/>
              </w:rPr>
            </w:pPr>
            <w:r>
              <w:rPr>
                <w:rFonts w:hint="eastAsia"/>
                <w:color w:val="auto"/>
                <w:lang w:val="en-US" w:eastAsia="zh-CN"/>
              </w:rPr>
              <w:t>项目设置暂存车间总面积约1000平方米，其中一般固废暂存区约800㎡</w:t>
            </w:r>
            <w:r>
              <w:rPr>
                <w:rFonts w:hint="default"/>
                <w:color w:val="auto"/>
              </w:rPr>
              <w:t>，按《</w:t>
            </w:r>
            <w:r>
              <w:rPr>
                <w:rFonts w:hint="eastAsia"/>
                <w:color w:val="auto"/>
              </w:rPr>
              <w:t>一般工业固体废物贮存和填埋污染控制标准</w:t>
            </w:r>
            <w:r>
              <w:rPr>
                <w:rFonts w:hint="default"/>
                <w:color w:val="auto"/>
              </w:rPr>
              <w:t>》（GB18599-20</w:t>
            </w:r>
            <w:r>
              <w:rPr>
                <w:rFonts w:hint="eastAsia"/>
                <w:color w:val="auto"/>
              </w:rPr>
              <w:t>20</w:t>
            </w:r>
            <w:r>
              <w:rPr>
                <w:rFonts w:hint="default"/>
                <w:color w:val="auto"/>
              </w:rPr>
              <w:t>）相关规定进行建设。一般固废的暂存区按照《</w:t>
            </w:r>
            <w:r>
              <w:rPr>
                <w:rFonts w:hint="eastAsia"/>
                <w:color w:val="auto"/>
              </w:rPr>
              <w:t>一般工业固体废物贮存和填埋污染控制标准</w:t>
            </w:r>
            <w:r>
              <w:rPr>
                <w:rFonts w:hint="default"/>
                <w:color w:val="auto"/>
              </w:rPr>
              <w:t>》（GB18599-20</w:t>
            </w:r>
            <w:r>
              <w:rPr>
                <w:rFonts w:hint="eastAsia"/>
                <w:color w:val="auto"/>
              </w:rPr>
              <w:t>20</w:t>
            </w:r>
            <w:r>
              <w:rPr>
                <w:rFonts w:hint="default"/>
                <w:color w:val="auto"/>
              </w:rPr>
              <w:t>）要求建设，</w:t>
            </w:r>
            <w:r>
              <w:rPr>
                <w:rFonts w:hint="eastAsia"/>
                <w:color w:val="auto"/>
                <w:lang w:val="en-US" w:eastAsia="zh-CN"/>
              </w:rPr>
              <w:t>地面全部硬化防渗，固废间内全封闭，能够有效满足一般固废暂存要求。</w:t>
            </w:r>
          </w:p>
          <w:p w14:paraId="236507FB">
            <w:pPr>
              <w:keepNext w:val="0"/>
              <w:keepLines w:val="0"/>
              <w:suppressLineNumbers w:val="0"/>
              <w:bidi w:val="0"/>
              <w:spacing w:before="0" w:beforeAutospacing="0" w:after="0" w:afterAutospacing="0"/>
              <w:ind w:left="0" w:right="0"/>
              <w:jc w:val="both"/>
              <w:rPr>
                <w:rFonts w:hint="eastAsia"/>
                <w:b/>
                <w:bCs/>
                <w:color w:val="auto"/>
              </w:rPr>
            </w:pPr>
            <w:r>
              <w:rPr>
                <w:rFonts w:hint="eastAsia"/>
                <w:b/>
                <w:bCs/>
                <w:color w:val="auto"/>
                <w:lang w:val="en-US" w:eastAsia="zh-CN"/>
              </w:rPr>
              <w:t>2、</w:t>
            </w:r>
            <w:r>
              <w:rPr>
                <w:rFonts w:hint="eastAsia"/>
                <w:b/>
                <w:bCs/>
                <w:color w:val="auto"/>
              </w:rPr>
              <w:t>危险废物</w:t>
            </w:r>
          </w:p>
          <w:p w14:paraId="5CFC7411">
            <w:pPr>
              <w:keepNext w:val="0"/>
              <w:keepLines w:val="0"/>
              <w:suppressLineNumbers w:val="0"/>
              <w:bidi w:val="0"/>
              <w:spacing w:before="0" w:beforeAutospacing="0" w:after="0" w:afterAutospacing="0"/>
              <w:ind w:left="0" w:right="0"/>
              <w:jc w:val="both"/>
              <w:rPr>
                <w:rFonts w:hint="eastAsia"/>
                <w:b/>
                <w:bCs/>
                <w:color w:val="auto"/>
              </w:rPr>
            </w:pPr>
            <w:r>
              <w:rPr>
                <w:rFonts w:hint="eastAsia"/>
                <w:b/>
                <w:bCs/>
                <w:color w:val="auto"/>
                <w:lang w:eastAsia="zh-CN"/>
              </w:rPr>
              <w:t>（</w:t>
            </w:r>
            <w:r>
              <w:rPr>
                <w:rFonts w:hint="eastAsia"/>
                <w:b/>
                <w:bCs/>
                <w:color w:val="auto"/>
                <w:lang w:val="en-US" w:eastAsia="zh-CN"/>
              </w:rPr>
              <w:t>1</w:t>
            </w:r>
            <w:r>
              <w:rPr>
                <w:rFonts w:hint="eastAsia"/>
                <w:b/>
                <w:bCs/>
                <w:color w:val="auto"/>
                <w:lang w:eastAsia="zh-CN"/>
              </w:rPr>
              <w:t>）</w:t>
            </w:r>
            <w:r>
              <w:rPr>
                <w:rFonts w:hint="eastAsia"/>
                <w:b/>
                <w:bCs/>
                <w:color w:val="auto"/>
              </w:rPr>
              <w:t>危险废物产生及处置情况</w:t>
            </w:r>
          </w:p>
          <w:p w14:paraId="6F3B0FBE">
            <w:pPr>
              <w:keepNext w:val="0"/>
              <w:keepLines w:val="0"/>
              <w:suppressLineNumbers w:val="0"/>
              <w:bidi w:val="0"/>
              <w:spacing w:before="0" w:beforeAutospacing="0" w:after="0" w:afterAutospacing="0"/>
              <w:ind w:left="0" w:right="0"/>
              <w:rPr>
                <w:rFonts w:hint="eastAsia"/>
                <w:b/>
                <w:bCs/>
                <w:lang w:val="en-US" w:eastAsia="zh-CN"/>
              </w:rPr>
            </w:pPr>
            <w:r>
              <w:rPr>
                <w:rFonts w:hint="eastAsia"/>
                <w:b/>
                <w:bCs/>
                <w:lang w:val="en-US" w:eastAsia="zh-CN"/>
              </w:rPr>
              <w:t>①废铅蓄电池</w:t>
            </w:r>
          </w:p>
          <w:p w14:paraId="551EA1D6">
            <w:pPr>
              <w:keepNext w:val="0"/>
              <w:keepLines w:val="0"/>
              <w:suppressLineNumbers w:val="0"/>
              <w:bidi w:val="0"/>
              <w:spacing w:before="0" w:beforeAutospacing="0" w:after="0" w:afterAutospacing="0"/>
              <w:ind w:left="0" w:right="0"/>
              <w:rPr>
                <w:rFonts w:hint="eastAsia" w:eastAsia="宋体"/>
                <w:color w:val="auto"/>
                <w:lang w:val="en-US" w:eastAsia="zh-CN"/>
              </w:rPr>
            </w:pPr>
            <w:r>
              <w:rPr>
                <w:rFonts w:hint="eastAsia"/>
                <w:lang w:val="en-US" w:eastAsia="zh-CN"/>
              </w:rPr>
              <w:t>根据工程分析可知，项目拆解产生的废铅蓄电池产生量为214.72t。根据</w:t>
            </w:r>
            <w:r>
              <w:rPr>
                <w:rFonts w:hint="eastAsia"/>
                <w:color w:val="auto"/>
              </w:rPr>
              <w:t>《国家危险废物名录》（</w:t>
            </w:r>
            <w:r>
              <w:rPr>
                <w:rFonts w:hint="default"/>
                <w:color w:val="auto"/>
              </w:rPr>
              <w:t>202</w:t>
            </w:r>
            <w:r>
              <w:rPr>
                <w:rFonts w:hint="eastAsia"/>
                <w:color w:val="auto"/>
                <w:lang w:val="en-US" w:eastAsia="zh-CN"/>
              </w:rPr>
              <w:t>5</w:t>
            </w:r>
            <w:r>
              <w:rPr>
                <w:rFonts w:hint="default"/>
                <w:color w:val="auto"/>
              </w:rPr>
              <w:t>年版）</w:t>
            </w:r>
            <w:r>
              <w:rPr>
                <w:rFonts w:hint="eastAsia"/>
                <w:color w:val="auto"/>
                <w:lang w:eastAsia="zh-CN"/>
              </w:rPr>
              <w:t>，</w:t>
            </w:r>
            <w:r>
              <w:rPr>
                <w:rFonts w:hint="eastAsia"/>
                <w:color w:val="auto"/>
                <w:lang w:val="en-US" w:eastAsia="zh-CN"/>
              </w:rPr>
              <w:t>废铅蓄电池属</w:t>
            </w:r>
            <w:r>
              <w:rPr>
                <w:rFonts w:hint="eastAsia" w:ascii="Times New Roman" w:hAnsi="Times New Roman" w:eastAsia="宋体" w:cs="Times New Roman"/>
                <w:lang w:val="en-US" w:eastAsia="zh-CN"/>
              </w:rPr>
              <w:t>于“HW31含铅废物”，</w:t>
            </w:r>
            <w:r>
              <w:rPr>
                <w:rFonts w:hint="eastAsia" w:eastAsia="宋体"/>
                <w:color w:val="auto"/>
                <w:lang w:val="en-US" w:eastAsia="zh-CN"/>
              </w:rPr>
              <w:t>危废代码为900-052-31，分类收集后暂存于危废暂存间废铅蓄电池暂存区后定期交由有资质单位处理。</w:t>
            </w:r>
          </w:p>
          <w:p w14:paraId="2AFE92F2">
            <w:pPr>
              <w:keepNext w:val="0"/>
              <w:keepLines w:val="0"/>
              <w:suppressLineNumbers w:val="0"/>
              <w:bidi w:val="0"/>
              <w:spacing w:before="0" w:beforeAutospacing="0" w:after="0" w:afterAutospacing="0"/>
              <w:ind w:left="0" w:right="0"/>
              <w:rPr>
                <w:rFonts w:hint="default" w:ascii="Times New Roman" w:hAnsi="Times New Roman" w:eastAsia="宋体"/>
                <w:b/>
                <w:bCs/>
                <w:color w:val="auto"/>
                <w:lang w:val="en-US" w:eastAsia="zh-CN"/>
              </w:rPr>
            </w:pPr>
            <w:r>
              <w:rPr>
                <w:rFonts w:hint="eastAsia" w:eastAsia="宋体"/>
                <w:b/>
                <w:bCs/>
                <w:color w:val="auto"/>
                <w:lang w:val="en-US" w:eastAsia="zh-CN"/>
              </w:rPr>
              <w:t>②</w:t>
            </w:r>
            <w:r>
              <w:rPr>
                <w:rFonts w:hint="eastAsia" w:ascii="Times New Roman" w:hAnsi="Times New Roman" w:eastAsia="宋体"/>
                <w:b/>
                <w:bCs/>
                <w:color w:val="auto"/>
                <w:lang w:val="en-US" w:eastAsia="zh-CN"/>
              </w:rPr>
              <w:t>废电路板、废电子元器件</w:t>
            </w:r>
          </w:p>
          <w:p w14:paraId="78591B8D">
            <w:pPr>
              <w:keepNext w:val="0"/>
              <w:keepLines w:val="0"/>
              <w:suppressLineNumbers w:val="0"/>
              <w:bidi w:val="0"/>
              <w:spacing w:before="0" w:beforeAutospacing="0" w:after="0" w:afterAutospacing="0"/>
              <w:ind w:left="0" w:right="0"/>
              <w:rPr>
                <w:rFonts w:hint="eastAsia"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本项目电动车在车灯、仪表板、线路板拆解过程中会产生少量废电路板、废电子元器件，</w:t>
            </w:r>
            <w:r>
              <w:rPr>
                <w:rFonts w:hint="eastAsia" w:eastAsia="宋体" w:cs="Times New Roman"/>
                <w:color w:val="auto"/>
                <w:lang w:val="en-US" w:eastAsia="zh-CN"/>
              </w:rPr>
              <w:t>产生量约203.5t/a</w:t>
            </w:r>
            <w:r>
              <w:rPr>
                <w:rFonts w:hint="eastAsia" w:ascii="Times New Roman" w:hAnsi="Times New Roman" w:eastAsia="宋体" w:cs="Times New Roman"/>
                <w:color w:val="auto"/>
                <w:lang w:val="en-US" w:eastAsia="zh-CN"/>
              </w:rPr>
              <w:t>，</w:t>
            </w:r>
            <w:r>
              <w:rPr>
                <w:rFonts w:hint="eastAsia" w:eastAsia="宋体" w:cs="Times New Roman"/>
                <w:color w:val="auto"/>
                <w:lang w:val="en-US" w:eastAsia="zh-CN"/>
              </w:rPr>
              <w:t>根据</w:t>
            </w:r>
            <w:r>
              <w:rPr>
                <w:rFonts w:hint="eastAsia" w:ascii="Times New Roman" w:hAnsi="Times New Roman" w:eastAsia="宋体" w:cs="Times New Roman"/>
                <w:color w:val="auto"/>
                <w:lang w:val="en-US" w:eastAsia="zh-CN"/>
              </w:rPr>
              <w:t>《国家危险废物名录（2025年版）》，</w:t>
            </w:r>
            <w:r>
              <w:rPr>
                <w:rFonts w:hint="eastAsia" w:ascii="Times New Roman" w:hAnsi="Times New Roman" w:eastAsia="宋体"/>
                <w:color w:val="auto"/>
                <w:lang w:val="en-US" w:eastAsia="zh-CN"/>
              </w:rPr>
              <w:t>废电路板、废电子元器件</w:t>
            </w:r>
            <w:r>
              <w:rPr>
                <w:rFonts w:hint="eastAsia" w:ascii="Times New Roman" w:hAnsi="Times New Roman" w:eastAsia="宋体" w:cs="Times New Roman"/>
                <w:color w:val="auto"/>
                <w:lang w:val="en-US" w:eastAsia="zh-CN"/>
              </w:rPr>
              <w:t>属于HW49其他废物，</w:t>
            </w:r>
            <w:r>
              <w:rPr>
                <w:rFonts w:hint="eastAsia" w:eastAsia="宋体" w:cs="Times New Roman"/>
                <w:color w:val="auto"/>
                <w:lang w:val="en-US" w:eastAsia="zh-CN"/>
              </w:rPr>
              <w:t>危废代码</w:t>
            </w:r>
            <w:r>
              <w:rPr>
                <w:rFonts w:hint="eastAsia" w:ascii="Times New Roman" w:hAnsi="Times New Roman" w:eastAsia="宋体" w:cs="Times New Roman"/>
                <w:color w:val="auto"/>
                <w:lang w:val="en-US" w:eastAsia="zh-CN"/>
              </w:rPr>
              <w:t>900-045-49，收集后暂存于危废暂存间</w:t>
            </w:r>
            <w:r>
              <w:rPr>
                <w:rFonts w:hint="eastAsia" w:eastAsia="宋体" w:cs="Times New Roman"/>
                <w:color w:val="auto"/>
                <w:lang w:val="en-US" w:eastAsia="zh-CN"/>
              </w:rPr>
              <w:t>废电路板及电子元件暂存区后</w:t>
            </w:r>
            <w:r>
              <w:rPr>
                <w:rFonts w:hint="eastAsia" w:ascii="Times New Roman" w:hAnsi="Times New Roman" w:eastAsia="宋体" w:cs="Times New Roman"/>
                <w:color w:val="auto"/>
                <w:lang w:val="en-US" w:eastAsia="zh-CN"/>
              </w:rPr>
              <w:t>定期交由有资质单位处理。</w:t>
            </w:r>
          </w:p>
          <w:p w14:paraId="105134D7">
            <w:pPr>
              <w:keepNext w:val="0"/>
              <w:keepLines w:val="0"/>
              <w:suppressLineNumbers w:val="0"/>
              <w:bidi w:val="0"/>
              <w:spacing w:before="0" w:beforeAutospacing="0" w:after="0" w:afterAutospacing="0"/>
              <w:ind w:left="0" w:right="0"/>
              <w:rPr>
                <w:rFonts w:hint="eastAsia"/>
                <w:b/>
                <w:bCs/>
                <w:lang w:val="en-US" w:eastAsia="zh-CN"/>
              </w:rPr>
            </w:pPr>
            <w:r>
              <w:rPr>
                <w:rFonts w:hint="eastAsia"/>
                <w:b/>
                <w:bCs/>
                <w:lang w:val="en-US" w:eastAsia="zh-CN"/>
              </w:rPr>
              <w:t>③废液压油</w:t>
            </w:r>
          </w:p>
          <w:p w14:paraId="4E897520">
            <w:pPr>
              <w:keepNext w:val="0"/>
              <w:keepLines w:val="0"/>
              <w:suppressLineNumbers w:val="0"/>
              <w:bidi w:val="0"/>
              <w:spacing w:before="0" w:beforeAutospacing="0" w:after="0" w:afterAutospacing="0"/>
              <w:ind w:left="0" w:right="0"/>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本项目在减震器拆解过程中，部分液压式减震器会产生废液压油，项目年拆解电动自行车10万辆，含液压式减震器约为10%，每辆电动自行车减震器中液压油含量约50g，则年产废液压油0.5t。根据《国家危险废物名录》（</w:t>
            </w:r>
            <w:r>
              <w:rPr>
                <w:rFonts w:hint="default" w:ascii="Times New Roman" w:hAnsi="Times New Roman" w:eastAsia="宋体" w:cs="Times New Roman"/>
                <w:color w:val="auto"/>
                <w:lang w:val="en-US" w:eastAsia="zh-CN"/>
              </w:rPr>
              <w:t>202</w:t>
            </w:r>
            <w:r>
              <w:rPr>
                <w:rFonts w:hint="eastAsia" w:ascii="Times New Roman" w:hAnsi="Times New Roman" w:eastAsia="宋体" w:cs="Times New Roman"/>
                <w:color w:val="auto"/>
                <w:lang w:val="en-US" w:eastAsia="zh-CN"/>
              </w:rPr>
              <w:t>5</w:t>
            </w:r>
            <w:r>
              <w:rPr>
                <w:rFonts w:hint="default" w:ascii="Times New Roman" w:hAnsi="Times New Roman" w:eastAsia="宋体" w:cs="Times New Roman"/>
                <w:color w:val="auto"/>
                <w:lang w:val="en-US" w:eastAsia="zh-CN"/>
              </w:rPr>
              <w:t>年版）</w:t>
            </w:r>
            <w:r>
              <w:rPr>
                <w:rFonts w:hint="eastAsia" w:ascii="Times New Roman" w:hAnsi="Times New Roman" w:eastAsia="宋体" w:cs="Times New Roman"/>
                <w:color w:val="auto"/>
                <w:lang w:val="en-US" w:eastAsia="zh-CN"/>
              </w:rPr>
              <w:t>，废液压油属于HW08废矿物油与含矿物油废物，危废代码900-218-08，建设单位分类收集在厂区危废暂存间暂存后定期</w:t>
            </w:r>
            <w:r>
              <w:rPr>
                <w:rFonts w:hint="default" w:ascii="Times New Roman" w:hAnsi="Times New Roman" w:eastAsia="宋体" w:cs="Times New Roman"/>
                <w:color w:val="auto"/>
                <w:lang w:val="en-US" w:eastAsia="zh-CN"/>
              </w:rPr>
              <w:t>委托</w:t>
            </w:r>
            <w:r>
              <w:rPr>
                <w:rFonts w:hint="eastAsia" w:ascii="Times New Roman" w:hAnsi="Times New Roman" w:eastAsia="宋体" w:cs="Times New Roman"/>
                <w:color w:val="auto"/>
                <w:lang w:val="en-US" w:eastAsia="zh-CN"/>
              </w:rPr>
              <w:t>有危险废物处理资质单位进行处理。</w:t>
            </w:r>
          </w:p>
          <w:p w14:paraId="7779CA38">
            <w:pPr>
              <w:pStyle w:val="33"/>
              <w:keepNext w:val="0"/>
              <w:keepLines w:val="0"/>
              <w:suppressLineNumbers w:val="0"/>
              <w:spacing w:before="0" w:beforeAutospacing="0" w:after="0" w:afterAutospacing="0"/>
              <w:ind w:left="0" w:right="0" w:firstLine="480"/>
              <w:jc w:val="both"/>
              <w:rPr>
                <w:rFonts w:hint="default" w:eastAsia="宋体"/>
                <w:b/>
                <w:bCs/>
                <w:color w:val="auto"/>
                <w:lang w:val="en-US" w:eastAsia="zh-CN"/>
              </w:rPr>
            </w:pPr>
            <w:r>
              <w:rPr>
                <w:rFonts w:hint="eastAsia"/>
                <w:b/>
                <w:bCs/>
                <w:color w:val="auto"/>
                <w:lang w:val="en-US" w:eastAsia="zh-CN"/>
              </w:rPr>
              <w:t>④</w:t>
            </w:r>
            <w:r>
              <w:rPr>
                <w:rFonts w:hint="eastAsia"/>
                <w:b/>
                <w:bCs/>
                <w:color w:val="auto"/>
              </w:rPr>
              <w:t>废</w:t>
            </w:r>
            <w:r>
              <w:rPr>
                <w:rFonts w:hint="eastAsia"/>
                <w:b/>
                <w:bCs/>
                <w:color w:val="auto"/>
                <w:lang w:val="en-US" w:eastAsia="zh-CN"/>
              </w:rPr>
              <w:t>润滑油及润滑油包装桶</w:t>
            </w:r>
          </w:p>
          <w:p w14:paraId="76373FCE">
            <w:pPr>
              <w:pStyle w:val="33"/>
              <w:keepNext w:val="0"/>
              <w:keepLines w:val="0"/>
              <w:suppressLineNumbers w:val="0"/>
              <w:spacing w:before="0" w:beforeAutospacing="0" w:after="0" w:afterAutospacing="0"/>
              <w:ind w:left="0" w:right="0" w:firstLine="480"/>
              <w:jc w:val="both"/>
              <w:rPr>
                <w:rFonts w:hint="eastAsia"/>
                <w:color w:val="auto"/>
              </w:rPr>
            </w:pPr>
            <w:r>
              <w:rPr>
                <w:rFonts w:hint="eastAsia"/>
                <w:color w:val="auto"/>
              </w:rPr>
              <w:t>项目</w:t>
            </w:r>
            <w:r>
              <w:rPr>
                <w:rFonts w:hint="eastAsia"/>
                <w:color w:val="auto"/>
                <w:lang w:val="en-US" w:eastAsia="zh-CN"/>
              </w:rPr>
              <w:t>设备维护保养需使用润滑油</w:t>
            </w:r>
            <w:r>
              <w:rPr>
                <w:rFonts w:hint="eastAsia"/>
                <w:color w:val="auto"/>
              </w:rPr>
              <w:t>，</w:t>
            </w:r>
            <w:r>
              <w:rPr>
                <w:rFonts w:hint="eastAsia"/>
                <w:color w:val="auto"/>
                <w:lang w:val="en-US" w:eastAsia="zh-CN"/>
              </w:rPr>
              <w:t>年</w:t>
            </w:r>
            <w:r>
              <w:rPr>
                <w:rFonts w:hint="eastAsia"/>
                <w:color w:val="auto"/>
              </w:rPr>
              <w:t>使用量约为</w:t>
            </w:r>
            <w:r>
              <w:rPr>
                <w:rFonts w:hint="default"/>
                <w:color w:val="auto"/>
              </w:rPr>
              <w:t>0.</w:t>
            </w:r>
            <w:r>
              <w:rPr>
                <w:rFonts w:hint="eastAsia"/>
                <w:color w:val="auto"/>
                <w:lang w:val="en-US" w:eastAsia="zh-CN"/>
              </w:rPr>
              <w:t>5</w:t>
            </w:r>
            <w:r>
              <w:rPr>
                <w:rFonts w:hint="eastAsia"/>
                <w:color w:val="auto"/>
              </w:rPr>
              <w:t>t</w:t>
            </w:r>
            <w:r>
              <w:rPr>
                <w:rFonts w:hint="default"/>
                <w:color w:val="auto"/>
              </w:rPr>
              <w:t>/</w:t>
            </w:r>
            <w:r>
              <w:rPr>
                <w:rFonts w:hint="eastAsia"/>
                <w:color w:val="auto"/>
              </w:rPr>
              <w:t>a，</w:t>
            </w:r>
            <w:r>
              <w:rPr>
                <w:rFonts w:hint="eastAsia"/>
                <w:color w:val="auto"/>
                <w:lang w:val="en-US" w:eastAsia="zh-CN"/>
              </w:rPr>
              <w:t>25kg/桶，年产废润滑油包装桶约20只，约0.02t/a；设备维护保养产生</w:t>
            </w:r>
            <w:r>
              <w:rPr>
                <w:rFonts w:hint="default"/>
                <w:color w:val="auto"/>
              </w:rPr>
              <w:t>少量</w:t>
            </w:r>
            <w:r>
              <w:rPr>
                <w:rFonts w:hint="eastAsia"/>
                <w:color w:val="auto"/>
                <w:lang w:eastAsia="zh-CN"/>
              </w:rPr>
              <w:t>废润滑油</w:t>
            </w:r>
            <w:r>
              <w:rPr>
                <w:rFonts w:hint="default"/>
                <w:color w:val="auto"/>
              </w:rPr>
              <w:t>，约为0.</w:t>
            </w:r>
            <w:r>
              <w:rPr>
                <w:rFonts w:hint="eastAsia"/>
                <w:color w:val="auto"/>
                <w:lang w:val="en-US" w:eastAsia="zh-CN"/>
              </w:rPr>
              <w:t>0</w:t>
            </w:r>
            <w:r>
              <w:rPr>
                <w:rFonts w:hint="default"/>
                <w:color w:val="auto"/>
              </w:rPr>
              <w:t>5t/a</w:t>
            </w:r>
            <w:r>
              <w:rPr>
                <w:rFonts w:hint="eastAsia"/>
                <w:color w:val="auto"/>
                <w:lang w:eastAsia="zh-CN"/>
              </w:rPr>
              <w:t>，</w:t>
            </w:r>
            <w:r>
              <w:rPr>
                <w:rFonts w:hint="eastAsia"/>
                <w:color w:val="auto"/>
                <w:lang w:val="en-US" w:eastAsia="zh-CN"/>
              </w:rPr>
              <w:t>合计0.07t</w:t>
            </w:r>
            <w:r>
              <w:rPr>
                <w:rFonts w:hint="eastAsia"/>
                <w:color w:val="auto"/>
              </w:rPr>
              <w:t>。根据《国家危险废物名录》（</w:t>
            </w:r>
            <w:r>
              <w:rPr>
                <w:rFonts w:hint="default"/>
                <w:color w:val="auto"/>
              </w:rPr>
              <w:t>202</w:t>
            </w:r>
            <w:r>
              <w:rPr>
                <w:rFonts w:hint="eastAsia"/>
                <w:color w:val="auto"/>
                <w:lang w:val="en-US" w:eastAsia="zh-CN"/>
              </w:rPr>
              <w:t>5</w:t>
            </w:r>
            <w:r>
              <w:rPr>
                <w:rFonts w:hint="default"/>
                <w:color w:val="auto"/>
              </w:rPr>
              <w:t>年版）</w:t>
            </w:r>
            <w:r>
              <w:rPr>
                <w:rFonts w:hint="eastAsia"/>
                <w:color w:val="auto"/>
              </w:rPr>
              <w:t>废机油属于</w:t>
            </w:r>
            <w:r>
              <w:rPr>
                <w:rFonts w:hint="eastAsia"/>
                <w:color w:val="auto"/>
                <w:lang w:eastAsia="zh-CN"/>
              </w:rPr>
              <w:t>“</w:t>
            </w:r>
            <w:r>
              <w:rPr>
                <w:rFonts w:hint="default"/>
                <w:color w:val="auto"/>
              </w:rPr>
              <w:t>HW08</w:t>
            </w:r>
            <w:r>
              <w:rPr>
                <w:rFonts w:hint="eastAsia"/>
                <w:color w:val="auto"/>
                <w:lang w:eastAsia="zh-CN"/>
              </w:rPr>
              <w:t>”</w:t>
            </w:r>
            <w:r>
              <w:rPr>
                <w:rFonts w:hint="default"/>
                <w:color w:val="auto"/>
              </w:rPr>
              <w:t>类危险废物，危废代码为900-2</w:t>
            </w:r>
            <w:r>
              <w:rPr>
                <w:rFonts w:hint="eastAsia"/>
                <w:color w:val="auto"/>
                <w:lang w:val="en-US" w:eastAsia="zh-CN"/>
              </w:rPr>
              <w:t>49</w:t>
            </w:r>
            <w:r>
              <w:rPr>
                <w:rFonts w:hint="default"/>
                <w:color w:val="auto"/>
              </w:rPr>
              <w:t>-08</w:t>
            </w:r>
            <w:r>
              <w:rPr>
                <w:rFonts w:hint="eastAsia"/>
                <w:color w:val="auto"/>
                <w:lang w:eastAsia="zh-CN"/>
              </w:rPr>
              <w:t>，</w:t>
            </w:r>
            <w:r>
              <w:rPr>
                <w:rFonts w:hint="eastAsia"/>
                <w:color w:val="auto"/>
              </w:rPr>
              <w:t>建设单位分类收集在厂区危废暂存间暂存后定期</w:t>
            </w:r>
            <w:r>
              <w:rPr>
                <w:rFonts w:hint="default"/>
                <w:color w:val="auto"/>
              </w:rPr>
              <w:t>委托</w:t>
            </w:r>
            <w:r>
              <w:rPr>
                <w:rFonts w:hint="eastAsia"/>
                <w:color w:val="auto"/>
                <w:lang w:val="en-US" w:eastAsia="zh-CN"/>
              </w:rPr>
              <w:t>有</w:t>
            </w:r>
            <w:r>
              <w:rPr>
                <w:rFonts w:hint="eastAsia"/>
                <w:color w:val="auto"/>
              </w:rPr>
              <w:t>危险废物处理资质单位进行处理。</w:t>
            </w:r>
          </w:p>
          <w:p w14:paraId="47885D5F">
            <w:pPr>
              <w:pStyle w:val="33"/>
              <w:keepNext w:val="0"/>
              <w:keepLines w:val="0"/>
              <w:suppressLineNumbers w:val="0"/>
              <w:spacing w:before="0" w:beforeAutospacing="0" w:after="0" w:afterAutospacing="0"/>
              <w:ind w:left="0" w:right="0" w:firstLine="480"/>
              <w:jc w:val="both"/>
              <w:rPr>
                <w:rFonts w:hint="eastAsia"/>
                <w:b/>
                <w:bCs/>
                <w:color w:val="auto"/>
                <w:lang w:val="en-US" w:eastAsia="zh-CN"/>
              </w:rPr>
            </w:pPr>
            <w:r>
              <w:rPr>
                <w:rFonts w:hint="eastAsia"/>
                <w:b/>
                <w:bCs/>
                <w:color w:val="auto"/>
                <w:lang w:val="en-US" w:eastAsia="zh-CN"/>
              </w:rPr>
              <w:t>⑤废含油抹布、手套</w:t>
            </w:r>
          </w:p>
          <w:p w14:paraId="3A6E170B">
            <w:pPr>
              <w:pStyle w:val="33"/>
              <w:keepNext w:val="0"/>
              <w:keepLines w:val="0"/>
              <w:suppressLineNumbers w:val="0"/>
              <w:spacing w:before="0" w:beforeAutospacing="0" w:after="0" w:afterAutospacing="0"/>
              <w:ind w:left="0" w:right="0" w:firstLine="480"/>
              <w:jc w:val="both"/>
              <w:rPr>
                <w:rFonts w:hint="eastAsia"/>
                <w:color w:val="auto"/>
                <w:lang w:val="en-US" w:eastAsia="zh-CN"/>
              </w:rPr>
            </w:pPr>
            <w:r>
              <w:rPr>
                <w:rFonts w:hint="eastAsia"/>
                <w:color w:val="auto"/>
                <w:lang w:val="en-US" w:eastAsia="zh-CN"/>
              </w:rPr>
              <w:t>项目电动车拆解、机械设备运转及维护过程中会产生废含油抹布和废含油手套，根据企业提供资料，废含油抹布和废含油手套产生量约为0.05t/a。根据《国家危险废物名录》（2025年版）可知，废含油抹布和废含油手套属于危险废物，废物类别编号为HW49，废物代码为900-041-49，暂存于危废暂存间内，定期交有资质单位处置。</w:t>
            </w:r>
          </w:p>
          <w:p w14:paraId="4FE89B18">
            <w:pPr>
              <w:pStyle w:val="33"/>
              <w:keepNext w:val="0"/>
              <w:keepLines w:val="0"/>
              <w:suppressLineNumbers w:val="0"/>
              <w:spacing w:before="0" w:beforeAutospacing="0" w:after="0" w:afterAutospacing="0"/>
              <w:ind w:left="0" w:right="0" w:firstLine="480"/>
              <w:jc w:val="both"/>
              <w:rPr>
                <w:rFonts w:hint="eastAsia"/>
                <w:b/>
                <w:bCs/>
                <w:color w:val="auto"/>
                <w:lang w:val="en-US" w:eastAsia="zh-CN"/>
              </w:rPr>
            </w:pPr>
            <w:r>
              <w:rPr>
                <w:rFonts w:hint="eastAsia"/>
                <w:b/>
                <w:bCs/>
                <w:color w:val="auto"/>
                <w:lang w:val="en-US" w:eastAsia="zh-CN"/>
              </w:rPr>
              <w:t>⑥废电解液中和废物</w:t>
            </w:r>
          </w:p>
          <w:p w14:paraId="6B7F136D">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根据企业提供资料，入厂车辆中含电池车辆仅占总量的20%，且电池主要为AGM（吸附式玻璃纤维棉）电池，废旧电动自行车入厂首先进行登记检查，对铅蓄电池破损的废旧电动自行车禁止入厂，拆除电池时要求轻拿轻放，破损率较低，因破碎导致的废电解液泄漏量较少，本环评要求企业配备防渗托盘及带盖PVC箱对电池进行暂存。</w:t>
            </w:r>
          </w:p>
          <w:p w14:paraId="29906BDF">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参考国内同类废铅蓄电池收集暂存项目的实际运行情况，废铅酸蓄电池在回收、储运过程中破损率约0.2%，本项目全年回收废铅酸蓄电池214.72t，则破损废铅酸蓄电池量为0.429</w:t>
            </w:r>
            <w:r>
              <w:rPr>
                <w:rFonts w:hint="default"/>
                <w:lang w:val="en-US" w:eastAsia="zh-CN"/>
              </w:rPr>
              <w:t>t/a</w:t>
            </w:r>
            <w:r>
              <w:rPr>
                <w:rFonts w:hint="eastAsia"/>
                <w:lang w:val="en-US" w:eastAsia="zh-CN"/>
              </w:rPr>
              <w:t>。根据铅酸蓄电池组成，废铅蓄电池的电解液占电池的10%～20%（本次按20</w:t>
            </w:r>
            <w:r>
              <w:rPr>
                <w:rFonts w:hint="default"/>
                <w:lang w:val="en-US" w:eastAsia="zh-CN"/>
              </w:rPr>
              <w:t>%</w:t>
            </w:r>
            <w:r>
              <w:rPr>
                <w:rFonts w:hint="eastAsia"/>
                <w:lang w:val="en-US" w:eastAsia="zh-CN"/>
              </w:rPr>
              <w:t>计），则泄漏的电解液量为0.086</w:t>
            </w:r>
            <w:r>
              <w:rPr>
                <w:rFonts w:hint="default"/>
                <w:lang w:val="en-US" w:eastAsia="zh-CN"/>
              </w:rPr>
              <w:t>t/a</w:t>
            </w:r>
            <w:r>
              <w:rPr>
                <w:rFonts w:hint="eastAsia"/>
                <w:lang w:val="en-US" w:eastAsia="zh-CN"/>
              </w:rPr>
              <w:t>，泄漏后使用石灰（1:1）对电解液进行中和，则废电解液中和废物产生量约0.172t。根据《国家危险废物名录》（2025年版）可知，废电解液中和废物属于危险废物，废物类别编号为HW49，废物代码为900-041-49，暂存于危废暂存间内，定期交有资质单位处置。</w:t>
            </w:r>
          </w:p>
          <w:p w14:paraId="7748EC30">
            <w:pPr>
              <w:pStyle w:val="39"/>
              <w:keepNext w:val="0"/>
              <w:keepLines w:val="0"/>
              <w:suppressLineNumbers w:val="0"/>
              <w:bidi w:val="0"/>
              <w:spacing w:before="0" w:beforeAutospacing="0" w:after="0" w:afterAutospacing="0"/>
              <w:ind w:left="0" w:right="0"/>
              <w:rPr>
                <w:rFonts w:hint="eastAsia"/>
              </w:rPr>
            </w:pPr>
            <w:r>
              <w:rPr>
                <w:rFonts w:hint="eastAsia"/>
              </w:rPr>
              <w:t>表4-</w:t>
            </w:r>
            <w:r>
              <w:rPr>
                <w:rFonts w:hint="eastAsia"/>
                <w:lang w:val="en-US" w:eastAsia="zh-CN"/>
              </w:rPr>
              <w:t>19</w:t>
            </w:r>
            <w:r>
              <w:rPr>
                <w:rFonts w:hint="eastAsia"/>
                <w:lang w:eastAsia="zh-CN"/>
              </w:rPr>
              <w:t xml:space="preserve">  </w:t>
            </w:r>
            <w:r>
              <w:rPr>
                <w:rFonts w:hint="eastAsia"/>
              </w:rPr>
              <w:t>项目</w:t>
            </w:r>
            <w:r>
              <w:rPr>
                <w:rFonts w:hint="eastAsia"/>
                <w:lang w:val="en-US" w:eastAsia="zh-CN"/>
              </w:rPr>
              <w:t>固体废物</w:t>
            </w:r>
            <w:r>
              <w:rPr>
                <w:rFonts w:hint="eastAsia"/>
              </w:rPr>
              <w:t>产生及处置情况汇总表</w:t>
            </w:r>
          </w:p>
          <w:tbl>
            <w:tblPr>
              <w:tblStyle w:val="19"/>
              <w:tblW w:w="499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73"/>
              <w:gridCol w:w="825"/>
              <w:gridCol w:w="570"/>
              <w:gridCol w:w="1125"/>
              <w:gridCol w:w="795"/>
              <w:gridCol w:w="960"/>
              <w:gridCol w:w="705"/>
              <w:gridCol w:w="510"/>
              <w:gridCol w:w="630"/>
              <w:gridCol w:w="540"/>
              <w:gridCol w:w="849"/>
            </w:tblGrid>
            <w:tr w14:paraId="20ACA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236" w:type="pct"/>
                  <w:noWrap w:val="0"/>
                  <w:vAlign w:val="center"/>
                </w:tcPr>
                <w:p w14:paraId="3A9783DA">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b/>
                      <w:bCs/>
                      <w:color w:val="auto"/>
                      <w:lang w:val="en-US" w:eastAsia="zh-CN"/>
                    </w:rPr>
                  </w:pPr>
                  <w:r>
                    <w:rPr>
                      <w:rFonts w:hint="eastAsia"/>
                      <w:b/>
                      <w:bCs/>
                      <w:color w:val="auto"/>
                      <w:lang w:val="en-US" w:eastAsia="zh-CN"/>
                    </w:rPr>
                    <w:t>序号</w:t>
                  </w:r>
                </w:p>
              </w:tc>
              <w:tc>
                <w:tcPr>
                  <w:tcW w:w="523" w:type="pct"/>
                  <w:noWrap w:val="0"/>
                  <w:vAlign w:val="center"/>
                </w:tcPr>
                <w:p w14:paraId="59AA7617">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b/>
                      <w:bCs/>
                      <w:color w:val="auto"/>
                      <w:lang w:val="en-US" w:eastAsia="zh-CN"/>
                    </w:rPr>
                  </w:pPr>
                  <w:r>
                    <w:rPr>
                      <w:rFonts w:hint="eastAsia"/>
                      <w:b/>
                      <w:bCs/>
                      <w:color w:val="auto"/>
                      <w:lang w:val="en-US" w:eastAsia="zh-CN"/>
                    </w:rPr>
                    <w:t>固废名称</w:t>
                  </w:r>
                </w:p>
              </w:tc>
              <w:tc>
                <w:tcPr>
                  <w:tcW w:w="361" w:type="pct"/>
                  <w:noWrap w:val="0"/>
                  <w:vAlign w:val="center"/>
                </w:tcPr>
                <w:p w14:paraId="544A5E04">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b/>
                      <w:bCs/>
                      <w:color w:val="auto"/>
                      <w:lang w:val="en-US" w:eastAsia="zh-CN"/>
                    </w:rPr>
                  </w:pPr>
                  <w:r>
                    <w:rPr>
                      <w:rFonts w:hint="eastAsia"/>
                      <w:b/>
                      <w:bCs/>
                      <w:color w:val="auto"/>
                      <w:lang w:val="en-US" w:eastAsia="zh-CN"/>
                    </w:rPr>
                    <w:t>固废类别</w:t>
                  </w:r>
                </w:p>
              </w:tc>
              <w:tc>
                <w:tcPr>
                  <w:tcW w:w="713" w:type="pct"/>
                  <w:shd w:val="clear" w:color="auto" w:fill="auto"/>
                  <w:noWrap w:val="0"/>
                  <w:vAlign w:val="center"/>
                </w:tcPr>
                <w:p w14:paraId="54269560">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eastAsia" w:ascii="Times New Roman" w:hAnsi="Times New Roman" w:eastAsia="宋体" w:cs="Times New Roman"/>
                      <w:b/>
                      <w:bCs/>
                      <w:color w:val="auto"/>
                      <w:kern w:val="2"/>
                      <w:sz w:val="21"/>
                      <w:szCs w:val="21"/>
                      <w:lang w:val="en-US" w:eastAsia="zh-CN" w:bidi="ar-SA"/>
                    </w:rPr>
                  </w:pPr>
                  <w:r>
                    <w:rPr>
                      <w:rFonts w:hint="eastAsia"/>
                      <w:b/>
                      <w:bCs/>
                      <w:color w:val="auto"/>
                      <w:lang w:val="en-US" w:eastAsia="zh-CN"/>
                    </w:rPr>
                    <w:t>固废代码</w:t>
                  </w:r>
                </w:p>
              </w:tc>
              <w:tc>
                <w:tcPr>
                  <w:tcW w:w="504" w:type="pct"/>
                  <w:noWrap w:val="0"/>
                  <w:vAlign w:val="center"/>
                </w:tcPr>
                <w:p w14:paraId="381FF5DD">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b/>
                      <w:bCs/>
                      <w:color w:val="auto"/>
                      <w:lang w:val="en-US" w:eastAsia="zh-CN"/>
                    </w:rPr>
                  </w:pPr>
                  <w:r>
                    <w:rPr>
                      <w:rFonts w:hint="eastAsia"/>
                      <w:b/>
                      <w:bCs/>
                      <w:color w:val="auto"/>
                      <w:lang w:val="en-US" w:eastAsia="zh-CN"/>
                    </w:rPr>
                    <w:t>产生量t/a</w:t>
                  </w:r>
                </w:p>
              </w:tc>
              <w:tc>
                <w:tcPr>
                  <w:tcW w:w="608" w:type="pct"/>
                  <w:noWrap w:val="0"/>
                  <w:vAlign w:val="center"/>
                </w:tcPr>
                <w:p w14:paraId="37AAAEBA">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b/>
                      <w:bCs/>
                      <w:color w:val="auto"/>
                      <w:lang w:val="en-US" w:eastAsia="zh-CN"/>
                    </w:rPr>
                  </w:pPr>
                  <w:r>
                    <w:rPr>
                      <w:rFonts w:hint="eastAsia"/>
                      <w:b/>
                      <w:bCs/>
                      <w:color w:val="auto"/>
                      <w:lang w:val="en-US" w:eastAsia="zh-CN"/>
                    </w:rPr>
                    <w:t>产生工序及装置</w:t>
                  </w:r>
                </w:p>
              </w:tc>
              <w:tc>
                <w:tcPr>
                  <w:tcW w:w="447" w:type="pct"/>
                  <w:noWrap w:val="0"/>
                  <w:vAlign w:val="center"/>
                </w:tcPr>
                <w:p w14:paraId="6136B4A2">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b/>
                      <w:bCs/>
                      <w:color w:val="auto"/>
                      <w:lang w:val="en-US" w:eastAsia="zh-CN"/>
                    </w:rPr>
                  </w:pPr>
                  <w:r>
                    <w:rPr>
                      <w:rFonts w:hint="eastAsia"/>
                      <w:b/>
                      <w:bCs/>
                      <w:color w:val="auto"/>
                      <w:lang w:val="en-US" w:eastAsia="zh-CN"/>
                    </w:rPr>
                    <w:t>形态</w:t>
                  </w:r>
                </w:p>
              </w:tc>
              <w:tc>
                <w:tcPr>
                  <w:tcW w:w="323" w:type="pct"/>
                  <w:noWrap w:val="0"/>
                  <w:vAlign w:val="center"/>
                </w:tcPr>
                <w:p w14:paraId="29D4E170">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b/>
                      <w:bCs/>
                      <w:color w:val="auto"/>
                      <w:lang w:val="en-US" w:eastAsia="zh-CN"/>
                    </w:rPr>
                  </w:pPr>
                  <w:r>
                    <w:rPr>
                      <w:rFonts w:hint="eastAsia"/>
                      <w:b/>
                      <w:bCs/>
                      <w:color w:val="auto"/>
                      <w:lang w:val="en-US" w:eastAsia="zh-CN"/>
                    </w:rPr>
                    <w:t>有害成分</w:t>
                  </w:r>
                </w:p>
              </w:tc>
              <w:tc>
                <w:tcPr>
                  <w:tcW w:w="399" w:type="pct"/>
                  <w:noWrap w:val="0"/>
                  <w:vAlign w:val="center"/>
                </w:tcPr>
                <w:p w14:paraId="09725AD5">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b/>
                      <w:bCs/>
                      <w:color w:val="auto"/>
                      <w:lang w:val="en-US" w:eastAsia="zh-CN"/>
                    </w:rPr>
                  </w:pPr>
                  <w:r>
                    <w:rPr>
                      <w:rFonts w:hint="eastAsia"/>
                      <w:b/>
                      <w:bCs/>
                      <w:color w:val="auto"/>
                      <w:lang w:val="en-US" w:eastAsia="zh-CN"/>
                    </w:rPr>
                    <w:t>暂存周期</w:t>
                  </w:r>
                </w:p>
              </w:tc>
              <w:tc>
                <w:tcPr>
                  <w:tcW w:w="342" w:type="pct"/>
                  <w:noWrap w:val="0"/>
                  <w:vAlign w:val="center"/>
                </w:tcPr>
                <w:p w14:paraId="13B2FBB4">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b/>
                      <w:bCs/>
                      <w:color w:val="auto"/>
                      <w:lang w:val="en-US" w:eastAsia="zh-CN"/>
                    </w:rPr>
                  </w:pPr>
                  <w:r>
                    <w:rPr>
                      <w:rFonts w:hint="eastAsia"/>
                      <w:b/>
                      <w:bCs/>
                      <w:color w:val="auto"/>
                      <w:lang w:val="en-US" w:eastAsia="zh-CN"/>
                    </w:rPr>
                    <w:t>危险</w:t>
                  </w:r>
                </w:p>
                <w:p w14:paraId="168B7789">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b/>
                      <w:bCs/>
                      <w:color w:val="auto"/>
                      <w:lang w:val="en-US" w:eastAsia="zh-CN"/>
                    </w:rPr>
                  </w:pPr>
                  <w:r>
                    <w:rPr>
                      <w:rFonts w:hint="eastAsia"/>
                      <w:b/>
                      <w:bCs/>
                      <w:color w:val="auto"/>
                      <w:lang w:val="en-US" w:eastAsia="zh-CN"/>
                    </w:rPr>
                    <w:t>特性</w:t>
                  </w:r>
                </w:p>
              </w:tc>
              <w:tc>
                <w:tcPr>
                  <w:tcW w:w="538" w:type="pct"/>
                  <w:noWrap w:val="0"/>
                  <w:vAlign w:val="center"/>
                </w:tcPr>
                <w:p w14:paraId="38054D15">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b/>
                      <w:bCs/>
                      <w:color w:val="auto"/>
                      <w:lang w:val="en-US" w:eastAsia="zh-CN"/>
                    </w:rPr>
                  </w:pPr>
                  <w:r>
                    <w:rPr>
                      <w:rFonts w:hint="eastAsia"/>
                      <w:b/>
                      <w:bCs/>
                      <w:color w:val="auto"/>
                      <w:lang w:val="en-US" w:eastAsia="zh-CN"/>
                    </w:rPr>
                    <w:t>污染防治措施</w:t>
                  </w:r>
                </w:p>
              </w:tc>
            </w:tr>
            <w:tr w14:paraId="31170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236" w:type="pct"/>
                  <w:noWrap w:val="0"/>
                  <w:vAlign w:val="center"/>
                </w:tcPr>
                <w:p w14:paraId="349B1624">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1</w:t>
                  </w:r>
                </w:p>
              </w:tc>
              <w:tc>
                <w:tcPr>
                  <w:tcW w:w="523" w:type="pct"/>
                  <w:shd w:val="clear" w:color="auto" w:fill="auto"/>
                  <w:noWrap w:val="0"/>
                  <w:vAlign w:val="center"/>
                </w:tcPr>
                <w:p w14:paraId="109242F1">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color w:val="auto"/>
                      <w:lang w:val="en-US" w:eastAsia="zh-CN"/>
                    </w:rPr>
                  </w:pPr>
                  <w:r>
                    <w:rPr>
                      <w:rFonts w:hint="eastAsia"/>
                      <w:color w:val="auto"/>
                      <w:lang w:val="en-US" w:eastAsia="zh-CN"/>
                    </w:rPr>
                    <w:t>生活垃圾</w:t>
                  </w:r>
                </w:p>
              </w:tc>
              <w:tc>
                <w:tcPr>
                  <w:tcW w:w="361" w:type="pct"/>
                  <w:vMerge w:val="restart"/>
                  <w:shd w:val="clear" w:color="auto" w:fill="auto"/>
                  <w:noWrap w:val="0"/>
                  <w:vAlign w:val="center"/>
                </w:tcPr>
                <w:p w14:paraId="22E8C1AB">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color w:val="auto"/>
                      <w:lang w:val="en-US" w:eastAsia="zh-CN"/>
                    </w:rPr>
                  </w:pPr>
                  <w:r>
                    <w:rPr>
                      <w:rFonts w:hint="eastAsia"/>
                      <w:color w:val="auto"/>
                      <w:lang w:val="en-US" w:eastAsia="zh-CN"/>
                    </w:rPr>
                    <w:t>一般固废</w:t>
                  </w:r>
                </w:p>
              </w:tc>
              <w:tc>
                <w:tcPr>
                  <w:tcW w:w="713" w:type="pct"/>
                  <w:shd w:val="clear" w:color="auto" w:fill="auto"/>
                  <w:noWrap w:val="0"/>
                  <w:vAlign w:val="center"/>
                </w:tcPr>
                <w:p w14:paraId="1E71D1E3">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eastAsia"/>
                      <w:color w:val="auto"/>
                      <w:lang w:val="en-US" w:eastAsia="zh-CN"/>
                    </w:rPr>
                  </w:pPr>
                  <w:r>
                    <w:rPr>
                      <w:rFonts w:hint="eastAsia"/>
                      <w:color w:val="auto"/>
                      <w:lang w:val="en-US" w:eastAsia="zh-CN"/>
                    </w:rPr>
                    <w:t>SW64</w:t>
                  </w:r>
                </w:p>
                <w:p w14:paraId="15B6B727">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900-099-S64</w:t>
                  </w:r>
                </w:p>
              </w:tc>
              <w:tc>
                <w:tcPr>
                  <w:tcW w:w="504" w:type="pct"/>
                  <w:noWrap w:val="0"/>
                  <w:vAlign w:val="center"/>
                </w:tcPr>
                <w:p w14:paraId="0E371BC3">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color w:val="auto"/>
                      <w:lang w:val="en-US" w:eastAsia="zh-CN"/>
                    </w:rPr>
                  </w:pPr>
                  <w:r>
                    <w:rPr>
                      <w:rFonts w:hint="eastAsia"/>
                      <w:color w:val="auto"/>
                      <w:lang w:val="en-US" w:eastAsia="zh-CN"/>
                    </w:rPr>
                    <w:t>3.0</w:t>
                  </w:r>
                </w:p>
              </w:tc>
              <w:tc>
                <w:tcPr>
                  <w:tcW w:w="608" w:type="pct"/>
                  <w:noWrap w:val="0"/>
                  <w:vAlign w:val="center"/>
                </w:tcPr>
                <w:p w14:paraId="10FCD22F">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员工生活</w:t>
                  </w:r>
                </w:p>
              </w:tc>
              <w:tc>
                <w:tcPr>
                  <w:tcW w:w="447" w:type="pct"/>
                  <w:shd w:val="clear" w:color="auto" w:fill="auto"/>
                  <w:noWrap w:val="0"/>
                  <w:vAlign w:val="center"/>
                </w:tcPr>
                <w:p w14:paraId="531BDD92">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固态</w:t>
                  </w:r>
                </w:p>
              </w:tc>
              <w:tc>
                <w:tcPr>
                  <w:tcW w:w="323" w:type="pct"/>
                  <w:shd w:val="clear" w:color="auto" w:fill="auto"/>
                  <w:noWrap w:val="0"/>
                  <w:vAlign w:val="center"/>
                </w:tcPr>
                <w:p w14:paraId="28454175">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w:t>
                  </w:r>
                </w:p>
              </w:tc>
              <w:tc>
                <w:tcPr>
                  <w:tcW w:w="399" w:type="pct"/>
                  <w:shd w:val="clear" w:color="auto" w:fill="auto"/>
                  <w:noWrap w:val="0"/>
                  <w:vAlign w:val="center"/>
                </w:tcPr>
                <w:p w14:paraId="2F0DFA66">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1d</w:t>
                  </w:r>
                </w:p>
              </w:tc>
              <w:tc>
                <w:tcPr>
                  <w:tcW w:w="342" w:type="pct"/>
                  <w:shd w:val="clear" w:color="auto" w:fill="auto"/>
                  <w:noWrap w:val="0"/>
                  <w:vAlign w:val="center"/>
                </w:tcPr>
                <w:p w14:paraId="68E6FF29">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ascii="Times New Roman" w:hAnsi="Times New Roman" w:eastAsia="宋体"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w:t>
                  </w:r>
                </w:p>
              </w:tc>
              <w:tc>
                <w:tcPr>
                  <w:tcW w:w="538" w:type="pct"/>
                  <w:noWrap w:val="0"/>
                  <w:vAlign w:val="center"/>
                </w:tcPr>
                <w:p w14:paraId="46B1DF4B">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环卫定期清运</w:t>
                  </w:r>
                </w:p>
              </w:tc>
            </w:tr>
            <w:tr w14:paraId="4CB8C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236" w:type="pct"/>
                  <w:noWrap w:val="0"/>
                  <w:vAlign w:val="center"/>
                </w:tcPr>
                <w:p w14:paraId="316A63ED">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2</w:t>
                  </w:r>
                </w:p>
              </w:tc>
              <w:tc>
                <w:tcPr>
                  <w:tcW w:w="523" w:type="pct"/>
                  <w:shd w:val="clear" w:color="auto" w:fill="auto"/>
                  <w:noWrap w:val="0"/>
                  <w:vAlign w:val="center"/>
                </w:tcPr>
                <w:p w14:paraId="0C587528">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废电机</w:t>
                  </w:r>
                </w:p>
              </w:tc>
              <w:tc>
                <w:tcPr>
                  <w:tcW w:w="361" w:type="pct"/>
                  <w:vMerge w:val="continue"/>
                  <w:shd w:val="clear" w:color="auto" w:fill="auto"/>
                  <w:noWrap w:val="0"/>
                  <w:vAlign w:val="center"/>
                </w:tcPr>
                <w:p w14:paraId="4AB72254">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p>
              </w:tc>
              <w:tc>
                <w:tcPr>
                  <w:tcW w:w="713" w:type="pct"/>
                  <w:shd w:val="clear" w:color="auto" w:fill="auto"/>
                  <w:noWrap w:val="0"/>
                  <w:vAlign w:val="center"/>
                </w:tcPr>
                <w:p w14:paraId="4A11C364">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SW17  900-013-S17</w:t>
                  </w:r>
                </w:p>
              </w:tc>
              <w:tc>
                <w:tcPr>
                  <w:tcW w:w="504" w:type="pct"/>
                  <w:shd w:val="clear" w:color="auto" w:fill="auto"/>
                  <w:noWrap w:val="0"/>
                  <w:vAlign w:val="center"/>
                </w:tcPr>
                <w:p w14:paraId="183D8D0F">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784</w:t>
                  </w:r>
                </w:p>
              </w:tc>
              <w:tc>
                <w:tcPr>
                  <w:tcW w:w="608" w:type="pct"/>
                  <w:vMerge w:val="restart"/>
                  <w:noWrap w:val="0"/>
                  <w:vAlign w:val="center"/>
                </w:tcPr>
                <w:p w14:paraId="2BD184B3">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拆解</w:t>
                  </w:r>
                </w:p>
              </w:tc>
              <w:tc>
                <w:tcPr>
                  <w:tcW w:w="447" w:type="pct"/>
                  <w:noWrap w:val="0"/>
                  <w:vAlign w:val="center"/>
                </w:tcPr>
                <w:p w14:paraId="1C3EFE5D">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固态</w:t>
                  </w:r>
                </w:p>
              </w:tc>
              <w:tc>
                <w:tcPr>
                  <w:tcW w:w="323" w:type="pct"/>
                  <w:noWrap w:val="0"/>
                  <w:vAlign w:val="center"/>
                </w:tcPr>
                <w:p w14:paraId="0B3FC7D5">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c>
                <w:tcPr>
                  <w:tcW w:w="399" w:type="pct"/>
                  <w:noWrap w:val="0"/>
                  <w:vAlign w:val="center"/>
                </w:tcPr>
                <w:p w14:paraId="45952AF2">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r>
                    <w:rPr>
                      <w:rFonts w:hint="eastAsia"/>
                      <w:color w:val="auto"/>
                      <w:lang w:val="en-US" w:eastAsia="zh-CN"/>
                    </w:rPr>
                    <w:t>5d</w:t>
                  </w:r>
                </w:p>
              </w:tc>
              <w:tc>
                <w:tcPr>
                  <w:tcW w:w="342" w:type="pct"/>
                  <w:noWrap w:val="0"/>
                  <w:vAlign w:val="center"/>
                </w:tcPr>
                <w:p w14:paraId="598FACE2">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r>
                    <w:rPr>
                      <w:rFonts w:hint="eastAsia"/>
                      <w:color w:val="auto"/>
                      <w:lang w:val="en-US" w:eastAsia="zh-CN"/>
                    </w:rPr>
                    <w:t>--</w:t>
                  </w:r>
                </w:p>
              </w:tc>
              <w:tc>
                <w:tcPr>
                  <w:tcW w:w="538" w:type="pct"/>
                  <w:vMerge w:val="restart"/>
                  <w:noWrap w:val="0"/>
                  <w:vAlign w:val="center"/>
                </w:tcPr>
                <w:p w14:paraId="26D3A5F6">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外售</w:t>
                  </w:r>
                </w:p>
              </w:tc>
            </w:tr>
            <w:tr w14:paraId="430DEB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236" w:type="pct"/>
                  <w:noWrap w:val="0"/>
                  <w:vAlign w:val="center"/>
                </w:tcPr>
                <w:p w14:paraId="19C4B382">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3</w:t>
                  </w:r>
                </w:p>
              </w:tc>
              <w:tc>
                <w:tcPr>
                  <w:tcW w:w="523" w:type="pct"/>
                  <w:shd w:val="clear" w:color="auto" w:fill="auto"/>
                  <w:noWrap w:val="0"/>
                  <w:vAlign w:val="center"/>
                </w:tcPr>
                <w:p w14:paraId="5E76C513">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废钢铁件</w:t>
                  </w:r>
                </w:p>
              </w:tc>
              <w:tc>
                <w:tcPr>
                  <w:tcW w:w="361" w:type="pct"/>
                  <w:vMerge w:val="continue"/>
                  <w:shd w:val="clear" w:color="auto" w:fill="auto"/>
                  <w:noWrap w:val="0"/>
                  <w:vAlign w:val="center"/>
                </w:tcPr>
                <w:p w14:paraId="75C26464">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p>
              </w:tc>
              <w:tc>
                <w:tcPr>
                  <w:tcW w:w="713" w:type="pct"/>
                  <w:shd w:val="clear" w:color="auto" w:fill="auto"/>
                  <w:noWrap w:val="0"/>
                  <w:vAlign w:val="center"/>
                </w:tcPr>
                <w:p w14:paraId="54D91735">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SW17  900-001-S17</w:t>
                  </w:r>
                </w:p>
              </w:tc>
              <w:tc>
                <w:tcPr>
                  <w:tcW w:w="504" w:type="pct"/>
                  <w:shd w:val="clear" w:color="auto" w:fill="auto"/>
                  <w:noWrap w:val="0"/>
                  <w:vAlign w:val="center"/>
                </w:tcPr>
                <w:p w14:paraId="72E79C3D">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5687</w:t>
                  </w:r>
                </w:p>
              </w:tc>
              <w:tc>
                <w:tcPr>
                  <w:tcW w:w="608" w:type="pct"/>
                  <w:vMerge w:val="continue"/>
                  <w:noWrap w:val="0"/>
                  <w:vAlign w:val="center"/>
                </w:tcPr>
                <w:p w14:paraId="6931B371">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p>
              </w:tc>
              <w:tc>
                <w:tcPr>
                  <w:tcW w:w="447" w:type="pct"/>
                  <w:noWrap w:val="0"/>
                  <w:vAlign w:val="center"/>
                </w:tcPr>
                <w:p w14:paraId="0E3C32EF">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固态</w:t>
                  </w:r>
                </w:p>
              </w:tc>
              <w:tc>
                <w:tcPr>
                  <w:tcW w:w="323" w:type="pct"/>
                  <w:noWrap w:val="0"/>
                  <w:vAlign w:val="center"/>
                </w:tcPr>
                <w:p w14:paraId="6EAFEE61">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c>
                <w:tcPr>
                  <w:tcW w:w="399" w:type="pct"/>
                  <w:noWrap w:val="0"/>
                  <w:vAlign w:val="center"/>
                </w:tcPr>
                <w:p w14:paraId="7691DB54">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10d</w:t>
                  </w:r>
                </w:p>
              </w:tc>
              <w:tc>
                <w:tcPr>
                  <w:tcW w:w="342" w:type="pct"/>
                  <w:noWrap w:val="0"/>
                  <w:vAlign w:val="center"/>
                </w:tcPr>
                <w:p w14:paraId="6036B868">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c>
                <w:tcPr>
                  <w:tcW w:w="538" w:type="pct"/>
                  <w:vMerge w:val="continue"/>
                  <w:noWrap w:val="0"/>
                  <w:vAlign w:val="center"/>
                </w:tcPr>
                <w:p w14:paraId="12A97FB7">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p>
              </w:tc>
            </w:tr>
            <w:tr w14:paraId="49B1B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236" w:type="pct"/>
                  <w:noWrap w:val="0"/>
                  <w:vAlign w:val="center"/>
                </w:tcPr>
                <w:p w14:paraId="2E2B307D">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4</w:t>
                  </w:r>
                </w:p>
              </w:tc>
              <w:tc>
                <w:tcPr>
                  <w:tcW w:w="523" w:type="pct"/>
                  <w:shd w:val="clear" w:color="auto" w:fill="auto"/>
                  <w:noWrap w:val="0"/>
                  <w:vAlign w:val="center"/>
                </w:tcPr>
                <w:p w14:paraId="18FFF537">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废轮胎/密封件</w:t>
                  </w:r>
                </w:p>
              </w:tc>
              <w:tc>
                <w:tcPr>
                  <w:tcW w:w="361" w:type="pct"/>
                  <w:vMerge w:val="continue"/>
                  <w:shd w:val="clear" w:color="auto" w:fill="auto"/>
                  <w:noWrap w:val="0"/>
                  <w:vAlign w:val="center"/>
                </w:tcPr>
                <w:p w14:paraId="14A81C6D">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p>
              </w:tc>
              <w:tc>
                <w:tcPr>
                  <w:tcW w:w="713" w:type="pct"/>
                  <w:shd w:val="clear" w:color="auto" w:fill="auto"/>
                  <w:noWrap w:val="0"/>
                  <w:vAlign w:val="center"/>
                </w:tcPr>
                <w:p w14:paraId="3F195337">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SW17  900-006-S17</w:t>
                  </w:r>
                </w:p>
              </w:tc>
              <w:tc>
                <w:tcPr>
                  <w:tcW w:w="504" w:type="pct"/>
                  <w:shd w:val="clear" w:color="auto" w:fill="auto"/>
                  <w:noWrap w:val="0"/>
                  <w:vAlign w:val="center"/>
                </w:tcPr>
                <w:p w14:paraId="326609EB">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626</w:t>
                  </w:r>
                </w:p>
              </w:tc>
              <w:tc>
                <w:tcPr>
                  <w:tcW w:w="608" w:type="pct"/>
                  <w:vMerge w:val="continue"/>
                  <w:noWrap w:val="0"/>
                  <w:vAlign w:val="center"/>
                </w:tcPr>
                <w:p w14:paraId="1F32B601">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p>
              </w:tc>
              <w:tc>
                <w:tcPr>
                  <w:tcW w:w="447" w:type="pct"/>
                  <w:noWrap w:val="0"/>
                  <w:vAlign w:val="center"/>
                </w:tcPr>
                <w:p w14:paraId="2329E8A2">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固态</w:t>
                  </w:r>
                </w:p>
              </w:tc>
              <w:tc>
                <w:tcPr>
                  <w:tcW w:w="323" w:type="pct"/>
                  <w:noWrap w:val="0"/>
                  <w:vAlign w:val="center"/>
                </w:tcPr>
                <w:p w14:paraId="62B68212">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c>
                <w:tcPr>
                  <w:tcW w:w="399" w:type="pct"/>
                  <w:noWrap w:val="0"/>
                  <w:vAlign w:val="center"/>
                </w:tcPr>
                <w:p w14:paraId="4809ABAC">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5d</w:t>
                  </w:r>
                </w:p>
              </w:tc>
              <w:tc>
                <w:tcPr>
                  <w:tcW w:w="342" w:type="pct"/>
                  <w:noWrap w:val="0"/>
                  <w:vAlign w:val="center"/>
                </w:tcPr>
                <w:p w14:paraId="5D85A1F8">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c>
                <w:tcPr>
                  <w:tcW w:w="538" w:type="pct"/>
                  <w:vMerge w:val="continue"/>
                  <w:noWrap w:val="0"/>
                  <w:vAlign w:val="center"/>
                </w:tcPr>
                <w:p w14:paraId="5E9491EC">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p>
              </w:tc>
            </w:tr>
            <w:tr w14:paraId="6B9CE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236" w:type="pct"/>
                  <w:noWrap w:val="0"/>
                  <w:vAlign w:val="center"/>
                </w:tcPr>
                <w:p w14:paraId="5FBFC005">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5</w:t>
                  </w:r>
                </w:p>
              </w:tc>
              <w:tc>
                <w:tcPr>
                  <w:tcW w:w="523" w:type="pct"/>
                  <w:shd w:val="clear" w:color="auto" w:fill="auto"/>
                  <w:noWrap w:val="0"/>
                  <w:vAlign w:val="center"/>
                </w:tcPr>
                <w:p w14:paraId="1130D11E">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废塑料</w:t>
                  </w:r>
                </w:p>
              </w:tc>
              <w:tc>
                <w:tcPr>
                  <w:tcW w:w="361" w:type="pct"/>
                  <w:vMerge w:val="continue"/>
                  <w:shd w:val="clear" w:color="auto" w:fill="auto"/>
                  <w:noWrap w:val="0"/>
                  <w:vAlign w:val="center"/>
                </w:tcPr>
                <w:p w14:paraId="0403B8F6">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p>
              </w:tc>
              <w:tc>
                <w:tcPr>
                  <w:tcW w:w="713" w:type="pct"/>
                  <w:shd w:val="clear" w:color="auto" w:fill="auto"/>
                  <w:noWrap w:val="0"/>
                  <w:vAlign w:val="center"/>
                </w:tcPr>
                <w:p w14:paraId="09BB52C5">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SW17  900-003-S17</w:t>
                  </w:r>
                </w:p>
              </w:tc>
              <w:tc>
                <w:tcPr>
                  <w:tcW w:w="504" w:type="pct"/>
                  <w:shd w:val="clear" w:color="auto" w:fill="auto"/>
                  <w:noWrap w:val="0"/>
                  <w:vAlign w:val="center"/>
                </w:tcPr>
                <w:p w14:paraId="0CA039CB">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293</w:t>
                  </w:r>
                </w:p>
              </w:tc>
              <w:tc>
                <w:tcPr>
                  <w:tcW w:w="608" w:type="pct"/>
                  <w:vMerge w:val="continue"/>
                  <w:noWrap w:val="0"/>
                  <w:vAlign w:val="center"/>
                </w:tcPr>
                <w:p w14:paraId="027D826A">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p>
              </w:tc>
              <w:tc>
                <w:tcPr>
                  <w:tcW w:w="447" w:type="pct"/>
                  <w:noWrap w:val="0"/>
                  <w:vAlign w:val="center"/>
                </w:tcPr>
                <w:p w14:paraId="55070532">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固态</w:t>
                  </w:r>
                </w:p>
              </w:tc>
              <w:tc>
                <w:tcPr>
                  <w:tcW w:w="323" w:type="pct"/>
                  <w:noWrap w:val="0"/>
                  <w:vAlign w:val="center"/>
                </w:tcPr>
                <w:p w14:paraId="3D8718E6">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c>
                <w:tcPr>
                  <w:tcW w:w="399" w:type="pct"/>
                  <w:noWrap w:val="0"/>
                  <w:vAlign w:val="center"/>
                </w:tcPr>
                <w:p w14:paraId="37017FC4">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10d</w:t>
                  </w:r>
                </w:p>
              </w:tc>
              <w:tc>
                <w:tcPr>
                  <w:tcW w:w="342" w:type="pct"/>
                  <w:noWrap w:val="0"/>
                  <w:vAlign w:val="center"/>
                </w:tcPr>
                <w:p w14:paraId="00525995">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c>
                <w:tcPr>
                  <w:tcW w:w="538" w:type="pct"/>
                  <w:vMerge w:val="continue"/>
                  <w:noWrap w:val="0"/>
                  <w:vAlign w:val="center"/>
                </w:tcPr>
                <w:p w14:paraId="6CB5B929">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p>
              </w:tc>
            </w:tr>
            <w:tr w14:paraId="65A72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236" w:type="pct"/>
                  <w:noWrap w:val="0"/>
                  <w:vAlign w:val="center"/>
                </w:tcPr>
                <w:p w14:paraId="41E9702E">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6</w:t>
                  </w:r>
                </w:p>
              </w:tc>
              <w:tc>
                <w:tcPr>
                  <w:tcW w:w="523" w:type="pct"/>
                  <w:shd w:val="clear" w:color="auto" w:fill="auto"/>
                  <w:noWrap w:val="0"/>
                  <w:vAlign w:val="center"/>
                </w:tcPr>
                <w:p w14:paraId="2D9BDBB2">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废电线</w:t>
                  </w:r>
                </w:p>
              </w:tc>
              <w:tc>
                <w:tcPr>
                  <w:tcW w:w="361" w:type="pct"/>
                  <w:vMerge w:val="continue"/>
                  <w:shd w:val="clear" w:color="auto" w:fill="auto"/>
                  <w:noWrap w:val="0"/>
                  <w:vAlign w:val="center"/>
                </w:tcPr>
                <w:p w14:paraId="6ECED02E">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p>
              </w:tc>
              <w:tc>
                <w:tcPr>
                  <w:tcW w:w="713" w:type="pct"/>
                  <w:shd w:val="clear" w:color="auto" w:fill="auto"/>
                  <w:noWrap w:val="0"/>
                  <w:vAlign w:val="center"/>
                </w:tcPr>
                <w:p w14:paraId="053DDCCE">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SW17  900-099-S17</w:t>
                  </w:r>
                </w:p>
              </w:tc>
              <w:tc>
                <w:tcPr>
                  <w:tcW w:w="504" w:type="pct"/>
                  <w:shd w:val="clear" w:color="auto" w:fill="auto"/>
                  <w:noWrap w:val="0"/>
                  <w:vAlign w:val="center"/>
                </w:tcPr>
                <w:p w14:paraId="29080049">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100</w:t>
                  </w:r>
                </w:p>
              </w:tc>
              <w:tc>
                <w:tcPr>
                  <w:tcW w:w="608" w:type="pct"/>
                  <w:vMerge w:val="continue"/>
                  <w:noWrap w:val="0"/>
                  <w:vAlign w:val="center"/>
                </w:tcPr>
                <w:p w14:paraId="400ED23F">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p>
              </w:tc>
              <w:tc>
                <w:tcPr>
                  <w:tcW w:w="447" w:type="pct"/>
                  <w:noWrap w:val="0"/>
                  <w:vAlign w:val="center"/>
                </w:tcPr>
                <w:p w14:paraId="42D307E9">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固态</w:t>
                  </w:r>
                </w:p>
              </w:tc>
              <w:tc>
                <w:tcPr>
                  <w:tcW w:w="323" w:type="pct"/>
                  <w:noWrap w:val="0"/>
                  <w:vAlign w:val="center"/>
                </w:tcPr>
                <w:p w14:paraId="25970E0B">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c>
                <w:tcPr>
                  <w:tcW w:w="399" w:type="pct"/>
                  <w:noWrap w:val="0"/>
                  <w:vAlign w:val="center"/>
                </w:tcPr>
                <w:p w14:paraId="36089134">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10d</w:t>
                  </w:r>
                </w:p>
              </w:tc>
              <w:tc>
                <w:tcPr>
                  <w:tcW w:w="342" w:type="pct"/>
                  <w:noWrap w:val="0"/>
                  <w:vAlign w:val="center"/>
                </w:tcPr>
                <w:p w14:paraId="16CDA041">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c>
                <w:tcPr>
                  <w:tcW w:w="538" w:type="pct"/>
                  <w:vMerge w:val="continue"/>
                  <w:noWrap w:val="0"/>
                  <w:vAlign w:val="center"/>
                </w:tcPr>
                <w:p w14:paraId="484FF39E">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p>
              </w:tc>
            </w:tr>
            <w:tr w14:paraId="65E7C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236" w:type="pct"/>
                  <w:noWrap w:val="0"/>
                  <w:vAlign w:val="center"/>
                </w:tcPr>
                <w:p w14:paraId="0F3CC33D">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7</w:t>
                  </w:r>
                </w:p>
              </w:tc>
              <w:tc>
                <w:tcPr>
                  <w:tcW w:w="523" w:type="pct"/>
                  <w:shd w:val="clear" w:color="auto" w:fill="auto"/>
                  <w:noWrap w:val="0"/>
                  <w:vAlign w:val="center"/>
                </w:tcPr>
                <w:p w14:paraId="7CC1AF6F">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废玻璃</w:t>
                  </w:r>
                </w:p>
              </w:tc>
              <w:tc>
                <w:tcPr>
                  <w:tcW w:w="361" w:type="pct"/>
                  <w:vMerge w:val="continue"/>
                  <w:shd w:val="clear" w:color="auto" w:fill="auto"/>
                  <w:noWrap w:val="0"/>
                  <w:vAlign w:val="center"/>
                </w:tcPr>
                <w:p w14:paraId="30C42A63">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p>
              </w:tc>
              <w:tc>
                <w:tcPr>
                  <w:tcW w:w="713" w:type="pct"/>
                  <w:shd w:val="clear" w:color="auto" w:fill="auto"/>
                  <w:noWrap w:val="0"/>
                  <w:vAlign w:val="center"/>
                </w:tcPr>
                <w:p w14:paraId="3FFF9008">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SW17  900-004-S17</w:t>
                  </w:r>
                </w:p>
              </w:tc>
              <w:tc>
                <w:tcPr>
                  <w:tcW w:w="504" w:type="pct"/>
                  <w:shd w:val="clear" w:color="auto" w:fill="auto"/>
                  <w:noWrap w:val="0"/>
                  <w:vAlign w:val="center"/>
                </w:tcPr>
                <w:p w14:paraId="5C7EEDBB">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300</w:t>
                  </w:r>
                </w:p>
              </w:tc>
              <w:tc>
                <w:tcPr>
                  <w:tcW w:w="608" w:type="pct"/>
                  <w:vMerge w:val="continue"/>
                  <w:noWrap w:val="0"/>
                  <w:vAlign w:val="center"/>
                </w:tcPr>
                <w:p w14:paraId="6C8B59E4">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p>
              </w:tc>
              <w:tc>
                <w:tcPr>
                  <w:tcW w:w="447" w:type="pct"/>
                  <w:noWrap w:val="0"/>
                  <w:vAlign w:val="center"/>
                </w:tcPr>
                <w:p w14:paraId="12707705">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固态</w:t>
                  </w:r>
                </w:p>
              </w:tc>
              <w:tc>
                <w:tcPr>
                  <w:tcW w:w="323" w:type="pct"/>
                  <w:noWrap w:val="0"/>
                  <w:vAlign w:val="center"/>
                </w:tcPr>
                <w:p w14:paraId="2724B10C">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c>
                <w:tcPr>
                  <w:tcW w:w="399" w:type="pct"/>
                  <w:noWrap w:val="0"/>
                  <w:vAlign w:val="center"/>
                </w:tcPr>
                <w:p w14:paraId="32C7E941">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10d</w:t>
                  </w:r>
                </w:p>
              </w:tc>
              <w:tc>
                <w:tcPr>
                  <w:tcW w:w="342" w:type="pct"/>
                  <w:noWrap w:val="0"/>
                  <w:vAlign w:val="center"/>
                </w:tcPr>
                <w:p w14:paraId="3E746C70">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c>
                <w:tcPr>
                  <w:tcW w:w="538" w:type="pct"/>
                  <w:vMerge w:val="continue"/>
                  <w:noWrap w:val="0"/>
                  <w:vAlign w:val="center"/>
                </w:tcPr>
                <w:p w14:paraId="614AAB66">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p>
              </w:tc>
            </w:tr>
            <w:tr w14:paraId="475C1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236" w:type="pct"/>
                  <w:noWrap w:val="0"/>
                  <w:vAlign w:val="center"/>
                </w:tcPr>
                <w:p w14:paraId="34F95E2A">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8</w:t>
                  </w:r>
                </w:p>
              </w:tc>
              <w:tc>
                <w:tcPr>
                  <w:tcW w:w="523" w:type="pct"/>
                  <w:shd w:val="clear" w:color="auto" w:fill="auto"/>
                  <w:noWrap w:val="0"/>
                  <w:vAlign w:val="center"/>
                </w:tcPr>
                <w:p w14:paraId="0ED32331">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废座椅、内饰</w:t>
                  </w:r>
                </w:p>
              </w:tc>
              <w:tc>
                <w:tcPr>
                  <w:tcW w:w="361" w:type="pct"/>
                  <w:vMerge w:val="continue"/>
                  <w:shd w:val="clear" w:color="auto" w:fill="auto"/>
                  <w:noWrap w:val="0"/>
                  <w:vAlign w:val="center"/>
                </w:tcPr>
                <w:p w14:paraId="57242692">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p>
              </w:tc>
              <w:tc>
                <w:tcPr>
                  <w:tcW w:w="713" w:type="pct"/>
                  <w:shd w:val="clear" w:color="auto" w:fill="auto"/>
                  <w:noWrap w:val="0"/>
                  <w:vAlign w:val="center"/>
                </w:tcPr>
                <w:p w14:paraId="368E6446">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SW17  900-007-S17</w:t>
                  </w:r>
                </w:p>
              </w:tc>
              <w:tc>
                <w:tcPr>
                  <w:tcW w:w="504" w:type="pct"/>
                  <w:shd w:val="clear" w:color="auto" w:fill="auto"/>
                  <w:noWrap w:val="0"/>
                  <w:vAlign w:val="center"/>
                </w:tcPr>
                <w:p w14:paraId="27BD1169">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134</w:t>
                  </w:r>
                </w:p>
              </w:tc>
              <w:tc>
                <w:tcPr>
                  <w:tcW w:w="608" w:type="pct"/>
                  <w:vMerge w:val="continue"/>
                  <w:noWrap w:val="0"/>
                  <w:vAlign w:val="center"/>
                </w:tcPr>
                <w:p w14:paraId="3E3F301E">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p>
              </w:tc>
              <w:tc>
                <w:tcPr>
                  <w:tcW w:w="447" w:type="pct"/>
                  <w:noWrap w:val="0"/>
                  <w:vAlign w:val="center"/>
                </w:tcPr>
                <w:p w14:paraId="58E9AE8D">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固态</w:t>
                  </w:r>
                </w:p>
              </w:tc>
              <w:tc>
                <w:tcPr>
                  <w:tcW w:w="323" w:type="pct"/>
                  <w:noWrap w:val="0"/>
                  <w:vAlign w:val="center"/>
                </w:tcPr>
                <w:p w14:paraId="012FEA98">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c>
                <w:tcPr>
                  <w:tcW w:w="399" w:type="pct"/>
                  <w:noWrap w:val="0"/>
                  <w:vAlign w:val="center"/>
                </w:tcPr>
                <w:p w14:paraId="41839001">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10d</w:t>
                  </w:r>
                </w:p>
              </w:tc>
              <w:tc>
                <w:tcPr>
                  <w:tcW w:w="342" w:type="pct"/>
                  <w:noWrap w:val="0"/>
                  <w:vAlign w:val="center"/>
                </w:tcPr>
                <w:p w14:paraId="71D1B4B2">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c>
                <w:tcPr>
                  <w:tcW w:w="538" w:type="pct"/>
                  <w:vMerge w:val="continue"/>
                  <w:noWrap w:val="0"/>
                  <w:vAlign w:val="center"/>
                </w:tcPr>
                <w:p w14:paraId="276F6493">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p>
              </w:tc>
            </w:tr>
            <w:tr w14:paraId="4CC09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236" w:type="pct"/>
                  <w:noWrap w:val="0"/>
                  <w:vAlign w:val="center"/>
                </w:tcPr>
                <w:p w14:paraId="50080F51">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9</w:t>
                  </w:r>
                </w:p>
              </w:tc>
              <w:tc>
                <w:tcPr>
                  <w:tcW w:w="523" w:type="pct"/>
                  <w:shd w:val="clear" w:color="auto" w:fill="auto"/>
                  <w:noWrap w:val="0"/>
                  <w:vAlign w:val="center"/>
                </w:tcPr>
                <w:p w14:paraId="0A82DC91">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锂电池</w:t>
                  </w:r>
                </w:p>
              </w:tc>
              <w:tc>
                <w:tcPr>
                  <w:tcW w:w="361" w:type="pct"/>
                  <w:vMerge w:val="continue"/>
                  <w:shd w:val="clear" w:color="auto" w:fill="auto"/>
                  <w:noWrap w:val="0"/>
                  <w:vAlign w:val="center"/>
                </w:tcPr>
                <w:p w14:paraId="46DFE779">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p>
              </w:tc>
              <w:tc>
                <w:tcPr>
                  <w:tcW w:w="713" w:type="pct"/>
                  <w:shd w:val="clear" w:color="auto" w:fill="auto"/>
                  <w:noWrap w:val="0"/>
                  <w:vAlign w:val="center"/>
                </w:tcPr>
                <w:p w14:paraId="59F89F02">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SW17  900-012-S17</w:t>
                  </w:r>
                </w:p>
              </w:tc>
              <w:tc>
                <w:tcPr>
                  <w:tcW w:w="504" w:type="pct"/>
                  <w:shd w:val="clear" w:color="auto" w:fill="auto"/>
                  <w:noWrap w:val="0"/>
                  <w:vAlign w:val="center"/>
                </w:tcPr>
                <w:p w14:paraId="58B22419">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80.825</w:t>
                  </w:r>
                </w:p>
              </w:tc>
              <w:tc>
                <w:tcPr>
                  <w:tcW w:w="608" w:type="pct"/>
                  <w:vMerge w:val="continue"/>
                  <w:noWrap w:val="0"/>
                  <w:vAlign w:val="center"/>
                </w:tcPr>
                <w:p w14:paraId="71B3F361">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p>
              </w:tc>
              <w:tc>
                <w:tcPr>
                  <w:tcW w:w="447" w:type="pct"/>
                  <w:noWrap w:val="0"/>
                  <w:vAlign w:val="center"/>
                </w:tcPr>
                <w:p w14:paraId="37F0C0F5">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固态</w:t>
                  </w:r>
                </w:p>
              </w:tc>
              <w:tc>
                <w:tcPr>
                  <w:tcW w:w="323" w:type="pct"/>
                  <w:noWrap w:val="0"/>
                  <w:vAlign w:val="center"/>
                </w:tcPr>
                <w:p w14:paraId="232955DB">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c>
                <w:tcPr>
                  <w:tcW w:w="399" w:type="pct"/>
                  <w:noWrap w:val="0"/>
                  <w:vAlign w:val="center"/>
                </w:tcPr>
                <w:p w14:paraId="7E818CE3">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10d</w:t>
                  </w:r>
                </w:p>
              </w:tc>
              <w:tc>
                <w:tcPr>
                  <w:tcW w:w="342" w:type="pct"/>
                  <w:noWrap w:val="0"/>
                  <w:vAlign w:val="center"/>
                </w:tcPr>
                <w:p w14:paraId="4CE476BC">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c>
                <w:tcPr>
                  <w:tcW w:w="538" w:type="pct"/>
                  <w:vMerge w:val="continue"/>
                  <w:noWrap w:val="0"/>
                  <w:vAlign w:val="center"/>
                </w:tcPr>
                <w:p w14:paraId="4575F97D">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p>
              </w:tc>
            </w:tr>
            <w:tr w14:paraId="5438A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236" w:type="pct"/>
                  <w:noWrap w:val="0"/>
                  <w:vAlign w:val="center"/>
                </w:tcPr>
                <w:p w14:paraId="1211C53E">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10</w:t>
                  </w:r>
                </w:p>
              </w:tc>
              <w:tc>
                <w:tcPr>
                  <w:tcW w:w="523" w:type="pct"/>
                  <w:shd w:val="clear" w:color="auto" w:fill="auto"/>
                  <w:noWrap w:val="0"/>
                  <w:vAlign w:val="center"/>
                </w:tcPr>
                <w:p w14:paraId="4BFD89EE">
                  <w:pPr>
                    <w:pStyle w:val="61"/>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废滤网刀片</w:t>
                  </w:r>
                </w:p>
              </w:tc>
              <w:tc>
                <w:tcPr>
                  <w:tcW w:w="361" w:type="pct"/>
                  <w:vMerge w:val="continue"/>
                  <w:shd w:val="clear" w:color="auto" w:fill="auto"/>
                  <w:noWrap w:val="0"/>
                  <w:vAlign w:val="center"/>
                </w:tcPr>
                <w:p w14:paraId="32E89D92">
                  <w:pPr>
                    <w:pStyle w:val="61"/>
                    <w:keepNext w:val="0"/>
                    <w:keepLines w:val="0"/>
                    <w:suppressLineNumbers w:val="0"/>
                    <w:bidi w:val="0"/>
                    <w:spacing w:before="0" w:beforeAutospacing="0" w:after="0" w:afterAutospacing="0"/>
                    <w:ind w:left="0" w:leftChars="0" w:right="0" w:rightChars="0" w:firstLine="0" w:firstLineChars="0"/>
                    <w:rPr>
                      <w:rFonts w:hint="eastAsia"/>
                      <w:lang w:val="en-US" w:eastAsia="zh-CN"/>
                    </w:rPr>
                  </w:pPr>
                </w:p>
              </w:tc>
              <w:tc>
                <w:tcPr>
                  <w:tcW w:w="713" w:type="pct"/>
                  <w:shd w:val="clear" w:color="auto" w:fill="auto"/>
                  <w:noWrap w:val="0"/>
                  <w:vAlign w:val="center"/>
                </w:tcPr>
                <w:p w14:paraId="38D3C3AC">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SW17  900-003-S17</w:t>
                  </w:r>
                </w:p>
              </w:tc>
              <w:tc>
                <w:tcPr>
                  <w:tcW w:w="504" w:type="pct"/>
                  <w:shd w:val="clear" w:color="auto" w:fill="auto"/>
                  <w:noWrap w:val="0"/>
                  <w:vAlign w:val="center"/>
                </w:tcPr>
                <w:p w14:paraId="149CCC18">
                  <w:pPr>
                    <w:pStyle w:val="61"/>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0.65</w:t>
                  </w:r>
                </w:p>
              </w:tc>
              <w:tc>
                <w:tcPr>
                  <w:tcW w:w="608" w:type="pct"/>
                  <w:vMerge w:val="continue"/>
                  <w:noWrap w:val="0"/>
                  <w:vAlign w:val="center"/>
                </w:tcPr>
                <w:p w14:paraId="4FD6B03F">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p>
              </w:tc>
              <w:tc>
                <w:tcPr>
                  <w:tcW w:w="447" w:type="pct"/>
                  <w:noWrap w:val="0"/>
                  <w:vAlign w:val="center"/>
                </w:tcPr>
                <w:p w14:paraId="4063C852">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固态</w:t>
                  </w:r>
                </w:p>
              </w:tc>
              <w:tc>
                <w:tcPr>
                  <w:tcW w:w="323" w:type="pct"/>
                  <w:noWrap w:val="0"/>
                  <w:vAlign w:val="center"/>
                </w:tcPr>
                <w:p w14:paraId="067B22B6">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w:t>
                  </w:r>
                </w:p>
              </w:tc>
              <w:tc>
                <w:tcPr>
                  <w:tcW w:w="399" w:type="pct"/>
                  <w:noWrap w:val="0"/>
                  <w:vAlign w:val="center"/>
                </w:tcPr>
                <w:p w14:paraId="30D22239">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10d</w:t>
                  </w:r>
                </w:p>
              </w:tc>
              <w:tc>
                <w:tcPr>
                  <w:tcW w:w="342" w:type="pct"/>
                  <w:noWrap w:val="0"/>
                  <w:vAlign w:val="center"/>
                </w:tcPr>
                <w:p w14:paraId="35F5E770">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w:t>
                  </w:r>
                </w:p>
              </w:tc>
              <w:tc>
                <w:tcPr>
                  <w:tcW w:w="538" w:type="pct"/>
                  <w:vMerge w:val="continue"/>
                  <w:noWrap w:val="0"/>
                  <w:vAlign w:val="center"/>
                </w:tcPr>
                <w:p w14:paraId="77ADC04F">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p>
              </w:tc>
            </w:tr>
            <w:tr w14:paraId="42DD3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236" w:type="pct"/>
                  <w:noWrap w:val="0"/>
                  <w:vAlign w:val="center"/>
                </w:tcPr>
                <w:p w14:paraId="2B8B012E">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11</w:t>
                  </w:r>
                </w:p>
              </w:tc>
              <w:tc>
                <w:tcPr>
                  <w:tcW w:w="523" w:type="pct"/>
                  <w:shd w:val="clear" w:color="auto" w:fill="auto"/>
                  <w:noWrap w:val="0"/>
                  <w:vAlign w:val="center"/>
                </w:tcPr>
                <w:p w14:paraId="5E4F3BA8">
                  <w:pPr>
                    <w:pStyle w:val="61"/>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除尘灰</w:t>
                  </w:r>
                </w:p>
              </w:tc>
              <w:tc>
                <w:tcPr>
                  <w:tcW w:w="361" w:type="pct"/>
                  <w:vMerge w:val="continue"/>
                  <w:shd w:val="clear" w:color="auto" w:fill="auto"/>
                  <w:noWrap w:val="0"/>
                  <w:vAlign w:val="center"/>
                </w:tcPr>
                <w:p w14:paraId="19DEE7B3">
                  <w:pPr>
                    <w:pStyle w:val="61"/>
                    <w:keepNext w:val="0"/>
                    <w:keepLines w:val="0"/>
                    <w:suppressLineNumbers w:val="0"/>
                    <w:bidi w:val="0"/>
                    <w:spacing w:before="0" w:beforeAutospacing="0" w:after="0" w:afterAutospacing="0"/>
                    <w:ind w:left="0" w:leftChars="0" w:right="0" w:rightChars="0" w:firstLine="0" w:firstLineChars="0"/>
                    <w:rPr>
                      <w:rFonts w:hint="eastAsia"/>
                      <w:lang w:val="en-US" w:eastAsia="zh-CN"/>
                    </w:rPr>
                  </w:pPr>
                </w:p>
              </w:tc>
              <w:tc>
                <w:tcPr>
                  <w:tcW w:w="713" w:type="pct"/>
                  <w:shd w:val="clear" w:color="auto" w:fill="auto"/>
                  <w:noWrap w:val="0"/>
                  <w:vAlign w:val="center"/>
                </w:tcPr>
                <w:p w14:paraId="731B8A0B">
                  <w:pPr>
                    <w:pStyle w:val="61"/>
                    <w:keepNext w:val="0"/>
                    <w:keepLines w:val="0"/>
                    <w:suppressLineNumbers w:val="0"/>
                    <w:bidi w:val="0"/>
                    <w:spacing w:before="0" w:beforeAutospacing="0" w:after="0" w:afterAutospacing="0"/>
                    <w:ind w:left="0" w:leftChars="0" w:right="0" w:rightChars="0" w:firstLine="0" w:firstLineChars="0"/>
                    <w:rPr>
                      <w:rFonts w:hint="eastAsia"/>
                      <w:lang w:val="en-US" w:eastAsia="zh-CN"/>
                    </w:rPr>
                  </w:pPr>
                  <w:r>
                    <w:rPr>
                      <w:rFonts w:hint="eastAsia"/>
                      <w:lang w:val="en-US" w:eastAsia="zh-CN"/>
                    </w:rPr>
                    <w:t>SW59</w:t>
                  </w:r>
                </w:p>
                <w:p w14:paraId="5ABF3643">
                  <w:pPr>
                    <w:pStyle w:val="61"/>
                    <w:keepNext w:val="0"/>
                    <w:keepLines w:val="0"/>
                    <w:suppressLineNumbers w:val="0"/>
                    <w:bidi w:val="0"/>
                    <w:spacing w:before="0" w:beforeAutospacing="0" w:after="0" w:afterAutospacing="0"/>
                    <w:ind w:left="0" w:leftChars="0" w:right="0" w:rightChars="0" w:firstLine="0" w:firstLineChars="0"/>
                    <w:rPr>
                      <w:rFonts w:hint="eastAsia"/>
                      <w:lang w:val="en-US" w:eastAsia="zh-CN"/>
                    </w:rPr>
                  </w:pPr>
                  <w:r>
                    <w:rPr>
                      <w:rFonts w:hint="eastAsia"/>
                      <w:lang w:val="en-US" w:eastAsia="zh-CN"/>
                    </w:rPr>
                    <w:t>900-099-S59</w:t>
                  </w:r>
                </w:p>
              </w:tc>
              <w:tc>
                <w:tcPr>
                  <w:tcW w:w="504" w:type="pct"/>
                  <w:shd w:val="clear" w:color="auto" w:fill="auto"/>
                  <w:noWrap w:val="0"/>
                  <w:vAlign w:val="center"/>
                </w:tcPr>
                <w:p w14:paraId="0CD2462C">
                  <w:pPr>
                    <w:pStyle w:val="61"/>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0.051</w:t>
                  </w:r>
                </w:p>
              </w:tc>
              <w:tc>
                <w:tcPr>
                  <w:tcW w:w="608" w:type="pct"/>
                  <w:vMerge w:val="restart"/>
                  <w:noWrap w:val="0"/>
                  <w:vAlign w:val="center"/>
                </w:tcPr>
                <w:p w14:paraId="2C5676A1">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废气治理</w:t>
                  </w:r>
                </w:p>
              </w:tc>
              <w:tc>
                <w:tcPr>
                  <w:tcW w:w="447" w:type="pct"/>
                  <w:noWrap w:val="0"/>
                  <w:vAlign w:val="center"/>
                </w:tcPr>
                <w:p w14:paraId="685B6B89">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固态</w:t>
                  </w:r>
                </w:p>
              </w:tc>
              <w:tc>
                <w:tcPr>
                  <w:tcW w:w="323" w:type="pct"/>
                  <w:noWrap w:val="0"/>
                  <w:vAlign w:val="center"/>
                </w:tcPr>
                <w:p w14:paraId="6338C07F">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w:t>
                  </w:r>
                </w:p>
              </w:tc>
              <w:tc>
                <w:tcPr>
                  <w:tcW w:w="399" w:type="pct"/>
                  <w:noWrap w:val="0"/>
                  <w:vAlign w:val="center"/>
                </w:tcPr>
                <w:p w14:paraId="4961263E">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10d</w:t>
                  </w:r>
                </w:p>
              </w:tc>
              <w:tc>
                <w:tcPr>
                  <w:tcW w:w="342" w:type="pct"/>
                  <w:noWrap w:val="0"/>
                  <w:vAlign w:val="center"/>
                </w:tcPr>
                <w:p w14:paraId="7987D093">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w:t>
                  </w:r>
                </w:p>
              </w:tc>
              <w:tc>
                <w:tcPr>
                  <w:tcW w:w="538" w:type="pct"/>
                  <w:vMerge w:val="continue"/>
                  <w:noWrap w:val="0"/>
                  <w:vAlign w:val="center"/>
                </w:tcPr>
                <w:p w14:paraId="074437BD">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p>
              </w:tc>
            </w:tr>
            <w:tr w14:paraId="7D208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236" w:type="pct"/>
                  <w:noWrap w:val="0"/>
                  <w:vAlign w:val="center"/>
                </w:tcPr>
                <w:p w14:paraId="65C045C3">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12</w:t>
                  </w:r>
                </w:p>
              </w:tc>
              <w:tc>
                <w:tcPr>
                  <w:tcW w:w="523" w:type="pct"/>
                  <w:shd w:val="clear" w:color="auto" w:fill="auto"/>
                  <w:noWrap w:val="0"/>
                  <w:vAlign w:val="center"/>
                </w:tcPr>
                <w:p w14:paraId="210645FF">
                  <w:pPr>
                    <w:pStyle w:val="61"/>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废布袋</w:t>
                  </w:r>
                </w:p>
              </w:tc>
              <w:tc>
                <w:tcPr>
                  <w:tcW w:w="361" w:type="pct"/>
                  <w:vMerge w:val="continue"/>
                  <w:shd w:val="clear" w:color="auto" w:fill="auto"/>
                  <w:noWrap w:val="0"/>
                  <w:vAlign w:val="center"/>
                </w:tcPr>
                <w:p w14:paraId="0D405757">
                  <w:pPr>
                    <w:pStyle w:val="61"/>
                    <w:keepNext w:val="0"/>
                    <w:keepLines w:val="0"/>
                    <w:suppressLineNumbers w:val="0"/>
                    <w:bidi w:val="0"/>
                    <w:spacing w:before="0" w:beforeAutospacing="0" w:after="0" w:afterAutospacing="0"/>
                    <w:ind w:left="0" w:leftChars="0" w:right="0" w:rightChars="0" w:firstLine="0" w:firstLineChars="0"/>
                    <w:rPr>
                      <w:rFonts w:hint="eastAsia"/>
                      <w:lang w:val="en-US" w:eastAsia="zh-CN"/>
                    </w:rPr>
                  </w:pPr>
                </w:p>
              </w:tc>
              <w:tc>
                <w:tcPr>
                  <w:tcW w:w="713" w:type="pct"/>
                  <w:shd w:val="clear" w:color="auto" w:fill="auto"/>
                  <w:noWrap w:val="0"/>
                  <w:vAlign w:val="center"/>
                </w:tcPr>
                <w:p w14:paraId="0787C973">
                  <w:pPr>
                    <w:pStyle w:val="61"/>
                    <w:keepNext w:val="0"/>
                    <w:keepLines w:val="0"/>
                    <w:suppressLineNumbers w:val="0"/>
                    <w:bidi w:val="0"/>
                    <w:spacing w:before="0" w:beforeAutospacing="0" w:after="0" w:afterAutospacing="0"/>
                    <w:ind w:left="0" w:leftChars="0" w:right="0" w:rightChars="0" w:firstLine="0" w:firstLineChars="0"/>
                    <w:rPr>
                      <w:rFonts w:hint="eastAsia"/>
                      <w:lang w:val="en-US" w:eastAsia="zh-CN"/>
                    </w:rPr>
                  </w:pPr>
                  <w:r>
                    <w:rPr>
                      <w:rFonts w:hint="eastAsia"/>
                      <w:lang w:val="en-US" w:eastAsia="zh-CN"/>
                    </w:rPr>
                    <w:t>SW59</w:t>
                  </w:r>
                </w:p>
                <w:p w14:paraId="5F7287B6">
                  <w:pPr>
                    <w:pStyle w:val="61"/>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900-009-S59</w:t>
                  </w:r>
                </w:p>
              </w:tc>
              <w:tc>
                <w:tcPr>
                  <w:tcW w:w="504" w:type="pct"/>
                  <w:shd w:val="clear" w:color="auto" w:fill="auto"/>
                  <w:noWrap w:val="0"/>
                  <w:vAlign w:val="center"/>
                </w:tcPr>
                <w:p w14:paraId="5D0144D2">
                  <w:pPr>
                    <w:pStyle w:val="61"/>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0.5</w:t>
                  </w:r>
                </w:p>
              </w:tc>
              <w:tc>
                <w:tcPr>
                  <w:tcW w:w="608" w:type="pct"/>
                  <w:vMerge w:val="continue"/>
                  <w:noWrap w:val="0"/>
                  <w:vAlign w:val="center"/>
                </w:tcPr>
                <w:p w14:paraId="22685490">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p>
              </w:tc>
              <w:tc>
                <w:tcPr>
                  <w:tcW w:w="447" w:type="pct"/>
                  <w:shd w:val="clear" w:color="auto" w:fill="auto"/>
                  <w:noWrap w:val="0"/>
                  <w:vAlign w:val="center"/>
                </w:tcPr>
                <w:p w14:paraId="5F8578F3">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固态</w:t>
                  </w:r>
                </w:p>
              </w:tc>
              <w:tc>
                <w:tcPr>
                  <w:tcW w:w="323" w:type="pct"/>
                  <w:shd w:val="clear" w:color="auto" w:fill="auto"/>
                  <w:noWrap w:val="0"/>
                  <w:vAlign w:val="center"/>
                </w:tcPr>
                <w:p w14:paraId="1DCB7551">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w:t>
                  </w:r>
                </w:p>
              </w:tc>
              <w:tc>
                <w:tcPr>
                  <w:tcW w:w="399" w:type="pct"/>
                  <w:shd w:val="clear" w:color="auto" w:fill="auto"/>
                  <w:noWrap w:val="0"/>
                  <w:vAlign w:val="center"/>
                </w:tcPr>
                <w:p w14:paraId="3086AD5D">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10d</w:t>
                  </w:r>
                </w:p>
              </w:tc>
              <w:tc>
                <w:tcPr>
                  <w:tcW w:w="342" w:type="pct"/>
                  <w:shd w:val="clear" w:color="auto" w:fill="auto"/>
                  <w:noWrap w:val="0"/>
                  <w:vAlign w:val="center"/>
                </w:tcPr>
                <w:p w14:paraId="5F7BF3F0">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w:t>
                  </w:r>
                </w:p>
              </w:tc>
              <w:tc>
                <w:tcPr>
                  <w:tcW w:w="538" w:type="pct"/>
                  <w:vMerge w:val="continue"/>
                  <w:noWrap w:val="0"/>
                  <w:vAlign w:val="center"/>
                </w:tcPr>
                <w:p w14:paraId="5CFEED85">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p>
              </w:tc>
            </w:tr>
            <w:tr w14:paraId="6D61B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236" w:type="pct"/>
                  <w:shd w:val="clear" w:color="auto" w:fill="auto"/>
                  <w:noWrap w:val="0"/>
                  <w:vAlign w:val="center"/>
                </w:tcPr>
                <w:p w14:paraId="49739FDD">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13</w:t>
                  </w:r>
                </w:p>
              </w:tc>
              <w:tc>
                <w:tcPr>
                  <w:tcW w:w="523" w:type="pct"/>
                  <w:shd w:val="clear" w:color="auto" w:fill="auto"/>
                  <w:noWrap w:val="0"/>
                  <w:vAlign w:val="center"/>
                </w:tcPr>
                <w:p w14:paraId="6EF707B9">
                  <w:pPr>
                    <w:pStyle w:val="61"/>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污泥</w:t>
                  </w:r>
                </w:p>
              </w:tc>
              <w:tc>
                <w:tcPr>
                  <w:tcW w:w="361" w:type="pct"/>
                  <w:vMerge w:val="continue"/>
                  <w:shd w:val="clear" w:color="auto" w:fill="auto"/>
                  <w:noWrap w:val="0"/>
                  <w:vAlign w:val="center"/>
                </w:tcPr>
                <w:p w14:paraId="0EDC2BCF">
                  <w:pPr>
                    <w:pStyle w:val="61"/>
                    <w:keepNext w:val="0"/>
                    <w:keepLines w:val="0"/>
                    <w:suppressLineNumbers w:val="0"/>
                    <w:bidi w:val="0"/>
                    <w:spacing w:before="0" w:beforeAutospacing="0" w:after="0" w:afterAutospacing="0"/>
                    <w:ind w:left="0" w:leftChars="0" w:right="0" w:rightChars="0" w:firstLine="0" w:firstLineChars="0"/>
                    <w:rPr>
                      <w:rFonts w:hint="default"/>
                      <w:lang w:val="en-US" w:eastAsia="zh-CN"/>
                    </w:rPr>
                  </w:pPr>
                </w:p>
              </w:tc>
              <w:tc>
                <w:tcPr>
                  <w:tcW w:w="713" w:type="pct"/>
                  <w:shd w:val="clear" w:color="auto" w:fill="auto"/>
                  <w:noWrap w:val="0"/>
                  <w:vAlign w:val="center"/>
                </w:tcPr>
                <w:p w14:paraId="3B1BA2FF">
                  <w:pPr>
                    <w:pStyle w:val="61"/>
                    <w:keepNext w:val="0"/>
                    <w:keepLines w:val="0"/>
                    <w:suppressLineNumbers w:val="0"/>
                    <w:bidi w:val="0"/>
                    <w:spacing w:before="0" w:beforeAutospacing="0" w:after="0" w:afterAutospacing="0"/>
                    <w:ind w:left="0" w:leftChars="0" w:right="0" w:rightChars="0" w:firstLine="0" w:firstLineChars="0"/>
                    <w:rPr>
                      <w:rFonts w:hint="eastAsia"/>
                      <w:lang w:val="en-US" w:eastAsia="zh-CN"/>
                    </w:rPr>
                  </w:pPr>
                  <w:r>
                    <w:rPr>
                      <w:rFonts w:hint="eastAsia"/>
                      <w:lang w:val="en-US" w:eastAsia="zh-CN"/>
                    </w:rPr>
                    <w:t>SW07</w:t>
                  </w:r>
                </w:p>
                <w:p w14:paraId="79CC29A9">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900-099-S07</w:t>
                  </w:r>
                </w:p>
              </w:tc>
              <w:tc>
                <w:tcPr>
                  <w:tcW w:w="504" w:type="pct"/>
                  <w:shd w:val="clear" w:color="auto" w:fill="auto"/>
                  <w:noWrap w:val="0"/>
                  <w:vAlign w:val="center"/>
                </w:tcPr>
                <w:p w14:paraId="55886B7E">
                  <w:pPr>
                    <w:pStyle w:val="61"/>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7.325</w:t>
                  </w:r>
                </w:p>
              </w:tc>
              <w:tc>
                <w:tcPr>
                  <w:tcW w:w="608" w:type="pct"/>
                  <w:noWrap w:val="0"/>
                  <w:vAlign w:val="center"/>
                </w:tcPr>
                <w:p w14:paraId="72077348">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废水处理</w:t>
                  </w:r>
                </w:p>
              </w:tc>
              <w:tc>
                <w:tcPr>
                  <w:tcW w:w="447" w:type="pct"/>
                  <w:noWrap w:val="0"/>
                  <w:vAlign w:val="center"/>
                </w:tcPr>
                <w:p w14:paraId="78865230">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固态</w:t>
                  </w:r>
                </w:p>
              </w:tc>
              <w:tc>
                <w:tcPr>
                  <w:tcW w:w="323" w:type="pct"/>
                  <w:noWrap w:val="0"/>
                  <w:vAlign w:val="center"/>
                </w:tcPr>
                <w:p w14:paraId="4B5C0D09">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w:t>
                  </w:r>
                </w:p>
              </w:tc>
              <w:tc>
                <w:tcPr>
                  <w:tcW w:w="399" w:type="pct"/>
                  <w:noWrap w:val="0"/>
                  <w:vAlign w:val="center"/>
                </w:tcPr>
                <w:p w14:paraId="58457585">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1d</w:t>
                  </w:r>
                </w:p>
              </w:tc>
              <w:tc>
                <w:tcPr>
                  <w:tcW w:w="342" w:type="pct"/>
                  <w:noWrap w:val="0"/>
                  <w:vAlign w:val="center"/>
                </w:tcPr>
                <w:p w14:paraId="183598EB">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w:t>
                  </w:r>
                </w:p>
              </w:tc>
              <w:tc>
                <w:tcPr>
                  <w:tcW w:w="538" w:type="pct"/>
                  <w:noWrap w:val="0"/>
                  <w:vAlign w:val="center"/>
                </w:tcPr>
                <w:p w14:paraId="2083DEC1">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r>
                    <w:rPr>
                      <w:rFonts w:hint="default"/>
                      <w:color w:val="auto"/>
                      <w:lang w:val="en-US" w:eastAsia="zh-CN"/>
                    </w:rPr>
                    <w:t>委托污泥处置单位进行处理</w:t>
                  </w:r>
                </w:p>
              </w:tc>
            </w:tr>
            <w:tr w14:paraId="5595AE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236" w:type="pct"/>
                  <w:shd w:val="clear" w:color="auto" w:fill="auto"/>
                  <w:noWrap w:val="0"/>
                  <w:vAlign w:val="center"/>
                </w:tcPr>
                <w:p w14:paraId="05CF9245">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14</w:t>
                  </w:r>
                </w:p>
              </w:tc>
              <w:tc>
                <w:tcPr>
                  <w:tcW w:w="523" w:type="pct"/>
                  <w:shd w:val="clear" w:color="auto" w:fill="auto"/>
                  <w:noWrap w:val="0"/>
                  <w:vAlign w:val="center"/>
                </w:tcPr>
                <w:p w14:paraId="4B70968E">
                  <w:pPr>
                    <w:pStyle w:val="61"/>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废铅蓄电池</w:t>
                  </w:r>
                </w:p>
              </w:tc>
              <w:tc>
                <w:tcPr>
                  <w:tcW w:w="361" w:type="pct"/>
                  <w:vMerge w:val="restart"/>
                  <w:shd w:val="clear" w:color="auto" w:fill="auto"/>
                  <w:noWrap w:val="0"/>
                  <w:vAlign w:val="center"/>
                </w:tcPr>
                <w:p w14:paraId="4573295C">
                  <w:pPr>
                    <w:pStyle w:val="61"/>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危险废物</w:t>
                  </w:r>
                </w:p>
              </w:tc>
              <w:tc>
                <w:tcPr>
                  <w:tcW w:w="713" w:type="pct"/>
                  <w:shd w:val="clear" w:color="auto" w:fill="auto"/>
                  <w:noWrap w:val="0"/>
                  <w:vAlign w:val="center"/>
                </w:tcPr>
                <w:p w14:paraId="7C37BBF9">
                  <w:pPr>
                    <w:pStyle w:val="61"/>
                    <w:keepNext w:val="0"/>
                    <w:keepLines w:val="0"/>
                    <w:suppressLineNumbers w:val="0"/>
                    <w:bidi w:val="0"/>
                    <w:spacing w:before="0" w:beforeAutospacing="0" w:after="0" w:afterAutospacing="0"/>
                    <w:ind w:left="0" w:leftChars="0" w:right="0" w:rightChars="0" w:firstLine="0" w:firstLineChars="0"/>
                    <w:rPr>
                      <w:rFonts w:hint="eastAsia"/>
                      <w:lang w:val="en-US" w:eastAsia="zh-CN"/>
                    </w:rPr>
                  </w:pPr>
                  <w:r>
                    <w:rPr>
                      <w:rFonts w:hint="eastAsia"/>
                      <w:lang w:val="en-US" w:eastAsia="zh-CN"/>
                    </w:rPr>
                    <w:t>HW31</w:t>
                  </w:r>
                </w:p>
                <w:p w14:paraId="1A0E4F00">
                  <w:pPr>
                    <w:pStyle w:val="61"/>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900-52-31</w:t>
                  </w:r>
                </w:p>
              </w:tc>
              <w:tc>
                <w:tcPr>
                  <w:tcW w:w="504" w:type="pct"/>
                  <w:shd w:val="clear" w:color="auto" w:fill="auto"/>
                  <w:noWrap w:val="0"/>
                  <w:vAlign w:val="center"/>
                </w:tcPr>
                <w:p w14:paraId="48C76C56">
                  <w:pPr>
                    <w:pStyle w:val="61"/>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214.72</w:t>
                  </w:r>
                </w:p>
              </w:tc>
              <w:tc>
                <w:tcPr>
                  <w:tcW w:w="608" w:type="pct"/>
                  <w:vMerge w:val="restart"/>
                  <w:noWrap w:val="0"/>
                  <w:vAlign w:val="center"/>
                </w:tcPr>
                <w:p w14:paraId="1231E84D">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拆解</w:t>
                  </w:r>
                </w:p>
              </w:tc>
              <w:tc>
                <w:tcPr>
                  <w:tcW w:w="447" w:type="pct"/>
                  <w:noWrap w:val="0"/>
                  <w:vAlign w:val="center"/>
                </w:tcPr>
                <w:p w14:paraId="51A3C43D">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固态</w:t>
                  </w:r>
                </w:p>
              </w:tc>
              <w:tc>
                <w:tcPr>
                  <w:tcW w:w="323" w:type="pct"/>
                  <w:noWrap w:val="0"/>
                  <w:vAlign w:val="center"/>
                </w:tcPr>
                <w:p w14:paraId="2D7B9D16">
                  <w:pPr>
                    <w:pStyle w:val="61"/>
                    <w:keepNext w:val="0"/>
                    <w:keepLines w:val="0"/>
                    <w:suppressLineNumbers w:val="0"/>
                    <w:bidi w:val="0"/>
                    <w:spacing w:before="0" w:beforeAutospacing="0" w:after="0" w:afterAutospacing="0"/>
                    <w:ind w:left="0" w:right="0"/>
                    <w:rPr>
                      <w:rFonts w:hint="eastAsia"/>
                      <w:lang w:val="en-US" w:eastAsia="zh-CN"/>
                    </w:rPr>
                  </w:pPr>
                  <w:r>
                    <w:rPr>
                      <w:rFonts w:hint="eastAsia" w:ascii="Times New Roman" w:hAnsi="Times New Roman" w:eastAsia="宋体" w:cs="Times New Roman"/>
                      <w:color w:val="auto"/>
                      <w:lang w:val="en-US" w:eastAsia="zh-CN"/>
                    </w:rPr>
                    <w:t>铅/电解液</w:t>
                  </w:r>
                </w:p>
              </w:tc>
              <w:tc>
                <w:tcPr>
                  <w:tcW w:w="399" w:type="pct"/>
                  <w:noWrap w:val="0"/>
                  <w:vAlign w:val="center"/>
                </w:tcPr>
                <w:p w14:paraId="2BEAE54C">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4d</w:t>
                  </w:r>
                </w:p>
              </w:tc>
              <w:tc>
                <w:tcPr>
                  <w:tcW w:w="342" w:type="pct"/>
                  <w:noWrap w:val="0"/>
                  <w:vAlign w:val="center"/>
                </w:tcPr>
                <w:p w14:paraId="35DC239A">
                  <w:pPr>
                    <w:pStyle w:val="61"/>
                    <w:keepNext w:val="0"/>
                    <w:keepLines w:val="0"/>
                    <w:suppressLineNumbers w:val="0"/>
                    <w:bidi w:val="0"/>
                    <w:spacing w:before="0" w:beforeAutospacing="0" w:after="0" w:afterAutospacing="0"/>
                    <w:ind w:left="0" w:right="0"/>
                    <w:rPr>
                      <w:rFonts w:hint="eastAsia"/>
                      <w:lang w:val="en-US" w:eastAsia="zh-CN"/>
                    </w:rPr>
                  </w:pPr>
                  <w:r>
                    <w:rPr>
                      <w:rFonts w:hint="eastAsia" w:ascii="Times New Roman" w:hAnsi="Times New Roman" w:eastAsia="宋体" w:cs="Times New Roman"/>
                      <w:color w:val="auto"/>
                      <w:lang w:val="en-US" w:eastAsia="zh-CN"/>
                    </w:rPr>
                    <w:t>T/C</w:t>
                  </w:r>
                </w:p>
              </w:tc>
              <w:tc>
                <w:tcPr>
                  <w:tcW w:w="538" w:type="pct"/>
                  <w:vMerge w:val="restart"/>
                  <w:noWrap w:val="0"/>
                  <w:vAlign w:val="center"/>
                </w:tcPr>
                <w:p w14:paraId="38E673BD">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危废间暂存后定期委托有资质单位处置</w:t>
                  </w:r>
                </w:p>
              </w:tc>
            </w:tr>
            <w:tr w14:paraId="22BF2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236" w:type="pct"/>
                  <w:shd w:val="clear" w:color="auto" w:fill="auto"/>
                  <w:noWrap w:val="0"/>
                  <w:vAlign w:val="center"/>
                </w:tcPr>
                <w:p w14:paraId="12CF9772">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15</w:t>
                  </w:r>
                </w:p>
              </w:tc>
              <w:tc>
                <w:tcPr>
                  <w:tcW w:w="523" w:type="pct"/>
                  <w:shd w:val="clear" w:color="auto" w:fill="auto"/>
                  <w:noWrap w:val="0"/>
                  <w:vAlign w:val="center"/>
                </w:tcPr>
                <w:p w14:paraId="6F2D55ED">
                  <w:pPr>
                    <w:pStyle w:val="61"/>
                    <w:keepNext w:val="0"/>
                    <w:keepLines w:val="0"/>
                    <w:suppressLineNumbers w:val="0"/>
                    <w:bidi w:val="0"/>
                    <w:spacing w:before="0" w:beforeAutospacing="0" w:after="0" w:afterAutospacing="0"/>
                    <w:ind w:left="0" w:leftChars="0" w:right="0" w:rightChars="0" w:firstLine="0" w:firstLineChars="0"/>
                    <w:rPr>
                      <w:rFonts w:hint="eastAsia"/>
                      <w:lang w:val="en-US" w:eastAsia="zh-CN"/>
                    </w:rPr>
                  </w:pPr>
                  <w:r>
                    <w:rPr>
                      <w:rFonts w:hint="eastAsia" w:eastAsia="宋体" w:cs="Times New Roman"/>
                      <w:color w:val="auto"/>
                      <w:lang w:val="en-US" w:eastAsia="zh-CN"/>
                    </w:rPr>
                    <w:t>废</w:t>
                  </w:r>
                  <w:r>
                    <w:rPr>
                      <w:rFonts w:hint="eastAsia" w:ascii="Times New Roman" w:hAnsi="Times New Roman" w:eastAsia="宋体" w:cs="Times New Roman"/>
                      <w:color w:val="auto"/>
                      <w:lang w:val="en-US" w:eastAsia="zh-CN"/>
                    </w:rPr>
                    <w:t>电路板、废电子元器件</w:t>
                  </w:r>
                </w:p>
              </w:tc>
              <w:tc>
                <w:tcPr>
                  <w:tcW w:w="361" w:type="pct"/>
                  <w:vMerge w:val="continue"/>
                  <w:shd w:val="clear" w:color="auto" w:fill="auto"/>
                  <w:noWrap w:val="0"/>
                  <w:vAlign w:val="center"/>
                </w:tcPr>
                <w:p w14:paraId="6F765D60">
                  <w:pPr>
                    <w:pStyle w:val="61"/>
                    <w:keepNext w:val="0"/>
                    <w:keepLines w:val="0"/>
                    <w:suppressLineNumbers w:val="0"/>
                    <w:bidi w:val="0"/>
                    <w:spacing w:before="0" w:beforeAutospacing="0" w:after="0" w:afterAutospacing="0"/>
                    <w:ind w:left="0" w:leftChars="0" w:right="0" w:rightChars="0" w:firstLine="0" w:firstLineChars="0"/>
                    <w:rPr>
                      <w:rFonts w:hint="eastAsia"/>
                      <w:lang w:val="en-US" w:eastAsia="zh-CN"/>
                    </w:rPr>
                  </w:pPr>
                </w:p>
              </w:tc>
              <w:tc>
                <w:tcPr>
                  <w:tcW w:w="713" w:type="pct"/>
                  <w:shd w:val="clear" w:color="auto" w:fill="auto"/>
                  <w:noWrap w:val="0"/>
                  <w:vAlign w:val="center"/>
                </w:tcPr>
                <w:p w14:paraId="36A85ED9">
                  <w:pPr>
                    <w:pStyle w:val="61"/>
                    <w:keepNext w:val="0"/>
                    <w:keepLines w:val="0"/>
                    <w:suppressLineNumbers w:val="0"/>
                    <w:bidi w:val="0"/>
                    <w:spacing w:before="0" w:beforeAutospacing="0" w:after="0" w:afterAutospacing="0"/>
                    <w:ind w:left="0" w:leftChars="0" w:right="0" w:rightChars="0" w:firstLine="0" w:firstLineChars="0"/>
                    <w:rPr>
                      <w:rFonts w:hint="eastAsia"/>
                      <w:lang w:val="en-US" w:eastAsia="zh-CN"/>
                    </w:rPr>
                  </w:pPr>
                  <w:r>
                    <w:rPr>
                      <w:rFonts w:hint="eastAsia"/>
                      <w:lang w:val="en-US" w:eastAsia="zh-CN"/>
                    </w:rPr>
                    <w:t>HW49</w:t>
                  </w:r>
                </w:p>
                <w:p w14:paraId="157BCC22">
                  <w:pPr>
                    <w:pStyle w:val="61"/>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900-045-49</w:t>
                  </w:r>
                </w:p>
              </w:tc>
              <w:tc>
                <w:tcPr>
                  <w:tcW w:w="504" w:type="pct"/>
                  <w:shd w:val="clear" w:color="auto" w:fill="auto"/>
                  <w:noWrap w:val="0"/>
                  <w:vAlign w:val="center"/>
                </w:tcPr>
                <w:p w14:paraId="6834F0E8">
                  <w:pPr>
                    <w:pStyle w:val="61"/>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203.5</w:t>
                  </w:r>
                </w:p>
              </w:tc>
              <w:tc>
                <w:tcPr>
                  <w:tcW w:w="608" w:type="pct"/>
                  <w:vMerge w:val="continue"/>
                  <w:noWrap w:val="0"/>
                  <w:vAlign w:val="center"/>
                </w:tcPr>
                <w:p w14:paraId="40CC052F">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p>
              </w:tc>
              <w:tc>
                <w:tcPr>
                  <w:tcW w:w="447" w:type="pct"/>
                  <w:noWrap w:val="0"/>
                  <w:vAlign w:val="center"/>
                </w:tcPr>
                <w:p w14:paraId="13B7FD97">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固态</w:t>
                  </w:r>
                </w:p>
              </w:tc>
              <w:tc>
                <w:tcPr>
                  <w:tcW w:w="323" w:type="pct"/>
                  <w:noWrap w:val="0"/>
                  <w:vAlign w:val="center"/>
                </w:tcPr>
                <w:p w14:paraId="6BB516A1">
                  <w:pPr>
                    <w:pStyle w:val="61"/>
                    <w:keepNext w:val="0"/>
                    <w:keepLines w:val="0"/>
                    <w:suppressLineNumbers w:val="0"/>
                    <w:bidi w:val="0"/>
                    <w:spacing w:before="0" w:beforeAutospacing="0" w:after="0" w:afterAutospacing="0"/>
                    <w:ind w:left="0" w:right="0"/>
                    <w:rPr>
                      <w:rFonts w:hint="default" w:ascii="Times New Roman" w:hAnsi="Times New Roman" w:eastAsia="宋体" w:cs="Times New Roman"/>
                      <w:color w:val="auto"/>
                      <w:lang w:val="en-US" w:eastAsia="zh-CN"/>
                    </w:rPr>
                  </w:pPr>
                  <w:r>
                    <w:rPr>
                      <w:rFonts w:hint="eastAsia" w:eastAsia="宋体" w:cs="Times New Roman"/>
                      <w:color w:val="auto"/>
                      <w:lang w:val="en-US" w:eastAsia="zh-CN"/>
                    </w:rPr>
                    <w:t>贵金属</w:t>
                  </w:r>
                </w:p>
              </w:tc>
              <w:tc>
                <w:tcPr>
                  <w:tcW w:w="399" w:type="pct"/>
                  <w:noWrap w:val="0"/>
                  <w:vAlign w:val="center"/>
                </w:tcPr>
                <w:p w14:paraId="0E58CB70">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7d</w:t>
                  </w:r>
                </w:p>
              </w:tc>
              <w:tc>
                <w:tcPr>
                  <w:tcW w:w="342" w:type="pct"/>
                  <w:noWrap w:val="0"/>
                  <w:vAlign w:val="center"/>
                </w:tcPr>
                <w:p w14:paraId="0881B662">
                  <w:pPr>
                    <w:pStyle w:val="61"/>
                    <w:keepNext w:val="0"/>
                    <w:keepLines w:val="0"/>
                    <w:suppressLineNumbers w:val="0"/>
                    <w:bidi w:val="0"/>
                    <w:spacing w:before="0" w:beforeAutospacing="0" w:after="0" w:afterAutospacing="0"/>
                    <w:ind w:left="0" w:right="0"/>
                    <w:rPr>
                      <w:rFonts w:hint="default" w:ascii="Times New Roman" w:hAnsi="Times New Roman" w:eastAsia="宋体" w:cs="Times New Roman"/>
                      <w:color w:val="auto"/>
                      <w:lang w:val="en-US" w:eastAsia="zh-CN"/>
                    </w:rPr>
                  </w:pPr>
                  <w:r>
                    <w:rPr>
                      <w:rFonts w:hint="eastAsia" w:eastAsia="宋体" w:cs="Times New Roman"/>
                      <w:color w:val="auto"/>
                      <w:lang w:val="en-US" w:eastAsia="zh-CN"/>
                    </w:rPr>
                    <w:t>T</w:t>
                  </w:r>
                </w:p>
              </w:tc>
              <w:tc>
                <w:tcPr>
                  <w:tcW w:w="538" w:type="pct"/>
                  <w:vMerge w:val="continue"/>
                  <w:noWrap w:val="0"/>
                  <w:vAlign w:val="center"/>
                </w:tcPr>
                <w:p w14:paraId="3E043039">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p>
              </w:tc>
            </w:tr>
            <w:tr w14:paraId="0DD4D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236" w:type="pct"/>
                  <w:shd w:val="clear" w:color="auto" w:fill="auto"/>
                  <w:noWrap w:val="0"/>
                  <w:vAlign w:val="center"/>
                </w:tcPr>
                <w:p w14:paraId="7BEBA143">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16</w:t>
                  </w:r>
                </w:p>
              </w:tc>
              <w:tc>
                <w:tcPr>
                  <w:tcW w:w="523" w:type="pct"/>
                  <w:shd w:val="clear" w:color="auto" w:fill="auto"/>
                  <w:noWrap w:val="0"/>
                  <w:vAlign w:val="center"/>
                </w:tcPr>
                <w:p w14:paraId="43E0ED65">
                  <w:pPr>
                    <w:pStyle w:val="61"/>
                    <w:keepNext w:val="0"/>
                    <w:keepLines w:val="0"/>
                    <w:suppressLineNumbers w:val="0"/>
                    <w:bidi w:val="0"/>
                    <w:spacing w:before="0" w:beforeAutospacing="0" w:after="0" w:afterAutospacing="0"/>
                    <w:ind w:left="0" w:leftChars="0" w:right="0" w:rightChars="0" w:firstLine="0" w:firstLineChars="0"/>
                    <w:rPr>
                      <w:rFonts w:hint="default" w:eastAsia="宋体" w:cs="Times New Roman"/>
                      <w:color w:val="auto"/>
                      <w:lang w:val="en-US" w:eastAsia="zh-CN"/>
                    </w:rPr>
                  </w:pPr>
                  <w:r>
                    <w:rPr>
                      <w:rFonts w:hint="eastAsia" w:eastAsia="宋体" w:cs="Times New Roman"/>
                      <w:color w:val="auto"/>
                      <w:lang w:val="en-US" w:eastAsia="zh-CN"/>
                    </w:rPr>
                    <w:t>废液压油</w:t>
                  </w:r>
                </w:p>
              </w:tc>
              <w:tc>
                <w:tcPr>
                  <w:tcW w:w="361" w:type="pct"/>
                  <w:vMerge w:val="continue"/>
                  <w:shd w:val="clear" w:color="auto" w:fill="auto"/>
                  <w:noWrap w:val="0"/>
                  <w:vAlign w:val="center"/>
                </w:tcPr>
                <w:p w14:paraId="7A062D72">
                  <w:pPr>
                    <w:pStyle w:val="61"/>
                    <w:keepNext w:val="0"/>
                    <w:keepLines w:val="0"/>
                    <w:suppressLineNumbers w:val="0"/>
                    <w:bidi w:val="0"/>
                    <w:spacing w:before="0" w:beforeAutospacing="0" w:after="0" w:afterAutospacing="0"/>
                    <w:ind w:left="0" w:leftChars="0" w:right="0" w:rightChars="0" w:firstLine="0" w:firstLineChars="0"/>
                    <w:rPr>
                      <w:rFonts w:hint="eastAsia"/>
                      <w:lang w:val="en-US" w:eastAsia="zh-CN"/>
                    </w:rPr>
                  </w:pPr>
                </w:p>
              </w:tc>
              <w:tc>
                <w:tcPr>
                  <w:tcW w:w="713" w:type="pct"/>
                  <w:shd w:val="clear" w:color="auto" w:fill="auto"/>
                  <w:noWrap w:val="0"/>
                  <w:vAlign w:val="center"/>
                </w:tcPr>
                <w:p w14:paraId="3D6B53D1">
                  <w:pPr>
                    <w:pStyle w:val="61"/>
                    <w:keepNext w:val="0"/>
                    <w:keepLines w:val="0"/>
                    <w:suppressLineNumbers w:val="0"/>
                    <w:bidi w:val="0"/>
                    <w:spacing w:before="0" w:beforeAutospacing="0" w:after="0" w:afterAutospacing="0"/>
                    <w:ind w:left="0" w:leftChars="0" w:right="0" w:rightChars="0" w:firstLine="0" w:firstLineChars="0"/>
                    <w:rPr>
                      <w:rFonts w:hint="eastAsia"/>
                      <w:lang w:val="en-US" w:eastAsia="zh-CN"/>
                    </w:rPr>
                  </w:pPr>
                  <w:r>
                    <w:rPr>
                      <w:rFonts w:hint="eastAsia"/>
                      <w:lang w:val="en-US" w:eastAsia="zh-CN"/>
                    </w:rPr>
                    <w:t>HW08</w:t>
                  </w:r>
                </w:p>
                <w:p w14:paraId="45112F15">
                  <w:pPr>
                    <w:pStyle w:val="61"/>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900-218-08</w:t>
                  </w:r>
                </w:p>
              </w:tc>
              <w:tc>
                <w:tcPr>
                  <w:tcW w:w="504" w:type="pct"/>
                  <w:shd w:val="clear" w:color="auto" w:fill="auto"/>
                  <w:noWrap w:val="0"/>
                  <w:vAlign w:val="center"/>
                </w:tcPr>
                <w:p w14:paraId="34E65C17">
                  <w:pPr>
                    <w:pStyle w:val="61"/>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0.5</w:t>
                  </w:r>
                </w:p>
              </w:tc>
              <w:tc>
                <w:tcPr>
                  <w:tcW w:w="608" w:type="pct"/>
                  <w:vMerge w:val="continue"/>
                  <w:noWrap w:val="0"/>
                  <w:vAlign w:val="center"/>
                </w:tcPr>
                <w:p w14:paraId="28944FAB">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p>
              </w:tc>
              <w:tc>
                <w:tcPr>
                  <w:tcW w:w="447" w:type="pct"/>
                  <w:noWrap w:val="0"/>
                  <w:vAlign w:val="center"/>
                </w:tcPr>
                <w:p w14:paraId="35887206">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液态</w:t>
                  </w:r>
                </w:p>
              </w:tc>
              <w:tc>
                <w:tcPr>
                  <w:tcW w:w="323" w:type="pct"/>
                  <w:noWrap w:val="0"/>
                  <w:vAlign w:val="center"/>
                </w:tcPr>
                <w:p w14:paraId="4B0E05DF">
                  <w:pPr>
                    <w:pStyle w:val="61"/>
                    <w:keepNext w:val="0"/>
                    <w:keepLines w:val="0"/>
                    <w:suppressLineNumbers w:val="0"/>
                    <w:bidi w:val="0"/>
                    <w:spacing w:before="0" w:beforeAutospacing="0" w:after="0" w:afterAutospacing="0"/>
                    <w:ind w:left="0" w:right="0"/>
                    <w:rPr>
                      <w:rFonts w:hint="default" w:eastAsia="宋体" w:cs="Times New Roman"/>
                      <w:color w:val="auto"/>
                      <w:lang w:val="en-US" w:eastAsia="zh-CN"/>
                    </w:rPr>
                  </w:pPr>
                  <w:r>
                    <w:rPr>
                      <w:rFonts w:hint="eastAsia" w:eastAsia="宋体" w:cs="Times New Roman"/>
                      <w:color w:val="auto"/>
                      <w:lang w:val="en-US" w:eastAsia="zh-CN"/>
                    </w:rPr>
                    <w:t>矿物油</w:t>
                  </w:r>
                </w:p>
              </w:tc>
              <w:tc>
                <w:tcPr>
                  <w:tcW w:w="399" w:type="pct"/>
                  <w:noWrap w:val="0"/>
                  <w:vAlign w:val="center"/>
                </w:tcPr>
                <w:p w14:paraId="25450B98">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lang w:val="en-US" w:eastAsia="zh-CN"/>
                    </w:rPr>
                  </w:pPr>
                  <w:r>
                    <w:rPr>
                      <w:rFonts w:hint="eastAsia"/>
                      <w:color w:val="auto"/>
                      <w:lang w:val="en-US" w:eastAsia="zh-CN"/>
                    </w:rPr>
                    <w:t>1年</w:t>
                  </w:r>
                </w:p>
              </w:tc>
              <w:tc>
                <w:tcPr>
                  <w:tcW w:w="342" w:type="pct"/>
                  <w:noWrap w:val="0"/>
                  <w:vAlign w:val="center"/>
                </w:tcPr>
                <w:p w14:paraId="56B679FC">
                  <w:pPr>
                    <w:pStyle w:val="61"/>
                    <w:keepNext w:val="0"/>
                    <w:keepLines w:val="0"/>
                    <w:suppressLineNumbers w:val="0"/>
                    <w:bidi w:val="0"/>
                    <w:spacing w:before="0" w:beforeAutospacing="0" w:after="0" w:afterAutospacing="0"/>
                    <w:ind w:left="0" w:right="0"/>
                    <w:rPr>
                      <w:rFonts w:hint="default" w:eastAsia="宋体" w:cs="Times New Roman"/>
                      <w:color w:val="auto"/>
                      <w:lang w:val="en-US" w:eastAsia="zh-CN"/>
                    </w:rPr>
                  </w:pPr>
                  <w:r>
                    <w:rPr>
                      <w:rFonts w:hint="eastAsia" w:eastAsia="宋体" w:cs="Times New Roman"/>
                      <w:color w:val="auto"/>
                      <w:lang w:val="en-US" w:eastAsia="zh-CN"/>
                    </w:rPr>
                    <w:t>T/I</w:t>
                  </w:r>
                </w:p>
              </w:tc>
              <w:tc>
                <w:tcPr>
                  <w:tcW w:w="538" w:type="pct"/>
                  <w:vMerge w:val="continue"/>
                  <w:noWrap w:val="0"/>
                  <w:vAlign w:val="center"/>
                </w:tcPr>
                <w:p w14:paraId="501067E5">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p>
              </w:tc>
            </w:tr>
            <w:tr w14:paraId="753C2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236" w:type="pct"/>
                  <w:shd w:val="clear" w:color="auto" w:fill="auto"/>
                  <w:noWrap w:val="0"/>
                  <w:vAlign w:val="center"/>
                </w:tcPr>
                <w:p w14:paraId="425DD8B6">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17</w:t>
                  </w:r>
                </w:p>
              </w:tc>
              <w:tc>
                <w:tcPr>
                  <w:tcW w:w="523" w:type="pct"/>
                  <w:shd w:val="clear" w:color="auto" w:fill="auto"/>
                  <w:noWrap w:val="0"/>
                  <w:vAlign w:val="center"/>
                </w:tcPr>
                <w:p w14:paraId="0860804E">
                  <w:pPr>
                    <w:pStyle w:val="61"/>
                    <w:keepNext w:val="0"/>
                    <w:keepLines w:val="0"/>
                    <w:suppressLineNumbers w:val="0"/>
                    <w:bidi w:val="0"/>
                    <w:spacing w:before="0" w:beforeAutospacing="0" w:after="0" w:afterAutospacing="0"/>
                    <w:ind w:left="0" w:leftChars="0" w:right="0" w:rightChars="0" w:firstLine="0" w:firstLineChars="0"/>
                    <w:rPr>
                      <w:rFonts w:hint="default" w:eastAsia="宋体" w:cs="Times New Roman"/>
                      <w:color w:val="auto"/>
                      <w:lang w:val="en-US" w:eastAsia="zh-CN"/>
                    </w:rPr>
                  </w:pPr>
                  <w:r>
                    <w:rPr>
                      <w:rFonts w:hint="eastAsia" w:eastAsia="宋体" w:cs="Times New Roman"/>
                      <w:color w:val="auto"/>
                      <w:lang w:val="en-US" w:eastAsia="zh-CN"/>
                    </w:rPr>
                    <w:t>废润滑油</w:t>
                  </w:r>
                </w:p>
              </w:tc>
              <w:tc>
                <w:tcPr>
                  <w:tcW w:w="361" w:type="pct"/>
                  <w:vMerge w:val="continue"/>
                  <w:shd w:val="clear" w:color="auto" w:fill="auto"/>
                  <w:noWrap w:val="0"/>
                  <w:vAlign w:val="center"/>
                </w:tcPr>
                <w:p w14:paraId="65DB0201">
                  <w:pPr>
                    <w:pStyle w:val="61"/>
                    <w:keepNext w:val="0"/>
                    <w:keepLines w:val="0"/>
                    <w:suppressLineNumbers w:val="0"/>
                    <w:bidi w:val="0"/>
                    <w:spacing w:before="0" w:beforeAutospacing="0" w:after="0" w:afterAutospacing="0"/>
                    <w:ind w:left="0" w:leftChars="0" w:right="0" w:rightChars="0" w:firstLine="0" w:firstLineChars="0"/>
                    <w:rPr>
                      <w:rFonts w:hint="eastAsia"/>
                      <w:lang w:val="en-US" w:eastAsia="zh-CN"/>
                    </w:rPr>
                  </w:pPr>
                </w:p>
              </w:tc>
              <w:tc>
                <w:tcPr>
                  <w:tcW w:w="713" w:type="pct"/>
                  <w:vMerge w:val="restart"/>
                  <w:shd w:val="clear" w:color="auto" w:fill="auto"/>
                  <w:noWrap w:val="0"/>
                  <w:vAlign w:val="center"/>
                </w:tcPr>
                <w:p w14:paraId="74BE5E6E">
                  <w:pPr>
                    <w:pStyle w:val="61"/>
                    <w:keepNext w:val="0"/>
                    <w:keepLines w:val="0"/>
                    <w:suppressLineNumbers w:val="0"/>
                    <w:bidi w:val="0"/>
                    <w:spacing w:before="0" w:beforeAutospacing="0" w:after="0" w:afterAutospacing="0"/>
                    <w:ind w:left="0" w:leftChars="0" w:right="0" w:rightChars="0" w:firstLine="0" w:firstLineChars="0"/>
                    <w:rPr>
                      <w:rFonts w:hint="eastAsia"/>
                      <w:lang w:val="en-US" w:eastAsia="zh-CN"/>
                    </w:rPr>
                  </w:pPr>
                  <w:r>
                    <w:rPr>
                      <w:rFonts w:hint="eastAsia"/>
                      <w:lang w:val="en-US" w:eastAsia="zh-CN"/>
                    </w:rPr>
                    <w:t>HW08</w:t>
                  </w:r>
                </w:p>
                <w:p w14:paraId="34DD61C1">
                  <w:pPr>
                    <w:pStyle w:val="61"/>
                    <w:keepNext w:val="0"/>
                    <w:keepLines w:val="0"/>
                    <w:suppressLineNumbers w:val="0"/>
                    <w:bidi w:val="0"/>
                    <w:spacing w:before="0" w:beforeAutospacing="0" w:after="0" w:afterAutospacing="0"/>
                    <w:ind w:left="0" w:leftChars="0" w:right="0" w:rightChars="0" w:firstLine="0" w:firstLineChars="0"/>
                    <w:rPr>
                      <w:rFonts w:hint="eastAsia"/>
                      <w:lang w:val="en-US" w:eastAsia="zh-CN"/>
                    </w:rPr>
                  </w:pPr>
                  <w:r>
                    <w:rPr>
                      <w:rFonts w:hint="eastAsia"/>
                      <w:lang w:val="en-US" w:eastAsia="zh-CN"/>
                    </w:rPr>
                    <w:t>900-249-08</w:t>
                  </w:r>
                </w:p>
              </w:tc>
              <w:tc>
                <w:tcPr>
                  <w:tcW w:w="504" w:type="pct"/>
                  <w:shd w:val="clear" w:color="auto" w:fill="auto"/>
                  <w:noWrap w:val="0"/>
                  <w:vAlign w:val="center"/>
                </w:tcPr>
                <w:p w14:paraId="77A75250">
                  <w:pPr>
                    <w:pStyle w:val="61"/>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0.05</w:t>
                  </w:r>
                </w:p>
              </w:tc>
              <w:tc>
                <w:tcPr>
                  <w:tcW w:w="608" w:type="pct"/>
                  <w:vMerge w:val="restart"/>
                  <w:noWrap w:val="0"/>
                  <w:vAlign w:val="center"/>
                </w:tcPr>
                <w:p w14:paraId="47656206">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维护保养</w:t>
                  </w:r>
                </w:p>
              </w:tc>
              <w:tc>
                <w:tcPr>
                  <w:tcW w:w="447" w:type="pct"/>
                  <w:shd w:val="clear" w:color="auto" w:fill="auto"/>
                  <w:noWrap w:val="0"/>
                  <w:vAlign w:val="center"/>
                </w:tcPr>
                <w:p w14:paraId="76DB3B28">
                  <w:pPr>
                    <w:pStyle w:val="61"/>
                    <w:keepNext w:val="0"/>
                    <w:keepLines w:val="0"/>
                    <w:suppressLineNumbers w:val="0"/>
                    <w:bidi w:val="0"/>
                    <w:spacing w:before="0" w:beforeAutospacing="0" w:after="0" w:afterAutospacing="0"/>
                    <w:ind w:left="0" w:right="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液态</w:t>
                  </w:r>
                </w:p>
              </w:tc>
              <w:tc>
                <w:tcPr>
                  <w:tcW w:w="323" w:type="pct"/>
                  <w:shd w:val="clear" w:color="auto" w:fill="auto"/>
                  <w:noWrap w:val="0"/>
                  <w:vAlign w:val="center"/>
                </w:tcPr>
                <w:p w14:paraId="71BC9ACC">
                  <w:pPr>
                    <w:pStyle w:val="61"/>
                    <w:keepNext w:val="0"/>
                    <w:keepLines w:val="0"/>
                    <w:suppressLineNumbers w:val="0"/>
                    <w:bidi w:val="0"/>
                    <w:spacing w:before="0" w:beforeAutospacing="0" w:after="0" w:afterAutospacing="0"/>
                    <w:ind w:left="0" w:right="0" w:firstLine="0" w:firstLineChars="0"/>
                    <w:rPr>
                      <w:rFonts w:hint="eastAsia" w:ascii="Times New Roman" w:hAnsi="Times New Roman" w:eastAsia="宋体" w:cs="Times New Roman"/>
                      <w:color w:val="auto"/>
                      <w:kern w:val="2"/>
                      <w:sz w:val="21"/>
                      <w:szCs w:val="24"/>
                      <w:lang w:val="en-US" w:eastAsia="zh-CN" w:bidi="ar-SA"/>
                    </w:rPr>
                  </w:pPr>
                  <w:r>
                    <w:rPr>
                      <w:rFonts w:hint="eastAsia" w:eastAsia="宋体" w:cs="Times New Roman"/>
                      <w:color w:val="auto"/>
                      <w:lang w:val="en-US" w:eastAsia="zh-CN"/>
                    </w:rPr>
                    <w:t>矿物油</w:t>
                  </w:r>
                </w:p>
              </w:tc>
              <w:tc>
                <w:tcPr>
                  <w:tcW w:w="399" w:type="pct"/>
                  <w:shd w:val="clear" w:color="auto" w:fill="auto"/>
                  <w:noWrap w:val="0"/>
                  <w:vAlign w:val="center"/>
                </w:tcPr>
                <w:p w14:paraId="393DFA02">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1年</w:t>
                  </w:r>
                </w:p>
              </w:tc>
              <w:tc>
                <w:tcPr>
                  <w:tcW w:w="342" w:type="pct"/>
                  <w:shd w:val="clear" w:color="auto" w:fill="auto"/>
                  <w:noWrap w:val="0"/>
                  <w:vAlign w:val="center"/>
                </w:tcPr>
                <w:p w14:paraId="7EBCB255">
                  <w:pPr>
                    <w:pStyle w:val="61"/>
                    <w:keepNext w:val="0"/>
                    <w:keepLines w:val="0"/>
                    <w:suppressLineNumbers w:val="0"/>
                    <w:bidi w:val="0"/>
                    <w:spacing w:before="0" w:beforeAutospacing="0" w:after="0" w:afterAutospacing="0"/>
                    <w:ind w:left="0" w:right="0" w:firstLine="0" w:firstLineChars="0"/>
                    <w:rPr>
                      <w:rFonts w:hint="eastAsia" w:ascii="Times New Roman" w:hAnsi="Times New Roman" w:eastAsia="宋体" w:cs="Times New Roman"/>
                      <w:color w:val="auto"/>
                      <w:kern w:val="2"/>
                      <w:sz w:val="21"/>
                      <w:szCs w:val="24"/>
                      <w:lang w:val="en-US" w:eastAsia="zh-CN" w:bidi="ar-SA"/>
                    </w:rPr>
                  </w:pPr>
                  <w:r>
                    <w:rPr>
                      <w:rFonts w:hint="eastAsia" w:eastAsia="宋体" w:cs="Times New Roman"/>
                      <w:color w:val="auto"/>
                      <w:lang w:val="en-US" w:eastAsia="zh-CN"/>
                    </w:rPr>
                    <w:t>T/I</w:t>
                  </w:r>
                </w:p>
              </w:tc>
              <w:tc>
                <w:tcPr>
                  <w:tcW w:w="538" w:type="pct"/>
                  <w:vMerge w:val="continue"/>
                  <w:noWrap w:val="0"/>
                  <w:vAlign w:val="center"/>
                </w:tcPr>
                <w:p w14:paraId="731FDE72">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p>
              </w:tc>
            </w:tr>
            <w:tr w14:paraId="0315B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236" w:type="pct"/>
                  <w:shd w:val="clear" w:color="auto" w:fill="auto"/>
                  <w:noWrap w:val="0"/>
                  <w:vAlign w:val="center"/>
                </w:tcPr>
                <w:p w14:paraId="44002B25">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18</w:t>
                  </w:r>
                </w:p>
              </w:tc>
              <w:tc>
                <w:tcPr>
                  <w:tcW w:w="523" w:type="pct"/>
                  <w:shd w:val="clear" w:color="auto" w:fill="auto"/>
                  <w:noWrap w:val="0"/>
                  <w:vAlign w:val="center"/>
                </w:tcPr>
                <w:p w14:paraId="444A5024">
                  <w:pPr>
                    <w:pStyle w:val="61"/>
                    <w:keepNext w:val="0"/>
                    <w:keepLines w:val="0"/>
                    <w:suppressLineNumbers w:val="0"/>
                    <w:bidi w:val="0"/>
                    <w:spacing w:before="0" w:beforeAutospacing="0" w:after="0" w:afterAutospacing="0"/>
                    <w:ind w:left="0" w:leftChars="0" w:right="0" w:rightChars="0" w:firstLine="0" w:firstLineChars="0"/>
                    <w:rPr>
                      <w:rFonts w:hint="default" w:eastAsia="宋体" w:cs="Times New Roman"/>
                      <w:color w:val="auto"/>
                      <w:lang w:val="en-US" w:eastAsia="zh-CN"/>
                    </w:rPr>
                  </w:pPr>
                  <w:r>
                    <w:rPr>
                      <w:rFonts w:hint="eastAsia" w:eastAsia="宋体" w:cs="Times New Roman"/>
                      <w:color w:val="auto"/>
                      <w:lang w:val="en-US" w:eastAsia="zh-CN"/>
                    </w:rPr>
                    <w:t>废润滑油桶</w:t>
                  </w:r>
                </w:p>
              </w:tc>
              <w:tc>
                <w:tcPr>
                  <w:tcW w:w="361" w:type="pct"/>
                  <w:vMerge w:val="continue"/>
                  <w:shd w:val="clear" w:color="auto" w:fill="auto"/>
                  <w:noWrap w:val="0"/>
                  <w:vAlign w:val="center"/>
                </w:tcPr>
                <w:p w14:paraId="6BF7CA43">
                  <w:pPr>
                    <w:pStyle w:val="61"/>
                    <w:keepNext w:val="0"/>
                    <w:keepLines w:val="0"/>
                    <w:suppressLineNumbers w:val="0"/>
                    <w:bidi w:val="0"/>
                    <w:spacing w:before="0" w:beforeAutospacing="0" w:after="0" w:afterAutospacing="0"/>
                    <w:ind w:left="0" w:leftChars="0" w:right="0" w:rightChars="0" w:firstLine="0" w:firstLineChars="0"/>
                    <w:rPr>
                      <w:rFonts w:hint="eastAsia"/>
                      <w:lang w:val="en-US" w:eastAsia="zh-CN"/>
                    </w:rPr>
                  </w:pPr>
                </w:p>
              </w:tc>
              <w:tc>
                <w:tcPr>
                  <w:tcW w:w="713" w:type="pct"/>
                  <w:vMerge w:val="continue"/>
                  <w:shd w:val="clear" w:color="auto" w:fill="auto"/>
                  <w:noWrap w:val="0"/>
                  <w:vAlign w:val="center"/>
                </w:tcPr>
                <w:p w14:paraId="77606FA4">
                  <w:pPr>
                    <w:pStyle w:val="61"/>
                    <w:keepNext w:val="0"/>
                    <w:keepLines w:val="0"/>
                    <w:suppressLineNumbers w:val="0"/>
                    <w:bidi w:val="0"/>
                    <w:spacing w:before="0" w:beforeAutospacing="0" w:after="0" w:afterAutospacing="0"/>
                    <w:ind w:left="0" w:leftChars="0" w:right="0" w:rightChars="0" w:firstLine="0" w:firstLineChars="0"/>
                    <w:rPr>
                      <w:rFonts w:hint="eastAsia"/>
                      <w:lang w:val="en-US" w:eastAsia="zh-CN"/>
                    </w:rPr>
                  </w:pPr>
                </w:p>
              </w:tc>
              <w:tc>
                <w:tcPr>
                  <w:tcW w:w="504" w:type="pct"/>
                  <w:shd w:val="clear" w:color="auto" w:fill="auto"/>
                  <w:noWrap w:val="0"/>
                  <w:vAlign w:val="center"/>
                </w:tcPr>
                <w:p w14:paraId="39B46C43">
                  <w:pPr>
                    <w:pStyle w:val="61"/>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0.02</w:t>
                  </w:r>
                </w:p>
              </w:tc>
              <w:tc>
                <w:tcPr>
                  <w:tcW w:w="608" w:type="pct"/>
                  <w:vMerge w:val="continue"/>
                  <w:noWrap w:val="0"/>
                  <w:vAlign w:val="center"/>
                </w:tcPr>
                <w:p w14:paraId="27570768">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p>
              </w:tc>
              <w:tc>
                <w:tcPr>
                  <w:tcW w:w="447" w:type="pct"/>
                  <w:shd w:val="clear" w:color="auto" w:fill="auto"/>
                  <w:noWrap w:val="0"/>
                  <w:vAlign w:val="center"/>
                </w:tcPr>
                <w:p w14:paraId="6CC9A5B1">
                  <w:pPr>
                    <w:pStyle w:val="61"/>
                    <w:keepNext w:val="0"/>
                    <w:keepLines w:val="0"/>
                    <w:suppressLineNumbers w:val="0"/>
                    <w:bidi w:val="0"/>
                    <w:spacing w:before="0" w:beforeAutospacing="0" w:after="0" w:afterAutospacing="0"/>
                    <w:ind w:left="0" w:right="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液态</w:t>
                  </w:r>
                </w:p>
              </w:tc>
              <w:tc>
                <w:tcPr>
                  <w:tcW w:w="323" w:type="pct"/>
                  <w:shd w:val="clear" w:color="auto" w:fill="auto"/>
                  <w:noWrap w:val="0"/>
                  <w:vAlign w:val="center"/>
                </w:tcPr>
                <w:p w14:paraId="7A82091A">
                  <w:pPr>
                    <w:pStyle w:val="61"/>
                    <w:keepNext w:val="0"/>
                    <w:keepLines w:val="0"/>
                    <w:suppressLineNumbers w:val="0"/>
                    <w:bidi w:val="0"/>
                    <w:spacing w:before="0" w:beforeAutospacing="0" w:after="0" w:afterAutospacing="0"/>
                    <w:ind w:left="0" w:right="0" w:firstLine="0" w:firstLineChars="0"/>
                    <w:rPr>
                      <w:rFonts w:hint="eastAsia" w:ascii="Times New Roman" w:hAnsi="Times New Roman" w:eastAsia="宋体" w:cs="Times New Roman"/>
                      <w:color w:val="auto"/>
                      <w:kern w:val="2"/>
                      <w:sz w:val="21"/>
                      <w:szCs w:val="24"/>
                      <w:lang w:val="en-US" w:eastAsia="zh-CN" w:bidi="ar-SA"/>
                    </w:rPr>
                  </w:pPr>
                  <w:r>
                    <w:rPr>
                      <w:rFonts w:hint="eastAsia" w:eastAsia="宋体" w:cs="Times New Roman"/>
                      <w:color w:val="auto"/>
                      <w:lang w:val="en-US" w:eastAsia="zh-CN"/>
                    </w:rPr>
                    <w:t>矿物油</w:t>
                  </w:r>
                </w:p>
              </w:tc>
              <w:tc>
                <w:tcPr>
                  <w:tcW w:w="399" w:type="pct"/>
                  <w:shd w:val="clear" w:color="auto" w:fill="auto"/>
                  <w:noWrap w:val="0"/>
                  <w:vAlign w:val="center"/>
                </w:tcPr>
                <w:p w14:paraId="61CA418F">
                  <w:pPr>
                    <w:pStyle w:val="61"/>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1年</w:t>
                  </w:r>
                </w:p>
              </w:tc>
              <w:tc>
                <w:tcPr>
                  <w:tcW w:w="342" w:type="pct"/>
                  <w:shd w:val="clear" w:color="auto" w:fill="auto"/>
                  <w:noWrap w:val="0"/>
                  <w:vAlign w:val="center"/>
                </w:tcPr>
                <w:p w14:paraId="47A718BD">
                  <w:pPr>
                    <w:pStyle w:val="61"/>
                    <w:keepNext w:val="0"/>
                    <w:keepLines w:val="0"/>
                    <w:suppressLineNumbers w:val="0"/>
                    <w:bidi w:val="0"/>
                    <w:spacing w:before="0" w:beforeAutospacing="0" w:after="0" w:afterAutospacing="0"/>
                    <w:ind w:left="0" w:right="0" w:firstLine="0" w:firstLineChars="0"/>
                    <w:rPr>
                      <w:rFonts w:hint="eastAsia" w:ascii="Times New Roman" w:hAnsi="Times New Roman" w:eastAsia="宋体" w:cs="Times New Roman"/>
                      <w:color w:val="auto"/>
                      <w:kern w:val="2"/>
                      <w:sz w:val="21"/>
                      <w:szCs w:val="24"/>
                      <w:lang w:val="en-US" w:eastAsia="zh-CN" w:bidi="ar-SA"/>
                    </w:rPr>
                  </w:pPr>
                  <w:r>
                    <w:rPr>
                      <w:rFonts w:hint="eastAsia" w:eastAsia="宋体" w:cs="Times New Roman"/>
                      <w:color w:val="auto"/>
                      <w:lang w:val="en-US" w:eastAsia="zh-CN"/>
                    </w:rPr>
                    <w:t>T/I</w:t>
                  </w:r>
                </w:p>
              </w:tc>
              <w:tc>
                <w:tcPr>
                  <w:tcW w:w="538" w:type="pct"/>
                  <w:vMerge w:val="continue"/>
                  <w:noWrap w:val="0"/>
                  <w:vAlign w:val="center"/>
                </w:tcPr>
                <w:p w14:paraId="3725A305">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p>
              </w:tc>
            </w:tr>
            <w:tr w14:paraId="79FD2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236" w:type="pct"/>
                  <w:shd w:val="clear" w:color="auto" w:fill="auto"/>
                  <w:noWrap w:val="0"/>
                  <w:vAlign w:val="center"/>
                </w:tcPr>
                <w:p w14:paraId="66868D1E">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19</w:t>
                  </w:r>
                </w:p>
              </w:tc>
              <w:tc>
                <w:tcPr>
                  <w:tcW w:w="523" w:type="pct"/>
                  <w:shd w:val="clear" w:color="auto" w:fill="auto"/>
                  <w:noWrap w:val="0"/>
                  <w:vAlign w:val="center"/>
                </w:tcPr>
                <w:p w14:paraId="153A1727">
                  <w:pPr>
                    <w:pStyle w:val="61"/>
                    <w:keepNext w:val="0"/>
                    <w:keepLines w:val="0"/>
                    <w:suppressLineNumbers w:val="0"/>
                    <w:bidi w:val="0"/>
                    <w:spacing w:before="0" w:beforeAutospacing="0" w:after="0" w:afterAutospacing="0"/>
                    <w:ind w:left="0" w:leftChars="0" w:right="0" w:rightChars="0" w:firstLine="0" w:firstLineChars="0"/>
                    <w:rPr>
                      <w:rFonts w:hint="default" w:eastAsia="宋体" w:cs="Times New Roman"/>
                      <w:color w:val="auto"/>
                      <w:lang w:val="en-US" w:eastAsia="zh-CN"/>
                    </w:rPr>
                  </w:pPr>
                  <w:r>
                    <w:rPr>
                      <w:rFonts w:hint="eastAsia" w:eastAsia="宋体" w:cs="Times New Roman"/>
                      <w:color w:val="auto"/>
                      <w:lang w:val="en-US" w:eastAsia="zh-CN"/>
                    </w:rPr>
                    <w:t>废含油抹布手套</w:t>
                  </w:r>
                </w:p>
              </w:tc>
              <w:tc>
                <w:tcPr>
                  <w:tcW w:w="361" w:type="pct"/>
                  <w:vMerge w:val="continue"/>
                  <w:shd w:val="clear" w:color="auto" w:fill="auto"/>
                  <w:noWrap w:val="0"/>
                  <w:vAlign w:val="center"/>
                </w:tcPr>
                <w:p w14:paraId="2F69BC54">
                  <w:pPr>
                    <w:pStyle w:val="61"/>
                    <w:keepNext w:val="0"/>
                    <w:keepLines w:val="0"/>
                    <w:suppressLineNumbers w:val="0"/>
                    <w:bidi w:val="0"/>
                    <w:spacing w:before="0" w:beforeAutospacing="0" w:after="0" w:afterAutospacing="0"/>
                    <w:ind w:left="0" w:leftChars="0" w:right="0" w:rightChars="0" w:firstLine="0" w:firstLineChars="0"/>
                    <w:rPr>
                      <w:rFonts w:hint="eastAsia"/>
                      <w:lang w:val="en-US" w:eastAsia="zh-CN"/>
                    </w:rPr>
                  </w:pPr>
                </w:p>
              </w:tc>
              <w:tc>
                <w:tcPr>
                  <w:tcW w:w="713" w:type="pct"/>
                  <w:vMerge w:val="restart"/>
                  <w:shd w:val="clear" w:color="auto" w:fill="auto"/>
                  <w:noWrap w:val="0"/>
                  <w:vAlign w:val="center"/>
                </w:tcPr>
                <w:p w14:paraId="31F59AC9">
                  <w:pPr>
                    <w:pStyle w:val="61"/>
                    <w:keepNext w:val="0"/>
                    <w:keepLines w:val="0"/>
                    <w:suppressLineNumbers w:val="0"/>
                    <w:bidi w:val="0"/>
                    <w:spacing w:before="0" w:beforeAutospacing="0" w:after="0" w:afterAutospacing="0"/>
                    <w:ind w:left="0" w:leftChars="0" w:right="0" w:rightChars="0" w:firstLine="0" w:firstLineChars="0"/>
                    <w:rPr>
                      <w:rFonts w:hint="eastAsia"/>
                      <w:lang w:val="en-US" w:eastAsia="zh-CN"/>
                    </w:rPr>
                  </w:pPr>
                  <w:r>
                    <w:rPr>
                      <w:rFonts w:hint="eastAsia"/>
                      <w:lang w:val="en-US" w:eastAsia="zh-CN"/>
                    </w:rPr>
                    <w:t>HW49</w:t>
                  </w:r>
                </w:p>
                <w:p w14:paraId="454AD3D9">
                  <w:pPr>
                    <w:pStyle w:val="61"/>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900-041-49</w:t>
                  </w:r>
                </w:p>
              </w:tc>
              <w:tc>
                <w:tcPr>
                  <w:tcW w:w="504" w:type="pct"/>
                  <w:shd w:val="clear" w:color="auto" w:fill="auto"/>
                  <w:noWrap w:val="0"/>
                  <w:vAlign w:val="center"/>
                </w:tcPr>
                <w:p w14:paraId="7E72B9DA">
                  <w:pPr>
                    <w:pStyle w:val="61"/>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0.05</w:t>
                  </w:r>
                </w:p>
              </w:tc>
              <w:tc>
                <w:tcPr>
                  <w:tcW w:w="608" w:type="pct"/>
                  <w:vMerge w:val="continue"/>
                  <w:noWrap w:val="0"/>
                  <w:vAlign w:val="center"/>
                </w:tcPr>
                <w:p w14:paraId="2F523487">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eastAsia"/>
                      <w:color w:val="auto"/>
                      <w:lang w:val="en-US" w:eastAsia="zh-CN"/>
                    </w:rPr>
                  </w:pPr>
                </w:p>
              </w:tc>
              <w:tc>
                <w:tcPr>
                  <w:tcW w:w="447" w:type="pct"/>
                  <w:shd w:val="clear" w:color="auto" w:fill="auto"/>
                  <w:noWrap w:val="0"/>
                  <w:vAlign w:val="center"/>
                </w:tcPr>
                <w:p w14:paraId="76D73EAC">
                  <w:pPr>
                    <w:pStyle w:val="61"/>
                    <w:keepNext w:val="0"/>
                    <w:keepLines w:val="0"/>
                    <w:suppressLineNumbers w:val="0"/>
                    <w:bidi w:val="0"/>
                    <w:spacing w:before="0" w:beforeAutospacing="0" w:after="0" w:afterAutospacing="0"/>
                    <w:ind w:left="0" w:right="0" w:firstLine="0" w:firstLineChars="0"/>
                    <w:rPr>
                      <w:rFonts w:hint="default"/>
                      <w:lang w:val="en-US" w:eastAsia="zh-CN"/>
                    </w:rPr>
                  </w:pPr>
                  <w:r>
                    <w:rPr>
                      <w:rFonts w:hint="eastAsia"/>
                      <w:lang w:val="en-US" w:eastAsia="zh-CN"/>
                    </w:rPr>
                    <w:t>固态</w:t>
                  </w:r>
                </w:p>
              </w:tc>
              <w:tc>
                <w:tcPr>
                  <w:tcW w:w="323" w:type="pct"/>
                  <w:shd w:val="clear" w:color="auto" w:fill="auto"/>
                  <w:noWrap w:val="0"/>
                  <w:vAlign w:val="center"/>
                </w:tcPr>
                <w:p w14:paraId="55F13A8D">
                  <w:pPr>
                    <w:pStyle w:val="61"/>
                    <w:keepNext w:val="0"/>
                    <w:keepLines w:val="0"/>
                    <w:suppressLineNumbers w:val="0"/>
                    <w:bidi w:val="0"/>
                    <w:spacing w:before="0" w:beforeAutospacing="0" w:after="0" w:afterAutospacing="0"/>
                    <w:ind w:left="0" w:right="0" w:firstLine="0" w:firstLineChars="0"/>
                    <w:rPr>
                      <w:rFonts w:hint="default" w:eastAsia="宋体" w:cs="Times New Roman"/>
                      <w:color w:val="auto"/>
                      <w:lang w:val="en-US" w:eastAsia="zh-CN"/>
                    </w:rPr>
                  </w:pPr>
                  <w:r>
                    <w:rPr>
                      <w:rFonts w:hint="eastAsia" w:eastAsia="宋体" w:cs="Times New Roman"/>
                      <w:color w:val="auto"/>
                      <w:lang w:val="en-US" w:eastAsia="zh-CN"/>
                    </w:rPr>
                    <w:t>矿物油</w:t>
                  </w:r>
                </w:p>
              </w:tc>
              <w:tc>
                <w:tcPr>
                  <w:tcW w:w="399" w:type="pct"/>
                  <w:shd w:val="clear" w:color="auto" w:fill="auto"/>
                  <w:noWrap w:val="0"/>
                  <w:vAlign w:val="center"/>
                </w:tcPr>
                <w:p w14:paraId="126404F2">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1年</w:t>
                  </w:r>
                </w:p>
              </w:tc>
              <w:tc>
                <w:tcPr>
                  <w:tcW w:w="342" w:type="pct"/>
                  <w:shd w:val="clear" w:color="auto" w:fill="auto"/>
                  <w:noWrap w:val="0"/>
                  <w:vAlign w:val="center"/>
                </w:tcPr>
                <w:p w14:paraId="0D2EF140">
                  <w:pPr>
                    <w:pStyle w:val="61"/>
                    <w:keepNext w:val="0"/>
                    <w:keepLines w:val="0"/>
                    <w:suppressLineNumbers w:val="0"/>
                    <w:bidi w:val="0"/>
                    <w:spacing w:before="0" w:beforeAutospacing="0" w:after="0" w:afterAutospacing="0"/>
                    <w:ind w:left="0" w:right="0" w:firstLine="0" w:firstLineChars="0"/>
                    <w:rPr>
                      <w:rFonts w:hint="eastAsia" w:eastAsia="宋体" w:cs="Times New Roman"/>
                      <w:color w:val="auto"/>
                      <w:lang w:val="en-US" w:eastAsia="zh-CN"/>
                    </w:rPr>
                  </w:pPr>
                  <w:r>
                    <w:rPr>
                      <w:rFonts w:hint="eastAsia" w:eastAsia="宋体" w:cs="Times New Roman"/>
                      <w:color w:val="auto"/>
                      <w:lang w:val="en-US" w:eastAsia="zh-CN"/>
                    </w:rPr>
                    <w:t>T/I</w:t>
                  </w:r>
                </w:p>
              </w:tc>
              <w:tc>
                <w:tcPr>
                  <w:tcW w:w="538" w:type="pct"/>
                  <w:vMerge w:val="continue"/>
                  <w:noWrap w:val="0"/>
                  <w:vAlign w:val="center"/>
                </w:tcPr>
                <w:p w14:paraId="5C8C6CEB">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p>
              </w:tc>
            </w:tr>
            <w:tr w14:paraId="2EDC7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236" w:type="pct"/>
                  <w:noWrap w:val="0"/>
                  <w:vAlign w:val="center"/>
                </w:tcPr>
                <w:p w14:paraId="13732521">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20</w:t>
                  </w:r>
                </w:p>
              </w:tc>
              <w:tc>
                <w:tcPr>
                  <w:tcW w:w="523" w:type="pct"/>
                  <w:shd w:val="clear" w:color="auto" w:fill="auto"/>
                  <w:noWrap w:val="0"/>
                  <w:vAlign w:val="center"/>
                </w:tcPr>
                <w:p w14:paraId="0BE23DC4">
                  <w:pPr>
                    <w:pStyle w:val="61"/>
                    <w:keepNext w:val="0"/>
                    <w:keepLines w:val="0"/>
                    <w:suppressLineNumbers w:val="0"/>
                    <w:bidi w:val="0"/>
                    <w:spacing w:before="0" w:beforeAutospacing="0" w:after="0" w:afterAutospacing="0"/>
                    <w:ind w:left="0" w:leftChars="0" w:right="0" w:rightChars="0" w:firstLine="0" w:firstLineChars="0"/>
                    <w:rPr>
                      <w:rFonts w:hint="eastAsia" w:eastAsia="宋体" w:cs="Times New Roman"/>
                      <w:color w:val="auto"/>
                      <w:lang w:val="en-US" w:eastAsia="zh-CN"/>
                    </w:rPr>
                  </w:pPr>
                  <w:r>
                    <w:rPr>
                      <w:rFonts w:hint="eastAsia"/>
                      <w:lang w:val="en-US" w:eastAsia="zh-CN"/>
                    </w:rPr>
                    <w:t>废电解液中和废物</w:t>
                  </w:r>
                </w:p>
              </w:tc>
              <w:tc>
                <w:tcPr>
                  <w:tcW w:w="361" w:type="pct"/>
                  <w:vMerge w:val="continue"/>
                  <w:shd w:val="clear" w:color="auto" w:fill="auto"/>
                  <w:noWrap w:val="0"/>
                  <w:vAlign w:val="center"/>
                </w:tcPr>
                <w:p w14:paraId="341C4ACD">
                  <w:pPr>
                    <w:pStyle w:val="61"/>
                    <w:keepNext w:val="0"/>
                    <w:keepLines w:val="0"/>
                    <w:suppressLineNumbers w:val="0"/>
                    <w:bidi w:val="0"/>
                    <w:spacing w:before="0" w:beforeAutospacing="0" w:after="0" w:afterAutospacing="0"/>
                    <w:ind w:left="0" w:leftChars="0" w:right="0" w:rightChars="0" w:firstLine="0" w:firstLineChars="0"/>
                    <w:rPr>
                      <w:rFonts w:hint="eastAsia"/>
                      <w:lang w:val="en-US" w:eastAsia="zh-CN"/>
                    </w:rPr>
                  </w:pPr>
                </w:p>
              </w:tc>
              <w:tc>
                <w:tcPr>
                  <w:tcW w:w="713" w:type="pct"/>
                  <w:vMerge w:val="continue"/>
                  <w:shd w:val="clear" w:color="auto" w:fill="auto"/>
                  <w:noWrap w:val="0"/>
                  <w:vAlign w:val="center"/>
                </w:tcPr>
                <w:p w14:paraId="3791BDF7">
                  <w:pPr>
                    <w:pStyle w:val="61"/>
                    <w:keepNext w:val="0"/>
                    <w:keepLines w:val="0"/>
                    <w:suppressLineNumbers w:val="0"/>
                    <w:bidi w:val="0"/>
                    <w:spacing w:before="0" w:beforeAutospacing="0" w:after="0" w:afterAutospacing="0"/>
                    <w:ind w:left="0" w:leftChars="0" w:right="0" w:rightChars="0" w:firstLine="0" w:firstLineChars="0"/>
                    <w:rPr>
                      <w:rFonts w:hint="eastAsia"/>
                      <w:lang w:val="en-US" w:eastAsia="zh-CN"/>
                    </w:rPr>
                  </w:pPr>
                </w:p>
              </w:tc>
              <w:tc>
                <w:tcPr>
                  <w:tcW w:w="504" w:type="pct"/>
                  <w:shd w:val="clear" w:color="auto" w:fill="auto"/>
                  <w:noWrap w:val="0"/>
                  <w:vAlign w:val="center"/>
                </w:tcPr>
                <w:p w14:paraId="12848A6C">
                  <w:pPr>
                    <w:pStyle w:val="61"/>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0.172</w:t>
                  </w:r>
                </w:p>
              </w:tc>
              <w:tc>
                <w:tcPr>
                  <w:tcW w:w="608" w:type="pct"/>
                  <w:noWrap w:val="0"/>
                  <w:vAlign w:val="center"/>
                </w:tcPr>
                <w:p w14:paraId="1D6791D4">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r>
                    <w:rPr>
                      <w:rFonts w:hint="eastAsia"/>
                      <w:color w:val="auto"/>
                      <w:lang w:val="en-US" w:eastAsia="zh-CN"/>
                    </w:rPr>
                    <w:t>拆解</w:t>
                  </w:r>
                </w:p>
              </w:tc>
              <w:tc>
                <w:tcPr>
                  <w:tcW w:w="447" w:type="pct"/>
                  <w:shd w:val="clear" w:color="auto" w:fill="auto"/>
                  <w:noWrap w:val="0"/>
                  <w:vAlign w:val="center"/>
                </w:tcPr>
                <w:p w14:paraId="60E425F1">
                  <w:pPr>
                    <w:pStyle w:val="61"/>
                    <w:keepNext w:val="0"/>
                    <w:keepLines w:val="0"/>
                    <w:suppressLineNumbers w:val="0"/>
                    <w:bidi w:val="0"/>
                    <w:spacing w:before="0" w:beforeAutospacing="0" w:after="0" w:afterAutospacing="0"/>
                    <w:ind w:left="0" w:right="0" w:firstLine="0" w:firstLineChars="0"/>
                    <w:rPr>
                      <w:rFonts w:hint="default"/>
                      <w:lang w:val="en-US" w:eastAsia="zh-CN"/>
                    </w:rPr>
                  </w:pPr>
                  <w:r>
                    <w:rPr>
                      <w:rFonts w:hint="eastAsia"/>
                      <w:lang w:val="en-US" w:eastAsia="zh-CN"/>
                    </w:rPr>
                    <w:t>固态</w:t>
                  </w:r>
                </w:p>
              </w:tc>
              <w:tc>
                <w:tcPr>
                  <w:tcW w:w="323" w:type="pct"/>
                  <w:shd w:val="clear" w:color="auto" w:fill="auto"/>
                  <w:noWrap w:val="0"/>
                  <w:vAlign w:val="center"/>
                </w:tcPr>
                <w:p w14:paraId="222F5406">
                  <w:pPr>
                    <w:pStyle w:val="61"/>
                    <w:keepNext w:val="0"/>
                    <w:keepLines w:val="0"/>
                    <w:suppressLineNumbers w:val="0"/>
                    <w:bidi w:val="0"/>
                    <w:spacing w:before="0" w:beforeAutospacing="0" w:after="0" w:afterAutospacing="0"/>
                    <w:ind w:left="0" w:right="0" w:firstLine="0" w:firstLineChars="0"/>
                    <w:rPr>
                      <w:rFonts w:hint="default" w:eastAsia="宋体" w:cs="Times New Roman"/>
                      <w:color w:val="auto"/>
                      <w:lang w:val="en-US" w:eastAsia="zh-CN"/>
                    </w:rPr>
                  </w:pPr>
                  <w:r>
                    <w:rPr>
                      <w:rFonts w:hint="eastAsia" w:cs="Times New Roman"/>
                      <w:color w:val="auto"/>
                      <w:lang w:val="en-US" w:eastAsia="zh-CN"/>
                    </w:rPr>
                    <w:t>铅/电解液</w:t>
                  </w:r>
                </w:p>
              </w:tc>
              <w:tc>
                <w:tcPr>
                  <w:tcW w:w="399" w:type="pct"/>
                  <w:shd w:val="clear" w:color="auto" w:fill="auto"/>
                  <w:noWrap w:val="0"/>
                  <w:vAlign w:val="center"/>
                </w:tcPr>
                <w:p w14:paraId="03CC63DF">
                  <w:pPr>
                    <w:pStyle w:val="61"/>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1年</w:t>
                  </w:r>
                </w:p>
              </w:tc>
              <w:tc>
                <w:tcPr>
                  <w:tcW w:w="342" w:type="pct"/>
                  <w:shd w:val="clear" w:color="auto" w:fill="auto"/>
                  <w:noWrap w:val="0"/>
                  <w:vAlign w:val="center"/>
                </w:tcPr>
                <w:p w14:paraId="66AF4B45">
                  <w:pPr>
                    <w:pStyle w:val="61"/>
                    <w:keepNext w:val="0"/>
                    <w:keepLines w:val="0"/>
                    <w:suppressLineNumbers w:val="0"/>
                    <w:bidi w:val="0"/>
                    <w:spacing w:before="0" w:beforeAutospacing="0" w:after="0" w:afterAutospacing="0"/>
                    <w:ind w:left="0" w:right="0" w:firstLine="0" w:firstLineChars="0"/>
                    <w:rPr>
                      <w:rFonts w:hint="default" w:eastAsia="宋体" w:cs="Times New Roman"/>
                      <w:color w:val="auto"/>
                      <w:lang w:val="en-US" w:eastAsia="zh-CN"/>
                    </w:rPr>
                  </w:pPr>
                  <w:r>
                    <w:rPr>
                      <w:rFonts w:hint="eastAsia" w:cs="Times New Roman"/>
                      <w:color w:val="auto"/>
                      <w:lang w:val="en-US" w:eastAsia="zh-CN"/>
                    </w:rPr>
                    <w:t>T/C</w:t>
                  </w:r>
                </w:p>
              </w:tc>
              <w:tc>
                <w:tcPr>
                  <w:tcW w:w="538" w:type="pct"/>
                  <w:vMerge w:val="continue"/>
                  <w:noWrap w:val="0"/>
                  <w:vAlign w:val="center"/>
                </w:tcPr>
                <w:p w14:paraId="1F86792F">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textAlignment w:val="auto"/>
                    <w:rPr>
                      <w:rFonts w:hint="default"/>
                      <w:color w:val="auto"/>
                      <w:lang w:val="en-US" w:eastAsia="zh-CN"/>
                    </w:rPr>
                  </w:pPr>
                </w:p>
              </w:tc>
            </w:tr>
          </w:tbl>
          <w:p w14:paraId="777323CF">
            <w:pPr>
              <w:keepNext w:val="0"/>
              <w:keepLines w:val="0"/>
              <w:suppressLineNumbers w:val="0"/>
              <w:spacing w:before="0" w:beforeAutospacing="0" w:after="0" w:afterAutospacing="0"/>
              <w:ind w:left="0" w:right="0" w:firstLine="482"/>
              <w:jc w:val="both"/>
              <w:rPr>
                <w:rFonts w:hint="default"/>
                <w:b/>
                <w:bCs/>
                <w:color w:val="auto"/>
              </w:rPr>
            </w:pPr>
            <w:r>
              <w:rPr>
                <w:rFonts w:hint="eastAsia"/>
                <w:b/>
                <w:bCs/>
                <w:color w:val="auto"/>
                <w:lang w:val="en-US" w:eastAsia="zh-CN"/>
              </w:rPr>
              <w:t>3</w:t>
            </w:r>
            <w:r>
              <w:rPr>
                <w:rFonts w:hint="eastAsia"/>
                <w:b/>
                <w:bCs/>
                <w:color w:val="auto"/>
              </w:rPr>
              <w:t>、固废处置措施可行性及合理性分析</w:t>
            </w:r>
          </w:p>
          <w:p w14:paraId="3F985B82">
            <w:pPr>
              <w:keepNext w:val="0"/>
              <w:keepLines w:val="0"/>
              <w:suppressLineNumbers w:val="0"/>
              <w:bidi w:val="0"/>
              <w:spacing w:before="0" w:beforeAutospacing="0" w:after="0" w:afterAutospacing="0"/>
              <w:ind w:left="0" w:right="0"/>
              <w:jc w:val="both"/>
              <w:rPr>
                <w:rFonts w:hint="eastAsia"/>
                <w:b/>
                <w:bCs/>
                <w:color w:val="auto"/>
                <w:lang w:val="en-US" w:eastAsia="zh-CN"/>
              </w:rPr>
            </w:pPr>
            <w:r>
              <w:rPr>
                <w:rFonts w:hint="eastAsia"/>
                <w:b/>
                <w:bCs/>
                <w:color w:val="auto"/>
                <w:lang w:val="en-US" w:eastAsia="zh-CN"/>
              </w:rPr>
              <w:t>（1）一般固废管理要求</w:t>
            </w:r>
          </w:p>
          <w:p w14:paraId="594565B3">
            <w:pPr>
              <w:keepNext w:val="0"/>
              <w:keepLines w:val="0"/>
              <w:suppressLineNumbers w:val="0"/>
              <w:bidi w:val="0"/>
              <w:spacing w:before="0" w:beforeAutospacing="0" w:after="0" w:afterAutospacing="0"/>
              <w:ind w:left="0" w:right="0"/>
              <w:jc w:val="both"/>
              <w:rPr>
                <w:rFonts w:hint="default"/>
                <w:b/>
                <w:bCs/>
                <w:color w:val="auto"/>
                <w:lang w:val="en-US" w:eastAsia="zh-CN"/>
              </w:rPr>
            </w:pPr>
            <w:r>
              <w:rPr>
                <w:rFonts w:hint="eastAsia"/>
                <w:b/>
                <w:bCs/>
                <w:color w:val="auto"/>
                <w:lang w:val="en-US" w:eastAsia="zh-CN"/>
              </w:rPr>
              <w:t>1）一般固废收集过程</w:t>
            </w:r>
          </w:p>
          <w:p w14:paraId="160A0B13">
            <w:pPr>
              <w:keepNext w:val="0"/>
              <w:keepLines w:val="0"/>
              <w:suppressLineNumbers w:val="0"/>
              <w:bidi w:val="0"/>
              <w:spacing w:before="0" w:beforeAutospacing="0" w:after="0" w:afterAutospacing="0"/>
              <w:ind w:left="0" w:right="0"/>
              <w:jc w:val="both"/>
              <w:rPr>
                <w:rFonts w:hint="default"/>
                <w:color w:val="auto"/>
                <w:lang w:val="en-US" w:eastAsia="zh-CN"/>
              </w:rPr>
            </w:pPr>
            <w:r>
              <w:rPr>
                <w:rFonts w:hint="eastAsia"/>
                <w:color w:val="auto"/>
                <w:lang w:val="en-US" w:eastAsia="zh-CN"/>
              </w:rPr>
              <w:t>一般工业固废</w:t>
            </w:r>
            <w:r>
              <w:rPr>
                <w:rFonts w:hint="default"/>
                <w:color w:val="auto"/>
                <w:lang w:val="en-US" w:eastAsia="zh-CN"/>
              </w:rPr>
              <w:t>在收集时，</w:t>
            </w:r>
            <w:r>
              <w:rPr>
                <w:rFonts w:hint="eastAsia"/>
                <w:color w:val="auto"/>
                <w:lang w:val="en-US" w:eastAsia="zh-CN"/>
              </w:rPr>
              <w:t>按照不同种类分区存放。</w:t>
            </w:r>
          </w:p>
          <w:p w14:paraId="4C964DE0">
            <w:pPr>
              <w:keepNext w:val="0"/>
              <w:keepLines w:val="0"/>
              <w:suppressLineNumbers w:val="0"/>
              <w:bidi w:val="0"/>
              <w:spacing w:before="0" w:beforeAutospacing="0" w:after="0" w:afterAutospacing="0"/>
              <w:ind w:left="0" w:right="0"/>
              <w:jc w:val="both"/>
              <w:rPr>
                <w:rFonts w:hint="eastAsia"/>
                <w:b/>
                <w:bCs/>
                <w:color w:val="auto"/>
                <w:lang w:val="en-US" w:eastAsia="zh-CN"/>
              </w:rPr>
            </w:pPr>
            <w:r>
              <w:rPr>
                <w:rFonts w:hint="eastAsia"/>
                <w:b/>
                <w:bCs/>
                <w:color w:val="auto"/>
                <w:lang w:val="en-US" w:eastAsia="zh-CN"/>
              </w:rPr>
              <w:t>2）一般固废</w:t>
            </w:r>
            <w:r>
              <w:rPr>
                <w:rFonts w:hint="default"/>
                <w:b/>
                <w:bCs/>
                <w:color w:val="auto"/>
                <w:lang w:val="en-US" w:eastAsia="zh-CN"/>
              </w:rPr>
              <w:t>贮存场所环境影响分析</w:t>
            </w:r>
          </w:p>
          <w:p w14:paraId="2F9F7B85">
            <w:pPr>
              <w:keepNext w:val="0"/>
              <w:keepLines w:val="0"/>
              <w:suppressLineNumbers w:val="0"/>
              <w:bidi w:val="0"/>
              <w:spacing w:before="0" w:beforeAutospacing="0" w:after="0" w:afterAutospacing="0"/>
              <w:ind w:left="0" w:right="0"/>
              <w:rPr>
                <w:rFonts w:hint="eastAsia"/>
                <w:color w:val="auto"/>
                <w:lang w:val="en-US" w:eastAsia="zh-CN"/>
              </w:rPr>
            </w:pPr>
            <w:r>
              <w:rPr>
                <w:rFonts w:hint="default"/>
                <w:color w:val="auto"/>
                <w:lang w:val="en-US" w:eastAsia="zh-CN"/>
              </w:rPr>
              <w:t>拟建项目</w:t>
            </w:r>
            <w:r>
              <w:rPr>
                <w:rFonts w:hint="eastAsia"/>
                <w:color w:val="auto"/>
                <w:lang w:val="en-US" w:eastAsia="zh-CN"/>
              </w:rPr>
              <w:t>2#厂房为拆解零部件及固体废物暂存间，2#厂房总建筑面积约1000平方米，内部按照拆解零部件种类及项目产生的固废类别设置9个一般固废暂存分区（包含8种拆解的一般固废零部件及企业拆解过程中产生的其他固废）</w:t>
            </w:r>
            <w:r>
              <w:rPr>
                <w:rFonts w:hint="default"/>
                <w:color w:val="auto"/>
                <w:lang w:val="en-US" w:eastAsia="zh-CN"/>
              </w:rPr>
              <w:t>，</w:t>
            </w:r>
            <w:r>
              <w:rPr>
                <w:rFonts w:hint="eastAsia"/>
                <w:color w:val="auto"/>
                <w:lang w:val="en-US" w:eastAsia="zh-CN"/>
              </w:rPr>
              <w:t>一般固废暂存区总面积约800㎡，根据表2-4分析可知，一般固废暂存区可以满足暂存要求。</w:t>
            </w:r>
          </w:p>
          <w:p w14:paraId="47D7735B">
            <w:pPr>
              <w:pStyle w:val="56"/>
              <w:keepNext w:val="0"/>
              <w:keepLines w:val="0"/>
              <w:suppressLineNumbers w:val="0"/>
              <w:bidi w:val="0"/>
              <w:spacing w:before="0" w:beforeAutospacing="0" w:after="0" w:afterAutospacing="0"/>
              <w:ind w:left="0" w:right="0"/>
              <w:rPr>
                <w:rFonts w:hint="eastAsia"/>
                <w:color w:val="045CE9"/>
                <w:lang w:val="en-US" w:eastAsia="zh-CN"/>
              </w:rPr>
            </w:pPr>
            <w:r>
              <w:rPr>
                <w:rFonts w:hint="eastAsia"/>
                <w:color w:val="auto"/>
                <w:lang w:val="en-US" w:eastAsia="zh-CN"/>
              </w:rPr>
              <w:t>根据《中华人民共和国固体废物污染环境防治法》（2020年9月1日）《一般工业固体废物贮存和填埋污染控制标准》（GB18599-2020）等相关法律法规的要求，对项目一般工业固废贮存提出如下要求：</w:t>
            </w:r>
          </w:p>
          <w:p w14:paraId="08262B69">
            <w:pPr>
              <w:pStyle w:val="56"/>
              <w:keepNext w:val="0"/>
              <w:keepLines w:val="0"/>
              <w:suppressLineNumbers w:val="0"/>
              <w:bidi w:val="0"/>
              <w:spacing w:before="0" w:beforeAutospacing="0" w:after="0" w:afterAutospacing="0"/>
              <w:ind w:left="0" w:right="0"/>
              <w:rPr>
                <w:rFonts w:hint="eastAsia"/>
                <w:color w:val="auto"/>
                <w:lang w:val="en-US" w:eastAsia="zh-CN"/>
              </w:rPr>
            </w:pPr>
            <w:r>
              <w:rPr>
                <w:rFonts w:hint="eastAsia"/>
                <w:color w:val="auto"/>
                <w:lang w:val="en-US" w:eastAsia="zh-CN"/>
              </w:rPr>
              <w:t>A.贮存场所地面硬化，设顶棚、围墙，达到防扬散、防流失、防渗漏等要求，不得擅自倾倒、堆放、丢弃、遗撒固体废物；</w:t>
            </w:r>
          </w:p>
          <w:p w14:paraId="410ED7A2">
            <w:pPr>
              <w:pStyle w:val="56"/>
              <w:keepNext w:val="0"/>
              <w:keepLines w:val="0"/>
              <w:suppressLineNumbers w:val="0"/>
              <w:bidi w:val="0"/>
              <w:spacing w:before="0" w:beforeAutospacing="0" w:after="0" w:afterAutospacing="0"/>
              <w:ind w:left="0" w:right="0"/>
              <w:rPr>
                <w:rFonts w:hint="eastAsia"/>
                <w:color w:val="auto"/>
                <w:lang w:val="en-US" w:eastAsia="zh-CN"/>
              </w:rPr>
            </w:pPr>
            <w:r>
              <w:rPr>
                <w:rFonts w:hint="eastAsia"/>
                <w:color w:val="auto"/>
                <w:lang w:val="en-US" w:eastAsia="zh-CN"/>
              </w:rPr>
              <w:t>B.贮存场所应按公告2023年第5号关于发布国家固体废物污染控制标准《环境保护图形标志-固体废物贮存（处置）场》（GB15562.2.1995）修改单的公告，设置环境保护图形标志，并定期检查和维护；</w:t>
            </w:r>
          </w:p>
          <w:p w14:paraId="7B723C45">
            <w:pPr>
              <w:pStyle w:val="56"/>
              <w:keepNext w:val="0"/>
              <w:keepLines w:val="0"/>
              <w:suppressLineNumbers w:val="0"/>
              <w:bidi w:val="0"/>
              <w:spacing w:before="0" w:beforeAutospacing="0" w:after="0" w:afterAutospacing="0"/>
              <w:ind w:left="0" w:right="0"/>
              <w:rPr>
                <w:rFonts w:hint="eastAsia"/>
                <w:color w:val="auto"/>
                <w:lang w:val="en-US" w:eastAsia="zh-CN"/>
              </w:rPr>
            </w:pPr>
            <w:r>
              <w:rPr>
                <w:rFonts w:hint="eastAsia"/>
                <w:color w:val="auto"/>
                <w:lang w:val="en-US" w:eastAsia="zh-CN"/>
              </w:rPr>
              <w:t>C.贮存场所应制定运行计划；</w:t>
            </w:r>
          </w:p>
          <w:p w14:paraId="499E39CE">
            <w:pPr>
              <w:pStyle w:val="56"/>
              <w:keepNext w:val="0"/>
              <w:keepLines w:val="0"/>
              <w:suppressLineNumbers w:val="0"/>
              <w:bidi w:val="0"/>
              <w:spacing w:before="0" w:beforeAutospacing="0" w:after="0" w:afterAutospacing="0"/>
              <w:ind w:left="0" w:right="0"/>
              <w:rPr>
                <w:rFonts w:hint="eastAsia"/>
                <w:color w:val="auto"/>
                <w:lang w:val="en-US" w:eastAsia="zh-CN"/>
              </w:rPr>
            </w:pPr>
            <w:r>
              <w:rPr>
                <w:rFonts w:hint="eastAsia"/>
                <w:color w:val="auto"/>
                <w:lang w:val="en-US" w:eastAsia="zh-CN"/>
              </w:rPr>
              <w:t>D.落实一般工业固体废物处置方案，签订协议，尽可能及时外运，避免长期堆存；</w:t>
            </w:r>
          </w:p>
          <w:p w14:paraId="6A4FF2CA">
            <w:pPr>
              <w:pStyle w:val="56"/>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E.一般工业固体废物贮存、处置场所，禁止危险废物和生活垃圾混入。</w:t>
            </w:r>
          </w:p>
          <w:p w14:paraId="7226BFEA">
            <w:pPr>
              <w:keepNext w:val="0"/>
              <w:keepLines w:val="0"/>
              <w:suppressLineNumbers w:val="0"/>
              <w:bidi w:val="0"/>
              <w:spacing w:before="0" w:beforeAutospacing="0" w:after="0" w:afterAutospacing="0"/>
              <w:ind w:left="0" w:right="0"/>
              <w:rPr>
                <w:rFonts w:hint="default"/>
                <w:b/>
                <w:bCs/>
                <w:color w:val="auto"/>
                <w:lang w:val="en-US" w:eastAsia="zh-CN"/>
              </w:rPr>
            </w:pPr>
            <w:r>
              <w:rPr>
                <w:rFonts w:hint="eastAsia"/>
                <w:b/>
                <w:bCs/>
                <w:color w:val="auto"/>
                <w:lang w:val="en-US" w:eastAsia="zh-CN"/>
              </w:rPr>
              <w:t>3）污泥的处理</w:t>
            </w:r>
          </w:p>
          <w:p w14:paraId="4B42B293">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rPr>
            </w:pPr>
            <w:r>
              <w:rPr>
                <w:rFonts w:hint="default" w:ascii="Times New Roman" w:hAnsi="Times New Roman" w:eastAsia="宋体" w:cs="Times New Roman"/>
                <w:color w:val="auto"/>
                <w:sz w:val="24"/>
                <w:lang w:val="en-US" w:eastAsia="zh-CN"/>
              </w:rPr>
              <w:t>本</w:t>
            </w:r>
            <w:r>
              <w:rPr>
                <w:rFonts w:hint="eastAsia" w:ascii="Times New Roman" w:hAnsi="Times New Roman" w:eastAsia="宋体" w:cs="Times New Roman"/>
                <w:color w:val="auto"/>
                <w:sz w:val="24"/>
                <w:lang w:val="en-US" w:eastAsia="zh-CN"/>
              </w:rPr>
              <w:t>项目</w:t>
            </w:r>
            <w:r>
              <w:rPr>
                <w:rFonts w:hint="default" w:ascii="Times New Roman" w:hAnsi="Times New Roman" w:eastAsia="宋体" w:cs="Times New Roman"/>
                <w:color w:val="auto"/>
                <w:sz w:val="24"/>
                <w:lang w:val="en-US" w:eastAsia="zh-CN"/>
              </w:rPr>
              <w:t>污泥主要来自</w:t>
            </w:r>
            <w:r>
              <w:rPr>
                <w:rFonts w:hint="eastAsia" w:ascii="Times New Roman" w:hAnsi="Times New Roman" w:eastAsia="宋体" w:cs="Times New Roman"/>
                <w:color w:val="auto"/>
                <w:sz w:val="24"/>
                <w:lang w:val="en-US" w:eastAsia="zh-CN"/>
              </w:rPr>
              <w:t>絮凝沉淀池</w:t>
            </w:r>
            <w:r>
              <w:rPr>
                <w:rFonts w:hint="default" w:ascii="Times New Roman" w:hAnsi="Times New Roman" w:eastAsia="宋体" w:cs="Times New Roman"/>
                <w:color w:val="auto"/>
                <w:sz w:val="24"/>
                <w:lang w:val="en-US" w:eastAsia="zh-CN"/>
              </w:rPr>
              <w:t>。</w:t>
            </w:r>
            <w:r>
              <w:rPr>
                <w:rFonts w:hint="eastAsia" w:ascii="Times New Roman" w:hAnsi="Times New Roman" w:eastAsia="宋体" w:cs="Times New Roman"/>
                <w:color w:val="auto"/>
                <w:sz w:val="24"/>
                <w:lang w:val="en-US" w:eastAsia="zh-CN"/>
              </w:rPr>
              <w:t>项目使用叠螺式污泥压滤机螺旋轴挤压脱水，脱水后污泥含水率</w:t>
            </w:r>
            <w:r>
              <w:rPr>
                <w:rFonts w:hint="eastAsia" w:cs="Times New Roman"/>
                <w:color w:val="auto"/>
                <w:sz w:val="24"/>
                <w:lang w:val="en-US" w:eastAsia="zh-CN"/>
              </w:rPr>
              <w:t>约60%</w:t>
            </w:r>
            <w:r>
              <w:rPr>
                <w:rFonts w:hint="eastAsia" w:ascii="Times New Roman" w:hAnsi="Times New Roman" w:eastAsia="宋体" w:cs="Times New Roman"/>
                <w:color w:val="auto"/>
                <w:sz w:val="24"/>
                <w:lang w:val="en-US" w:eastAsia="zh-CN"/>
              </w:rPr>
              <w:t>。脱水后污泥使用吨袋包装，包装材料防渗、防水，标识清晰。暂存于一般固废暂存</w:t>
            </w:r>
            <w:r>
              <w:rPr>
                <w:rFonts w:hint="eastAsia" w:cs="Times New Roman"/>
                <w:color w:val="auto"/>
                <w:sz w:val="24"/>
                <w:lang w:val="en-US" w:eastAsia="zh-CN"/>
              </w:rPr>
              <w:t>区</w:t>
            </w:r>
            <w:r>
              <w:rPr>
                <w:rFonts w:hint="eastAsia" w:ascii="Times New Roman" w:hAnsi="Times New Roman" w:eastAsia="宋体" w:cs="Times New Roman"/>
                <w:color w:val="auto"/>
                <w:sz w:val="24"/>
                <w:lang w:val="en-US" w:eastAsia="zh-CN"/>
              </w:rPr>
              <w:t>后委托污泥处置单位进行处置。运输时需注意：</w:t>
            </w:r>
            <w:r>
              <w:rPr>
                <w:rFonts w:hint="eastAsia" w:ascii="Times New Roman" w:hAnsi="Times New Roman" w:eastAsia="宋体" w:cs="Times New Roman"/>
                <w:color w:val="auto"/>
                <w:sz w:val="24"/>
              </w:rPr>
              <w:t>使用封闭式运输车辆，减少扬尘和气味扩散</w:t>
            </w:r>
            <w:r>
              <w:rPr>
                <w:rFonts w:hint="eastAsia" w:ascii="Times New Roman" w:hAnsi="Times New Roman" w:eastAsia="宋体" w:cs="Times New Roman"/>
                <w:color w:val="auto"/>
                <w:sz w:val="24"/>
                <w:lang w:eastAsia="zh-CN"/>
              </w:rPr>
              <w:t>；</w:t>
            </w:r>
            <w:r>
              <w:rPr>
                <w:rFonts w:hint="eastAsia" w:ascii="Times New Roman" w:hAnsi="Times New Roman" w:eastAsia="宋体" w:cs="Times New Roman"/>
                <w:color w:val="auto"/>
                <w:sz w:val="24"/>
              </w:rPr>
              <w:t>避免在人口密集区和敏感区域停留过久</w:t>
            </w:r>
            <w:r>
              <w:rPr>
                <w:rFonts w:hint="eastAsia" w:ascii="Times New Roman" w:hAnsi="Times New Roman" w:eastAsia="宋体" w:cs="Times New Roman"/>
                <w:color w:val="auto"/>
                <w:sz w:val="24"/>
                <w:lang w:eastAsia="zh-CN"/>
              </w:rPr>
              <w:t>；</w:t>
            </w:r>
            <w:r>
              <w:rPr>
                <w:rFonts w:hint="eastAsia" w:ascii="Times New Roman" w:hAnsi="Times New Roman" w:eastAsia="宋体" w:cs="Times New Roman"/>
                <w:color w:val="auto"/>
                <w:sz w:val="24"/>
              </w:rPr>
              <w:t>定期检查包装完整性，及时处理破损情况。</w:t>
            </w:r>
          </w:p>
          <w:p w14:paraId="55864B3C">
            <w:pPr>
              <w:keepNext w:val="0"/>
              <w:keepLines w:val="0"/>
              <w:suppressLineNumbers w:val="0"/>
              <w:bidi w:val="0"/>
              <w:spacing w:before="0" w:beforeAutospacing="0" w:after="0" w:afterAutospacing="0"/>
              <w:ind w:left="0" w:right="0"/>
              <w:rPr>
                <w:rFonts w:hint="default"/>
                <w:color w:val="auto"/>
                <w:lang w:val="en-US" w:eastAsia="zh-CN"/>
              </w:rPr>
            </w:pPr>
            <w:r>
              <w:rPr>
                <w:rFonts w:hint="default"/>
                <w:color w:val="auto"/>
                <w:lang w:val="en-US" w:eastAsia="zh-CN"/>
              </w:rPr>
              <w:t>综上所述，拟建项目建成运行后，一般工业固废可得到妥善处理处置或综合利用，不外排。</w:t>
            </w:r>
          </w:p>
          <w:p w14:paraId="51D0ABE8">
            <w:pPr>
              <w:keepNext w:val="0"/>
              <w:keepLines w:val="0"/>
              <w:suppressLineNumbers w:val="0"/>
              <w:bidi w:val="0"/>
              <w:spacing w:before="0" w:beforeAutospacing="0" w:after="0" w:afterAutospacing="0"/>
              <w:ind w:left="0" w:right="0"/>
              <w:rPr>
                <w:rFonts w:hint="default"/>
                <w:b/>
                <w:bCs/>
                <w:color w:val="auto"/>
              </w:rPr>
            </w:pPr>
            <w:r>
              <w:rPr>
                <w:rFonts w:hint="eastAsia"/>
                <w:b/>
                <w:bCs/>
                <w:color w:val="auto"/>
              </w:rPr>
              <w:t>（2）危险废物</w:t>
            </w:r>
          </w:p>
          <w:p w14:paraId="5992C472">
            <w:pPr>
              <w:keepNext w:val="0"/>
              <w:keepLines w:val="0"/>
              <w:suppressLineNumbers w:val="0"/>
              <w:bidi w:val="0"/>
              <w:spacing w:before="0" w:beforeAutospacing="0" w:after="0" w:afterAutospacing="0"/>
              <w:ind w:left="0" w:right="0"/>
              <w:rPr>
                <w:rFonts w:hint="default"/>
                <w:color w:val="auto"/>
              </w:rPr>
            </w:pPr>
            <w:r>
              <w:rPr>
                <w:rFonts w:hint="eastAsia"/>
                <w:color w:val="auto"/>
              </w:rPr>
              <w:t>本项目于</w:t>
            </w:r>
            <w:r>
              <w:rPr>
                <w:rFonts w:hint="eastAsia"/>
                <w:color w:val="auto"/>
                <w:lang w:val="en-US" w:eastAsia="zh-CN"/>
              </w:rPr>
              <w:t>2#厂房南侧建</w:t>
            </w:r>
            <w:r>
              <w:rPr>
                <w:rFonts w:hint="eastAsia"/>
                <w:color w:val="0000FF"/>
                <w:lang w:val="en-US" w:eastAsia="zh-CN"/>
              </w:rPr>
              <w:t>设</w:t>
            </w:r>
            <w:r>
              <w:rPr>
                <w:rFonts w:hint="eastAsia"/>
                <w:color w:val="0000FF"/>
              </w:rPr>
              <w:t>危废暂存间</w:t>
            </w:r>
            <w:r>
              <w:rPr>
                <w:rFonts w:hint="eastAsia"/>
                <w:color w:val="0000FF"/>
                <w:lang w:val="en-US" w:eastAsia="zh-CN"/>
              </w:rPr>
              <w:t>60</w:t>
            </w:r>
            <w:r>
              <w:rPr>
                <w:rFonts w:hint="eastAsia"/>
                <w:color w:val="0000FF"/>
              </w:rPr>
              <w:t>㎡</w:t>
            </w:r>
            <w:r>
              <w:rPr>
                <w:rFonts w:hint="eastAsia"/>
                <w:color w:val="auto"/>
              </w:rPr>
              <w:t>，用于存放危废。</w:t>
            </w:r>
          </w:p>
          <w:p w14:paraId="06BEE661">
            <w:pPr>
              <w:keepNext w:val="0"/>
              <w:keepLines w:val="0"/>
              <w:suppressLineNumbers w:val="0"/>
              <w:spacing w:before="0" w:beforeAutospacing="0" w:after="0" w:afterAutospacing="0"/>
              <w:ind w:left="0" w:right="0" w:firstLine="482"/>
              <w:jc w:val="both"/>
              <w:rPr>
                <w:rFonts w:hint="default"/>
                <w:b/>
                <w:bCs/>
                <w:color w:val="auto"/>
              </w:rPr>
            </w:pPr>
            <w:r>
              <w:rPr>
                <w:rFonts w:hint="eastAsia"/>
                <w:b/>
                <w:bCs/>
                <w:color w:val="auto"/>
              </w:rPr>
              <w:t>1）选址可行性</w:t>
            </w:r>
          </w:p>
          <w:p w14:paraId="378C70C1">
            <w:pPr>
              <w:keepNext w:val="0"/>
              <w:keepLines w:val="0"/>
              <w:suppressLineNumbers w:val="0"/>
              <w:bidi w:val="0"/>
              <w:spacing w:before="0" w:beforeAutospacing="0" w:after="0" w:afterAutospacing="0"/>
              <w:ind w:left="0" w:right="0"/>
              <w:rPr>
                <w:rFonts w:hint="default"/>
                <w:color w:val="auto"/>
              </w:rPr>
            </w:pPr>
            <w:r>
              <w:rPr>
                <w:rFonts w:hint="eastAsia"/>
                <w:color w:val="auto"/>
              </w:rPr>
              <w:t>本项目危废暂存间位于</w:t>
            </w:r>
            <w:r>
              <w:rPr>
                <w:rFonts w:hint="eastAsia"/>
                <w:color w:val="auto"/>
                <w:lang w:val="en-US" w:eastAsia="zh-CN"/>
              </w:rPr>
              <w:t>2#厂房南侧</w:t>
            </w:r>
            <w:r>
              <w:rPr>
                <w:rFonts w:hint="eastAsia"/>
                <w:color w:val="auto"/>
              </w:rPr>
              <w:t>，</w:t>
            </w:r>
            <w:r>
              <w:rPr>
                <w:rFonts w:hint="default"/>
                <w:color w:val="auto"/>
              </w:rPr>
              <w:t>根据《危险废物贮存污染控制标准》（GB18597-20</w:t>
            </w:r>
            <w:r>
              <w:rPr>
                <w:rFonts w:hint="eastAsia"/>
                <w:color w:val="auto"/>
              </w:rPr>
              <w:t>23</w:t>
            </w:r>
            <w:r>
              <w:rPr>
                <w:rFonts w:hint="default"/>
                <w:color w:val="auto"/>
              </w:rPr>
              <w:t>）</w:t>
            </w:r>
            <w:r>
              <w:rPr>
                <w:rFonts w:hint="eastAsia"/>
                <w:color w:val="auto"/>
              </w:rPr>
              <w:t>相关要求</w:t>
            </w:r>
            <w:r>
              <w:rPr>
                <w:rFonts w:hint="default"/>
                <w:color w:val="auto"/>
              </w:rPr>
              <w:t>，本项目危险废物贮存场所选址相符性见下表。</w:t>
            </w:r>
          </w:p>
          <w:p w14:paraId="34630D86">
            <w:pPr>
              <w:pStyle w:val="43"/>
              <w:keepNext w:val="0"/>
              <w:keepLines w:val="0"/>
              <w:suppressLineNumbers w:val="0"/>
              <w:bidi w:val="0"/>
              <w:spacing w:before="0" w:beforeAutospacing="0" w:after="0" w:afterAutospacing="0"/>
              <w:ind w:left="0" w:right="0"/>
              <w:rPr>
                <w:color w:val="auto"/>
              </w:rPr>
            </w:pPr>
            <w:r>
              <w:rPr>
                <w:color w:val="auto"/>
              </w:rPr>
              <w:t>表</w:t>
            </w:r>
            <w:r>
              <w:rPr>
                <w:rFonts w:hint="eastAsia"/>
                <w:color w:val="auto"/>
              </w:rPr>
              <w:t>4-</w:t>
            </w:r>
            <w:r>
              <w:rPr>
                <w:rFonts w:hint="eastAsia"/>
                <w:color w:val="auto"/>
                <w:lang w:val="en-US" w:eastAsia="zh-CN"/>
              </w:rPr>
              <w:t xml:space="preserve">20  </w:t>
            </w:r>
            <w:r>
              <w:rPr>
                <w:color w:val="auto"/>
              </w:rPr>
              <w:t>危废暂存场选址符合性分析</w:t>
            </w:r>
          </w:p>
          <w:tbl>
            <w:tblPr>
              <w:tblStyle w:val="19"/>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073"/>
              <w:gridCol w:w="1817"/>
            </w:tblGrid>
            <w:tr w14:paraId="16C19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848" w:type="pct"/>
                  <w:noWrap w:val="0"/>
                  <w:vAlign w:val="center"/>
                </w:tcPr>
                <w:p w14:paraId="44FA2119">
                  <w:pPr>
                    <w:pStyle w:val="46"/>
                    <w:keepNext w:val="0"/>
                    <w:keepLines w:val="0"/>
                    <w:suppressLineNumbers w:val="0"/>
                    <w:bidi w:val="0"/>
                    <w:spacing w:before="0" w:beforeAutospacing="0" w:after="0" w:afterAutospacing="0"/>
                    <w:rPr>
                      <w:b/>
                      <w:bCs/>
                      <w:color w:val="auto"/>
                    </w:rPr>
                  </w:pPr>
                  <w:r>
                    <w:rPr>
                      <w:b/>
                      <w:bCs/>
                      <w:color w:val="auto"/>
                    </w:rPr>
                    <w:t>GB18597-20</w:t>
                  </w:r>
                  <w:r>
                    <w:rPr>
                      <w:rFonts w:hint="eastAsia"/>
                      <w:b/>
                      <w:bCs/>
                      <w:color w:val="auto"/>
                    </w:rPr>
                    <w:t>23</w:t>
                  </w:r>
                  <w:r>
                    <w:rPr>
                      <w:b/>
                      <w:bCs/>
                      <w:color w:val="auto"/>
                    </w:rPr>
                    <w:t>中要求</w:t>
                  </w:r>
                </w:p>
              </w:tc>
              <w:tc>
                <w:tcPr>
                  <w:tcW w:w="1151" w:type="pct"/>
                  <w:noWrap w:val="0"/>
                  <w:vAlign w:val="center"/>
                </w:tcPr>
                <w:p w14:paraId="3F1F23DA">
                  <w:pPr>
                    <w:pStyle w:val="46"/>
                    <w:keepNext w:val="0"/>
                    <w:keepLines w:val="0"/>
                    <w:suppressLineNumbers w:val="0"/>
                    <w:bidi w:val="0"/>
                    <w:spacing w:before="0" w:beforeAutospacing="0" w:after="0" w:afterAutospacing="0"/>
                    <w:rPr>
                      <w:b/>
                      <w:bCs/>
                      <w:color w:val="auto"/>
                    </w:rPr>
                  </w:pPr>
                  <w:r>
                    <w:rPr>
                      <w:b/>
                      <w:bCs/>
                      <w:color w:val="auto"/>
                    </w:rPr>
                    <w:t>相符性分析</w:t>
                  </w:r>
                </w:p>
              </w:tc>
            </w:tr>
            <w:tr w14:paraId="65369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848" w:type="pct"/>
                  <w:noWrap w:val="0"/>
                  <w:vAlign w:val="center"/>
                </w:tcPr>
                <w:p w14:paraId="4FE22D41">
                  <w:pPr>
                    <w:pStyle w:val="46"/>
                    <w:keepNext w:val="0"/>
                    <w:keepLines w:val="0"/>
                    <w:suppressLineNumbers w:val="0"/>
                    <w:bidi w:val="0"/>
                    <w:spacing w:before="0" w:beforeAutospacing="0" w:after="0" w:afterAutospacing="0"/>
                    <w:rPr>
                      <w:rFonts w:hint="eastAsia"/>
                      <w:color w:val="auto"/>
                    </w:rPr>
                  </w:pPr>
                  <w:r>
                    <w:rPr>
                      <w:rFonts w:hint="eastAsia"/>
                      <w:color w:val="auto"/>
                    </w:rPr>
                    <w:t>1贮存设施选址应满足生态环境保护法律法规、规划和</w:t>
                  </w:r>
                  <w:r>
                    <w:rPr>
                      <w:rFonts w:hint="eastAsia"/>
                      <w:color w:val="auto"/>
                      <w:lang w:eastAsia="zh-CN"/>
                    </w:rPr>
                    <w:t>“</w:t>
                  </w:r>
                  <w:r>
                    <w:rPr>
                      <w:rFonts w:hint="eastAsia"/>
                      <w:color w:val="auto"/>
                    </w:rPr>
                    <w:t>三线一单</w:t>
                  </w:r>
                  <w:r>
                    <w:rPr>
                      <w:rFonts w:hint="eastAsia"/>
                      <w:color w:val="auto"/>
                      <w:lang w:eastAsia="zh-CN"/>
                    </w:rPr>
                    <w:t>”</w:t>
                  </w:r>
                  <w:r>
                    <w:rPr>
                      <w:rFonts w:hint="eastAsia"/>
                      <w:color w:val="auto"/>
                    </w:rPr>
                    <w:t>生态环境分区管控的要求，建设项目应依法进行环境影响评价。</w:t>
                  </w:r>
                </w:p>
                <w:p w14:paraId="6FA01A9A">
                  <w:pPr>
                    <w:pStyle w:val="46"/>
                    <w:keepNext w:val="0"/>
                    <w:keepLines w:val="0"/>
                    <w:suppressLineNumbers w:val="0"/>
                    <w:bidi w:val="0"/>
                    <w:spacing w:before="0" w:beforeAutospacing="0" w:after="0" w:afterAutospacing="0"/>
                    <w:rPr>
                      <w:rFonts w:hint="eastAsia"/>
                      <w:color w:val="auto"/>
                    </w:rPr>
                  </w:pPr>
                  <w:r>
                    <w:rPr>
                      <w:rFonts w:hint="eastAsia"/>
                      <w:color w:val="auto"/>
                    </w:rPr>
                    <w:t>2集中贮存设施不应选在生态保护红线区域、永久基本农田和其他需要特别保护的区域内，不应建在溶洞区或易遭受洪水、滑坡、泥石流、潮汐等严重自然灾害影响的地区。</w:t>
                  </w:r>
                </w:p>
                <w:p w14:paraId="66963E74">
                  <w:pPr>
                    <w:pStyle w:val="46"/>
                    <w:keepNext w:val="0"/>
                    <w:keepLines w:val="0"/>
                    <w:suppressLineNumbers w:val="0"/>
                    <w:bidi w:val="0"/>
                    <w:spacing w:before="0" w:beforeAutospacing="0" w:after="0" w:afterAutospacing="0"/>
                    <w:rPr>
                      <w:color w:val="auto"/>
                    </w:rPr>
                  </w:pPr>
                  <w:r>
                    <w:rPr>
                      <w:rFonts w:hint="eastAsia"/>
                      <w:color w:val="auto"/>
                    </w:rPr>
                    <w:t>3贮存设施不应选在江河、湖泊、运河、渠道、水库及其最高水位线以下的滩地和岸坡，以及法律法规规定禁止贮存危险废物的其他地点。</w:t>
                  </w:r>
                </w:p>
                <w:p w14:paraId="40919C7A">
                  <w:pPr>
                    <w:pStyle w:val="46"/>
                    <w:keepNext w:val="0"/>
                    <w:keepLines w:val="0"/>
                    <w:suppressLineNumbers w:val="0"/>
                    <w:bidi w:val="0"/>
                    <w:spacing w:before="0" w:beforeAutospacing="0" w:after="0" w:afterAutospacing="0"/>
                    <w:rPr>
                      <w:color w:val="auto"/>
                    </w:rPr>
                  </w:pPr>
                  <w:r>
                    <w:rPr>
                      <w:rFonts w:hint="eastAsia"/>
                      <w:color w:val="auto"/>
                    </w:rPr>
                    <w:t>4贮存设施场址的位置以及其与周围环境敏感目标的距离应依据环境影响评价文件确定。</w:t>
                  </w:r>
                </w:p>
              </w:tc>
              <w:tc>
                <w:tcPr>
                  <w:tcW w:w="1151" w:type="pct"/>
                  <w:noWrap w:val="0"/>
                  <w:vAlign w:val="center"/>
                </w:tcPr>
                <w:p w14:paraId="70D1FDA6">
                  <w:pPr>
                    <w:pStyle w:val="46"/>
                    <w:keepNext w:val="0"/>
                    <w:keepLines w:val="0"/>
                    <w:suppressLineNumbers w:val="0"/>
                    <w:bidi w:val="0"/>
                    <w:spacing w:before="0" w:beforeAutospacing="0" w:after="0" w:afterAutospacing="0"/>
                    <w:rPr>
                      <w:color w:val="auto"/>
                    </w:rPr>
                  </w:pPr>
                  <w:r>
                    <w:rPr>
                      <w:color w:val="auto"/>
                    </w:rPr>
                    <w:t>本项目</w:t>
                  </w:r>
                  <w:r>
                    <w:rPr>
                      <w:rFonts w:hint="eastAsia"/>
                      <w:color w:val="auto"/>
                    </w:rPr>
                    <w:t>危废暂存间不属于集中型暂存场所，目前</w:t>
                  </w:r>
                  <w:r>
                    <w:rPr>
                      <w:rFonts w:hint="eastAsia"/>
                      <w:color w:val="auto"/>
                      <w:lang w:val="en-US" w:eastAsia="zh-CN"/>
                    </w:rPr>
                    <w:t>正在</w:t>
                  </w:r>
                  <w:r>
                    <w:rPr>
                      <w:rFonts w:hint="eastAsia"/>
                      <w:color w:val="auto"/>
                    </w:rPr>
                    <w:t>履行环评手续，不在生态红线区域内，</w:t>
                  </w:r>
                  <w:r>
                    <w:rPr>
                      <w:color w:val="auto"/>
                    </w:rPr>
                    <w:t>选址能够达到《危险废物贮存污染控制标准》（GB18597-20</w:t>
                  </w:r>
                  <w:r>
                    <w:rPr>
                      <w:rFonts w:hint="eastAsia"/>
                      <w:color w:val="auto"/>
                    </w:rPr>
                    <w:t>23</w:t>
                  </w:r>
                  <w:r>
                    <w:rPr>
                      <w:color w:val="auto"/>
                    </w:rPr>
                    <w:t>）相关要求。</w:t>
                  </w:r>
                </w:p>
              </w:tc>
            </w:tr>
          </w:tbl>
          <w:p w14:paraId="40104299">
            <w:pPr>
              <w:keepNext w:val="0"/>
              <w:keepLines w:val="0"/>
              <w:suppressLineNumbers w:val="0"/>
              <w:spacing w:before="0" w:beforeAutospacing="0" w:after="0" w:afterAutospacing="0"/>
              <w:ind w:left="0" w:right="0" w:firstLine="482"/>
              <w:jc w:val="both"/>
              <w:rPr>
                <w:rFonts w:hint="default"/>
                <w:b/>
                <w:bCs/>
                <w:color w:val="auto"/>
              </w:rPr>
            </w:pPr>
            <w:r>
              <w:rPr>
                <w:rFonts w:hint="eastAsia"/>
                <w:b/>
                <w:bCs/>
                <w:color w:val="auto"/>
              </w:rPr>
              <w:t>2）</w:t>
            </w:r>
            <w:r>
              <w:rPr>
                <w:rFonts w:hint="default"/>
                <w:b/>
                <w:bCs/>
                <w:color w:val="auto"/>
              </w:rPr>
              <w:t>存储能力可行性分析</w:t>
            </w:r>
          </w:p>
          <w:p w14:paraId="0E6A9C0C">
            <w:pPr>
              <w:keepNext w:val="0"/>
              <w:keepLines w:val="0"/>
              <w:suppressLineNumbers w:val="0"/>
              <w:bidi w:val="0"/>
              <w:spacing w:before="0" w:beforeAutospacing="0" w:after="0" w:afterAutospacing="0"/>
              <w:ind w:left="0" w:right="0"/>
              <w:rPr>
                <w:rFonts w:hint="eastAsia"/>
                <w:color w:val="auto"/>
                <w:lang w:val="en-US" w:eastAsia="zh-CN"/>
              </w:rPr>
            </w:pPr>
            <w:r>
              <w:rPr>
                <w:rFonts w:hint="eastAsia"/>
                <w:color w:val="auto"/>
                <w:lang w:val="en-US" w:eastAsia="zh-CN"/>
              </w:rPr>
              <w:t>本项目危废间暂存明细见下表。</w:t>
            </w:r>
          </w:p>
          <w:p w14:paraId="3B80AAEC">
            <w:pPr>
              <w:pStyle w:val="43"/>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表4-21  项目危废间暂存明细表</w:t>
            </w:r>
          </w:p>
          <w:tbl>
            <w:tblPr>
              <w:tblStyle w:val="19"/>
              <w:tblW w:w="795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439"/>
              <w:gridCol w:w="1447"/>
              <w:gridCol w:w="650"/>
              <w:gridCol w:w="814"/>
              <w:gridCol w:w="918"/>
              <w:gridCol w:w="707"/>
              <w:gridCol w:w="1030"/>
              <w:gridCol w:w="750"/>
              <w:gridCol w:w="507"/>
              <w:gridCol w:w="694"/>
            </w:tblGrid>
            <w:tr w14:paraId="21555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340" w:hRule="atLeast"/>
                <w:jc w:val="center"/>
              </w:trPr>
              <w:tc>
                <w:tcPr>
                  <w:tcW w:w="439" w:type="dxa"/>
                  <w:tcBorders>
                    <w:top w:val="single" w:color="000000" w:sz="8" w:space="0"/>
                    <w:left w:val="single" w:color="000000" w:sz="8" w:space="0"/>
                    <w:bottom w:val="single" w:color="000000" w:sz="8" w:space="0"/>
                    <w:right w:val="single" w:color="000000" w:sz="8" w:space="0"/>
                  </w:tcBorders>
                  <w:shd w:val="clear" w:color="auto" w:fill="auto"/>
                  <w:vAlign w:val="center"/>
                </w:tcPr>
                <w:p w14:paraId="5DE90455">
                  <w:pPr>
                    <w:pStyle w:val="46"/>
                    <w:keepNext w:val="0"/>
                    <w:keepLines w:val="0"/>
                    <w:suppressLineNumbers w:val="0"/>
                    <w:bidi w:val="0"/>
                    <w:spacing w:before="0" w:beforeAutospacing="0" w:after="0" w:afterAutospacing="0"/>
                    <w:rPr>
                      <w:rFonts w:hint="eastAsia"/>
                      <w:b/>
                      <w:bCs/>
                      <w:color w:val="auto"/>
                    </w:rPr>
                  </w:pPr>
                  <w:r>
                    <w:rPr>
                      <w:rFonts w:hint="eastAsia"/>
                      <w:b/>
                      <w:bCs/>
                      <w:color w:val="auto"/>
                      <w:lang w:val="en-US" w:eastAsia="zh-CN"/>
                    </w:rPr>
                    <w:t>序号</w:t>
                  </w:r>
                </w:p>
              </w:tc>
              <w:tc>
                <w:tcPr>
                  <w:tcW w:w="1447" w:type="dxa"/>
                  <w:tcBorders>
                    <w:top w:val="single" w:color="000000" w:sz="8" w:space="0"/>
                    <w:left w:val="single" w:color="000000" w:sz="8" w:space="0"/>
                    <w:bottom w:val="single" w:color="000000" w:sz="8" w:space="0"/>
                    <w:right w:val="single" w:color="000000" w:sz="8" w:space="0"/>
                  </w:tcBorders>
                  <w:shd w:val="clear" w:color="auto" w:fill="auto"/>
                  <w:vAlign w:val="center"/>
                </w:tcPr>
                <w:p w14:paraId="5C0E944C">
                  <w:pPr>
                    <w:pStyle w:val="46"/>
                    <w:keepNext w:val="0"/>
                    <w:keepLines w:val="0"/>
                    <w:suppressLineNumbers w:val="0"/>
                    <w:bidi w:val="0"/>
                    <w:spacing w:before="0" w:beforeAutospacing="0" w:after="0" w:afterAutospacing="0"/>
                    <w:rPr>
                      <w:rFonts w:hint="eastAsia"/>
                      <w:b/>
                      <w:bCs/>
                      <w:color w:val="auto"/>
                    </w:rPr>
                  </w:pPr>
                  <w:r>
                    <w:rPr>
                      <w:rFonts w:hint="eastAsia"/>
                      <w:b/>
                      <w:bCs/>
                      <w:color w:val="auto"/>
                      <w:lang w:val="en-US" w:eastAsia="zh-CN"/>
                    </w:rPr>
                    <w:t>危险废物名称</w:t>
                  </w:r>
                </w:p>
              </w:tc>
              <w:tc>
                <w:tcPr>
                  <w:tcW w:w="650" w:type="dxa"/>
                  <w:tcBorders>
                    <w:top w:val="single" w:color="000000" w:sz="8" w:space="0"/>
                    <w:left w:val="single" w:color="000000" w:sz="8" w:space="0"/>
                    <w:bottom w:val="single" w:color="000000" w:sz="8" w:space="0"/>
                    <w:right w:val="single" w:color="000000" w:sz="8" w:space="0"/>
                  </w:tcBorders>
                  <w:shd w:val="clear" w:color="auto" w:fill="auto"/>
                  <w:vAlign w:val="center"/>
                </w:tcPr>
                <w:p w14:paraId="26436002">
                  <w:pPr>
                    <w:pStyle w:val="46"/>
                    <w:keepNext w:val="0"/>
                    <w:keepLines w:val="0"/>
                    <w:suppressLineNumbers w:val="0"/>
                    <w:bidi w:val="0"/>
                    <w:spacing w:before="0" w:beforeAutospacing="0" w:after="0" w:afterAutospacing="0"/>
                    <w:rPr>
                      <w:rFonts w:hint="eastAsia"/>
                      <w:b/>
                      <w:bCs/>
                      <w:color w:val="auto"/>
                    </w:rPr>
                  </w:pPr>
                  <w:r>
                    <w:rPr>
                      <w:rFonts w:hint="eastAsia"/>
                      <w:b/>
                      <w:bCs/>
                      <w:color w:val="auto"/>
                      <w:lang w:val="en-US" w:eastAsia="zh-CN"/>
                    </w:rPr>
                    <w:t>产生量t</w:t>
                  </w:r>
                </w:p>
              </w:tc>
              <w:tc>
                <w:tcPr>
                  <w:tcW w:w="814" w:type="dxa"/>
                  <w:tcBorders>
                    <w:top w:val="single" w:color="000000" w:sz="8" w:space="0"/>
                    <w:left w:val="single" w:color="000000" w:sz="8" w:space="0"/>
                    <w:bottom w:val="single" w:color="000000" w:sz="8" w:space="0"/>
                    <w:right w:val="single" w:color="000000" w:sz="8" w:space="0"/>
                  </w:tcBorders>
                  <w:shd w:val="clear" w:color="auto" w:fill="auto"/>
                  <w:vAlign w:val="center"/>
                </w:tcPr>
                <w:p w14:paraId="5F3D91A0">
                  <w:pPr>
                    <w:pStyle w:val="46"/>
                    <w:keepNext w:val="0"/>
                    <w:keepLines w:val="0"/>
                    <w:suppressLineNumbers w:val="0"/>
                    <w:bidi w:val="0"/>
                    <w:spacing w:before="0" w:beforeAutospacing="0" w:after="0" w:afterAutospacing="0"/>
                    <w:rPr>
                      <w:rFonts w:hint="eastAsia"/>
                      <w:b/>
                      <w:bCs/>
                      <w:color w:val="auto"/>
                    </w:rPr>
                  </w:pPr>
                  <w:r>
                    <w:rPr>
                      <w:rFonts w:hint="eastAsia"/>
                      <w:b/>
                      <w:bCs/>
                      <w:color w:val="auto"/>
                      <w:lang w:val="en-US" w:eastAsia="zh-CN"/>
                    </w:rPr>
                    <w:t>暂存周期</w:t>
                  </w:r>
                </w:p>
              </w:tc>
              <w:tc>
                <w:tcPr>
                  <w:tcW w:w="918" w:type="dxa"/>
                  <w:tcBorders>
                    <w:top w:val="single" w:color="000000" w:sz="8" w:space="0"/>
                    <w:left w:val="single" w:color="000000" w:sz="8" w:space="0"/>
                    <w:bottom w:val="single" w:color="000000" w:sz="8" w:space="0"/>
                    <w:right w:val="single" w:color="000000" w:sz="8" w:space="0"/>
                  </w:tcBorders>
                  <w:shd w:val="clear" w:color="auto" w:fill="auto"/>
                  <w:vAlign w:val="center"/>
                </w:tcPr>
                <w:p w14:paraId="0C2EA050">
                  <w:pPr>
                    <w:pStyle w:val="46"/>
                    <w:keepNext w:val="0"/>
                    <w:keepLines w:val="0"/>
                    <w:suppressLineNumbers w:val="0"/>
                    <w:bidi w:val="0"/>
                    <w:spacing w:before="0" w:beforeAutospacing="0" w:after="0" w:afterAutospacing="0"/>
                    <w:rPr>
                      <w:rFonts w:hint="eastAsia"/>
                      <w:b/>
                      <w:bCs/>
                      <w:color w:val="auto"/>
                    </w:rPr>
                  </w:pPr>
                  <w:r>
                    <w:rPr>
                      <w:rFonts w:hint="eastAsia"/>
                      <w:b/>
                      <w:bCs/>
                      <w:color w:val="auto"/>
                      <w:lang w:val="en-US" w:eastAsia="zh-CN"/>
                    </w:rPr>
                    <w:t>最大暂存量t</w:t>
                  </w:r>
                </w:p>
              </w:tc>
              <w:tc>
                <w:tcPr>
                  <w:tcW w:w="707" w:type="dxa"/>
                  <w:tcBorders>
                    <w:top w:val="single" w:color="000000" w:sz="8" w:space="0"/>
                    <w:left w:val="single" w:color="000000" w:sz="8" w:space="0"/>
                    <w:bottom w:val="single" w:color="000000" w:sz="8" w:space="0"/>
                    <w:right w:val="single" w:color="000000" w:sz="8" w:space="0"/>
                  </w:tcBorders>
                  <w:shd w:val="clear" w:color="auto" w:fill="auto"/>
                  <w:vAlign w:val="center"/>
                </w:tcPr>
                <w:p w14:paraId="1AA0DDB1">
                  <w:pPr>
                    <w:pStyle w:val="46"/>
                    <w:keepNext w:val="0"/>
                    <w:keepLines w:val="0"/>
                    <w:suppressLineNumbers w:val="0"/>
                    <w:bidi w:val="0"/>
                    <w:spacing w:before="0" w:beforeAutospacing="0" w:after="0" w:afterAutospacing="0"/>
                    <w:rPr>
                      <w:rFonts w:hint="eastAsia"/>
                      <w:b/>
                      <w:bCs/>
                      <w:color w:val="auto"/>
                    </w:rPr>
                  </w:pPr>
                  <w:r>
                    <w:rPr>
                      <w:rFonts w:hint="eastAsia"/>
                      <w:b/>
                      <w:bCs/>
                      <w:color w:val="auto"/>
                      <w:lang w:val="en-US" w:eastAsia="zh-CN"/>
                    </w:rPr>
                    <w:t>暂存容器</w:t>
                  </w:r>
                </w:p>
              </w:tc>
              <w:tc>
                <w:tcPr>
                  <w:tcW w:w="1030" w:type="dxa"/>
                  <w:tcBorders>
                    <w:top w:val="single" w:color="000000" w:sz="8" w:space="0"/>
                    <w:left w:val="single" w:color="000000" w:sz="8" w:space="0"/>
                    <w:bottom w:val="single" w:color="000000" w:sz="8" w:space="0"/>
                    <w:right w:val="single" w:color="000000" w:sz="8" w:space="0"/>
                  </w:tcBorders>
                  <w:shd w:val="clear" w:color="auto" w:fill="auto"/>
                  <w:vAlign w:val="center"/>
                </w:tcPr>
                <w:p w14:paraId="4444D72D">
                  <w:pPr>
                    <w:pStyle w:val="46"/>
                    <w:keepNext w:val="0"/>
                    <w:keepLines w:val="0"/>
                    <w:suppressLineNumbers w:val="0"/>
                    <w:bidi w:val="0"/>
                    <w:spacing w:before="0" w:beforeAutospacing="0" w:after="0" w:afterAutospacing="0"/>
                    <w:rPr>
                      <w:rFonts w:hint="eastAsia"/>
                      <w:b/>
                      <w:bCs/>
                      <w:color w:val="auto"/>
                    </w:rPr>
                  </w:pPr>
                  <w:r>
                    <w:rPr>
                      <w:rFonts w:hint="eastAsia"/>
                      <w:b/>
                      <w:bCs/>
                      <w:color w:val="auto"/>
                      <w:lang w:val="en-US" w:eastAsia="zh-CN"/>
                    </w:rPr>
                    <w:t>容器规格m</w:t>
                  </w:r>
                </w:p>
              </w:tc>
              <w:tc>
                <w:tcPr>
                  <w:tcW w:w="750" w:type="dxa"/>
                  <w:tcBorders>
                    <w:top w:val="single" w:color="000000" w:sz="8" w:space="0"/>
                    <w:left w:val="single" w:color="000000" w:sz="8" w:space="0"/>
                    <w:bottom w:val="single" w:color="000000" w:sz="8" w:space="0"/>
                    <w:right w:val="single" w:color="000000" w:sz="8" w:space="0"/>
                  </w:tcBorders>
                  <w:shd w:val="clear" w:color="auto" w:fill="auto"/>
                  <w:vAlign w:val="center"/>
                </w:tcPr>
                <w:p w14:paraId="77BE9227">
                  <w:pPr>
                    <w:pStyle w:val="46"/>
                    <w:keepNext w:val="0"/>
                    <w:keepLines w:val="0"/>
                    <w:suppressLineNumbers w:val="0"/>
                    <w:bidi w:val="0"/>
                    <w:spacing w:before="0" w:beforeAutospacing="0" w:after="0" w:afterAutospacing="0"/>
                    <w:rPr>
                      <w:rFonts w:hint="default"/>
                      <w:b/>
                      <w:bCs/>
                      <w:color w:val="auto"/>
                      <w:lang w:val="en-US"/>
                    </w:rPr>
                  </w:pPr>
                  <w:r>
                    <w:rPr>
                      <w:rFonts w:hint="eastAsia"/>
                      <w:b/>
                      <w:bCs/>
                      <w:color w:val="auto"/>
                      <w:lang w:val="en-US" w:eastAsia="zh-CN"/>
                    </w:rPr>
                    <w:t>单个容器占地面积㎡</w:t>
                  </w:r>
                </w:p>
              </w:tc>
              <w:tc>
                <w:tcPr>
                  <w:tcW w:w="507" w:type="dxa"/>
                  <w:tcBorders>
                    <w:top w:val="single" w:color="000000" w:sz="8" w:space="0"/>
                    <w:left w:val="single" w:color="000000" w:sz="8" w:space="0"/>
                    <w:bottom w:val="single" w:color="000000" w:sz="8" w:space="0"/>
                    <w:right w:val="single" w:color="000000" w:sz="8" w:space="0"/>
                  </w:tcBorders>
                  <w:shd w:val="clear" w:color="auto" w:fill="auto"/>
                  <w:vAlign w:val="center"/>
                </w:tcPr>
                <w:p w14:paraId="46A15D8F">
                  <w:pPr>
                    <w:pStyle w:val="46"/>
                    <w:keepNext w:val="0"/>
                    <w:keepLines w:val="0"/>
                    <w:suppressLineNumbers w:val="0"/>
                    <w:bidi w:val="0"/>
                    <w:spacing w:before="0" w:beforeAutospacing="0" w:after="0" w:afterAutospacing="0"/>
                    <w:rPr>
                      <w:rFonts w:hint="default" w:eastAsia="宋体"/>
                      <w:b/>
                      <w:bCs/>
                      <w:color w:val="auto"/>
                      <w:lang w:val="en-US" w:eastAsia="zh-CN"/>
                    </w:rPr>
                  </w:pPr>
                  <w:r>
                    <w:rPr>
                      <w:rFonts w:hint="eastAsia"/>
                      <w:b/>
                      <w:bCs/>
                      <w:color w:val="auto"/>
                      <w:lang w:val="en-US" w:eastAsia="zh-CN"/>
                    </w:rPr>
                    <w:t>容器个数</w:t>
                  </w:r>
                </w:p>
              </w:tc>
              <w:tc>
                <w:tcPr>
                  <w:tcW w:w="694" w:type="dxa"/>
                  <w:tcBorders>
                    <w:top w:val="single" w:color="000000" w:sz="8" w:space="0"/>
                    <w:left w:val="single" w:color="000000" w:sz="8" w:space="0"/>
                    <w:bottom w:val="single" w:color="000000" w:sz="8" w:space="0"/>
                    <w:right w:val="single" w:color="000000" w:sz="8" w:space="0"/>
                  </w:tcBorders>
                  <w:shd w:val="clear" w:color="auto" w:fill="auto"/>
                  <w:vAlign w:val="center"/>
                </w:tcPr>
                <w:p w14:paraId="3BA01773">
                  <w:pPr>
                    <w:pStyle w:val="46"/>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b/>
                      <w:bCs/>
                      <w:color w:val="auto"/>
                      <w:kern w:val="2"/>
                      <w:sz w:val="21"/>
                      <w:szCs w:val="21"/>
                      <w:lang w:val="en-US" w:eastAsia="zh-CN" w:bidi="ar-SA"/>
                    </w:rPr>
                  </w:pPr>
                  <w:r>
                    <w:rPr>
                      <w:rFonts w:hint="eastAsia"/>
                      <w:b/>
                      <w:bCs/>
                      <w:color w:val="auto"/>
                      <w:lang w:val="en-US" w:eastAsia="zh-CN"/>
                    </w:rPr>
                    <w:t>总占地面积㎡</w:t>
                  </w:r>
                </w:p>
              </w:tc>
            </w:tr>
            <w:tr w14:paraId="6C0027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40" w:hRule="atLeast"/>
                <w:jc w:val="center"/>
              </w:trPr>
              <w:tc>
                <w:tcPr>
                  <w:tcW w:w="439" w:type="dxa"/>
                  <w:tcBorders>
                    <w:top w:val="nil"/>
                    <w:left w:val="single" w:color="000000" w:sz="8" w:space="0"/>
                    <w:bottom w:val="single" w:color="000000" w:sz="8" w:space="0"/>
                    <w:right w:val="single" w:color="000000" w:sz="8" w:space="0"/>
                  </w:tcBorders>
                  <w:shd w:val="clear" w:color="auto" w:fill="auto"/>
                  <w:vAlign w:val="center"/>
                </w:tcPr>
                <w:p w14:paraId="5453131D">
                  <w:pPr>
                    <w:pStyle w:val="46"/>
                    <w:keepNext w:val="0"/>
                    <w:keepLines w:val="0"/>
                    <w:suppressLineNumbers w:val="0"/>
                    <w:bidi w:val="0"/>
                    <w:spacing w:before="0" w:beforeAutospacing="0" w:after="0" w:afterAutospacing="0"/>
                    <w:rPr>
                      <w:rFonts w:hint="default"/>
                      <w:color w:val="auto"/>
                    </w:rPr>
                  </w:pPr>
                  <w:r>
                    <w:rPr>
                      <w:rFonts w:hint="default"/>
                      <w:color w:val="auto"/>
                      <w:lang w:val="en-US" w:eastAsia="zh-CN"/>
                    </w:rPr>
                    <w:t>1</w:t>
                  </w:r>
                </w:p>
              </w:tc>
              <w:tc>
                <w:tcPr>
                  <w:tcW w:w="1447" w:type="dxa"/>
                  <w:tcBorders>
                    <w:top w:val="nil"/>
                    <w:left w:val="single" w:color="000000" w:sz="8" w:space="0"/>
                    <w:bottom w:val="single" w:color="000000" w:sz="8" w:space="0"/>
                    <w:right w:val="single" w:color="000000" w:sz="8" w:space="0"/>
                  </w:tcBorders>
                  <w:shd w:val="clear" w:color="auto" w:fill="auto"/>
                  <w:vAlign w:val="center"/>
                </w:tcPr>
                <w:p w14:paraId="7C7075E0">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废铅蓄电池</w:t>
                  </w:r>
                </w:p>
              </w:tc>
              <w:tc>
                <w:tcPr>
                  <w:tcW w:w="650" w:type="dxa"/>
                  <w:tcBorders>
                    <w:top w:val="nil"/>
                    <w:left w:val="single" w:color="000000" w:sz="8" w:space="0"/>
                    <w:bottom w:val="single" w:color="000000" w:sz="8" w:space="0"/>
                    <w:right w:val="single" w:color="000000" w:sz="8" w:space="0"/>
                  </w:tcBorders>
                  <w:shd w:val="clear" w:color="auto" w:fill="auto"/>
                  <w:vAlign w:val="center"/>
                </w:tcPr>
                <w:p w14:paraId="117E03DA">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214.72</w:t>
                  </w:r>
                </w:p>
              </w:tc>
              <w:tc>
                <w:tcPr>
                  <w:tcW w:w="814" w:type="dxa"/>
                  <w:tcBorders>
                    <w:top w:val="nil"/>
                    <w:left w:val="single" w:color="000000" w:sz="8" w:space="0"/>
                    <w:bottom w:val="single" w:color="000000" w:sz="8" w:space="0"/>
                    <w:right w:val="single" w:color="000000" w:sz="8" w:space="0"/>
                  </w:tcBorders>
                  <w:shd w:val="clear" w:color="auto" w:fill="auto"/>
                  <w:vAlign w:val="center"/>
                </w:tcPr>
                <w:p w14:paraId="646FCB49">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0000FF"/>
                      <w:kern w:val="2"/>
                      <w:sz w:val="21"/>
                      <w:szCs w:val="21"/>
                      <w:lang w:val="en-US" w:eastAsia="zh-CN" w:bidi="ar-SA"/>
                    </w:rPr>
                  </w:pPr>
                  <w:r>
                    <w:rPr>
                      <w:rFonts w:hint="eastAsia"/>
                      <w:color w:val="0000FF"/>
                      <w:lang w:val="en-US" w:eastAsia="zh-CN"/>
                    </w:rPr>
                    <w:t>4d</w:t>
                  </w:r>
                </w:p>
              </w:tc>
              <w:tc>
                <w:tcPr>
                  <w:tcW w:w="918" w:type="dxa"/>
                  <w:tcBorders>
                    <w:top w:val="nil"/>
                    <w:left w:val="single" w:color="000000" w:sz="8" w:space="0"/>
                    <w:bottom w:val="single" w:color="000000" w:sz="8" w:space="0"/>
                    <w:right w:val="single" w:color="000000" w:sz="8" w:space="0"/>
                  </w:tcBorders>
                  <w:shd w:val="clear" w:color="auto" w:fill="auto"/>
                  <w:vAlign w:val="center"/>
                </w:tcPr>
                <w:p w14:paraId="6E1AEFE4">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0000FF"/>
                      <w:kern w:val="2"/>
                      <w:sz w:val="21"/>
                      <w:szCs w:val="21"/>
                      <w:lang w:val="en-US" w:eastAsia="zh-CN" w:bidi="ar-SA"/>
                    </w:rPr>
                  </w:pPr>
                  <w:r>
                    <w:rPr>
                      <w:rFonts w:hint="eastAsia"/>
                      <w:color w:val="0000FF"/>
                      <w:lang w:val="en-US" w:eastAsia="zh-CN"/>
                    </w:rPr>
                    <w:t>2.454</w:t>
                  </w:r>
                </w:p>
              </w:tc>
              <w:tc>
                <w:tcPr>
                  <w:tcW w:w="707" w:type="dxa"/>
                  <w:tcBorders>
                    <w:top w:val="nil"/>
                    <w:left w:val="single" w:color="000000" w:sz="8" w:space="0"/>
                    <w:bottom w:val="single" w:color="000000" w:sz="8" w:space="0"/>
                    <w:right w:val="single" w:color="000000" w:sz="8" w:space="0"/>
                  </w:tcBorders>
                  <w:shd w:val="clear" w:color="auto" w:fill="auto"/>
                  <w:vAlign w:val="center"/>
                </w:tcPr>
                <w:p w14:paraId="0D8495A9">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防渗托盘</w:t>
                  </w:r>
                </w:p>
              </w:tc>
              <w:tc>
                <w:tcPr>
                  <w:tcW w:w="1030" w:type="dxa"/>
                  <w:tcBorders>
                    <w:top w:val="nil"/>
                    <w:left w:val="single" w:color="000000" w:sz="8" w:space="0"/>
                    <w:bottom w:val="single" w:color="000000" w:sz="8" w:space="0"/>
                    <w:right w:val="single" w:color="000000" w:sz="8" w:space="0"/>
                  </w:tcBorders>
                  <w:shd w:val="clear" w:color="auto" w:fill="auto"/>
                  <w:vAlign w:val="center"/>
                </w:tcPr>
                <w:p w14:paraId="6A644F1C">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w:t>
                  </w:r>
                </w:p>
              </w:tc>
              <w:tc>
                <w:tcPr>
                  <w:tcW w:w="750" w:type="dxa"/>
                  <w:tcBorders>
                    <w:top w:val="nil"/>
                    <w:left w:val="single" w:color="000000" w:sz="8" w:space="0"/>
                    <w:bottom w:val="single" w:color="000000" w:sz="8" w:space="0"/>
                    <w:right w:val="single" w:color="000000" w:sz="8" w:space="0"/>
                  </w:tcBorders>
                  <w:shd w:val="clear" w:color="auto" w:fill="auto"/>
                  <w:vAlign w:val="center"/>
                </w:tcPr>
                <w:p w14:paraId="1ABFBC83">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w:t>
                  </w:r>
                </w:p>
              </w:tc>
              <w:tc>
                <w:tcPr>
                  <w:tcW w:w="507" w:type="dxa"/>
                  <w:tcBorders>
                    <w:top w:val="nil"/>
                    <w:left w:val="single" w:color="000000" w:sz="8" w:space="0"/>
                    <w:bottom w:val="single" w:color="000000" w:sz="8" w:space="0"/>
                    <w:right w:val="single" w:color="000000" w:sz="8" w:space="0"/>
                  </w:tcBorders>
                  <w:shd w:val="clear" w:color="auto" w:fill="auto"/>
                  <w:vAlign w:val="center"/>
                </w:tcPr>
                <w:p w14:paraId="4C743B57">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w:t>
                  </w:r>
                </w:p>
              </w:tc>
              <w:tc>
                <w:tcPr>
                  <w:tcW w:w="694" w:type="dxa"/>
                  <w:tcBorders>
                    <w:top w:val="nil"/>
                    <w:left w:val="single" w:color="000000" w:sz="8" w:space="0"/>
                    <w:bottom w:val="single" w:color="000000" w:sz="8" w:space="0"/>
                    <w:right w:val="single" w:color="000000" w:sz="8" w:space="0"/>
                  </w:tcBorders>
                  <w:shd w:val="clear" w:color="auto" w:fill="auto"/>
                  <w:vAlign w:val="center"/>
                </w:tcPr>
                <w:p w14:paraId="547D97C0">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0000FF"/>
                      <w:kern w:val="2"/>
                      <w:sz w:val="21"/>
                      <w:szCs w:val="21"/>
                      <w:lang w:val="en-US" w:eastAsia="zh-CN" w:bidi="ar-SA"/>
                    </w:rPr>
                  </w:pPr>
                  <w:r>
                    <w:rPr>
                      <w:rFonts w:hint="eastAsia"/>
                      <w:color w:val="0000FF"/>
                      <w:lang w:val="en-US" w:eastAsia="zh-CN"/>
                    </w:rPr>
                    <w:t>10</w:t>
                  </w:r>
                </w:p>
              </w:tc>
            </w:tr>
            <w:tr w14:paraId="3EB043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40" w:hRule="atLeast"/>
                <w:jc w:val="center"/>
              </w:trPr>
              <w:tc>
                <w:tcPr>
                  <w:tcW w:w="439" w:type="dxa"/>
                  <w:tcBorders>
                    <w:top w:val="nil"/>
                    <w:left w:val="single" w:color="000000" w:sz="8" w:space="0"/>
                    <w:bottom w:val="single" w:color="000000" w:sz="8" w:space="0"/>
                    <w:right w:val="single" w:color="000000" w:sz="8" w:space="0"/>
                  </w:tcBorders>
                  <w:shd w:val="clear" w:color="auto" w:fill="auto"/>
                  <w:vAlign w:val="center"/>
                </w:tcPr>
                <w:p w14:paraId="58DEC345">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2</w:t>
                  </w:r>
                </w:p>
              </w:tc>
              <w:tc>
                <w:tcPr>
                  <w:tcW w:w="1447" w:type="dxa"/>
                  <w:tcBorders>
                    <w:top w:val="nil"/>
                    <w:left w:val="single" w:color="000000" w:sz="8" w:space="0"/>
                    <w:bottom w:val="single" w:color="000000" w:sz="8" w:space="0"/>
                    <w:right w:val="single" w:color="000000" w:sz="8" w:space="0"/>
                  </w:tcBorders>
                  <w:shd w:val="clear" w:color="auto" w:fill="auto"/>
                  <w:vAlign w:val="center"/>
                </w:tcPr>
                <w:p w14:paraId="26C6718F">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废电路板、电子元器件</w:t>
                  </w:r>
                </w:p>
              </w:tc>
              <w:tc>
                <w:tcPr>
                  <w:tcW w:w="650" w:type="dxa"/>
                  <w:tcBorders>
                    <w:top w:val="nil"/>
                    <w:left w:val="single" w:color="000000" w:sz="8" w:space="0"/>
                    <w:bottom w:val="single" w:color="000000" w:sz="8" w:space="0"/>
                    <w:right w:val="single" w:color="000000" w:sz="8" w:space="0"/>
                  </w:tcBorders>
                  <w:shd w:val="clear" w:color="auto" w:fill="auto"/>
                  <w:vAlign w:val="center"/>
                </w:tcPr>
                <w:p w14:paraId="216BA909">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203.5</w:t>
                  </w:r>
                </w:p>
              </w:tc>
              <w:tc>
                <w:tcPr>
                  <w:tcW w:w="814" w:type="dxa"/>
                  <w:tcBorders>
                    <w:top w:val="nil"/>
                    <w:left w:val="single" w:color="000000" w:sz="8" w:space="0"/>
                    <w:bottom w:val="single" w:color="000000" w:sz="8" w:space="0"/>
                    <w:right w:val="single" w:color="000000" w:sz="8" w:space="0"/>
                  </w:tcBorders>
                  <w:shd w:val="clear" w:color="auto" w:fill="auto"/>
                  <w:vAlign w:val="center"/>
                </w:tcPr>
                <w:p w14:paraId="6E46CB2F">
                  <w:pPr>
                    <w:pStyle w:val="46"/>
                    <w:keepNext w:val="0"/>
                    <w:keepLines w:val="0"/>
                    <w:suppressLineNumbers w:val="0"/>
                    <w:bidi w:val="0"/>
                    <w:spacing w:before="0" w:beforeAutospacing="0" w:after="0" w:afterAutospacing="0"/>
                    <w:ind w:left="24" w:leftChars="10" w:right="24" w:rightChars="10" w:firstLine="0" w:firstLineChars="0"/>
                    <w:rPr>
                      <w:rFonts w:hint="default"/>
                      <w:color w:val="0000FF"/>
                      <w:lang w:val="en-US" w:eastAsia="zh-CN"/>
                    </w:rPr>
                  </w:pPr>
                  <w:r>
                    <w:rPr>
                      <w:rFonts w:hint="eastAsia"/>
                      <w:color w:val="0000FF"/>
                      <w:lang w:val="en-US" w:eastAsia="zh-CN"/>
                    </w:rPr>
                    <w:t>7d</w:t>
                  </w:r>
                </w:p>
              </w:tc>
              <w:tc>
                <w:tcPr>
                  <w:tcW w:w="918" w:type="dxa"/>
                  <w:tcBorders>
                    <w:top w:val="nil"/>
                    <w:left w:val="single" w:color="000000" w:sz="8" w:space="0"/>
                    <w:bottom w:val="single" w:color="000000" w:sz="8" w:space="0"/>
                    <w:right w:val="single" w:color="000000" w:sz="8" w:space="0"/>
                  </w:tcBorders>
                  <w:shd w:val="clear" w:color="auto" w:fill="auto"/>
                  <w:vAlign w:val="center"/>
                </w:tcPr>
                <w:p w14:paraId="6850FB26">
                  <w:pPr>
                    <w:pStyle w:val="46"/>
                    <w:keepNext w:val="0"/>
                    <w:keepLines w:val="0"/>
                    <w:suppressLineNumbers w:val="0"/>
                    <w:bidi w:val="0"/>
                    <w:spacing w:before="0" w:beforeAutospacing="0" w:after="0" w:afterAutospacing="0"/>
                    <w:ind w:left="24" w:leftChars="10" w:right="24" w:rightChars="10" w:firstLine="0" w:firstLineChars="0"/>
                    <w:rPr>
                      <w:rFonts w:hint="default"/>
                      <w:color w:val="0000FF"/>
                      <w:lang w:val="en-US" w:eastAsia="zh-CN"/>
                    </w:rPr>
                  </w:pPr>
                  <w:r>
                    <w:rPr>
                      <w:rFonts w:hint="eastAsia"/>
                      <w:color w:val="0000FF"/>
                      <w:lang w:val="en-US" w:eastAsia="zh-CN"/>
                    </w:rPr>
                    <w:t>4.07</w:t>
                  </w:r>
                </w:p>
              </w:tc>
              <w:tc>
                <w:tcPr>
                  <w:tcW w:w="707" w:type="dxa"/>
                  <w:tcBorders>
                    <w:top w:val="nil"/>
                    <w:left w:val="single" w:color="000000" w:sz="8" w:space="0"/>
                    <w:bottom w:val="single" w:color="000000" w:sz="8" w:space="0"/>
                    <w:right w:val="single" w:color="000000" w:sz="8" w:space="0"/>
                  </w:tcBorders>
                  <w:shd w:val="clear" w:color="auto" w:fill="auto"/>
                  <w:vAlign w:val="center"/>
                </w:tcPr>
                <w:p w14:paraId="05FAFD05">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防渗托盘</w:t>
                  </w:r>
                </w:p>
              </w:tc>
              <w:tc>
                <w:tcPr>
                  <w:tcW w:w="1030" w:type="dxa"/>
                  <w:tcBorders>
                    <w:top w:val="nil"/>
                    <w:left w:val="single" w:color="000000" w:sz="8" w:space="0"/>
                    <w:bottom w:val="single" w:color="000000" w:sz="8" w:space="0"/>
                    <w:right w:val="single" w:color="000000" w:sz="8" w:space="0"/>
                  </w:tcBorders>
                  <w:shd w:val="clear" w:color="auto" w:fill="auto"/>
                  <w:vAlign w:val="center"/>
                </w:tcPr>
                <w:p w14:paraId="647C4070">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w:t>
                  </w:r>
                </w:p>
              </w:tc>
              <w:tc>
                <w:tcPr>
                  <w:tcW w:w="750" w:type="dxa"/>
                  <w:tcBorders>
                    <w:top w:val="nil"/>
                    <w:left w:val="single" w:color="000000" w:sz="8" w:space="0"/>
                    <w:bottom w:val="single" w:color="000000" w:sz="8" w:space="0"/>
                    <w:right w:val="single" w:color="000000" w:sz="8" w:space="0"/>
                  </w:tcBorders>
                  <w:shd w:val="clear" w:color="auto" w:fill="auto"/>
                  <w:vAlign w:val="center"/>
                </w:tcPr>
                <w:p w14:paraId="35912C58">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w:t>
                  </w:r>
                </w:p>
              </w:tc>
              <w:tc>
                <w:tcPr>
                  <w:tcW w:w="507" w:type="dxa"/>
                  <w:tcBorders>
                    <w:top w:val="nil"/>
                    <w:left w:val="single" w:color="000000" w:sz="8" w:space="0"/>
                    <w:bottom w:val="single" w:color="000000" w:sz="8" w:space="0"/>
                    <w:right w:val="single" w:color="000000" w:sz="8" w:space="0"/>
                  </w:tcBorders>
                  <w:shd w:val="clear" w:color="auto" w:fill="auto"/>
                  <w:vAlign w:val="center"/>
                </w:tcPr>
                <w:p w14:paraId="6F96C65E">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w:t>
                  </w:r>
                </w:p>
              </w:tc>
              <w:tc>
                <w:tcPr>
                  <w:tcW w:w="694" w:type="dxa"/>
                  <w:tcBorders>
                    <w:top w:val="nil"/>
                    <w:left w:val="single" w:color="000000" w:sz="8" w:space="0"/>
                    <w:bottom w:val="single" w:color="000000" w:sz="8" w:space="0"/>
                    <w:right w:val="single" w:color="000000" w:sz="8" w:space="0"/>
                  </w:tcBorders>
                  <w:shd w:val="clear" w:color="auto" w:fill="auto"/>
                  <w:vAlign w:val="center"/>
                </w:tcPr>
                <w:p w14:paraId="56B68849">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0000FF"/>
                      <w:kern w:val="2"/>
                      <w:sz w:val="21"/>
                      <w:szCs w:val="21"/>
                      <w:lang w:val="en-US" w:eastAsia="zh-CN" w:bidi="ar-SA"/>
                    </w:rPr>
                  </w:pPr>
                  <w:r>
                    <w:rPr>
                      <w:rFonts w:hint="eastAsia"/>
                      <w:color w:val="0000FF"/>
                      <w:lang w:val="en-US" w:eastAsia="zh-CN"/>
                    </w:rPr>
                    <w:t>30</w:t>
                  </w:r>
                </w:p>
              </w:tc>
            </w:tr>
            <w:tr w14:paraId="5913B0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40" w:hRule="atLeast"/>
                <w:jc w:val="center"/>
              </w:trPr>
              <w:tc>
                <w:tcPr>
                  <w:tcW w:w="439" w:type="dxa"/>
                  <w:tcBorders>
                    <w:top w:val="nil"/>
                    <w:left w:val="single" w:color="000000" w:sz="8" w:space="0"/>
                    <w:bottom w:val="single" w:color="000000" w:sz="8" w:space="0"/>
                    <w:right w:val="single" w:color="000000" w:sz="8" w:space="0"/>
                  </w:tcBorders>
                  <w:shd w:val="clear" w:color="auto" w:fill="auto"/>
                  <w:vAlign w:val="center"/>
                </w:tcPr>
                <w:p w14:paraId="1A54E8C7">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3</w:t>
                  </w:r>
                </w:p>
              </w:tc>
              <w:tc>
                <w:tcPr>
                  <w:tcW w:w="1447" w:type="dxa"/>
                  <w:tcBorders>
                    <w:top w:val="nil"/>
                    <w:left w:val="single" w:color="000000" w:sz="8" w:space="0"/>
                    <w:bottom w:val="single" w:color="000000" w:sz="8" w:space="0"/>
                    <w:right w:val="single" w:color="000000" w:sz="8" w:space="0"/>
                  </w:tcBorders>
                  <w:shd w:val="clear" w:color="auto" w:fill="auto"/>
                  <w:vAlign w:val="center"/>
                </w:tcPr>
                <w:p w14:paraId="7BD349F6">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废液压油</w:t>
                  </w:r>
                </w:p>
              </w:tc>
              <w:tc>
                <w:tcPr>
                  <w:tcW w:w="650" w:type="dxa"/>
                  <w:tcBorders>
                    <w:top w:val="nil"/>
                    <w:left w:val="single" w:color="000000" w:sz="8" w:space="0"/>
                    <w:bottom w:val="single" w:color="000000" w:sz="8" w:space="0"/>
                    <w:right w:val="single" w:color="000000" w:sz="8" w:space="0"/>
                  </w:tcBorders>
                  <w:shd w:val="clear" w:color="auto" w:fill="auto"/>
                  <w:vAlign w:val="center"/>
                </w:tcPr>
                <w:p w14:paraId="4009D934">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0.5</w:t>
                  </w:r>
                </w:p>
              </w:tc>
              <w:tc>
                <w:tcPr>
                  <w:tcW w:w="814" w:type="dxa"/>
                  <w:tcBorders>
                    <w:top w:val="nil"/>
                    <w:left w:val="single" w:color="000000" w:sz="8" w:space="0"/>
                    <w:bottom w:val="single" w:color="000000" w:sz="8" w:space="0"/>
                    <w:right w:val="single" w:color="000000" w:sz="8" w:space="0"/>
                  </w:tcBorders>
                  <w:shd w:val="clear" w:color="auto" w:fill="auto"/>
                  <w:vAlign w:val="center"/>
                </w:tcPr>
                <w:p w14:paraId="5A9F7D14">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1年</w:t>
                  </w:r>
                </w:p>
              </w:tc>
              <w:tc>
                <w:tcPr>
                  <w:tcW w:w="918" w:type="dxa"/>
                  <w:tcBorders>
                    <w:top w:val="nil"/>
                    <w:left w:val="single" w:color="000000" w:sz="8" w:space="0"/>
                    <w:bottom w:val="single" w:color="000000" w:sz="8" w:space="0"/>
                    <w:right w:val="single" w:color="000000" w:sz="8" w:space="0"/>
                  </w:tcBorders>
                  <w:shd w:val="clear" w:color="auto" w:fill="auto"/>
                  <w:vAlign w:val="center"/>
                </w:tcPr>
                <w:p w14:paraId="6E133E30">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0.5</w:t>
                  </w:r>
                </w:p>
              </w:tc>
              <w:tc>
                <w:tcPr>
                  <w:tcW w:w="707" w:type="dxa"/>
                  <w:tcBorders>
                    <w:top w:val="nil"/>
                    <w:left w:val="single" w:color="000000" w:sz="8" w:space="0"/>
                    <w:bottom w:val="single" w:color="000000" w:sz="8" w:space="0"/>
                    <w:right w:val="single" w:color="000000" w:sz="8" w:space="0"/>
                  </w:tcBorders>
                  <w:shd w:val="clear" w:color="auto" w:fill="auto"/>
                  <w:vAlign w:val="center"/>
                </w:tcPr>
                <w:p w14:paraId="5691206C">
                  <w:pPr>
                    <w:pStyle w:val="46"/>
                    <w:keepNext w:val="0"/>
                    <w:keepLines w:val="0"/>
                    <w:suppressLineNumbers w:val="0"/>
                    <w:bidi w:val="0"/>
                    <w:spacing w:before="0" w:beforeAutospacing="0" w:after="0" w:afterAutospacing="0"/>
                    <w:ind w:left="24" w:leftChars="10" w:right="24" w:rightChars="10" w:firstLine="0" w:firstLineChars="0"/>
                    <w:rPr>
                      <w:rFonts w:hint="eastAsia"/>
                      <w:color w:val="auto"/>
                      <w:lang w:val="en-US" w:eastAsia="zh-CN"/>
                    </w:rPr>
                  </w:pPr>
                  <w:r>
                    <w:rPr>
                      <w:rFonts w:hint="eastAsia"/>
                      <w:color w:val="auto"/>
                      <w:lang w:val="en-US" w:eastAsia="zh-CN"/>
                    </w:rPr>
                    <w:t>150kg/</w:t>
                  </w:r>
                  <w:r>
                    <w:rPr>
                      <w:color w:val="auto"/>
                    </w:rPr>
                    <w:t>桶装</w:t>
                  </w:r>
                </w:p>
              </w:tc>
              <w:tc>
                <w:tcPr>
                  <w:tcW w:w="1030" w:type="dxa"/>
                  <w:tcBorders>
                    <w:top w:val="nil"/>
                    <w:left w:val="single" w:color="000000" w:sz="8" w:space="0"/>
                    <w:bottom w:val="single" w:color="000000" w:sz="8" w:space="0"/>
                    <w:right w:val="single" w:color="000000" w:sz="8" w:space="0"/>
                  </w:tcBorders>
                  <w:shd w:val="clear" w:color="auto" w:fill="auto"/>
                  <w:vAlign w:val="center"/>
                </w:tcPr>
                <w:p w14:paraId="0C8439BB">
                  <w:pPr>
                    <w:pStyle w:val="46"/>
                    <w:keepNext w:val="0"/>
                    <w:keepLines w:val="0"/>
                    <w:suppressLineNumbers w:val="0"/>
                    <w:bidi w:val="0"/>
                    <w:spacing w:before="0" w:beforeAutospacing="0" w:after="0" w:afterAutospacing="0"/>
                    <w:ind w:left="24" w:leftChars="10" w:right="24" w:rightChars="10" w:firstLine="0" w:firstLineChars="0"/>
                    <w:rPr>
                      <w:rFonts w:hint="eastAsia"/>
                      <w:color w:val="auto"/>
                      <w:lang w:val="en-US" w:eastAsia="zh-CN"/>
                    </w:rPr>
                  </w:pPr>
                  <w:r>
                    <w:rPr>
                      <w:rFonts w:hint="eastAsia"/>
                      <w:color w:val="auto"/>
                      <w:lang w:val="en-US" w:eastAsia="zh-CN"/>
                    </w:rPr>
                    <w:t>Φ55cm×H52cm</w:t>
                  </w:r>
                </w:p>
              </w:tc>
              <w:tc>
                <w:tcPr>
                  <w:tcW w:w="750" w:type="dxa"/>
                  <w:tcBorders>
                    <w:top w:val="nil"/>
                    <w:left w:val="single" w:color="000000" w:sz="8" w:space="0"/>
                    <w:bottom w:val="single" w:color="000000" w:sz="8" w:space="0"/>
                    <w:right w:val="single" w:color="000000" w:sz="8" w:space="0"/>
                  </w:tcBorders>
                  <w:shd w:val="clear" w:color="auto" w:fill="auto"/>
                  <w:vAlign w:val="center"/>
                </w:tcPr>
                <w:p w14:paraId="779DA2C4">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0.24</w:t>
                  </w:r>
                </w:p>
              </w:tc>
              <w:tc>
                <w:tcPr>
                  <w:tcW w:w="507" w:type="dxa"/>
                  <w:tcBorders>
                    <w:top w:val="nil"/>
                    <w:left w:val="single" w:color="000000" w:sz="8" w:space="0"/>
                    <w:bottom w:val="single" w:color="000000" w:sz="8" w:space="0"/>
                    <w:right w:val="single" w:color="000000" w:sz="8" w:space="0"/>
                  </w:tcBorders>
                  <w:shd w:val="clear" w:color="auto" w:fill="auto"/>
                  <w:vAlign w:val="center"/>
                </w:tcPr>
                <w:p w14:paraId="4C3D811C">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4个</w:t>
                  </w:r>
                </w:p>
              </w:tc>
              <w:tc>
                <w:tcPr>
                  <w:tcW w:w="694" w:type="dxa"/>
                  <w:tcBorders>
                    <w:top w:val="nil"/>
                    <w:left w:val="single" w:color="000000" w:sz="8" w:space="0"/>
                    <w:bottom w:val="single" w:color="000000" w:sz="8" w:space="0"/>
                    <w:right w:val="single" w:color="000000" w:sz="8" w:space="0"/>
                  </w:tcBorders>
                  <w:shd w:val="clear" w:color="auto" w:fill="auto"/>
                  <w:vAlign w:val="center"/>
                </w:tcPr>
                <w:p w14:paraId="46DAA4C5">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1</w:t>
                  </w:r>
                </w:p>
              </w:tc>
            </w:tr>
            <w:tr w14:paraId="5A0065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40" w:hRule="atLeast"/>
                <w:jc w:val="center"/>
              </w:trPr>
              <w:tc>
                <w:tcPr>
                  <w:tcW w:w="439" w:type="dxa"/>
                  <w:tcBorders>
                    <w:top w:val="nil"/>
                    <w:left w:val="single" w:color="000000" w:sz="8" w:space="0"/>
                    <w:bottom w:val="single" w:color="000000" w:sz="8" w:space="0"/>
                    <w:right w:val="single" w:color="000000" w:sz="8" w:space="0"/>
                  </w:tcBorders>
                  <w:shd w:val="clear" w:color="auto" w:fill="auto"/>
                  <w:vAlign w:val="center"/>
                </w:tcPr>
                <w:p w14:paraId="0A42EF7C">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4</w:t>
                  </w:r>
                </w:p>
              </w:tc>
              <w:tc>
                <w:tcPr>
                  <w:tcW w:w="1447" w:type="dxa"/>
                  <w:tcBorders>
                    <w:top w:val="nil"/>
                    <w:left w:val="single" w:color="000000" w:sz="8" w:space="0"/>
                    <w:bottom w:val="single" w:color="000000" w:sz="8" w:space="0"/>
                    <w:right w:val="single" w:color="000000" w:sz="8" w:space="0"/>
                  </w:tcBorders>
                  <w:shd w:val="clear" w:color="auto" w:fill="auto"/>
                  <w:vAlign w:val="center"/>
                </w:tcPr>
                <w:p w14:paraId="6F1536D2">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废润滑油</w:t>
                  </w:r>
                </w:p>
              </w:tc>
              <w:tc>
                <w:tcPr>
                  <w:tcW w:w="650" w:type="dxa"/>
                  <w:tcBorders>
                    <w:top w:val="nil"/>
                    <w:left w:val="single" w:color="000000" w:sz="8" w:space="0"/>
                    <w:bottom w:val="single" w:color="000000" w:sz="8" w:space="0"/>
                    <w:right w:val="single" w:color="000000" w:sz="8" w:space="0"/>
                  </w:tcBorders>
                  <w:shd w:val="clear" w:color="auto" w:fill="auto"/>
                  <w:vAlign w:val="center"/>
                </w:tcPr>
                <w:p w14:paraId="53D34F49">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0.05</w:t>
                  </w:r>
                </w:p>
              </w:tc>
              <w:tc>
                <w:tcPr>
                  <w:tcW w:w="814" w:type="dxa"/>
                  <w:tcBorders>
                    <w:top w:val="nil"/>
                    <w:left w:val="single" w:color="000000" w:sz="8" w:space="0"/>
                    <w:bottom w:val="single" w:color="000000" w:sz="8" w:space="0"/>
                    <w:right w:val="single" w:color="000000" w:sz="8" w:space="0"/>
                  </w:tcBorders>
                  <w:shd w:val="clear" w:color="auto" w:fill="auto"/>
                  <w:vAlign w:val="center"/>
                </w:tcPr>
                <w:p w14:paraId="4B5572AB">
                  <w:pPr>
                    <w:pStyle w:val="61"/>
                    <w:keepNext w:val="0"/>
                    <w:keepLines w:val="0"/>
                    <w:suppressLineNumbers w:val="0"/>
                    <w:bidi w:val="0"/>
                    <w:spacing w:before="0" w:beforeAutospacing="0" w:after="0" w:afterAutospacing="0"/>
                    <w:ind w:left="0" w:right="0"/>
                    <w:rPr>
                      <w:rFonts w:hint="eastAsia"/>
                      <w:color w:val="auto"/>
                      <w:lang w:val="en-US" w:eastAsia="zh-CN"/>
                    </w:rPr>
                  </w:pPr>
                  <w:r>
                    <w:rPr>
                      <w:rFonts w:hint="eastAsia"/>
                      <w:color w:val="auto"/>
                      <w:lang w:val="en-US" w:eastAsia="zh-CN"/>
                    </w:rPr>
                    <w:t>1年</w:t>
                  </w:r>
                </w:p>
              </w:tc>
              <w:tc>
                <w:tcPr>
                  <w:tcW w:w="918" w:type="dxa"/>
                  <w:tcBorders>
                    <w:top w:val="nil"/>
                    <w:left w:val="single" w:color="000000" w:sz="8" w:space="0"/>
                    <w:bottom w:val="single" w:color="000000" w:sz="8" w:space="0"/>
                    <w:right w:val="single" w:color="000000" w:sz="8" w:space="0"/>
                  </w:tcBorders>
                  <w:shd w:val="clear" w:color="auto" w:fill="auto"/>
                  <w:vAlign w:val="center"/>
                </w:tcPr>
                <w:p w14:paraId="177C0F34">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0.05</w:t>
                  </w:r>
                </w:p>
              </w:tc>
              <w:tc>
                <w:tcPr>
                  <w:tcW w:w="707" w:type="dxa"/>
                  <w:tcBorders>
                    <w:top w:val="nil"/>
                    <w:left w:val="single" w:color="000000" w:sz="8" w:space="0"/>
                    <w:bottom w:val="single" w:color="000000" w:sz="8" w:space="0"/>
                    <w:right w:val="single" w:color="000000" w:sz="8" w:space="0"/>
                  </w:tcBorders>
                  <w:shd w:val="clear" w:color="auto" w:fill="auto"/>
                  <w:vAlign w:val="center"/>
                </w:tcPr>
                <w:p w14:paraId="10DDB2CC">
                  <w:pPr>
                    <w:pStyle w:val="61"/>
                    <w:keepNext w:val="0"/>
                    <w:keepLines w:val="0"/>
                    <w:suppressLineNumbers w:val="0"/>
                    <w:bidi w:val="0"/>
                    <w:spacing w:before="0" w:beforeAutospacing="0" w:after="0" w:afterAutospacing="0"/>
                    <w:ind w:left="0" w:right="0" w:firstLine="0" w:firstLineChars="0"/>
                    <w:jc w:val="center"/>
                    <w:rPr>
                      <w:rFonts w:hint="eastAsia" w:ascii="Times New Roman" w:hAnsi="Times New Roman" w:eastAsia="宋体" w:cs="Times New Roman"/>
                      <w:color w:val="auto"/>
                      <w:kern w:val="2"/>
                      <w:sz w:val="21"/>
                      <w:szCs w:val="24"/>
                      <w:lang w:val="en-US" w:eastAsia="zh-CN" w:bidi="ar-SA"/>
                    </w:rPr>
                  </w:pPr>
                  <w:r>
                    <w:rPr>
                      <w:rFonts w:hint="eastAsia"/>
                      <w:color w:val="auto"/>
                      <w:lang w:val="en-US" w:eastAsia="zh-CN"/>
                    </w:rPr>
                    <w:t>18kg/</w:t>
                  </w:r>
                  <w:r>
                    <w:rPr>
                      <w:rFonts w:hint="default"/>
                      <w:color w:val="auto"/>
                    </w:rPr>
                    <w:t>桶装</w:t>
                  </w:r>
                </w:p>
              </w:tc>
              <w:tc>
                <w:tcPr>
                  <w:tcW w:w="1030" w:type="dxa"/>
                  <w:tcBorders>
                    <w:top w:val="nil"/>
                    <w:left w:val="single" w:color="000000" w:sz="8" w:space="0"/>
                    <w:bottom w:val="single" w:color="000000" w:sz="8" w:space="0"/>
                    <w:right w:val="single" w:color="000000" w:sz="8" w:space="0"/>
                  </w:tcBorders>
                  <w:shd w:val="clear" w:color="auto" w:fill="auto"/>
                  <w:vAlign w:val="center"/>
                </w:tcPr>
                <w:p w14:paraId="4D025115">
                  <w:pPr>
                    <w:pStyle w:val="61"/>
                    <w:keepNext w:val="0"/>
                    <w:keepLines w:val="0"/>
                    <w:suppressLineNumbers w:val="0"/>
                    <w:bidi w:val="0"/>
                    <w:spacing w:before="0" w:beforeAutospacing="0" w:after="0" w:afterAutospacing="0"/>
                    <w:ind w:left="0" w:right="0" w:firstLine="0" w:firstLineChars="0"/>
                    <w:jc w:val="center"/>
                    <w:rPr>
                      <w:rFonts w:hint="eastAsia" w:ascii="Times New Roman" w:hAnsi="Times New Roman" w:eastAsia="宋体" w:cs="Times New Roman"/>
                      <w:color w:val="auto"/>
                      <w:kern w:val="2"/>
                      <w:sz w:val="21"/>
                      <w:szCs w:val="24"/>
                      <w:lang w:val="en-US" w:eastAsia="zh-CN" w:bidi="ar-SA"/>
                    </w:rPr>
                  </w:pPr>
                  <w:r>
                    <w:rPr>
                      <w:rFonts w:hint="eastAsia"/>
                      <w:color w:val="auto"/>
                      <w:lang w:val="en-US" w:eastAsia="zh-CN"/>
                    </w:rPr>
                    <w:t>Φ30cm, H38cm</w:t>
                  </w:r>
                </w:p>
              </w:tc>
              <w:tc>
                <w:tcPr>
                  <w:tcW w:w="750" w:type="dxa"/>
                  <w:tcBorders>
                    <w:top w:val="nil"/>
                    <w:left w:val="single" w:color="000000" w:sz="8" w:space="0"/>
                    <w:bottom w:val="single" w:color="000000" w:sz="8" w:space="0"/>
                    <w:right w:val="single" w:color="000000" w:sz="8" w:space="0"/>
                  </w:tcBorders>
                  <w:shd w:val="clear" w:color="auto" w:fill="auto"/>
                  <w:vAlign w:val="center"/>
                </w:tcPr>
                <w:p w14:paraId="2ABA494C">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0.07</w:t>
                  </w:r>
                </w:p>
              </w:tc>
              <w:tc>
                <w:tcPr>
                  <w:tcW w:w="507" w:type="dxa"/>
                  <w:tcBorders>
                    <w:top w:val="nil"/>
                    <w:left w:val="single" w:color="000000" w:sz="8" w:space="0"/>
                    <w:bottom w:val="single" w:color="000000" w:sz="8" w:space="0"/>
                    <w:right w:val="single" w:color="000000" w:sz="8" w:space="0"/>
                  </w:tcBorders>
                  <w:shd w:val="clear" w:color="auto" w:fill="auto"/>
                  <w:vAlign w:val="center"/>
                </w:tcPr>
                <w:p w14:paraId="6D354D2F">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4个</w:t>
                  </w:r>
                </w:p>
              </w:tc>
              <w:tc>
                <w:tcPr>
                  <w:tcW w:w="694" w:type="dxa"/>
                  <w:tcBorders>
                    <w:top w:val="nil"/>
                    <w:left w:val="single" w:color="000000" w:sz="8" w:space="0"/>
                    <w:bottom w:val="single" w:color="000000" w:sz="8" w:space="0"/>
                    <w:right w:val="single" w:color="000000" w:sz="8" w:space="0"/>
                  </w:tcBorders>
                  <w:shd w:val="clear" w:color="auto" w:fill="auto"/>
                  <w:vAlign w:val="center"/>
                </w:tcPr>
                <w:p w14:paraId="044F3574">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0.3</w:t>
                  </w:r>
                </w:p>
              </w:tc>
            </w:tr>
            <w:tr w14:paraId="52CE1E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40" w:hRule="atLeast"/>
                <w:jc w:val="center"/>
              </w:trPr>
              <w:tc>
                <w:tcPr>
                  <w:tcW w:w="439" w:type="dxa"/>
                  <w:tcBorders>
                    <w:top w:val="nil"/>
                    <w:left w:val="single" w:color="000000" w:sz="8" w:space="0"/>
                    <w:bottom w:val="single" w:color="000000" w:sz="8" w:space="0"/>
                    <w:right w:val="single" w:color="000000" w:sz="8" w:space="0"/>
                  </w:tcBorders>
                  <w:shd w:val="clear" w:color="auto" w:fill="auto"/>
                  <w:vAlign w:val="center"/>
                </w:tcPr>
                <w:p w14:paraId="48E8A520">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5</w:t>
                  </w:r>
                </w:p>
              </w:tc>
              <w:tc>
                <w:tcPr>
                  <w:tcW w:w="1447" w:type="dxa"/>
                  <w:tcBorders>
                    <w:top w:val="nil"/>
                    <w:left w:val="single" w:color="000000" w:sz="8" w:space="0"/>
                    <w:bottom w:val="single" w:color="000000" w:sz="8" w:space="0"/>
                    <w:right w:val="single" w:color="000000" w:sz="8" w:space="0"/>
                  </w:tcBorders>
                  <w:shd w:val="clear" w:color="auto" w:fill="auto"/>
                  <w:vAlign w:val="center"/>
                </w:tcPr>
                <w:p w14:paraId="439D7080">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废润滑油桶</w:t>
                  </w:r>
                </w:p>
              </w:tc>
              <w:tc>
                <w:tcPr>
                  <w:tcW w:w="650" w:type="dxa"/>
                  <w:tcBorders>
                    <w:top w:val="nil"/>
                    <w:left w:val="single" w:color="000000" w:sz="8" w:space="0"/>
                    <w:bottom w:val="single" w:color="000000" w:sz="8" w:space="0"/>
                    <w:right w:val="single" w:color="000000" w:sz="8" w:space="0"/>
                  </w:tcBorders>
                  <w:shd w:val="clear" w:color="auto" w:fill="auto"/>
                  <w:vAlign w:val="center"/>
                </w:tcPr>
                <w:p w14:paraId="164CB85C">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0.02</w:t>
                  </w:r>
                </w:p>
              </w:tc>
              <w:tc>
                <w:tcPr>
                  <w:tcW w:w="814" w:type="dxa"/>
                  <w:tcBorders>
                    <w:top w:val="nil"/>
                    <w:left w:val="single" w:color="000000" w:sz="8" w:space="0"/>
                    <w:bottom w:val="single" w:color="000000" w:sz="8" w:space="0"/>
                    <w:right w:val="single" w:color="000000" w:sz="8" w:space="0"/>
                  </w:tcBorders>
                  <w:shd w:val="clear" w:color="auto" w:fill="auto"/>
                  <w:vAlign w:val="center"/>
                </w:tcPr>
                <w:p w14:paraId="29397359">
                  <w:pPr>
                    <w:pStyle w:val="61"/>
                    <w:keepNext w:val="0"/>
                    <w:keepLines w:val="0"/>
                    <w:suppressLineNumbers w:val="0"/>
                    <w:bidi w:val="0"/>
                    <w:spacing w:before="0" w:beforeAutospacing="0" w:after="0" w:afterAutospacing="0"/>
                    <w:ind w:left="0" w:right="0"/>
                    <w:rPr>
                      <w:rFonts w:hint="eastAsia"/>
                      <w:color w:val="auto"/>
                      <w:lang w:val="en-US" w:eastAsia="zh-CN"/>
                    </w:rPr>
                  </w:pPr>
                  <w:r>
                    <w:rPr>
                      <w:rFonts w:hint="eastAsia"/>
                      <w:color w:val="auto"/>
                      <w:lang w:val="en-US" w:eastAsia="zh-CN"/>
                    </w:rPr>
                    <w:t>1年</w:t>
                  </w:r>
                </w:p>
              </w:tc>
              <w:tc>
                <w:tcPr>
                  <w:tcW w:w="918" w:type="dxa"/>
                  <w:tcBorders>
                    <w:top w:val="nil"/>
                    <w:left w:val="single" w:color="000000" w:sz="8" w:space="0"/>
                    <w:bottom w:val="single" w:color="000000" w:sz="8" w:space="0"/>
                    <w:right w:val="single" w:color="000000" w:sz="8" w:space="0"/>
                  </w:tcBorders>
                  <w:shd w:val="clear" w:color="auto" w:fill="auto"/>
                  <w:vAlign w:val="center"/>
                </w:tcPr>
                <w:p w14:paraId="50581497">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0.02</w:t>
                  </w:r>
                </w:p>
              </w:tc>
              <w:tc>
                <w:tcPr>
                  <w:tcW w:w="707" w:type="dxa"/>
                  <w:tcBorders>
                    <w:top w:val="nil"/>
                    <w:left w:val="single" w:color="000000" w:sz="8" w:space="0"/>
                    <w:bottom w:val="single" w:color="000000" w:sz="8" w:space="0"/>
                    <w:right w:val="single" w:color="000000" w:sz="8" w:space="0"/>
                  </w:tcBorders>
                  <w:shd w:val="clear" w:color="auto" w:fill="auto"/>
                  <w:vAlign w:val="center"/>
                </w:tcPr>
                <w:p w14:paraId="2AD69B53">
                  <w:pPr>
                    <w:pStyle w:val="61"/>
                    <w:keepNext w:val="0"/>
                    <w:keepLines w:val="0"/>
                    <w:suppressLineNumbers w:val="0"/>
                    <w:bidi w:val="0"/>
                    <w:spacing w:before="0" w:beforeAutospacing="0" w:after="0" w:afterAutospacing="0"/>
                    <w:ind w:left="0" w:right="0" w:firstLine="0" w:firstLineChars="0"/>
                    <w:jc w:val="center"/>
                    <w:rPr>
                      <w:rFonts w:hint="eastAsia" w:ascii="Times New Roman" w:hAnsi="Times New Roman" w:eastAsia="宋体" w:cs="Times New Roman"/>
                      <w:color w:val="auto"/>
                      <w:kern w:val="2"/>
                      <w:sz w:val="21"/>
                      <w:szCs w:val="24"/>
                      <w:lang w:val="en-US" w:eastAsia="zh-CN" w:bidi="ar-SA"/>
                    </w:rPr>
                  </w:pPr>
                  <w:r>
                    <w:rPr>
                      <w:rFonts w:hint="eastAsia"/>
                      <w:color w:val="auto"/>
                      <w:lang w:val="en-US" w:eastAsia="zh-CN"/>
                    </w:rPr>
                    <w:t>封口暂存</w:t>
                  </w:r>
                </w:p>
              </w:tc>
              <w:tc>
                <w:tcPr>
                  <w:tcW w:w="1030" w:type="dxa"/>
                  <w:tcBorders>
                    <w:top w:val="nil"/>
                    <w:left w:val="single" w:color="000000" w:sz="8" w:space="0"/>
                    <w:bottom w:val="single" w:color="000000" w:sz="8" w:space="0"/>
                    <w:right w:val="single" w:color="000000" w:sz="8" w:space="0"/>
                  </w:tcBorders>
                  <w:shd w:val="clear" w:color="auto" w:fill="auto"/>
                  <w:vAlign w:val="center"/>
                </w:tcPr>
                <w:p w14:paraId="3636D1A7">
                  <w:pPr>
                    <w:pStyle w:val="61"/>
                    <w:keepNext w:val="0"/>
                    <w:keepLines w:val="0"/>
                    <w:suppressLineNumbers w:val="0"/>
                    <w:bidi w:val="0"/>
                    <w:spacing w:before="0" w:beforeAutospacing="0" w:after="0" w:afterAutospacing="0"/>
                    <w:ind w:left="0" w:right="0" w:firstLine="0" w:firstLineChars="0"/>
                    <w:jc w:val="center"/>
                    <w:rPr>
                      <w:rFonts w:hint="eastAsia" w:ascii="Times New Roman" w:hAnsi="Times New Roman" w:eastAsia="宋体" w:cs="Times New Roman"/>
                      <w:color w:val="auto"/>
                      <w:kern w:val="2"/>
                      <w:sz w:val="21"/>
                      <w:szCs w:val="24"/>
                      <w:lang w:val="en-US" w:eastAsia="zh-CN" w:bidi="ar-SA"/>
                    </w:rPr>
                  </w:pPr>
                  <w:r>
                    <w:rPr>
                      <w:rFonts w:hint="eastAsia"/>
                      <w:color w:val="auto"/>
                      <w:lang w:val="en-US" w:eastAsia="zh-CN"/>
                    </w:rPr>
                    <w:t>Φ345mm, H480mm</w:t>
                  </w:r>
                </w:p>
              </w:tc>
              <w:tc>
                <w:tcPr>
                  <w:tcW w:w="750" w:type="dxa"/>
                  <w:tcBorders>
                    <w:top w:val="nil"/>
                    <w:left w:val="single" w:color="000000" w:sz="8" w:space="0"/>
                    <w:bottom w:val="single" w:color="000000" w:sz="8" w:space="0"/>
                    <w:right w:val="single" w:color="000000" w:sz="8" w:space="0"/>
                  </w:tcBorders>
                  <w:shd w:val="clear" w:color="auto" w:fill="auto"/>
                  <w:vAlign w:val="center"/>
                </w:tcPr>
                <w:p w14:paraId="5450B87D">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0.2</w:t>
                  </w:r>
                </w:p>
              </w:tc>
              <w:tc>
                <w:tcPr>
                  <w:tcW w:w="507" w:type="dxa"/>
                  <w:tcBorders>
                    <w:top w:val="nil"/>
                    <w:left w:val="single" w:color="000000" w:sz="8" w:space="0"/>
                    <w:bottom w:val="single" w:color="000000" w:sz="8" w:space="0"/>
                    <w:right w:val="single" w:color="000000" w:sz="8" w:space="0"/>
                  </w:tcBorders>
                  <w:shd w:val="clear" w:color="auto" w:fill="auto"/>
                  <w:vAlign w:val="center"/>
                </w:tcPr>
                <w:p w14:paraId="014BDDF1">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20个</w:t>
                  </w:r>
                </w:p>
              </w:tc>
              <w:tc>
                <w:tcPr>
                  <w:tcW w:w="694" w:type="dxa"/>
                  <w:tcBorders>
                    <w:top w:val="nil"/>
                    <w:left w:val="single" w:color="000000" w:sz="8" w:space="0"/>
                    <w:bottom w:val="single" w:color="000000" w:sz="8" w:space="0"/>
                    <w:right w:val="single" w:color="000000" w:sz="8" w:space="0"/>
                  </w:tcBorders>
                  <w:shd w:val="clear" w:color="auto" w:fill="auto"/>
                  <w:vAlign w:val="center"/>
                </w:tcPr>
                <w:p w14:paraId="4D79F8F0">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4</w:t>
                  </w:r>
                </w:p>
              </w:tc>
            </w:tr>
            <w:tr w14:paraId="765685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40" w:hRule="atLeast"/>
                <w:jc w:val="center"/>
              </w:trPr>
              <w:tc>
                <w:tcPr>
                  <w:tcW w:w="439" w:type="dxa"/>
                  <w:tcBorders>
                    <w:top w:val="nil"/>
                    <w:left w:val="single" w:color="000000" w:sz="8" w:space="0"/>
                    <w:bottom w:val="single" w:color="000000" w:sz="8" w:space="0"/>
                    <w:right w:val="single" w:color="000000" w:sz="8" w:space="0"/>
                  </w:tcBorders>
                  <w:shd w:val="clear" w:color="auto" w:fill="auto"/>
                  <w:vAlign w:val="center"/>
                </w:tcPr>
                <w:p w14:paraId="69D6514D">
                  <w:pPr>
                    <w:pStyle w:val="46"/>
                    <w:keepNext w:val="0"/>
                    <w:keepLines w:val="0"/>
                    <w:suppressLineNumbers w:val="0"/>
                    <w:bidi w:val="0"/>
                    <w:spacing w:before="0" w:beforeAutospacing="0" w:after="0" w:afterAutospacing="0"/>
                    <w:rPr>
                      <w:rFonts w:hint="eastAsia" w:eastAsia="宋体"/>
                      <w:color w:val="auto"/>
                      <w:lang w:val="en-US" w:eastAsia="zh-CN"/>
                    </w:rPr>
                  </w:pPr>
                  <w:r>
                    <w:rPr>
                      <w:rFonts w:hint="eastAsia"/>
                      <w:color w:val="auto"/>
                      <w:lang w:val="en-US" w:eastAsia="zh-CN"/>
                    </w:rPr>
                    <w:t>6</w:t>
                  </w:r>
                </w:p>
              </w:tc>
              <w:tc>
                <w:tcPr>
                  <w:tcW w:w="1447" w:type="dxa"/>
                  <w:tcBorders>
                    <w:top w:val="nil"/>
                    <w:left w:val="single" w:color="000000" w:sz="8" w:space="0"/>
                    <w:bottom w:val="single" w:color="000000" w:sz="8" w:space="0"/>
                    <w:right w:val="single" w:color="000000" w:sz="8" w:space="0"/>
                  </w:tcBorders>
                  <w:shd w:val="clear" w:color="auto" w:fill="auto"/>
                  <w:vAlign w:val="center"/>
                </w:tcPr>
                <w:p w14:paraId="317B35EA">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含油抹布、手套</w:t>
                  </w:r>
                </w:p>
              </w:tc>
              <w:tc>
                <w:tcPr>
                  <w:tcW w:w="650" w:type="dxa"/>
                  <w:tcBorders>
                    <w:top w:val="nil"/>
                    <w:left w:val="single" w:color="000000" w:sz="8" w:space="0"/>
                    <w:bottom w:val="single" w:color="000000" w:sz="8" w:space="0"/>
                    <w:right w:val="single" w:color="000000" w:sz="8" w:space="0"/>
                  </w:tcBorders>
                  <w:shd w:val="clear" w:color="auto" w:fill="auto"/>
                  <w:vAlign w:val="center"/>
                </w:tcPr>
                <w:p w14:paraId="46746AE9">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0.05</w:t>
                  </w:r>
                </w:p>
              </w:tc>
              <w:tc>
                <w:tcPr>
                  <w:tcW w:w="814" w:type="dxa"/>
                  <w:tcBorders>
                    <w:top w:val="nil"/>
                    <w:left w:val="single" w:color="000000" w:sz="8" w:space="0"/>
                    <w:bottom w:val="single" w:color="000000" w:sz="8" w:space="0"/>
                    <w:right w:val="single" w:color="000000" w:sz="8" w:space="0"/>
                  </w:tcBorders>
                  <w:shd w:val="clear" w:color="auto" w:fill="auto"/>
                  <w:vAlign w:val="center"/>
                </w:tcPr>
                <w:p w14:paraId="618D3D34">
                  <w:pPr>
                    <w:pStyle w:val="61"/>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1年</w:t>
                  </w:r>
                </w:p>
              </w:tc>
              <w:tc>
                <w:tcPr>
                  <w:tcW w:w="918" w:type="dxa"/>
                  <w:tcBorders>
                    <w:top w:val="nil"/>
                    <w:left w:val="single" w:color="000000" w:sz="8" w:space="0"/>
                    <w:bottom w:val="single" w:color="000000" w:sz="8" w:space="0"/>
                    <w:right w:val="single" w:color="000000" w:sz="8" w:space="0"/>
                  </w:tcBorders>
                  <w:shd w:val="clear" w:color="auto" w:fill="auto"/>
                  <w:vAlign w:val="center"/>
                </w:tcPr>
                <w:p w14:paraId="710CAB42">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0.05</w:t>
                  </w:r>
                </w:p>
              </w:tc>
              <w:tc>
                <w:tcPr>
                  <w:tcW w:w="707" w:type="dxa"/>
                  <w:tcBorders>
                    <w:top w:val="nil"/>
                    <w:left w:val="single" w:color="000000" w:sz="8" w:space="0"/>
                    <w:bottom w:val="single" w:color="000000" w:sz="8" w:space="0"/>
                    <w:right w:val="single" w:color="000000" w:sz="8" w:space="0"/>
                  </w:tcBorders>
                  <w:shd w:val="clear" w:color="auto" w:fill="auto"/>
                  <w:vAlign w:val="center"/>
                </w:tcPr>
                <w:p w14:paraId="6AB57DAC">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吨袋</w:t>
                  </w:r>
                </w:p>
              </w:tc>
              <w:tc>
                <w:tcPr>
                  <w:tcW w:w="1030" w:type="dxa"/>
                  <w:tcBorders>
                    <w:top w:val="nil"/>
                    <w:left w:val="single" w:color="000000" w:sz="8" w:space="0"/>
                    <w:bottom w:val="single" w:color="000000" w:sz="8" w:space="0"/>
                    <w:right w:val="single" w:color="000000" w:sz="8" w:space="0"/>
                  </w:tcBorders>
                  <w:shd w:val="clear" w:color="auto" w:fill="auto"/>
                  <w:vAlign w:val="center"/>
                </w:tcPr>
                <w:p w14:paraId="7AF6357A">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Φ110mm,H100mm</w:t>
                  </w:r>
                </w:p>
              </w:tc>
              <w:tc>
                <w:tcPr>
                  <w:tcW w:w="750" w:type="dxa"/>
                  <w:tcBorders>
                    <w:top w:val="nil"/>
                    <w:left w:val="single" w:color="000000" w:sz="8" w:space="0"/>
                    <w:bottom w:val="single" w:color="000000" w:sz="8" w:space="0"/>
                    <w:right w:val="single" w:color="000000" w:sz="8" w:space="0"/>
                  </w:tcBorders>
                  <w:shd w:val="clear" w:color="auto" w:fill="auto"/>
                  <w:vAlign w:val="center"/>
                </w:tcPr>
                <w:p w14:paraId="76E51573">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0.95</w:t>
                  </w:r>
                </w:p>
              </w:tc>
              <w:tc>
                <w:tcPr>
                  <w:tcW w:w="507" w:type="dxa"/>
                  <w:tcBorders>
                    <w:top w:val="nil"/>
                    <w:left w:val="single" w:color="000000" w:sz="8" w:space="0"/>
                    <w:bottom w:val="single" w:color="000000" w:sz="8" w:space="0"/>
                    <w:right w:val="single" w:color="000000" w:sz="8" w:space="0"/>
                  </w:tcBorders>
                  <w:shd w:val="clear" w:color="auto" w:fill="auto"/>
                  <w:vAlign w:val="center"/>
                </w:tcPr>
                <w:p w14:paraId="06A8E69B">
                  <w:pPr>
                    <w:pStyle w:val="46"/>
                    <w:keepNext w:val="0"/>
                    <w:keepLines w:val="0"/>
                    <w:suppressLineNumbers w:val="0"/>
                    <w:bidi w:val="0"/>
                    <w:spacing w:before="0" w:beforeAutospacing="0" w:after="0" w:afterAutospacing="0"/>
                    <w:ind w:left="24" w:leftChars="10" w:right="24" w:rightChars="10" w:firstLine="0" w:firstLineChars="0"/>
                    <w:rPr>
                      <w:rFonts w:hint="default" w:ascii="Times New Roman" w:hAnsi="Times New Roman" w:eastAsia="宋体"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1个</w:t>
                  </w:r>
                </w:p>
              </w:tc>
              <w:tc>
                <w:tcPr>
                  <w:tcW w:w="694" w:type="dxa"/>
                  <w:tcBorders>
                    <w:top w:val="nil"/>
                    <w:left w:val="single" w:color="000000" w:sz="8" w:space="0"/>
                    <w:bottom w:val="single" w:color="000000" w:sz="8" w:space="0"/>
                    <w:right w:val="single" w:color="000000" w:sz="8" w:space="0"/>
                  </w:tcBorders>
                  <w:shd w:val="clear" w:color="auto" w:fill="auto"/>
                  <w:vAlign w:val="center"/>
                </w:tcPr>
                <w:p w14:paraId="5AEAF802">
                  <w:pPr>
                    <w:pStyle w:val="46"/>
                    <w:keepNext w:val="0"/>
                    <w:keepLines w:val="0"/>
                    <w:suppressLineNumbers w:val="0"/>
                    <w:bidi w:val="0"/>
                    <w:spacing w:before="0" w:beforeAutospacing="0" w:after="0" w:afterAutospacing="0"/>
                    <w:ind w:left="24" w:leftChars="10" w:right="24" w:rightChars="10" w:firstLine="0" w:firstLineChars="0"/>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1</w:t>
                  </w:r>
                </w:p>
              </w:tc>
            </w:tr>
            <w:tr w14:paraId="0160B9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40" w:hRule="atLeast"/>
                <w:jc w:val="center"/>
              </w:trPr>
              <w:tc>
                <w:tcPr>
                  <w:tcW w:w="439" w:type="dxa"/>
                  <w:tcBorders>
                    <w:top w:val="nil"/>
                    <w:left w:val="single" w:color="000000" w:sz="8" w:space="0"/>
                    <w:bottom w:val="single" w:color="auto" w:sz="4" w:space="0"/>
                    <w:right w:val="single" w:color="000000" w:sz="8" w:space="0"/>
                  </w:tcBorders>
                  <w:shd w:val="clear" w:color="auto" w:fill="auto"/>
                  <w:vAlign w:val="center"/>
                </w:tcPr>
                <w:p w14:paraId="227B222B">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7</w:t>
                  </w:r>
                </w:p>
              </w:tc>
              <w:tc>
                <w:tcPr>
                  <w:tcW w:w="1447" w:type="dxa"/>
                  <w:tcBorders>
                    <w:top w:val="nil"/>
                    <w:left w:val="single" w:color="000000" w:sz="8" w:space="0"/>
                    <w:bottom w:val="single" w:color="auto" w:sz="4" w:space="0"/>
                    <w:right w:val="single" w:color="000000" w:sz="8" w:space="0"/>
                  </w:tcBorders>
                  <w:shd w:val="clear" w:color="auto" w:fill="auto"/>
                  <w:vAlign w:val="center"/>
                </w:tcPr>
                <w:p w14:paraId="64355EB7">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废电解液中和废物</w:t>
                  </w:r>
                </w:p>
              </w:tc>
              <w:tc>
                <w:tcPr>
                  <w:tcW w:w="650" w:type="dxa"/>
                  <w:tcBorders>
                    <w:top w:val="nil"/>
                    <w:left w:val="single" w:color="000000" w:sz="8" w:space="0"/>
                    <w:bottom w:val="single" w:color="auto" w:sz="4" w:space="0"/>
                    <w:right w:val="single" w:color="000000" w:sz="8" w:space="0"/>
                  </w:tcBorders>
                  <w:shd w:val="clear" w:color="auto" w:fill="auto"/>
                  <w:vAlign w:val="center"/>
                </w:tcPr>
                <w:p w14:paraId="140F819E">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0.172</w:t>
                  </w:r>
                </w:p>
              </w:tc>
              <w:tc>
                <w:tcPr>
                  <w:tcW w:w="814" w:type="dxa"/>
                  <w:tcBorders>
                    <w:top w:val="nil"/>
                    <w:left w:val="single" w:color="000000" w:sz="8" w:space="0"/>
                    <w:bottom w:val="single" w:color="auto" w:sz="4" w:space="0"/>
                    <w:right w:val="single" w:color="000000" w:sz="8" w:space="0"/>
                  </w:tcBorders>
                  <w:shd w:val="clear" w:color="auto" w:fill="auto"/>
                  <w:vAlign w:val="center"/>
                </w:tcPr>
                <w:p w14:paraId="4B0B76E2">
                  <w:pPr>
                    <w:pStyle w:val="61"/>
                    <w:keepNext w:val="0"/>
                    <w:keepLines w:val="0"/>
                    <w:suppressLineNumbers w:val="0"/>
                    <w:bidi w:val="0"/>
                    <w:spacing w:before="0" w:beforeAutospacing="0" w:after="0" w:afterAutospacing="0"/>
                    <w:ind w:left="0" w:right="0"/>
                    <w:rPr>
                      <w:rFonts w:hint="default"/>
                      <w:color w:val="auto"/>
                      <w:lang w:val="en-US" w:eastAsia="zh-CN"/>
                    </w:rPr>
                  </w:pPr>
                  <w:r>
                    <w:rPr>
                      <w:rFonts w:hint="eastAsia"/>
                      <w:color w:val="auto"/>
                      <w:lang w:val="en-US" w:eastAsia="zh-CN"/>
                    </w:rPr>
                    <w:t>1年</w:t>
                  </w:r>
                </w:p>
              </w:tc>
              <w:tc>
                <w:tcPr>
                  <w:tcW w:w="918" w:type="dxa"/>
                  <w:tcBorders>
                    <w:top w:val="nil"/>
                    <w:left w:val="single" w:color="000000" w:sz="8" w:space="0"/>
                    <w:bottom w:val="single" w:color="auto" w:sz="4" w:space="0"/>
                    <w:right w:val="single" w:color="000000" w:sz="8" w:space="0"/>
                  </w:tcBorders>
                  <w:shd w:val="clear" w:color="auto" w:fill="auto"/>
                  <w:vAlign w:val="center"/>
                </w:tcPr>
                <w:p w14:paraId="5D2F3CA4">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0.172</w:t>
                  </w:r>
                </w:p>
              </w:tc>
              <w:tc>
                <w:tcPr>
                  <w:tcW w:w="707" w:type="dxa"/>
                  <w:tcBorders>
                    <w:top w:val="nil"/>
                    <w:left w:val="single" w:color="000000" w:sz="8" w:space="0"/>
                    <w:bottom w:val="single" w:color="auto" w:sz="4" w:space="0"/>
                    <w:right w:val="single" w:color="000000" w:sz="8" w:space="0"/>
                  </w:tcBorders>
                  <w:shd w:val="clear" w:color="auto" w:fill="auto"/>
                  <w:vAlign w:val="center"/>
                </w:tcPr>
                <w:p w14:paraId="235A2A99">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耐酸碱桶</w:t>
                  </w:r>
                </w:p>
              </w:tc>
              <w:tc>
                <w:tcPr>
                  <w:tcW w:w="1030" w:type="dxa"/>
                  <w:tcBorders>
                    <w:top w:val="nil"/>
                    <w:left w:val="single" w:color="000000" w:sz="8" w:space="0"/>
                    <w:bottom w:val="single" w:color="auto" w:sz="4" w:space="0"/>
                    <w:right w:val="single" w:color="000000" w:sz="8" w:space="0"/>
                  </w:tcBorders>
                  <w:shd w:val="clear" w:color="auto" w:fill="auto"/>
                  <w:vAlign w:val="center"/>
                </w:tcPr>
                <w:p w14:paraId="697159A2">
                  <w:pPr>
                    <w:pStyle w:val="61"/>
                    <w:keepNext w:val="0"/>
                    <w:keepLines w:val="0"/>
                    <w:suppressLineNumbers w:val="0"/>
                    <w:bidi w:val="0"/>
                    <w:spacing w:before="0" w:beforeAutospacing="0" w:after="0" w:afterAutospacing="0"/>
                    <w:ind w:left="0" w:right="0"/>
                    <w:rPr>
                      <w:rFonts w:hint="eastAsia"/>
                      <w:color w:val="auto"/>
                      <w:lang w:val="en-US" w:eastAsia="zh-CN"/>
                    </w:rPr>
                  </w:pPr>
                  <w:r>
                    <w:rPr>
                      <w:rFonts w:hint="eastAsia"/>
                      <w:lang w:val="en-US" w:eastAsia="zh-CN"/>
                    </w:rPr>
                    <w:t>1200mm×1000mm×1150mm</w:t>
                  </w:r>
                </w:p>
              </w:tc>
              <w:tc>
                <w:tcPr>
                  <w:tcW w:w="750" w:type="dxa"/>
                  <w:tcBorders>
                    <w:top w:val="nil"/>
                    <w:left w:val="single" w:color="000000" w:sz="8" w:space="0"/>
                    <w:bottom w:val="single" w:color="auto" w:sz="4" w:space="0"/>
                    <w:right w:val="single" w:color="000000" w:sz="8" w:space="0"/>
                  </w:tcBorders>
                  <w:shd w:val="clear" w:color="auto" w:fill="auto"/>
                  <w:vAlign w:val="center"/>
                </w:tcPr>
                <w:p w14:paraId="215DF6DE">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1.2</w:t>
                  </w:r>
                </w:p>
              </w:tc>
              <w:tc>
                <w:tcPr>
                  <w:tcW w:w="507" w:type="dxa"/>
                  <w:tcBorders>
                    <w:top w:val="nil"/>
                    <w:left w:val="single" w:color="000000" w:sz="8" w:space="0"/>
                    <w:bottom w:val="single" w:color="auto" w:sz="4" w:space="0"/>
                    <w:right w:val="single" w:color="000000" w:sz="8" w:space="0"/>
                  </w:tcBorders>
                  <w:shd w:val="clear" w:color="auto" w:fill="auto"/>
                  <w:vAlign w:val="center"/>
                </w:tcPr>
                <w:p w14:paraId="02ABBA16">
                  <w:pPr>
                    <w:pStyle w:val="46"/>
                    <w:keepNext w:val="0"/>
                    <w:keepLines w:val="0"/>
                    <w:suppressLineNumbers w:val="0"/>
                    <w:bidi w:val="0"/>
                    <w:spacing w:before="0" w:beforeAutospacing="0" w:after="0" w:afterAutospacing="0"/>
                    <w:ind w:left="24" w:leftChars="10" w:right="24" w:rightChars="10" w:firstLine="0" w:firstLineChars="0"/>
                    <w:rPr>
                      <w:rFonts w:hint="default"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1个</w:t>
                  </w:r>
                </w:p>
              </w:tc>
              <w:tc>
                <w:tcPr>
                  <w:tcW w:w="694" w:type="dxa"/>
                  <w:tcBorders>
                    <w:top w:val="nil"/>
                    <w:left w:val="single" w:color="000000" w:sz="8" w:space="0"/>
                    <w:bottom w:val="single" w:color="auto" w:sz="4" w:space="0"/>
                    <w:right w:val="single" w:color="000000" w:sz="8" w:space="0"/>
                  </w:tcBorders>
                  <w:shd w:val="clear" w:color="auto" w:fill="auto"/>
                  <w:vAlign w:val="center"/>
                </w:tcPr>
                <w:p w14:paraId="0F7EB538">
                  <w:pPr>
                    <w:pStyle w:val="46"/>
                    <w:keepNext w:val="0"/>
                    <w:keepLines w:val="0"/>
                    <w:suppressLineNumbers w:val="0"/>
                    <w:bidi w:val="0"/>
                    <w:spacing w:before="0" w:beforeAutospacing="0" w:after="0" w:afterAutospacing="0"/>
                    <w:ind w:left="24" w:leftChars="10" w:right="24" w:rightChars="10" w:firstLine="0" w:firstLineChars="0"/>
                    <w:rPr>
                      <w:rFonts w:hint="default"/>
                      <w:color w:val="auto"/>
                      <w:lang w:val="en-US" w:eastAsia="zh-CN"/>
                    </w:rPr>
                  </w:pPr>
                  <w:r>
                    <w:rPr>
                      <w:rFonts w:hint="eastAsia"/>
                      <w:color w:val="auto"/>
                      <w:lang w:val="en-US" w:eastAsia="zh-CN"/>
                    </w:rPr>
                    <w:t>1.2</w:t>
                  </w:r>
                </w:p>
              </w:tc>
            </w:tr>
            <w:tr w14:paraId="45D096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40" w:hRule="atLeast"/>
                <w:jc w:val="center"/>
              </w:trPr>
              <w:tc>
                <w:tcPr>
                  <w:tcW w:w="7262"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2621238A">
                  <w:pPr>
                    <w:pStyle w:val="46"/>
                    <w:keepNext w:val="0"/>
                    <w:keepLines w:val="0"/>
                    <w:suppressLineNumbers w:val="0"/>
                    <w:bidi w:val="0"/>
                    <w:spacing w:before="0" w:beforeAutospacing="0" w:after="0" w:afterAutospacing="0"/>
                    <w:rPr>
                      <w:rFonts w:hint="eastAsia"/>
                      <w:color w:val="auto"/>
                    </w:rPr>
                  </w:pPr>
                  <w:r>
                    <w:rPr>
                      <w:rFonts w:hint="eastAsia"/>
                      <w:color w:val="auto"/>
                      <w:lang w:val="en-US" w:eastAsia="zh-CN"/>
                    </w:rPr>
                    <w:t>合计</w:t>
                  </w:r>
                </w:p>
              </w:tc>
              <w:tc>
                <w:tcPr>
                  <w:tcW w:w="694" w:type="dxa"/>
                  <w:tcBorders>
                    <w:top w:val="single" w:color="auto" w:sz="4" w:space="0"/>
                    <w:left w:val="single" w:color="auto" w:sz="4" w:space="0"/>
                    <w:bottom w:val="single" w:color="auto" w:sz="4" w:space="0"/>
                    <w:right w:val="single" w:color="auto" w:sz="4" w:space="0"/>
                  </w:tcBorders>
                  <w:shd w:val="clear" w:color="auto" w:fill="auto"/>
                  <w:vAlign w:val="center"/>
                </w:tcPr>
                <w:p w14:paraId="57FBCE80">
                  <w:pPr>
                    <w:pStyle w:val="46"/>
                    <w:keepNext w:val="0"/>
                    <w:keepLines w:val="0"/>
                    <w:suppressLineNumbers w:val="0"/>
                    <w:bidi w:val="0"/>
                    <w:spacing w:before="0" w:beforeAutospacing="0" w:after="0" w:afterAutospacing="0"/>
                    <w:rPr>
                      <w:rFonts w:hint="default"/>
                      <w:color w:val="auto"/>
                      <w:lang w:val="en-US"/>
                    </w:rPr>
                  </w:pPr>
                  <w:r>
                    <w:rPr>
                      <w:rFonts w:hint="eastAsia"/>
                      <w:color w:val="auto"/>
                      <w:lang w:val="en-US" w:eastAsia="zh-CN"/>
                    </w:rPr>
                    <w:t>47.5</w:t>
                  </w:r>
                </w:p>
              </w:tc>
            </w:tr>
          </w:tbl>
          <w:p w14:paraId="5FA9629B">
            <w:pPr>
              <w:keepNext w:val="0"/>
              <w:keepLines w:val="0"/>
              <w:suppressLineNumbers w:val="0"/>
              <w:bidi w:val="0"/>
              <w:spacing w:before="0" w:beforeAutospacing="0" w:after="0" w:afterAutospacing="0"/>
              <w:ind w:left="0" w:right="0"/>
              <w:rPr>
                <w:rFonts w:hint="eastAsia"/>
                <w:color w:val="auto"/>
              </w:rPr>
            </w:pPr>
            <w:r>
              <w:rPr>
                <w:rFonts w:hint="eastAsia"/>
                <w:color w:val="auto"/>
              </w:rPr>
              <w:t>则项目危废总占地面积约</w:t>
            </w:r>
            <w:r>
              <w:rPr>
                <w:rFonts w:hint="eastAsia"/>
                <w:color w:val="auto"/>
                <w:lang w:val="en-US" w:eastAsia="zh-CN"/>
              </w:rPr>
              <w:t>47.5m</w:t>
            </w:r>
            <w:r>
              <w:rPr>
                <w:rFonts w:hint="eastAsia"/>
                <w:color w:val="auto"/>
                <w:vertAlign w:val="superscript"/>
                <w:lang w:val="en-US" w:eastAsia="zh-CN"/>
              </w:rPr>
              <w:t>2</w:t>
            </w:r>
            <w:r>
              <w:rPr>
                <w:rFonts w:hint="eastAsia"/>
                <w:color w:val="auto"/>
              </w:rPr>
              <w:t>，本次新建</w:t>
            </w:r>
            <w:r>
              <w:rPr>
                <w:rFonts w:hint="default"/>
                <w:color w:val="auto"/>
              </w:rPr>
              <w:t>1座</w:t>
            </w:r>
            <w:r>
              <w:rPr>
                <w:rFonts w:hint="eastAsia"/>
                <w:color w:val="auto"/>
                <w:lang w:val="en-US" w:eastAsia="zh-CN"/>
              </w:rPr>
              <w:t>60m</w:t>
            </w:r>
            <w:r>
              <w:rPr>
                <w:rFonts w:hint="eastAsia"/>
                <w:color w:val="auto"/>
                <w:vertAlign w:val="superscript"/>
                <w:lang w:val="en-US" w:eastAsia="zh-CN"/>
              </w:rPr>
              <w:t>2</w:t>
            </w:r>
            <w:r>
              <w:rPr>
                <w:rFonts w:hint="default"/>
                <w:color w:val="auto"/>
              </w:rPr>
              <w:t>危险废物暂存场所</w:t>
            </w:r>
            <w:r>
              <w:rPr>
                <w:rFonts w:hint="eastAsia"/>
                <w:color w:val="auto"/>
              </w:rPr>
              <w:t>满足</w:t>
            </w:r>
            <w:r>
              <w:rPr>
                <w:rFonts w:hint="eastAsia"/>
                <w:color w:val="auto"/>
                <w:lang w:val="en-US" w:eastAsia="zh-CN"/>
              </w:rPr>
              <w:t>全厂</w:t>
            </w:r>
            <w:r>
              <w:rPr>
                <w:rFonts w:hint="eastAsia"/>
                <w:color w:val="auto"/>
              </w:rPr>
              <w:t>危险废物暂存要求</w:t>
            </w:r>
            <w:r>
              <w:rPr>
                <w:rFonts w:hint="eastAsia"/>
                <w:color w:val="auto"/>
                <w:lang w:eastAsia="zh-CN"/>
              </w:rPr>
              <w:t>，</w:t>
            </w:r>
            <w:r>
              <w:rPr>
                <w:rFonts w:hint="eastAsia"/>
                <w:color w:val="auto"/>
                <w:lang w:val="en-US" w:eastAsia="zh-CN"/>
              </w:rPr>
              <w:t>分区图见附图7</w:t>
            </w:r>
            <w:r>
              <w:rPr>
                <w:rFonts w:hint="eastAsia"/>
                <w:color w:val="auto"/>
              </w:rPr>
              <w:t>。</w:t>
            </w:r>
          </w:p>
          <w:p w14:paraId="43830B03">
            <w:pPr>
              <w:keepNext w:val="0"/>
              <w:keepLines w:val="0"/>
              <w:suppressLineNumbers w:val="0"/>
              <w:bidi w:val="0"/>
              <w:spacing w:before="0" w:beforeAutospacing="0" w:after="0" w:afterAutospacing="0"/>
              <w:ind w:left="0" w:right="0"/>
              <w:rPr>
                <w:rFonts w:hint="eastAsia"/>
                <w:b/>
                <w:bCs/>
                <w:color w:val="auto"/>
              </w:rPr>
            </w:pPr>
            <w:r>
              <w:rPr>
                <w:rFonts w:hint="eastAsia"/>
                <w:b/>
                <w:bCs/>
                <w:color w:val="auto"/>
                <w:lang w:val="en-US" w:eastAsia="zh-CN"/>
              </w:rPr>
              <w:t>3）</w:t>
            </w:r>
            <w:r>
              <w:rPr>
                <w:rFonts w:hint="eastAsia"/>
                <w:b/>
                <w:bCs/>
                <w:color w:val="auto"/>
              </w:rPr>
              <w:t>危废暂存场所内设置要求</w:t>
            </w:r>
          </w:p>
          <w:p w14:paraId="446F8D54">
            <w:pPr>
              <w:keepNext w:val="0"/>
              <w:keepLines w:val="0"/>
              <w:suppressLineNumbers w:val="0"/>
              <w:bidi w:val="0"/>
              <w:spacing w:before="0" w:beforeAutospacing="0" w:after="0" w:afterAutospacing="0"/>
              <w:ind w:left="0" w:right="0"/>
              <w:rPr>
                <w:rFonts w:hint="eastAsia"/>
                <w:color w:val="auto"/>
              </w:rPr>
            </w:pPr>
            <w:r>
              <w:rPr>
                <w:rFonts w:hint="eastAsia"/>
                <w:color w:val="auto"/>
              </w:rPr>
              <w:t>危废暂存场所地面与裙脚采用达到标准要求防渗的材料建造，</w:t>
            </w:r>
            <w:r>
              <w:rPr>
                <w:rFonts w:hint="eastAsia"/>
                <w:color w:val="auto"/>
                <w:lang w:val="en-US" w:eastAsia="zh-CN"/>
              </w:rPr>
              <w:t>防渗层为</w:t>
            </w:r>
            <w:r>
              <w:rPr>
                <w:rFonts w:hint="eastAsia"/>
                <w:color w:val="auto"/>
              </w:rPr>
              <w:t>至少2mm厚高密度聚乙烯膜等人工防渗材料</w:t>
            </w:r>
            <w:r>
              <w:rPr>
                <w:rFonts w:hint="eastAsia"/>
                <w:color w:val="auto"/>
                <w:lang w:eastAsia="zh-CN"/>
              </w:rPr>
              <w:t>（</w:t>
            </w:r>
            <w:r>
              <w:rPr>
                <w:rFonts w:hint="eastAsia"/>
                <w:color w:val="auto"/>
              </w:rPr>
              <w:t>渗透系数不大于10</w:t>
            </w:r>
            <w:r>
              <w:rPr>
                <w:rFonts w:hint="eastAsia"/>
                <w:color w:val="auto"/>
                <w:vertAlign w:val="superscript"/>
                <w:lang w:val="en-US" w:eastAsia="zh-CN"/>
              </w:rPr>
              <w:t>-</w:t>
            </w:r>
            <w:r>
              <w:rPr>
                <w:rFonts w:hint="eastAsia"/>
                <w:color w:val="auto"/>
                <w:vertAlign w:val="superscript"/>
              </w:rPr>
              <w:t>1</w:t>
            </w:r>
            <w:r>
              <w:rPr>
                <w:rFonts w:hint="eastAsia"/>
                <w:color w:val="auto"/>
                <w:vertAlign w:val="superscript"/>
                <w:lang w:val="en-US" w:eastAsia="zh-CN"/>
              </w:rPr>
              <w:t>0</w:t>
            </w:r>
            <w:r>
              <w:rPr>
                <w:rFonts w:hint="eastAsia"/>
                <w:color w:val="auto"/>
              </w:rPr>
              <w:t>cm/s</w:t>
            </w:r>
            <w:r>
              <w:rPr>
                <w:rFonts w:hint="eastAsia"/>
                <w:color w:val="auto"/>
                <w:lang w:eastAsia="zh-CN"/>
              </w:rPr>
              <w:t>）</w:t>
            </w:r>
            <w:r>
              <w:rPr>
                <w:rFonts w:hint="eastAsia"/>
                <w:color w:val="auto"/>
              </w:rPr>
              <w:t>或其他防渗性能等效的材料，防渗建筑材料须与危险废物相容。</w:t>
            </w:r>
          </w:p>
          <w:p w14:paraId="7720CD6A">
            <w:pPr>
              <w:keepNext w:val="0"/>
              <w:keepLines w:val="0"/>
              <w:suppressLineNumbers w:val="0"/>
              <w:bidi w:val="0"/>
              <w:spacing w:before="0" w:beforeAutospacing="0" w:after="0" w:afterAutospacing="0"/>
              <w:ind w:left="0" w:right="0"/>
              <w:rPr>
                <w:rFonts w:hint="eastAsia"/>
                <w:color w:val="auto"/>
              </w:rPr>
            </w:pPr>
            <w:r>
              <w:rPr>
                <w:rFonts w:hint="eastAsia"/>
                <w:color w:val="auto"/>
              </w:rPr>
              <w:t>危废暂存场所内设置有安全照明设施和观察窗口，场所四周设置边沟，建造径流疏导系统，同时做到</w:t>
            </w:r>
            <w:r>
              <w:rPr>
                <w:rFonts w:hint="eastAsia"/>
                <w:color w:val="auto"/>
                <w:lang w:eastAsia="zh-CN"/>
              </w:rPr>
              <w:t>“</w:t>
            </w:r>
            <w:r>
              <w:rPr>
                <w:rFonts w:hint="eastAsia"/>
                <w:color w:val="auto"/>
              </w:rPr>
              <w:t>五防</w:t>
            </w:r>
            <w:r>
              <w:rPr>
                <w:rFonts w:hint="eastAsia"/>
                <w:color w:val="auto"/>
                <w:lang w:eastAsia="zh-CN"/>
              </w:rPr>
              <w:t>”</w:t>
            </w:r>
            <w:r>
              <w:rPr>
                <w:rFonts w:hint="eastAsia"/>
                <w:color w:val="auto"/>
              </w:rPr>
              <w:t>（防风、防雨、防晒、防盗、防渗漏）要求。本项目危险废物暂存场所均按照</w:t>
            </w:r>
            <w:r>
              <w:rPr>
                <w:rFonts w:hint="default"/>
                <w:color w:val="auto"/>
              </w:rPr>
              <w:t>GB18597-20</w:t>
            </w:r>
            <w:r>
              <w:rPr>
                <w:rFonts w:hint="eastAsia"/>
                <w:color w:val="auto"/>
              </w:rPr>
              <w:t>23《危险废物贮存污染控制标准》的规定设置，通过规范设置危废暂存场所，可以保障危险废物暂存过程对周边环境不产生影响。</w:t>
            </w:r>
          </w:p>
          <w:p w14:paraId="55B5CD5F">
            <w:pPr>
              <w:keepNext w:val="0"/>
              <w:keepLines w:val="0"/>
              <w:suppressLineNumbers w:val="0"/>
              <w:bidi w:val="0"/>
              <w:spacing w:before="0" w:beforeAutospacing="0" w:after="0" w:afterAutospacing="0"/>
              <w:ind w:left="0" w:right="0"/>
              <w:rPr>
                <w:rFonts w:hint="default"/>
                <w:color w:val="auto"/>
              </w:rPr>
            </w:pPr>
            <w:r>
              <w:rPr>
                <w:rFonts w:hint="default"/>
                <w:color w:val="auto"/>
              </w:rPr>
              <w:t>项目产生的危废严格按照《危险废物污染防治技术政策》（环发</w:t>
            </w:r>
            <w:r>
              <w:rPr>
                <w:rFonts w:hint="eastAsia"/>
                <w:color w:val="auto"/>
                <w:lang w:eastAsia="zh-CN"/>
              </w:rPr>
              <w:t>〔</w:t>
            </w:r>
            <w:r>
              <w:rPr>
                <w:rFonts w:hint="default"/>
                <w:color w:val="auto"/>
              </w:rPr>
              <w:t>2001</w:t>
            </w:r>
            <w:r>
              <w:rPr>
                <w:rFonts w:hint="eastAsia"/>
                <w:color w:val="auto"/>
                <w:lang w:eastAsia="zh-CN"/>
              </w:rPr>
              <w:t>〕</w:t>
            </w:r>
            <w:r>
              <w:rPr>
                <w:rFonts w:hint="default"/>
                <w:color w:val="auto"/>
              </w:rPr>
              <w:t>199号）和《危险废物贮存污染控制标准》（GB18597-20</w:t>
            </w:r>
            <w:r>
              <w:rPr>
                <w:rFonts w:hint="eastAsia"/>
                <w:color w:val="auto"/>
              </w:rPr>
              <w:t>23</w:t>
            </w:r>
            <w:r>
              <w:rPr>
                <w:rFonts w:hint="default"/>
                <w:color w:val="auto"/>
              </w:rPr>
              <w:t>）等文件、技术规范要求进行暂存和转移。</w:t>
            </w:r>
          </w:p>
          <w:p w14:paraId="03331A52">
            <w:pPr>
              <w:keepNext w:val="0"/>
              <w:keepLines w:val="0"/>
              <w:suppressLineNumbers w:val="0"/>
              <w:bidi w:val="0"/>
              <w:spacing w:before="0" w:beforeAutospacing="0" w:after="0" w:afterAutospacing="0"/>
              <w:ind w:left="0" w:right="0"/>
              <w:rPr>
                <w:rFonts w:hint="default"/>
                <w:color w:val="auto"/>
              </w:rPr>
            </w:pPr>
            <w:r>
              <w:rPr>
                <w:rFonts w:hint="default"/>
                <w:color w:val="auto"/>
              </w:rPr>
              <w:t>危险废物的贮存设施应满足以下要求：</w:t>
            </w:r>
          </w:p>
          <w:p w14:paraId="1EF718AA">
            <w:pPr>
              <w:keepNext w:val="0"/>
              <w:keepLines w:val="0"/>
              <w:suppressLineNumbers w:val="0"/>
              <w:bidi w:val="0"/>
              <w:spacing w:before="0" w:beforeAutospacing="0" w:after="0" w:afterAutospacing="0"/>
              <w:ind w:left="0" w:right="0"/>
              <w:rPr>
                <w:rFonts w:hint="eastAsia"/>
                <w:color w:val="auto"/>
              </w:rPr>
            </w:pPr>
            <w:r>
              <w:rPr>
                <w:rFonts w:hint="eastAsia"/>
                <w:color w:val="auto"/>
              </w:rPr>
              <w:t>①贮存设施应根据危险废物的形态、物理化学性质、包装形式和污染物迁移途径，采取必要的防风、防晒、防雨、防漏、防渗、防腐以及其他环境污染防治措施，不应露天堆放危险废物。</w:t>
            </w:r>
          </w:p>
          <w:p w14:paraId="7D555BD1">
            <w:pPr>
              <w:keepNext w:val="0"/>
              <w:keepLines w:val="0"/>
              <w:suppressLineNumbers w:val="0"/>
              <w:bidi w:val="0"/>
              <w:spacing w:before="0" w:beforeAutospacing="0" w:after="0" w:afterAutospacing="0"/>
              <w:ind w:left="0" w:right="0"/>
              <w:rPr>
                <w:rFonts w:hint="eastAsia"/>
                <w:color w:val="auto"/>
              </w:rPr>
            </w:pPr>
            <w:r>
              <w:rPr>
                <w:rFonts w:hint="eastAsia"/>
                <w:color w:val="auto"/>
              </w:rPr>
              <w:t>②贮存设施应根据危险废物的类别、数量、形态、物理化学性质和污染防治等要求设置必要的贮存分区，避免不相容的危险废物接触、混合。</w:t>
            </w:r>
          </w:p>
          <w:p w14:paraId="250CA14C">
            <w:pPr>
              <w:keepNext w:val="0"/>
              <w:keepLines w:val="0"/>
              <w:suppressLineNumbers w:val="0"/>
              <w:bidi w:val="0"/>
              <w:spacing w:before="0" w:beforeAutospacing="0" w:after="0" w:afterAutospacing="0"/>
              <w:ind w:left="0" w:right="0"/>
              <w:rPr>
                <w:rFonts w:hint="eastAsia"/>
                <w:color w:val="auto"/>
              </w:rPr>
            </w:pPr>
            <w:r>
              <w:rPr>
                <w:rFonts w:hint="eastAsia"/>
                <w:color w:val="auto"/>
              </w:rPr>
              <w:t>③贮存设施或贮存分区内地面、墙面裙脚、堵截泄漏的围堰、接触危险废物的隔板和墙体等应采用坚固的材料建造，表面无裂缝。</w:t>
            </w:r>
          </w:p>
          <w:p w14:paraId="74BC9BF9">
            <w:pPr>
              <w:keepNext w:val="0"/>
              <w:keepLines w:val="0"/>
              <w:suppressLineNumbers w:val="0"/>
              <w:bidi w:val="0"/>
              <w:spacing w:before="0" w:beforeAutospacing="0" w:after="0" w:afterAutospacing="0"/>
              <w:ind w:left="0" w:right="0"/>
              <w:rPr>
                <w:rFonts w:hint="eastAsia"/>
                <w:color w:val="auto"/>
              </w:rPr>
            </w:pPr>
            <w:r>
              <w:rPr>
                <w:rFonts w:hint="eastAsia"/>
                <w:color w:val="auto"/>
              </w:rPr>
              <w:t>④贮存设施地面与裙脚应采取表面防渗措施；表面防渗材料应与所接触的物料或污染物相容，可采用抗渗混凝土、高密度聚乙烯膜、钠基膨润土防水毯或其他防渗性能等效的材料。贮存的危险废物直接接触地面的，还应进行基础防渗，防渗层为至少1m厚黏土层（渗透系数不大于10</w:t>
            </w:r>
            <w:r>
              <w:rPr>
                <w:rFonts w:hint="eastAsia"/>
                <w:color w:val="auto"/>
                <w:vertAlign w:val="superscript"/>
                <w:lang w:val="en-US" w:eastAsia="zh-CN"/>
              </w:rPr>
              <w:t>-</w:t>
            </w:r>
            <w:r>
              <w:rPr>
                <w:rFonts w:hint="eastAsia"/>
                <w:color w:val="auto"/>
                <w:vertAlign w:val="superscript"/>
              </w:rPr>
              <w:t>7</w:t>
            </w:r>
            <w:r>
              <w:rPr>
                <w:rFonts w:hint="eastAsia"/>
                <w:color w:val="auto"/>
              </w:rPr>
              <w:t>cm/s），或至少2mm厚高密度聚乙烯膜等人工防渗材料（渗透系数不大于10</w:t>
            </w:r>
            <w:r>
              <w:rPr>
                <w:rFonts w:hint="eastAsia"/>
                <w:color w:val="auto"/>
                <w:vertAlign w:val="superscript"/>
                <w:lang w:val="en-US" w:eastAsia="zh-CN"/>
              </w:rPr>
              <w:t>-</w:t>
            </w:r>
            <w:r>
              <w:rPr>
                <w:rFonts w:hint="eastAsia"/>
                <w:color w:val="auto"/>
                <w:vertAlign w:val="superscript"/>
              </w:rPr>
              <w:t>10</w:t>
            </w:r>
            <w:r>
              <w:rPr>
                <w:rFonts w:hint="eastAsia"/>
                <w:color w:val="auto"/>
              </w:rPr>
              <w:t>cm/s），或其他防渗性能等效的材料。</w:t>
            </w:r>
          </w:p>
          <w:p w14:paraId="4B6FF97B">
            <w:pPr>
              <w:keepNext w:val="0"/>
              <w:keepLines w:val="0"/>
              <w:suppressLineNumbers w:val="0"/>
              <w:bidi w:val="0"/>
              <w:spacing w:before="0" w:beforeAutospacing="0" w:after="0" w:afterAutospacing="0"/>
              <w:ind w:left="0" w:right="0"/>
              <w:rPr>
                <w:rFonts w:hint="eastAsia"/>
                <w:color w:val="auto"/>
              </w:rPr>
            </w:pPr>
            <w:r>
              <w:rPr>
                <w:rFonts w:hint="eastAsia"/>
                <w:color w:val="auto"/>
              </w:rPr>
              <w:t>⑤同一贮存设施宜采用相同的防渗、防腐工艺（包括防渗、防腐结构或材料），防渗、防腐材料应覆盖所有可能与废物及其渗滤液、渗漏液等接触的构筑物表面；采用不同防渗、防腐工艺应分别建设贮存分区。</w:t>
            </w:r>
          </w:p>
          <w:p w14:paraId="0D322B1B">
            <w:pPr>
              <w:keepNext w:val="0"/>
              <w:keepLines w:val="0"/>
              <w:suppressLineNumbers w:val="0"/>
              <w:bidi w:val="0"/>
              <w:spacing w:before="0" w:beforeAutospacing="0" w:after="0" w:afterAutospacing="0"/>
              <w:ind w:left="0" w:right="0"/>
              <w:rPr>
                <w:rFonts w:hint="eastAsia"/>
                <w:color w:val="auto"/>
              </w:rPr>
            </w:pPr>
            <w:r>
              <w:rPr>
                <w:rFonts w:hint="eastAsia"/>
                <w:color w:val="auto"/>
              </w:rPr>
              <w:t>⑥贮存设施应采取技术和管理措施防止无关人员进入。贮存库内不同贮存分区之间应采取隔离措施。隔离措施可根据危险废物特性采用过道、隔板或隔墙等方式。</w:t>
            </w:r>
          </w:p>
          <w:p w14:paraId="66C0340A">
            <w:pPr>
              <w:keepNext w:val="0"/>
              <w:keepLines w:val="0"/>
              <w:suppressLineNumbers w:val="0"/>
              <w:bidi w:val="0"/>
              <w:spacing w:before="0" w:beforeAutospacing="0" w:after="0" w:afterAutospacing="0"/>
              <w:ind w:left="0" w:right="0"/>
              <w:rPr>
                <w:rFonts w:hint="default"/>
                <w:color w:val="auto"/>
              </w:rPr>
            </w:pPr>
            <w:r>
              <w:rPr>
                <w:rFonts w:hint="default"/>
                <w:color w:val="auto"/>
              </w:rPr>
              <w:t>危险废物的贮存设施的选址与设计、运行与管理、安全防护、环境监测及应急措施</w:t>
            </w:r>
            <w:r>
              <w:rPr>
                <w:rFonts w:hint="eastAsia"/>
                <w:color w:val="auto"/>
                <w:lang w:eastAsia="zh-CN"/>
              </w:rPr>
              <w:t>，以及</w:t>
            </w:r>
            <w:r>
              <w:rPr>
                <w:rFonts w:hint="default"/>
                <w:color w:val="auto"/>
              </w:rPr>
              <w:t>关闭等须遵循《危险废物贮存污染控制标准》的规定。</w:t>
            </w:r>
          </w:p>
          <w:p w14:paraId="6495E000">
            <w:pPr>
              <w:keepNext w:val="0"/>
              <w:keepLines w:val="0"/>
              <w:suppressLineNumbers w:val="0"/>
              <w:bidi w:val="0"/>
              <w:spacing w:before="0" w:beforeAutospacing="0" w:after="0" w:afterAutospacing="0"/>
              <w:ind w:left="0" w:right="0"/>
              <w:rPr>
                <w:rFonts w:hint="default"/>
                <w:color w:val="auto"/>
              </w:rPr>
            </w:pPr>
            <w:r>
              <w:rPr>
                <w:rFonts w:hint="default"/>
                <w:color w:val="auto"/>
              </w:rPr>
              <w:t>企业按照《危险废物管理计划（大纲）（试行）》的要求做好危险废物计划和</w:t>
            </w:r>
            <w:r>
              <w:rPr>
                <w:rFonts w:hint="eastAsia"/>
                <w:color w:val="auto"/>
                <w:lang w:eastAsia="zh-CN"/>
              </w:rPr>
              <w:t>危险废物台账</w:t>
            </w:r>
            <w:r>
              <w:rPr>
                <w:rFonts w:hint="default"/>
                <w:color w:val="auto"/>
              </w:rPr>
              <w:t>。</w:t>
            </w:r>
          </w:p>
          <w:p w14:paraId="654E3C56">
            <w:pPr>
              <w:keepNext w:val="0"/>
              <w:keepLines w:val="0"/>
              <w:suppressLineNumbers w:val="0"/>
              <w:spacing w:before="0" w:beforeAutospacing="0" w:after="0" w:afterAutospacing="0"/>
              <w:ind w:left="0" w:right="0" w:firstLine="482"/>
              <w:jc w:val="both"/>
              <w:rPr>
                <w:rFonts w:hint="default"/>
                <w:b/>
                <w:bCs/>
                <w:color w:val="auto"/>
              </w:rPr>
            </w:pPr>
            <w:r>
              <w:rPr>
                <w:rFonts w:hint="eastAsia"/>
                <w:b/>
                <w:bCs/>
                <w:color w:val="auto"/>
              </w:rPr>
              <w:t>4）危险废物转移和运输</w:t>
            </w:r>
          </w:p>
          <w:p w14:paraId="0EFA42C4">
            <w:pPr>
              <w:keepNext w:val="0"/>
              <w:keepLines w:val="0"/>
              <w:suppressLineNumbers w:val="0"/>
              <w:spacing w:before="0" w:beforeAutospacing="0" w:after="0" w:afterAutospacing="0"/>
              <w:ind w:left="0" w:right="0" w:firstLine="480"/>
              <w:jc w:val="both"/>
              <w:rPr>
                <w:rFonts w:hint="default"/>
                <w:color w:val="auto"/>
              </w:rPr>
            </w:pPr>
            <w:r>
              <w:rPr>
                <w:rFonts w:hint="default"/>
                <w:color w:val="auto"/>
              </w:rPr>
              <w:t>项目危废从产生场所转移运输到暂存场所过程中，采用防渗漏的袋装、桶装，由叉车运输至</w:t>
            </w:r>
            <w:r>
              <w:rPr>
                <w:rFonts w:hint="eastAsia"/>
                <w:color w:val="auto"/>
              </w:rPr>
              <w:t>危废暂存间</w:t>
            </w:r>
            <w:r>
              <w:rPr>
                <w:rFonts w:hint="default"/>
                <w:color w:val="auto"/>
              </w:rPr>
              <w:t>，通过规范管理，可以保证转移过程桶、袋不破裂，不撒漏，避免危废泄漏或撒漏对周边环境造成影响。在事故状态下，可能导致危险废物转运过程散落对厂区土壤产生一定影响。</w:t>
            </w:r>
          </w:p>
          <w:p w14:paraId="5FC036BC">
            <w:pPr>
              <w:keepNext w:val="0"/>
              <w:keepLines w:val="0"/>
              <w:suppressLineNumbers w:val="0"/>
              <w:spacing w:before="0" w:beforeAutospacing="0" w:after="0" w:afterAutospacing="0"/>
              <w:ind w:left="0" w:right="0" w:firstLine="480"/>
              <w:jc w:val="both"/>
              <w:rPr>
                <w:rFonts w:hint="default"/>
                <w:color w:val="auto"/>
              </w:rPr>
            </w:pPr>
            <w:r>
              <w:rPr>
                <w:rFonts w:hint="default"/>
                <w:color w:val="auto"/>
              </w:rPr>
              <w:t>危险废物外运时严格按照国家环境保护总局令第5号文件《危险废物转移联单管理办法》的相关规定报批危险废物转移计划，转移危险废物时按照规定填报危险废物转移联单，并向危险废物移出地和接受地的县级以上地方人民政府环境保护行政主管部门报告。按照《危险货物道路安全管理办法》的相关规定，托运人在托运危险货物时，应当向承运人提交电子或者纸质形式的危险货物托运清单。危险货物托运清单应当载明危险货物的托运人、承运人、收货人、装货人、始发地、目的地、危险货物的类别、项别、品名、编号、包装及规格、数量、应急联系电话等信息，以及危险货物危险特性、运输注意事项、急救措施、消防措施、泄漏应急处置、次生环境污染处置措施等信息。</w:t>
            </w:r>
          </w:p>
          <w:p w14:paraId="05090261">
            <w:pPr>
              <w:keepNext w:val="0"/>
              <w:keepLines w:val="0"/>
              <w:suppressLineNumbers w:val="0"/>
              <w:spacing w:before="0" w:beforeAutospacing="0" w:after="0" w:afterAutospacing="0"/>
              <w:ind w:left="0" w:right="0" w:firstLine="480"/>
              <w:jc w:val="both"/>
              <w:rPr>
                <w:rFonts w:hint="default"/>
                <w:color w:val="auto"/>
              </w:rPr>
            </w:pPr>
            <w:r>
              <w:rPr>
                <w:rFonts w:hint="default"/>
                <w:color w:val="auto"/>
              </w:rPr>
              <w:t>厂外运输由</w:t>
            </w:r>
            <w:r>
              <w:rPr>
                <w:rFonts w:hint="eastAsia"/>
                <w:color w:val="auto"/>
              </w:rPr>
              <w:t>取</w:t>
            </w:r>
            <w:r>
              <w:rPr>
                <w:rFonts w:hint="default"/>
                <w:color w:val="auto"/>
              </w:rPr>
              <w:t>得危险货物运输资质的单位承担，按照《道路危险货物运输管理规定》</w:t>
            </w:r>
            <w:r>
              <w:rPr>
                <w:rFonts w:hint="eastAsia"/>
                <w:color w:val="auto"/>
                <w:lang w:eastAsia="zh-CN"/>
              </w:rPr>
              <w:t>（</w:t>
            </w:r>
            <w:r>
              <w:rPr>
                <w:rFonts w:hint="default"/>
                <w:color w:val="auto"/>
              </w:rPr>
              <w:t>交通部令2013年第2号</w:t>
            </w:r>
            <w:r>
              <w:rPr>
                <w:rFonts w:hint="eastAsia"/>
                <w:color w:val="auto"/>
                <w:lang w:eastAsia="zh-CN"/>
              </w:rPr>
              <w:t>）</w:t>
            </w:r>
            <w:r>
              <w:rPr>
                <w:rFonts w:hint="default"/>
                <w:color w:val="auto"/>
              </w:rPr>
              <w:t>、JT617以及JT618相关要求执行制定了运输路线。运输过程中做到密闭，沿途不抛洒，应有明显的标志，并有防雨、防晒等设施，同时应配备全球卫星定位事故报警装置</w:t>
            </w:r>
            <w:r>
              <w:rPr>
                <w:rFonts w:hint="eastAsia"/>
                <w:color w:val="auto"/>
              </w:rPr>
              <w:t>。</w:t>
            </w:r>
          </w:p>
          <w:p w14:paraId="0D3D9B57">
            <w:pPr>
              <w:keepNext w:val="0"/>
              <w:keepLines w:val="0"/>
              <w:suppressLineNumbers w:val="0"/>
              <w:bidi w:val="0"/>
              <w:spacing w:before="0" w:beforeAutospacing="0" w:after="0" w:afterAutospacing="0"/>
              <w:ind w:left="0" w:right="0"/>
              <w:rPr>
                <w:rFonts w:hint="eastAsia"/>
                <w:b/>
                <w:bCs/>
                <w:color w:val="auto"/>
              </w:rPr>
            </w:pPr>
            <w:r>
              <w:rPr>
                <w:rFonts w:hint="eastAsia"/>
                <w:b/>
                <w:bCs/>
                <w:color w:val="auto"/>
                <w:lang w:val="en-US" w:eastAsia="zh-CN"/>
              </w:rPr>
              <w:t>5）</w:t>
            </w:r>
            <w:r>
              <w:rPr>
                <w:rFonts w:hint="default"/>
                <w:b/>
                <w:bCs/>
                <w:color w:val="auto"/>
              </w:rPr>
              <w:t>环境管理要求</w:t>
            </w:r>
            <w:r>
              <w:rPr>
                <w:rFonts w:hint="eastAsia"/>
                <w:b/>
                <w:bCs/>
                <w:color w:val="auto"/>
              </w:rPr>
              <w:t>：</w:t>
            </w:r>
          </w:p>
          <w:p w14:paraId="69E996A9">
            <w:pPr>
              <w:keepNext w:val="0"/>
              <w:keepLines w:val="0"/>
              <w:suppressLineNumbers w:val="0"/>
              <w:bidi w:val="0"/>
              <w:spacing w:before="0" w:beforeAutospacing="0" w:after="0" w:afterAutospacing="0"/>
              <w:ind w:left="0" w:right="0"/>
              <w:rPr>
                <w:rFonts w:hint="default"/>
                <w:color w:val="auto"/>
              </w:rPr>
            </w:pPr>
            <w:r>
              <w:rPr>
                <w:rFonts w:hint="default"/>
                <w:color w:val="auto"/>
              </w:rPr>
              <w:t>针对本项目正常运行阶段所产生的危险废物的日常管理提出要求：</w:t>
            </w:r>
          </w:p>
          <w:p w14:paraId="6F6EF005">
            <w:pPr>
              <w:keepNext w:val="0"/>
              <w:keepLines w:val="0"/>
              <w:suppressLineNumbers w:val="0"/>
              <w:bidi w:val="0"/>
              <w:spacing w:before="0" w:beforeAutospacing="0" w:after="0" w:afterAutospacing="0"/>
              <w:ind w:left="0" w:right="0"/>
              <w:rPr>
                <w:rFonts w:hint="default"/>
                <w:color w:val="auto"/>
              </w:rPr>
            </w:pPr>
            <w:r>
              <w:rPr>
                <w:rFonts w:hint="eastAsia"/>
                <w:color w:val="auto"/>
                <w:lang w:val="en-US" w:eastAsia="zh-CN"/>
              </w:rPr>
              <w:t>①</w:t>
            </w:r>
            <w:r>
              <w:rPr>
                <w:rFonts w:hint="default"/>
                <w:color w:val="auto"/>
              </w:rPr>
              <w:t>履行申报登记制度；</w:t>
            </w:r>
          </w:p>
          <w:p w14:paraId="593938A8">
            <w:pPr>
              <w:keepNext w:val="0"/>
              <w:keepLines w:val="0"/>
              <w:suppressLineNumbers w:val="0"/>
              <w:bidi w:val="0"/>
              <w:spacing w:before="0" w:beforeAutospacing="0" w:after="0" w:afterAutospacing="0"/>
              <w:ind w:left="0" w:right="0"/>
              <w:rPr>
                <w:rFonts w:hint="default"/>
                <w:color w:val="auto"/>
              </w:rPr>
            </w:pPr>
            <w:r>
              <w:rPr>
                <w:rFonts w:hint="eastAsia"/>
                <w:color w:val="auto"/>
                <w:lang w:val="en-US" w:eastAsia="zh-CN"/>
              </w:rPr>
              <w:t>②</w:t>
            </w:r>
            <w:r>
              <w:rPr>
                <w:rFonts w:hint="default"/>
                <w:color w:val="auto"/>
              </w:rPr>
              <w:t>建立台账管理制度，企业须做好危险废物情况的记录，记录上需注明危险废物的名称、来源、数量、特性和包装容器的类别；</w:t>
            </w:r>
          </w:p>
          <w:p w14:paraId="4CD24D41">
            <w:pPr>
              <w:keepNext w:val="0"/>
              <w:keepLines w:val="0"/>
              <w:suppressLineNumbers w:val="0"/>
              <w:bidi w:val="0"/>
              <w:spacing w:before="0" w:beforeAutospacing="0" w:after="0" w:afterAutospacing="0"/>
              <w:ind w:left="0" w:right="0"/>
              <w:rPr>
                <w:rFonts w:hint="default"/>
                <w:color w:val="auto"/>
              </w:rPr>
            </w:pPr>
            <w:r>
              <w:rPr>
                <w:rFonts w:hint="eastAsia"/>
                <w:color w:val="auto"/>
                <w:lang w:val="en-US" w:eastAsia="zh-CN"/>
              </w:rPr>
              <w:t>③</w:t>
            </w:r>
            <w:r>
              <w:rPr>
                <w:rFonts w:hint="default"/>
                <w:color w:val="auto"/>
              </w:rPr>
              <w:t>委托处置应执行报批和转移联单等制度；</w:t>
            </w:r>
          </w:p>
          <w:p w14:paraId="7379D8A9">
            <w:pPr>
              <w:keepNext w:val="0"/>
              <w:keepLines w:val="0"/>
              <w:suppressLineNumbers w:val="0"/>
              <w:bidi w:val="0"/>
              <w:spacing w:before="0" w:beforeAutospacing="0" w:after="0" w:afterAutospacing="0"/>
              <w:ind w:left="0" w:right="0"/>
              <w:rPr>
                <w:rFonts w:hint="default"/>
                <w:color w:val="auto"/>
              </w:rPr>
            </w:pPr>
            <w:r>
              <w:rPr>
                <w:rFonts w:hint="eastAsia"/>
                <w:color w:val="auto"/>
                <w:lang w:val="en-US" w:eastAsia="zh-CN"/>
              </w:rPr>
              <w:t>④</w:t>
            </w:r>
            <w:r>
              <w:rPr>
                <w:rFonts w:hint="default"/>
                <w:color w:val="auto"/>
              </w:rPr>
              <w:t>定期对暂存的危险废物包装容器及贮存设施进行检查，及早发现破损，及时采取措施清理更换；</w:t>
            </w:r>
          </w:p>
          <w:p w14:paraId="33994167">
            <w:pPr>
              <w:keepNext w:val="0"/>
              <w:keepLines w:val="0"/>
              <w:suppressLineNumbers w:val="0"/>
              <w:bidi w:val="0"/>
              <w:spacing w:before="0" w:beforeAutospacing="0" w:after="0" w:afterAutospacing="0"/>
              <w:ind w:left="0" w:right="0"/>
              <w:rPr>
                <w:rFonts w:hint="default"/>
                <w:color w:val="auto"/>
              </w:rPr>
            </w:pPr>
            <w:r>
              <w:rPr>
                <w:rFonts w:hint="eastAsia"/>
                <w:color w:val="auto"/>
                <w:lang w:val="en-US" w:eastAsia="zh-CN"/>
              </w:rPr>
              <w:t>⑤</w:t>
            </w:r>
            <w:r>
              <w:rPr>
                <w:rFonts w:hint="default"/>
                <w:color w:val="auto"/>
              </w:rPr>
              <w:t>直接从事收集、贮存、运输、利用、处置危险废物的人员，应当接受专业培训，经考核合格，方可从事该项工作。</w:t>
            </w:r>
          </w:p>
          <w:p w14:paraId="4A9AEC8E">
            <w:pPr>
              <w:keepNext w:val="0"/>
              <w:keepLines w:val="0"/>
              <w:suppressLineNumbers w:val="0"/>
              <w:bidi w:val="0"/>
              <w:spacing w:before="0" w:beforeAutospacing="0" w:after="0" w:afterAutospacing="0"/>
              <w:ind w:left="0" w:right="0"/>
              <w:rPr>
                <w:rFonts w:hint="default"/>
                <w:color w:val="auto"/>
              </w:rPr>
            </w:pPr>
            <w:r>
              <w:rPr>
                <w:rFonts w:hint="eastAsia"/>
                <w:color w:val="auto"/>
                <w:lang w:val="en-US" w:eastAsia="zh-CN"/>
              </w:rPr>
              <w:t>⑥</w:t>
            </w:r>
            <w:r>
              <w:rPr>
                <w:rFonts w:hint="default"/>
                <w:color w:val="auto"/>
              </w:rPr>
              <w:t>固废贮存（处置）场所规范化设置，固体废物贮存</w:t>
            </w:r>
            <w:r>
              <w:rPr>
                <w:rFonts w:hint="eastAsia"/>
                <w:color w:val="auto"/>
                <w:lang w:eastAsia="zh-CN"/>
              </w:rPr>
              <w:t>（</w:t>
            </w:r>
            <w:r>
              <w:rPr>
                <w:rFonts w:hint="default"/>
                <w:color w:val="auto"/>
              </w:rPr>
              <w:t>处置</w:t>
            </w:r>
            <w:r>
              <w:rPr>
                <w:rFonts w:hint="eastAsia"/>
                <w:color w:val="auto"/>
                <w:lang w:eastAsia="zh-CN"/>
              </w:rPr>
              <w:t>）</w:t>
            </w:r>
            <w:r>
              <w:rPr>
                <w:rFonts w:hint="default"/>
                <w:color w:val="auto"/>
              </w:rPr>
              <w:t>场所应在醒目处设置标志牌。</w:t>
            </w:r>
          </w:p>
          <w:p w14:paraId="782623B7">
            <w:pPr>
              <w:keepNext w:val="0"/>
              <w:keepLines w:val="0"/>
              <w:suppressLineNumbers w:val="0"/>
              <w:bidi w:val="0"/>
              <w:spacing w:before="0" w:beforeAutospacing="0" w:after="0" w:afterAutospacing="0"/>
              <w:ind w:left="0" w:right="0"/>
              <w:rPr>
                <w:rFonts w:hint="default"/>
                <w:color w:val="auto"/>
              </w:rPr>
            </w:pPr>
            <w:r>
              <w:rPr>
                <w:rFonts w:hint="eastAsia"/>
                <w:color w:val="auto"/>
                <w:lang w:val="en-US" w:eastAsia="zh-CN"/>
              </w:rPr>
              <w:t>⑦</w:t>
            </w:r>
            <w:r>
              <w:rPr>
                <w:rFonts w:hint="default"/>
                <w:color w:val="auto"/>
              </w:rPr>
              <w:t>危废应根据其化学特性选择合适的容器和存放地点，通过密闭容器存放，不可混合贮存，容器标签必须标明废物种类、贮存时间，定期处理。</w:t>
            </w:r>
          </w:p>
          <w:p w14:paraId="02313069">
            <w:pPr>
              <w:keepNext w:val="0"/>
              <w:keepLines w:val="0"/>
              <w:suppressLineNumbers w:val="0"/>
              <w:bidi w:val="0"/>
              <w:spacing w:before="0" w:beforeAutospacing="0" w:after="0" w:afterAutospacing="0"/>
              <w:ind w:left="0" w:right="0"/>
              <w:rPr>
                <w:rFonts w:hint="default"/>
                <w:color w:val="auto"/>
              </w:rPr>
            </w:pPr>
            <w:r>
              <w:rPr>
                <w:rFonts w:hint="eastAsia"/>
                <w:color w:val="auto"/>
                <w:lang w:val="en-US" w:eastAsia="zh-CN"/>
              </w:rPr>
              <w:t>⑧</w:t>
            </w:r>
            <w:r>
              <w:rPr>
                <w:rFonts w:hint="default"/>
                <w:color w:val="auto"/>
              </w:rPr>
              <w:t>危险废物产生单位在关键位置设置在线视频监控，企业应指定专人专职维护视频监控设施运行，定期巡视并做好相应的监控运行、维修、使用记录，保持摄像头表面整洁干净、监控拍摄位置正确、监控设施完好无损，确保视频传输图像清晰、监控设备正常稳定运行。</w:t>
            </w:r>
          </w:p>
          <w:p w14:paraId="16ECE09B">
            <w:pPr>
              <w:keepNext w:val="0"/>
              <w:keepLines w:val="0"/>
              <w:suppressLineNumbers w:val="0"/>
              <w:bidi w:val="0"/>
              <w:spacing w:before="0" w:beforeAutospacing="0" w:after="0" w:afterAutospacing="0"/>
              <w:ind w:left="0" w:right="0"/>
              <w:rPr>
                <w:rFonts w:hint="default"/>
                <w:color w:val="auto"/>
                <w:sz w:val="24"/>
                <w:szCs w:val="24"/>
              </w:rPr>
            </w:pPr>
            <w:r>
              <w:rPr>
                <w:rFonts w:hint="eastAsia"/>
                <w:color w:val="auto"/>
                <w:spacing w:val="-2"/>
                <w:sz w:val="24"/>
                <w:szCs w:val="24"/>
                <w:lang w:val="en-US" w:eastAsia="zh-CN"/>
              </w:rPr>
              <w:t>⑨</w:t>
            </w:r>
            <w:r>
              <w:rPr>
                <w:rFonts w:hint="default"/>
                <w:color w:val="auto"/>
                <w:spacing w:val="-2"/>
                <w:sz w:val="24"/>
                <w:szCs w:val="24"/>
              </w:rPr>
              <w:t>应急预案</w:t>
            </w:r>
          </w:p>
          <w:p w14:paraId="59045251">
            <w:pPr>
              <w:keepNext w:val="0"/>
              <w:keepLines w:val="0"/>
              <w:suppressLineNumbers w:val="0"/>
              <w:bidi w:val="0"/>
              <w:spacing w:before="0" w:beforeAutospacing="0" w:after="0" w:afterAutospacing="0"/>
              <w:ind w:left="0" w:right="0"/>
              <w:rPr>
                <w:rFonts w:hint="eastAsia"/>
                <w:color w:val="auto"/>
              </w:rPr>
            </w:pPr>
            <w:r>
              <w:rPr>
                <w:rFonts w:hint="default"/>
                <w:color w:val="auto"/>
              </w:rPr>
              <w:t>根据企业危险废物产生单位的地理位置、产生危险废物的类别、数量、危害特性、内部管理架构等情况制订危险废物环境应急预案，提高对危险废物环境突发事件的快速反应与处理能力。绘制厂区周边地理位置示意图、标明单位的地理位置、危险废物贮存设施和场所的位置以及周边的道路、河流和环境敏感点信息，并在显著位置张贴。企业应定期组织危险废物突发事件应急演练。</w:t>
            </w:r>
          </w:p>
          <w:p w14:paraId="1EDC27A8">
            <w:pPr>
              <w:keepNext w:val="0"/>
              <w:keepLines w:val="0"/>
              <w:suppressLineNumbers w:val="0"/>
              <w:bidi w:val="0"/>
              <w:spacing w:before="0" w:beforeAutospacing="0" w:after="0" w:afterAutospacing="0"/>
              <w:ind w:left="0" w:right="0"/>
              <w:rPr>
                <w:rFonts w:hint="default"/>
                <w:color w:val="auto"/>
              </w:rPr>
            </w:pPr>
            <w:r>
              <w:rPr>
                <w:rFonts w:hint="default"/>
                <w:color w:val="auto"/>
              </w:rPr>
              <w:t>建设项目强化废物产生、收集、贮运各环节的管理，杜绝固废在厂区内的散失、渗漏。做好固体废物在厂区内的收集和储存相关防护工作，收集后进行有效处置。</w:t>
            </w:r>
            <w:r>
              <w:rPr>
                <w:rFonts w:hint="eastAsia"/>
                <w:color w:val="auto"/>
              </w:rPr>
              <w:t>应定期检查危险废物的贮存状况，及时清理贮存设施地面，更换破损泄漏的危险废物贮存容器和包装物，保证堆存危险废物的防雨、防风、防扬尘等设施功能完好。配备合适的应急处理设备</w:t>
            </w:r>
            <w:r>
              <w:rPr>
                <w:rFonts w:hint="eastAsia"/>
                <w:color w:val="auto"/>
                <w:lang w:eastAsia="zh-CN"/>
              </w:rPr>
              <w:t>，</w:t>
            </w:r>
            <w:r>
              <w:rPr>
                <w:rFonts w:hint="eastAsia"/>
                <w:color w:val="auto"/>
              </w:rPr>
              <w:t>安装防渗漏托盘</w:t>
            </w:r>
            <w:r>
              <w:rPr>
                <w:rFonts w:hint="default"/>
                <w:color w:val="auto"/>
              </w:rPr>
              <w:t>建立完善的规章制度，以降低固体废物散落对周围环境的影响。</w:t>
            </w:r>
          </w:p>
          <w:p w14:paraId="1E35AD01">
            <w:pPr>
              <w:keepNext w:val="0"/>
              <w:keepLines w:val="0"/>
              <w:suppressLineNumbers w:val="0"/>
              <w:bidi w:val="0"/>
              <w:spacing w:before="0" w:beforeAutospacing="0" w:after="0" w:afterAutospacing="0"/>
              <w:ind w:left="0" w:right="0"/>
              <w:rPr>
                <w:rFonts w:hint="default"/>
                <w:color w:val="auto"/>
              </w:rPr>
            </w:pPr>
            <w:r>
              <w:rPr>
                <w:rFonts w:hint="default"/>
                <w:color w:val="auto"/>
              </w:rPr>
              <w:t>综上所述，经采取上述措施后，本项目固废均可得到有效处置，处置率100%，符合环保要求，不会对周围环境造成不良影响。</w:t>
            </w:r>
          </w:p>
          <w:p w14:paraId="3AE45310">
            <w:pPr>
              <w:keepNext w:val="0"/>
              <w:keepLines w:val="0"/>
              <w:suppressLineNumbers w:val="0"/>
              <w:bidi w:val="0"/>
              <w:spacing w:before="0" w:beforeAutospacing="0" w:after="0" w:afterAutospacing="0"/>
              <w:ind w:left="0" w:right="0"/>
              <w:rPr>
                <w:rFonts w:hint="default"/>
                <w:b/>
                <w:bCs/>
                <w:color w:val="auto"/>
              </w:rPr>
            </w:pPr>
            <w:r>
              <w:rPr>
                <w:rFonts w:hint="eastAsia"/>
                <w:b/>
                <w:bCs/>
                <w:color w:val="auto"/>
              </w:rPr>
              <w:t>五、地下水及土壤</w:t>
            </w:r>
          </w:p>
          <w:p w14:paraId="218BD95F">
            <w:pPr>
              <w:keepNext w:val="0"/>
              <w:keepLines w:val="0"/>
              <w:suppressLineNumbers w:val="0"/>
              <w:bidi w:val="0"/>
              <w:spacing w:before="0" w:beforeAutospacing="0" w:after="0" w:afterAutospacing="0"/>
              <w:ind w:left="0" w:right="0"/>
              <w:rPr>
                <w:rFonts w:hint="default"/>
                <w:b/>
                <w:bCs/>
                <w:color w:val="auto"/>
              </w:rPr>
            </w:pPr>
            <w:r>
              <w:rPr>
                <w:rFonts w:hint="default"/>
                <w:b/>
                <w:bCs/>
                <w:color w:val="auto"/>
              </w:rPr>
              <w:t>1、地下水、土壤污染源分析</w:t>
            </w:r>
          </w:p>
          <w:p w14:paraId="0330AB3E">
            <w:pPr>
              <w:keepNext w:val="0"/>
              <w:keepLines w:val="0"/>
              <w:suppressLineNumbers w:val="0"/>
              <w:spacing w:before="0" w:beforeAutospacing="0" w:after="0" w:afterAutospacing="0"/>
              <w:ind w:left="0" w:right="0" w:firstLine="480"/>
              <w:jc w:val="both"/>
              <w:rPr>
                <w:rFonts w:hint="default"/>
                <w:color w:val="auto"/>
                <w:lang w:val="en-US" w:eastAsia="zh-CN"/>
              </w:rPr>
            </w:pPr>
            <w:r>
              <w:rPr>
                <w:rFonts w:hint="default"/>
                <w:color w:val="auto"/>
              </w:rPr>
              <w:t>本项目</w:t>
            </w:r>
            <w:r>
              <w:rPr>
                <w:rFonts w:hint="eastAsia"/>
                <w:color w:val="auto"/>
              </w:rPr>
              <w:t>依托</w:t>
            </w:r>
            <w:r>
              <w:rPr>
                <w:rFonts w:hint="eastAsia"/>
                <w:color w:val="auto"/>
                <w:lang w:val="en-US" w:eastAsia="zh-CN"/>
              </w:rPr>
              <w:t>厂区</w:t>
            </w:r>
            <w:r>
              <w:rPr>
                <w:rFonts w:hint="eastAsia"/>
                <w:color w:val="auto"/>
              </w:rPr>
              <w:t>现有</w:t>
            </w:r>
            <w:r>
              <w:rPr>
                <w:rFonts w:hint="default"/>
                <w:color w:val="auto"/>
              </w:rPr>
              <w:t>完整的</w:t>
            </w:r>
            <w:r>
              <w:rPr>
                <w:rFonts w:hint="eastAsia"/>
                <w:color w:val="auto"/>
                <w:lang w:eastAsia="zh-CN"/>
              </w:rPr>
              <w:t>“</w:t>
            </w:r>
            <w:r>
              <w:rPr>
                <w:rFonts w:hint="default"/>
                <w:color w:val="auto"/>
              </w:rPr>
              <w:t>雨污分流、清污分流</w:t>
            </w:r>
            <w:r>
              <w:rPr>
                <w:rFonts w:hint="eastAsia"/>
                <w:color w:val="auto"/>
                <w:lang w:eastAsia="zh-CN"/>
              </w:rPr>
              <w:t>”</w:t>
            </w:r>
            <w:r>
              <w:rPr>
                <w:rFonts w:hint="default"/>
                <w:color w:val="auto"/>
              </w:rPr>
              <w:t>排水系统，雨水排入雨水管网。生活污水经化粪池预处理</w:t>
            </w:r>
            <w:r>
              <w:rPr>
                <w:rFonts w:hint="eastAsia"/>
                <w:color w:val="auto"/>
                <w:lang w:val="en-US" w:eastAsia="zh-CN"/>
              </w:rPr>
              <w:t>后经园区污水管网</w:t>
            </w:r>
            <w:r>
              <w:rPr>
                <w:rFonts w:hint="default"/>
                <w:color w:val="auto"/>
              </w:rPr>
              <w:t>接管</w:t>
            </w:r>
            <w:r>
              <w:rPr>
                <w:rFonts w:hint="eastAsia"/>
                <w:color w:val="auto"/>
                <w:lang w:val="en-US" w:eastAsia="zh-CN"/>
              </w:rPr>
              <w:t>至淮南市八公山污水处理厂，破碎废水经絮凝沉淀池处理后回用不外排。</w:t>
            </w:r>
          </w:p>
          <w:p w14:paraId="64AA695C">
            <w:pPr>
              <w:keepNext w:val="0"/>
              <w:keepLines w:val="0"/>
              <w:suppressLineNumbers w:val="0"/>
              <w:bidi w:val="0"/>
              <w:spacing w:before="0" w:beforeAutospacing="0" w:after="0" w:afterAutospacing="0"/>
              <w:ind w:left="0" w:right="0"/>
              <w:rPr>
                <w:rFonts w:hint="eastAsia"/>
                <w:color w:val="auto"/>
                <w:spacing w:val="-3"/>
                <w:lang w:eastAsia="zh-CN"/>
              </w:rPr>
            </w:pPr>
            <w:r>
              <w:rPr>
                <w:rFonts w:hint="default"/>
                <w:color w:val="auto"/>
                <w:spacing w:val="-3"/>
              </w:rPr>
              <w:t>本项目生产过程中对地下水和土壤的潜在污染源</w:t>
            </w:r>
            <w:r>
              <w:rPr>
                <w:rFonts w:hint="eastAsia"/>
                <w:color w:val="auto"/>
                <w:spacing w:val="-3"/>
                <w:lang w:val="en-US" w:eastAsia="zh-CN"/>
              </w:rPr>
              <w:t>主要为拆解过程中废液压油泄漏、废铅蓄电池破损、危废暂存间危废泄漏、絮凝沉淀池破碎废水泄漏。项目土壤及地下水</w:t>
            </w:r>
            <w:r>
              <w:rPr>
                <w:rFonts w:hint="default"/>
                <w:color w:val="auto"/>
                <w:spacing w:val="-3"/>
              </w:rPr>
              <w:t>影响途径</w:t>
            </w:r>
            <w:r>
              <w:rPr>
                <w:rFonts w:hint="eastAsia"/>
                <w:color w:val="auto"/>
                <w:spacing w:val="-3"/>
                <w:lang w:val="en-US" w:eastAsia="zh-CN"/>
              </w:rPr>
              <w:t>见</w:t>
            </w:r>
            <w:r>
              <w:rPr>
                <w:rFonts w:hint="default"/>
                <w:color w:val="auto"/>
                <w:spacing w:val="-3"/>
              </w:rPr>
              <w:t>下表</w:t>
            </w:r>
            <w:r>
              <w:rPr>
                <w:rFonts w:hint="eastAsia"/>
                <w:color w:val="auto"/>
                <w:spacing w:val="-3"/>
                <w:lang w:eastAsia="zh-CN"/>
              </w:rPr>
              <w:t>。</w:t>
            </w:r>
          </w:p>
          <w:p w14:paraId="7561F818">
            <w:pPr>
              <w:pStyle w:val="43"/>
              <w:keepNext w:val="0"/>
              <w:keepLines w:val="0"/>
              <w:suppressLineNumbers w:val="0"/>
              <w:bidi w:val="0"/>
              <w:spacing w:before="0" w:beforeAutospacing="0" w:after="0" w:afterAutospacing="0"/>
              <w:ind w:left="0" w:right="0"/>
              <w:rPr>
                <w:rFonts w:hint="default" w:ascii="Times New Roman" w:hAnsi="Times New Roman" w:eastAsia="宋体" w:cs="Times New Roman"/>
                <w:color w:val="auto"/>
                <w:lang w:val="en-US" w:eastAsia="zh-CN"/>
              </w:rPr>
            </w:pPr>
            <w:r>
              <w:rPr>
                <w:rFonts w:hint="eastAsia"/>
                <w:color w:val="auto"/>
                <w:lang w:val="en-US" w:eastAsia="zh-CN"/>
              </w:rPr>
              <w:t xml:space="preserve">表4-22  </w:t>
            </w:r>
            <w:r>
              <w:rPr>
                <w:rFonts w:hint="eastAsia" w:ascii="Times New Roman" w:hAnsi="Times New Roman" w:eastAsia="宋体" w:cs="Times New Roman"/>
                <w:color w:val="auto"/>
                <w:lang w:val="en-US" w:eastAsia="zh-CN"/>
              </w:rPr>
              <w:t>地下水、土壤潜在污染源及其影响途径一览表</w:t>
            </w:r>
          </w:p>
          <w:tbl>
            <w:tblPr>
              <w:tblStyle w:val="2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603"/>
              <w:gridCol w:w="3120"/>
              <w:gridCol w:w="3132"/>
            </w:tblGrid>
            <w:tr w14:paraId="73A5E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603" w:type="dxa"/>
                  <w:shd w:val="clear" w:color="auto" w:fill="auto"/>
                  <w:vAlign w:val="center"/>
                </w:tcPr>
                <w:p w14:paraId="2BDBE517">
                  <w:pPr>
                    <w:pStyle w:val="46"/>
                    <w:keepNext w:val="0"/>
                    <w:keepLines w:val="0"/>
                    <w:pageBreakBefore w:val="0"/>
                    <w:widowControl w:val="0"/>
                    <w:suppressLineNumbers w:val="0"/>
                    <w:kinsoku/>
                    <w:wordWrap w:val="0"/>
                    <w:overflowPunct/>
                    <w:topLinePunct w:val="0"/>
                    <w:autoSpaceDE/>
                    <w:autoSpaceDN/>
                    <w:bidi w:val="0"/>
                    <w:adjustRightInd/>
                    <w:snapToGrid w:val="0"/>
                    <w:spacing w:before="0" w:beforeAutospacing="0" w:after="0" w:afterAutospacing="0"/>
                    <w:jc w:val="center"/>
                    <w:textAlignment w:val="auto"/>
                    <w:rPr>
                      <w:rFonts w:hint="eastAsia"/>
                      <w:b/>
                      <w:bCs/>
                      <w:color w:val="auto"/>
                      <w:lang w:val="en-US" w:eastAsia="zh-CN"/>
                    </w:rPr>
                  </w:pPr>
                  <w:r>
                    <w:rPr>
                      <w:b/>
                      <w:bCs/>
                      <w:color w:val="auto"/>
                    </w:rPr>
                    <w:t>区域</w:t>
                  </w:r>
                </w:p>
              </w:tc>
              <w:tc>
                <w:tcPr>
                  <w:tcW w:w="3120" w:type="dxa"/>
                  <w:shd w:val="clear" w:color="auto" w:fill="auto"/>
                  <w:vAlign w:val="center"/>
                </w:tcPr>
                <w:p w14:paraId="37B79022">
                  <w:pPr>
                    <w:pStyle w:val="46"/>
                    <w:keepNext w:val="0"/>
                    <w:keepLines w:val="0"/>
                    <w:pageBreakBefore w:val="0"/>
                    <w:widowControl w:val="0"/>
                    <w:suppressLineNumbers w:val="0"/>
                    <w:kinsoku/>
                    <w:wordWrap w:val="0"/>
                    <w:overflowPunct/>
                    <w:topLinePunct w:val="0"/>
                    <w:autoSpaceDE/>
                    <w:autoSpaceDN/>
                    <w:bidi w:val="0"/>
                    <w:adjustRightInd/>
                    <w:snapToGrid w:val="0"/>
                    <w:spacing w:before="0" w:beforeAutospacing="0" w:after="0" w:afterAutospacing="0"/>
                    <w:jc w:val="center"/>
                    <w:textAlignment w:val="auto"/>
                    <w:rPr>
                      <w:rFonts w:hint="eastAsia"/>
                      <w:b/>
                      <w:bCs/>
                      <w:color w:val="auto"/>
                      <w:lang w:val="en-US" w:eastAsia="zh-CN"/>
                    </w:rPr>
                  </w:pPr>
                  <w:r>
                    <w:rPr>
                      <w:b/>
                      <w:bCs/>
                      <w:color w:val="auto"/>
                    </w:rPr>
                    <w:t>潜在污染源</w:t>
                  </w:r>
                </w:p>
              </w:tc>
              <w:tc>
                <w:tcPr>
                  <w:tcW w:w="3132" w:type="dxa"/>
                  <w:shd w:val="clear" w:color="auto" w:fill="auto"/>
                  <w:vAlign w:val="center"/>
                </w:tcPr>
                <w:p w14:paraId="1D7A3C6E">
                  <w:pPr>
                    <w:pStyle w:val="46"/>
                    <w:keepNext w:val="0"/>
                    <w:keepLines w:val="0"/>
                    <w:pageBreakBefore w:val="0"/>
                    <w:widowControl w:val="0"/>
                    <w:suppressLineNumbers w:val="0"/>
                    <w:kinsoku/>
                    <w:wordWrap w:val="0"/>
                    <w:overflowPunct/>
                    <w:topLinePunct w:val="0"/>
                    <w:autoSpaceDE/>
                    <w:autoSpaceDN/>
                    <w:bidi w:val="0"/>
                    <w:adjustRightInd/>
                    <w:snapToGrid w:val="0"/>
                    <w:spacing w:before="0" w:beforeAutospacing="0" w:after="0" w:afterAutospacing="0"/>
                    <w:jc w:val="center"/>
                    <w:textAlignment w:val="auto"/>
                    <w:rPr>
                      <w:rFonts w:hint="eastAsia"/>
                      <w:b/>
                      <w:bCs/>
                      <w:color w:val="auto"/>
                      <w:lang w:val="en-US" w:eastAsia="zh-CN"/>
                    </w:rPr>
                  </w:pPr>
                  <w:r>
                    <w:rPr>
                      <w:b/>
                      <w:bCs/>
                      <w:color w:val="auto"/>
                    </w:rPr>
                    <w:t>影响途径</w:t>
                  </w:r>
                </w:p>
              </w:tc>
            </w:tr>
            <w:tr w14:paraId="4BFDE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603" w:type="dxa"/>
                  <w:shd w:val="clear" w:color="auto" w:fill="auto"/>
                  <w:vAlign w:val="center"/>
                </w:tcPr>
                <w:p w14:paraId="0C6847F1">
                  <w:pPr>
                    <w:pStyle w:val="46"/>
                    <w:keepNext w:val="0"/>
                    <w:keepLines w:val="0"/>
                    <w:pageBreakBefore w:val="0"/>
                    <w:widowControl w:val="0"/>
                    <w:suppressLineNumbers w:val="0"/>
                    <w:kinsoku/>
                    <w:wordWrap w:val="0"/>
                    <w:overflowPunct/>
                    <w:topLinePunct w:val="0"/>
                    <w:autoSpaceDE/>
                    <w:autoSpaceDN/>
                    <w:bidi w:val="0"/>
                    <w:adjustRightInd/>
                    <w:snapToGrid w:val="0"/>
                    <w:spacing w:before="0" w:beforeAutospacing="0" w:after="0" w:afterAutospacing="0"/>
                    <w:jc w:val="center"/>
                    <w:textAlignment w:val="auto"/>
                    <w:rPr>
                      <w:rFonts w:hint="default" w:eastAsia="宋体"/>
                      <w:color w:val="auto"/>
                      <w:lang w:val="en-US" w:eastAsia="zh-CN"/>
                    </w:rPr>
                  </w:pPr>
                  <w:r>
                    <w:rPr>
                      <w:rFonts w:hint="eastAsia"/>
                      <w:color w:val="auto"/>
                      <w:lang w:val="en-US" w:eastAsia="zh-CN"/>
                    </w:rPr>
                    <w:t>拆解区</w:t>
                  </w:r>
                </w:p>
              </w:tc>
              <w:tc>
                <w:tcPr>
                  <w:tcW w:w="3120" w:type="dxa"/>
                  <w:shd w:val="clear" w:color="auto" w:fill="auto"/>
                  <w:vAlign w:val="center"/>
                </w:tcPr>
                <w:p w14:paraId="040EAACF">
                  <w:pPr>
                    <w:pStyle w:val="46"/>
                    <w:keepNext w:val="0"/>
                    <w:keepLines w:val="0"/>
                    <w:pageBreakBefore w:val="0"/>
                    <w:widowControl w:val="0"/>
                    <w:suppressLineNumbers w:val="0"/>
                    <w:kinsoku/>
                    <w:wordWrap w:val="0"/>
                    <w:overflowPunct/>
                    <w:topLinePunct w:val="0"/>
                    <w:autoSpaceDE/>
                    <w:autoSpaceDN/>
                    <w:bidi w:val="0"/>
                    <w:adjustRightInd/>
                    <w:snapToGrid w:val="0"/>
                    <w:spacing w:before="0" w:beforeAutospacing="0" w:after="0" w:afterAutospacing="0"/>
                    <w:jc w:val="center"/>
                    <w:textAlignment w:val="auto"/>
                    <w:rPr>
                      <w:rFonts w:hint="default" w:eastAsia="宋体"/>
                      <w:color w:val="auto"/>
                      <w:lang w:val="en-US" w:eastAsia="zh-CN"/>
                    </w:rPr>
                  </w:pPr>
                  <w:r>
                    <w:rPr>
                      <w:rFonts w:hint="eastAsia"/>
                      <w:color w:val="auto"/>
                      <w:lang w:val="en-US" w:eastAsia="zh-CN"/>
                    </w:rPr>
                    <w:t>废液压油、废</w:t>
                  </w:r>
                  <w:r>
                    <w:rPr>
                      <w:rFonts w:hint="eastAsia"/>
                      <w:color w:val="auto"/>
                      <w:spacing w:val="-3"/>
                      <w:lang w:val="en-US" w:eastAsia="zh-CN"/>
                    </w:rPr>
                    <w:t>铅蓄电池</w:t>
                  </w:r>
                </w:p>
              </w:tc>
              <w:tc>
                <w:tcPr>
                  <w:tcW w:w="3132" w:type="dxa"/>
                  <w:shd w:val="clear" w:color="auto" w:fill="auto"/>
                  <w:vAlign w:val="center"/>
                </w:tcPr>
                <w:p w14:paraId="5AC9B5C5">
                  <w:pPr>
                    <w:pStyle w:val="46"/>
                    <w:keepNext w:val="0"/>
                    <w:keepLines w:val="0"/>
                    <w:pageBreakBefore w:val="0"/>
                    <w:widowControl w:val="0"/>
                    <w:suppressLineNumbers w:val="0"/>
                    <w:kinsoku/>
                    <w:wordWrap w:val="0"/>
                    <w:overflowPunct/>
                    <w:topLinePunct w:val="0"/>
                    <w:autoSpaceDE/>
                    <w:autoSpaceDN/>
                    <w:bidi w:val="0"/>
                    <w:adjustRightInd/>
                    <w:snapToGrid w:val="0"/>
                    <w:spacing w:before="0" w:beforeAutospacing="0" w:after="0" w:afterAutospacing="0"/>
                    <w:jc w:val="center"/>
                    <w:textAlignment w:val="auto"/>
                    <w:rPr>
                      <w:rFonts w:hint="eastAsia"/>
                      <w:color w:val="auto"/>
                      <w:lang w:val="en-US" w:eastAsia="zh-CN"/>
                    </w:rPr>
                  </w:pPr>
                  <w:r>
                    <w:rPr>
                      <w:color w:val="auto"/>
                    </w:rPr>
                    <w:t>因泄漏发生垂直下渗影响到土壤和地下水</w:t>
                  </w:r>
                </w:p>
              </w:tc>
            </w:tr>
            <w:tr w14:paraId="23F79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603" w:type="dxa"/>
                  <w:shd w:val="clear" w:color="auto" w:fill="auto"/>
                  <w:vAlign w:val="center"/>
                </w:tcPr>
                <w:p w14:paraId="4B267E6E">
                  <w:pPr>
                    <w:pStyle w:val="46"/>
                    <w:keepNext w:val="0"/>
                    <w:keepLines w:val="0"/>
                    <w:pageBreakBefore w:val="0"/>
                    <w:widowControl w:val="0"/>
                    <w:suppressLineNumbers w:val="0"/>
                    <w:kinsoku/>
                    <w:wordWrap w:val="0"/>
                    <w:overflowPunct/>
                    <w:topLinePunct w:val="0"/>
                    <w:autoSpaceDE/>
                    <w:autoSpaceDN/>
                    <w:bidi w:val="0"/>
                    <w:adjustRightInd/>
                    <w:snapToGrid w:val="0"/>
                    <w:spacing w:before="0" w:beforeAutospacing="0" w:after="0" w:afterAutospacing="0"/>
                    <w:jc w:val="center"/>
                    <w:textAlignment w:val="auto"/>
                    <w:rPr>
                      <w:rFonts w:hint="default"/>
                      <w:color w:val="auto"/>
                      <w:lang w:val="en-US" w:eastAsia="zh-CN"/>
                    </w:rPr>
                  </w:pPr>
                  <w:r>
                    <w:rPr>
                      <w:rFonts w:hint="eastAsia"/>
                      <w:color w:val="auto"/>
                      <w:lang w:val="en-US" w:eastAsia="zh-CN"/>
                    </w:rPr>
                    <w:t>絮凝沉淀池</w:t>
                  </w:r>
                </w:p>
              </w:tc>
              <w:tc>
                <w:tcPr>
                  <w:tcW w:w="3120" w:type="dxa"/>
                  <w:shd w:val="clear" w:color="auto" w:fill="auto"/>
                  <w:vAlign w:val="center"/>
                </w:tcPr>
                <w:p w14:paraId="1BFDFC1C">
                  <w:pPr>
                    <w:pStyle w:val="46"/>
                    <w:keepNext w:val="0"/>
                    <w:keepLines w:val="0"/>
                    <w:pageBreakBefore w:val="0"/>
                    <w:widowControl w:val="0"/>
                    <w:suppressLineNumbers w:val="0"/>
                    <w:kinsoku/>
                    <w:wordWrap w:val="0"/>
                    <w:overflowPunct/>
                    <w:topLinePunct w:val="0"/>
                    <w:autoSpaceDE/>
                    <w:autoSpaceDN/>
                    <w:bidi w:val="0"/>
                    <w:adjustRightInd/>
                    <w:snapToGrid w:val="0"/>
                    <w:spacing w:before="0" w:beforeAutospacing="0" w:after="0" w:afterAutospacing="0"/>
                    <w:ind w:left="24" w:leftChars="10" w:right="24" w:rightChars="10" w:firstLine="0" w:firstLineChars="0"/>
                    <w:jc w:val="center"/>
                    <w:textAlignment w:val="auto"/>
                    <w:rPr>
                      <w:rFonts w:hint="default" w:ascii="Times New Roman" w:hAnsi="Times New Roman" w:eastAsia="宋体"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破碎废水</w:t>
                  </w:r>
                </w:p>
              </w:tc>
              <w:tc>
                <w:tcPr>
                  <w:tcW w:w="3132" w:type="dxa"/>
                  <w:shd w:val="clear" w:color="auto" w:fill="auto"/>
                  <w:vAlign w:val="center"/>
                </w:tcPr>
                <w:p w14:paraId="5C3E3B87">
                  <w:pPr>
                    <w:pStyle w:val="46"/>
                    <w:keepNext w:val="0"/>
                    <w:keepLines w:val="0"/>
                    <w:pageBreakBefore w:val="0"/>
                    <w:widowControl w:val="0"/>
                    <w:suppressLineNumbers w:val="0"/>
                    <w:kinsoku/>
                    <w:wordWrap w:val="0"/>
                    <w:overflowPunct/>
                    <w:topLinePunct w:val="0"/>
                    <w:autoSpaceDE/>
                    <w:autoSpaceDN/>
                    <w:bidi w:val="0"/>
                    <w:adjustRightInd/>
                    <w:snapToGrid w:val="0"/>
                    <w:spacing w:before="0" w:beforeAutospacing="0" w:after="0" w:afterAutospacing="0"/>
                    <w:ind w:left="24" w:leftChars="10" w:right="24" w:rightChars="10" w:firstLine="0" w:firstLineChars="0"/>
                    <w:jc w:val="center"/>
                    <w:textAlignment w:val="auto"/>
                    <w:rPr>
                      <w:rFonts w:hint="eastAsia" w:ascii="Times New Roman" w:hAnsi="Times New Roman" w:eastAsia="宋体" w:cs="Times New Roman"/>
                      <w:b w:val="0"/>
                      <w:color w:val="auto"/>
                      <w:kern w:val="2"/>
                      <w:sz w:val="21"/>
                      <w:szCs w:val="21"/>
                      <w:lang w:val="en-US" w:eastAsia="zh-CN" w:bidi="ar-SA"/>
                    </w:rPr>
                  </w:pPr>
                  <w:r>
                    <w:rPr>
                      <w:color w:val="auto"/>
                    </w:rPr>
                    <w:t>因</w:t>
                  </w:r>
                  <w:r>
                    <w:rPr>
                      <w:rFonts w:hint="eastAsia"/>
                      <w:color w:val="auto"/>
                      <w:lang w:val="en-US" w:eastAsia="zh-CN"/>
                    </w:rPr>
                    <w:t>废水</w:t>
                  </w:r>
                  <w:r>
                    <w:rPr>
                      <w:color w:val="auto"/>
                    </w:rPr>
                    <w:t>泄漏发生垂直下渗影响到土壤和地下水</w:t>
                  </w:r>
                </w:p>
              </w:tc>
            </w:tr>
            <w:tr w14:paraId="0E87F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603" w:type="dxa"/>
                  <w:shd w:val="clear" w:color="auto" w:fill="auto"/>
                  <w:vAlign w:val="center"/>
                </w:tcPr>
                <w:p w14:paraId="4817478F">
                  <w:pPr>
                    <w:pStyle w:val="46"/>
                    <w:keepNext w:val="0"/>
                    <w:keepLines w:val="0"/>
                    <w:pageBreakBefore w:val="0"/>
                    <w:widowControl w:val="0"/>
                    <w:suppressLineNumbers w:val="0"/>
                    <w:kinsoku/>
                    <w:wordWrap w:val="0"/>
                    <w:overflowPunct/>
                    <w:topLinePunct w:val="0"/>
                    <w:autoSpaceDE/>
                    <w:autoSpaceDN/>
                    <w:bidi w:val="0"/>
                    <w:adjustRightInd/>
                    <w:snapToGrid w:val="0"/>
                    <w:spacing w:before="0" w:beforeAutospacing="0" w:after="0" w:afterAutospacing="0"/>
                    <w:jc w:val="center"/>
                    <w:textAlignment w:val="auto"/>
                    <w:rPr>
                      <w:rFonts w:hint="default"/>
                      <w:color w:val="auto"/>
                      <w:lang w:val="en-US" w:eastAsia="zh-CN"/>
                    </w:rPr>
                  </w:pPr>
                  <w:r>
                    <w:rPr>
                      <w:rFonts w:hint="eastAsia"/>
                      <w:color w:val="auto"/>
                      <w:lang w:val="en-US" w:eastAsia="zh-CN"/>
                    </w:rPr>
                    <w:t>危废暂存间</w:t>
                  </w:r>
                </w:p>
              </w:tc>
              <w:tc>
                <w:tcPr>
                  <w:tcW w:w="3120" w:type="dxa"/>
                  <w:shd w:val="clear" w:color="auto" w:fill="auto"/>
                  <w:vAlign w:val="center"/>
                </w:tcPr>
                <w:p w14:paraId="1A6FA748">
                  <w:pPr>
                    <w:pStyle w:val="46"/>
                    <w:keepNext w:val="0"/>
                    <w:keepLines w:val="0"/>
                    <w:pageBreakBefore w:val="0"/>
                    <w:widowControl w:val="0"/>
                    <w:suppressLineNumbers w:val="0"/>
                    <w:kinsoku/>
                    <w:wordWrap w:val="0"/>
                    <w:overflowPunct/>
                    <w:topLinePunct w:val="0"/>
                    <w:autoSpaceDE/>
                    <w:autoSpaceDN/>
                    <w:bidi w:val="0"/>
                    <w:adjustRightInd/>
                    <w:snapToGrid w:val="0"/>
                    <w:spacing w:before="0" w:beforeAutospacing="0" w:after="0" w:afterAutospacing="0"/>
                    <w:jc w:val="center"/>
                    <w:textAlignment w:val="auto"/>
                    <w:rPr>
                      <w:rFonts w:hint="eastAsia"/>
                      <w:color w:val="auto"/>
                      <w:lang w:val="en-US" w:eastAsia="zh-CN"/>
                    </w:rPr>
                  </w:pPr>
                  <w:r>
                    <w:rPr>
                      <w:color w:val="auto"/>
                    </w:rPr>
                    <w:t>危险废物</w:t>
                  </w:r>
                </w:p>
              </w:tc>
              <w:tc>
                <w:tcPr>
                  <w:tcW w:w="3132" w:type="dxa"/>
                  <w:shd w:val="clear" w:color="auto" w:fill="auto"/>
                  <w:vAlign w:val="center"/>
                </w:tcPr>
                <w:p w14:paraId="611A9531">
                  <w:pPr>
                    <w:pStyle w:val="46"/>
                    <w:keepNext w:val="0"/>
                    <w:keepLines w:val="0"/>
                    <w:pageBreakBefore w:val="0"/>
                    <w:widowControl w:val="0"/>
                    <w:suppressLineNumbers w:val="0"/>
                    <w:kinsoku/>
                    <w:wordWrap w:val="0"/>
                    <w:overflowPunct/>
                    <w:topLinePunct w:val="0"/>
                    <w:autoSpaceDE/>
                    <w:autoSpaceDN/>
                    <w:bidi w:val="0"/>
                    <w:adjustRightInd/>
                    <w:snapToGrid w:val="0"/>
                    <w:spacing w:before="0" w:beforeAutospacing="0" w:after="0" w:afterAutospacing="0"/>
                    <w:jc w:val="center"/>
                    <w:textAlignment w:val="auto"/>
                    <w:rPr>
                      <w:rFonts w:hint="eastAsia"/>
                      <w:color w:val="auto"/>
                      <w:lang w:val="en-US" w:eastAsia="zh-CN"/>
                    </w:rPr>
                  </w:pPr>
                  <w:r>
                    <w:rPr>
                      <w:color w:val="auto"/>
                    </w:rPr>
                    <w:t>因泄漏而发生垂直下渗或通过地面径流影响到土壤和地下水</w:t>
                  </w:r>
                </w:p>
              </w:tc>
            </w:tr>
          </w:tbl>
          <w:p w14:paraId="50421036">
            <w:pPr>
              <w:keepNext w:val="0"/>
              <w:keepLines w:val="0"/>
              <w:suppressLineNumbers w:val="0"/>
              <w:spacing w:before="0" w:beforeAutospacing="0" w:after="0" w:afterAutospacing="0"/>
              <w:ind w:left="0" w:right="0" w:firstLine="482"/>
              <w:jc w:val="both"/>
              <w:rPr>
                <w:rFonts w:hint="default"/>
                <w:b/>
                <w:color w:val="auto"/>
              </w:rPr>
            </w:pPr>
            <w:r>
              <w:rPr>
                <w:rFonts w:hint="eastAsia"/>
                <w:b/>
                <w:color w:val="auto"/>
              </w:rPr>
              <w:t>2、</w:t>
            </w:r>
            <w:r>
              <w:rPr>
                <w:rFonts w:hint="default"/>
                <w:b/>
                <w:color w:val="auto"/>
              </w:rPr>
              <w:t>污染防治措施</w:t>
            </w:r>
          </w:p>
          <w:p w14:paraId="4108AC76">
            <w:pPr>
              <w:keepNext w:val="0"/>
              <w:keepLines w:val="0"/>
              <w:suppressLineNumbers w:val="0"/>
              <w:spacing w:before="0" w:beforeAutospacing="0" w:after="0" w:afterAutospacing="0"/>
              <w:ind w:left="0" w:right="0" w:firstLine="482"/>
              <w:jc w:val="both"/>
              <w:rPr>
                <w:rFonts w:hint="default"/>
                <w:b/>
                <w:color w:val="auto"/>
              </w:rPr>
            </w:pPr>
            <w:r>
              <w:rPr>
                <w:rFonts w:hint="eastAsia"/>
                <w:b/>
                <w:color w:val="auto"/>
              </w:rPr>
              <w:t>（1）</w:t>
            </w:r>
            <w:r>
              <w:rPr>
                <w:rFonts w:hint="default"/>
                <w:b/>
                <w:color w:val="auto"/>
              </w:rPr>
              <w:t>源头控制措施</w:t>
            </w:r>
          </w:p>
          <w:p w14:paraId="3B709A47">
            <w:pPr>
              <w:keepNext w:val="0"/>
              <w:keepLines w:val="0"/>
              <w:suppressLineNumbers w:val="0"/>
              <w:spacing w:before="0" w:beforeAutospacing="0" w:after="0" w:afterAutospacing="0"/>
              <w:ind w:left="0" w:right="0" w:firstLine="480"/>
              <w:jc w:val="both"/>
              <w:rPr>
                <w:rFonts w:hint="eastAsia"/>
                <w:color w:val="auto"/>
              </w:rPr>
            </w:pPr>
            <w:r>
              <w:rPr>
                <w:rFonts w:hint="default"/>
                <w:color w:val="auto"/>
              </w:rPr>
              <w:fldChar w:fldCharType="begin"/>
            </w:r>
            <w:r>
              <w:rPr>
                <w:rFonts w:hint="default"/>
                <w:color w:val="auto"/>
              </w:rPr>
              <w:instrText xml:space="preserve"> = 1 \* GB3 </w:instrText>
            </w:r>
            <w:r>
              <w:rPr>
                <w:rFonts w:hint="default"/>
                <w:color w:val="auto"/>
              </w:rPr>
              <w:fldChar w:fldCharType="separate"/>
            </w:r>
            <w:r>
              <w:rPr>
                <w:rFonts w:hint="default"/>
                <w:color w:val="auto"/>
              </w:rPr>
              <w:t>①</w:t>
            </w:r>
            <w:r>
              <w:rPr>
                <w:rFonts w:hint="default"/>
                <w:color w:val="auto"/>
              </w:rPr>
              <w:fldChar w:fldCharType="end"/>
            </w:r>
            <w:r>
              <w:rPr>
                <w:rFonts w:hint="eastAsia"/>
                <w:color w:val="auto"/>
                <w:lang w:val="en-US" w:eastAsia="zh-CN"/>
              </w:rPr>
              <w:t>本项目优化废水处理</w:t>
            </w:r>
            <w:r>
              <w:rPr>
                <w:rFonts w:hint="eastAsia"/>
                <w:color w:val="auto"/>
              </w:rPr>
              <w:t>工艺、管道、设备、污染控制措施，将</w:t>
            </w:r>
            <w:r>
              <w:rPr>
                <w:rFonts w:hint="eastAsia"/>
                <w:color w:val="auto"/>
                <w:lang w:val="en-US" w:eastAsia="zh-CN"/>
              </w:rPr>
              <w:t>破碎甩干废水</w:t>
            </w:r>
            <w:r>
              <w:rPr>
                <w:rFonts w:hint="eastAsia"/>
                <w:color w:val="auto"/>
              </w:rPr>
              <w:t>跑、冒、滴、漏降到最低限度。</w:t>
            </w:r>
          </w:p>
          <w:p w14:paraId="6CB14083">
            <w:pPr>
              <w:keepNext w:val="0"/>
              <w:keepLines w:val="0"/>
              <w:suppressLineNumbers w:val="0"/>
              <w:spacing w:before="0" w:beforeAutospacing="0" w:after="0" w:afterAutospacing="0"/>
              <w:ind w:left="0" w:right="0" w:firstLine="480"/>
              <w:jc w:val="both"/>
              <w:rPr>
                <w:rFonts w:hint="default"/>
                <w:color w:val="auto"/>
              </w:rPr>
            </w:pPr>
            <w:r>
              <w:rPr>
                <w:rFonts w:hint="default"/>
                <w:color w:val="auto"/>
              </w:rPr>
              <w:fldChar w:fldCharType="begin"/>
            </w:r>
            <w:r>
              <w:rPr>
                <w:rFonts w:hint="default"/>
                <w:color w:val="auto"/>
              </w:rPr>
              <w:instrText xml:space="preserve"> = 2 \* GB3 </w:instrText>
            </w:r>
            <w:r>
              <w:rPr>
                <w:rFonts w:hint="default"/>
                <w:color w:val="auto"/>
              </w:rPr>
              <w:fldChar w:fldCharType="separate"/>
            </w:r>
            <w:r>
              <w:rPr>
                <w:rFonts w:hint="default"/>
                <w:color w:val="auto"/>
              </w:rPr>
              <w:t>②</w:t>
            </w:r>
            <w:r>
              <w:rPr>
                <w:rFonts w:hint="default"/>
                <w:color w:val="auto"/>
              </w:rPr>
              <w:fldChar w:fldCharType="end"/>
            </w:r>
            <w:r>
              <w:rPr>
                <w:rFonts w:hint="default"/>
                <w:color w:val="auto"/>
              </w:rPr>
              <w:t>设备和管线尽量采用</w:t>
            </w:r>
            <w:r>
              <w:rPr>
                <w:rFonts w:hint="eastAsia"/>
                <w:color w:val="auto"/>
                <w:lang w:eastAsia="zh-CN"/>
              </w:rPr>
              <w:t>“</w:t>
            </w:r>
            <w:r>
              <w:rPr>
                <w:rFonts w:hint="default"/>
                <w:color w:val="auto"/>
              </w:rPr>
              <w:t>可视化</w:t>
            </w:r>
            <w:r>
              <w:rPr>
                <w:rFonts w:hint="eastAsia"/>
                <w:color w:val="auto"/>
                <w:lang w:eastAsia="zh-CN"/>
              </w:rPr>
              <w:t>”</w:t>
            </w:r>
            <w:r>
              <w:rPr>
                <w:rFonts w:hint="default"/>
                <w:color w:val="auto"/>
              </w:rPr>
              <w:t>原则，即尽可能地上敷设和放置，做到污染物</w:t>
            </w:r>
            <w:r>
              <w:rPr>
                <w:rFonts w:hint="eastAsia"/>
                <w:color w:val="auto"/>
                <w:lang w:eastAsia="zh-CN"/>
              </w:rPr>
              <w:t>“</w:t>
            </w:r>
            <w:r>
              <w:rPr>
                <w:rFonts w:hint="default"/>
                <w:color w:val="auto"/>
              </w:rPr>
              <w:t>早发现、早处理</w:t>
            </w:r>
            <w:r>
              <w:rPr>
                <w:rFonts w:hint="eastAsia"/>
                <w:color w:val="auto"/>
                <w:lang w:eastAsia="zh-CN"/>
              </w:rPr>
              <w:t>”</w:t>
            </w:r>
            <w:r>
              <w:rPr>
                <w:rFonts w:hint="default"/>
                <w:color w:val="auto"/>
              </w:rPr>
              <w:t>，以减少由于埋地泄漏而可能造成的地下水污染。</w:t>
            </w:r>
            <w:r>
              <w:rPr>
                <w:rFonts w:hint="eastAsia"/>
                <w:color w:val="auto"/>
                <w:lang w:eastAsia="zh-CN"/>
              </w:rPr>
              <w:t>定期</w:t>
            </w:r>
            <w:r>
              <w:rPr>
                <w:rFonts w:hint="default"/>
                <w:color w:val="auto"/>
              </w:rPr>
              <w:t>对管道进行检漏，对出现泄漏处的土壤进行换土。</w:t>
            </w:r>
          </w:p>
          <w:p w14:paraId="440EC7B3">
            <w:pPr>
              <w:keepNext w:val="0"/>
              <w:keepLines w:val="0"/>
              <w:suppressLineNumbers w:val="0"/>
              <w:bidi w:val="0"/>
              <w:spacing w:before="0" w:beforeAutospacing="0" w:after="0" w:afterAutospacing="0"/>
              <w:ind w:left="0" w:right="0"/>
              <w:rPr>
                <w:rFonts w:hint="default"/>
                <w:color w:val="045CE9"/>
              </w:rPr>
            </w:pPr>
            <w:r>
              <w:rPr>
                <w:rFonts w:hint="default"/>
                <w:color w:val="auto"/>
              </w:rPr>
              <w:fldChar w:fldCharType="begin"/>
            </w:r>
            <w:r>
              <w:rPr>
                <w:rFonts w:hint="default"/>
                <w:color w:val="auto"/>
              </w:rPr>
              <w:instrText xml:space="preserve"> = 3 \* GB3 </w:instrText>
            </w:r>
            <w:r>
              <w:rPr>
                <w:rFonts w:hint="default"/>
                <w:color w:val="auto"/>
              </w:rPr>
              <w:fldChar w:fldCharType="separate"/>
            </w:r>
            <w:r>
              <w:rPr>
                <w:rFonts w:hint="default"/>
                <w:color w:val="auto"/>
              </w:rPr>
              <w:t>③</w:t>
            </w:r>
            <w:r>
              <w:rPr>
                <w:rFonts w:hint="default"/>
                <w:color w:val="auto"/>
              </w:rPr>
              <w:fldChar w:fldCharType="end"/>
            </w:r>
            <w:r>
              <w:rPr>
                <w:rFonts w:hint="default"/>
                <w:color w:val="auto"/>
              </w:rPr>
              <w:t>严格固体废物管理，</w:t>
            </w:r>
            <w:r>
              <w:rPr>
                <w:rFonts w:hint="eastAsia"/>
                <w:color w:val="auto"/>
                <w:lang w:val="en-US" w:eastAsia="zh-CN"/>
              </w:rPr>
              <w:t>拆解过程中产生的一般工业固体废物暂存于一般固废暂存间，危废暂存于危废暂存间。一般固废暂存间、危废库均位于2#厂房内，</w:t>
            </w:r>
            <w:r>
              <w:rPr>
                <w:rFonts w:hint="default"/>
                <w:color w:val="auto"/>
              </w:rPr>
              <w:t>不接触外界降水，使其不产生淋滤液，严防污染物泄漏到地下水中。</w:t>
            </w:r>
          </w:p>
          <w:p w14:paraId="327EDC92">
            <w:pPr>
              <w:keepNext w:val="0"/>
              <w:keepLines w:val="0"/>
              <w:suppressLineNumbers w:val="0"/>
              <w:spacing w:before="0" w:beforeAutospacing="0" w:after="0" w:afterAutospacing="0"/>
              <w:ind w:left="0" w:right="0" w:firstLine="482"/>
              <w:jc w:val="both"/>
              <w:rPr>
                <w:rFonts w:hint="default"/>
                <w:b/>
                <w:color w:val="auto"/>
              </w:rPr>
            </w:pPr>
            <w:r>
              <w:rPr>
                <w:rFonts w:hint="eastAsia"/>
                <w:b/>
                <w:color w:val="auto"/>
              </w:rPr>
              <w:t>（2）</w:t>
            </w:r>
            <w:r>
              <w:rPr>
                <w:rFonts w:hint="default"/>
                <w:b/>
                <w:color w:val="auto"/>
              </w:rPr>
              <w:t>分区防渗措施</w:t>
            </w:r>
          </w:p>
          <w:p w14:paraId="6DF0294F">
            <w:pPr>
              <w:keepNext w:val="0"/>
              <w:keepLines w:val="0"/>
              <w:suppressLineNumbers w:val="0"/>
              <w:bidi w:val="0"/>
              <w:spacing w:before="0" w:beforeAutospacing="0" w:after="0" w:afterAutospacing="0"/>
              <w:ind w:left="0" w:right="0"/>
              <w:rPr>
                <w:rFonts w:hint="default"/>
                <w:color w:val="auto"/>
              </w:rPr>
            </w:pPr>
            <w:r>
              <w:rPr>
                <w:rFonts w:hint="default"/>
                <w:color w:val="auto"/>
              </w:rPr>
              <w:t>本项目分区保护措施如下表：</w:t>
            </w:r>
          </w:p>
          <w:p w14:paraId="4057C322">
            <w:pPr>
              <w:pStyle w:val="43"/>
              <w:keepNext w:val="0"/>
              <w:keepLines w:val="0"/>
              <w:suppressLineNumbers w:val="0"/>
              <w:bidi w:val="0"/>
              <w:spacing w:before="0" w:beforeAutospacing="0" w:after="0" w:afterAutospacing="0"/>
              <w:ind w:left="0" w:right="0"/>
              <w:rPr>
                <w:color w:val="auto"/>
              </w:rPr>
            </w:pPr>
            <w:r>
              <w:rPr>
                <w:rFonts w:hint="eastAsia"/>
                <w:color w:val="auto"/>
                <w:lang w:val="en-US" w:eastAsia="zh-CN"/>
              </w:rPr>
              <w:t xml:space="preserve">表4-23  </w:t>
            </w:r>
            <w:r>
              <w:rPr>
                <w:color w:val="auto"/>
              </w:rPr>
              <w:t>本项目分区保护措施</w:t>
            </w:r>
            <w:r>
              <w:rPr>
                <w:rFonts w:hint="default"/>
                <w:color w:val="auto"/>
                <w:lang w:val="en-US" w:eastAsia="zh-CN"/>
              </w:rPr>
              <w:t>一览表</w:t>
            </w:r>
          </w:p>
          <w:tbl>
            <w:tblPr>
              <w:tblStyle w:val="38"/>
              <w:tblW w:w="499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83"/>
              <w:gridCol w:w="1295"/>
              <w:gridCol w:w="1448"/>
              <w:gridCol w:w="2874"/>
              <w:gridCol w:w="1582"/>
            </w:tblGrid>
            <w:tr w14:paraId="379FF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254" w:type="pct"/>
                  <w:gridSpan w:val="2"/>
                  <w:vAlign w:val="center"/>
                </w:tcPr>
                <w:p w14:paraId="3F809D41">
                  <w:pPr>
                    <w:pStyle w:val="46"/>
                    <w:bidi w:val="0"/>
                    <w:jc w:val="center"/>
                    <w:rPr>
                      <w:b/>
                      <w:bCs/>
                      <w:color w:val="auto"/>
                    </w:rPr>
                  </w:pPr>
                  <w:r>
                    <w:rPr>
                      <w:b/>
                      <w:bCs/>
                      <w:color w:val="auto"/>
                    </w:rPr>
                    <w:t>区域</w:t>
                  </w:r>
                </w:p>
              </w:tc>
              <w:tc>
                <w:tcPr>
                  <w:tcW w:w="918" w:type="pct"/>
                  <w:vAlign w:val="center"/>
                </w:tcPr>
                <w:p w14:paraId="4821B7F6">
                  <w:pPr>
                    <w:pStyle w:val="46"/>
                    <w:bidi w:val="0"/>
                    <w:jc w:val="center"/>
                    <w:rPr>
                      <w:b/>
                      <w:bCs/>
                      <w:color w:val="auto"/>
                    </w:rPr>
                  </w:pPr>
                  <w:r>
                    <w:rPr>
                      <w:b/>
                      <w:bCs/>
                      <w:color w:val="auto"/>
                    </w:rPr>
                    <w:t>潜在污染源</w:t>
                  </w:r>
                </w:p>
              </w:tc>
              <w:tc>
                <w:tcPr>
                  <w:tcW w:w="1823" w:type="pct"/>
                  <w:vAlign w:val="center"/>
                </w:tcPr>
                <w:p w14:paraId="5F117E1A">
                  <w:pPr>
                    <w:pStyle w:val="46"/>
                    <w:bidi w:val="0"/>
                    <w:jc w:val="center"/>
                    <w:rPr>
                      <w:b/>
                      <w:bCs/>
                      <w:color w:val="auto"/>
                    </w:rPr>
                  </w:pPr>
                  <w:r>
                    <w:rPr>
                      <w:b/>
                      <w:bCs/>
                      <w:color w:val="auto"/>
                    </w:rPr>
                    <w:t>防控措施</w:t>
                  </w:r>
                </w:p>
              </w:tc>
              <w:tc>
                <w:tcPr>
                  <w:tcW w:w="1003" w:type="pct"/>
                  <w:vAlign w:val="center"/>
                </w:tcPr>
                <w:p w14:paraId="5F0F8E6D">
                  <w:pPr>
                    <w:pStyle w:val="46"/>
                    <w:bidi w:val="0"/>
                    <w:jc w:val="center"/>
                    <w:rPr>
                      <w:b/>
                      <w:bCs/>
                      <w:color w:val="auto"/>
                    </w:rPr>
                  </w:pPr>
                  <w:r>
                    <w:rPr>
                      <w:b/>
                      <w:bCs/>
                      <w:color w:val="auto"/>
                    </w:rPr>
                    <w:t>技术要求</w:t>
                  </w:r>
                </w:p>
              </w:tc>
            </w:tr>
            <w:tr w14:paraId="56855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33" w:type="pct"/>
                  <w:vMerge w:val="restart"/>
                  <w:vAlign w:val="center"/>
                </w:tcPr>
                <w:p w14:paraId="67BE44A8">
                  <w:pPr>
                    <w:pStyle w:val="46"/>
                    <w:bidi w:val="0"/>
                    <w:ind w:left="0" w:leftChars="0" w:firstLine="0" w:firstLineChars="0"/>
                    <w:jc w:val="center"/>
                    <w:rPr>
                      <w:color w:val="auto"/>
                    </w:rPr>
                  </w:pPr>
                  <w:r>
                    <w:rPr>
                      <w:color w:val="auto"/>
                    </w:rPr>
                    <w:t>重点</w:t>
                  </w:r>
                </w:p>
                <w:p w14:paraId="72E7FF5A">
                  <w:pPr>
                    <w:pStyle w:val="46"/>
                    <w:bidi w:val="0"/>
                    <w:ind w:left="0" w:leftChars="0" w:firstLine="0" w:firstLineChars="0"/>
                    <w:jc w:val="center"/>
                    <w:rPr>
                      <w:color w:val="auto"/>
                    </w:rPr>
                  </w:pPr>
                  <w:r>
                    <w:rPr>
                      <w:color w:val="auto"/>
                    </w:rPr>
                    <w:t>防渗</w:t>
                  </w:r>
                </w:p>
                <w:p w14:paraId="0B170E16">
                  <w:pPr>
                    <w:pStyle w:val="46"/>
                    <w:bidi w:val="0"/>
                    <w:jc w:val="center"/>
                    <w:rPr>
                      <w:color w:val="auto"/>
                    </w:rPr>
                  </w:pPr>
                  <w:r>
                    <w:rPr>
                      <w:color w:val="auto"/>
                    </w:rPr>
                    <w:t>区</w:t>
                  </w:r>
                </w:p>
              </w:tc>
              <w:tc>
                <w:tcPr>
                  <w:tcW w:w="821" w:type="pct"/>
                  <w:vAlign w:val="center"/>
                </w:tcPr>
                <w:p w14:paraId="3D0A8DD7">
                  <w:pPr>
                    <w:pStyle w:val="46"/>
                    <w:bidi w:val="0"/>
                    <w:ind w:left="0" w:leftChars="0" w:firstLine="0" w:firstLineChars="0"/>
                    <w:jc w:val="center"/>
                    <w:rPr>
                      <w:rFonts w:hint="default" w:eastAsia="宋体"/>
                      <w:color w:val="auto"/>
                      <w:lang w:val="en-US" w:eastAsia="zh-CN"/>
                    </w:rPr>
                  </w:pPr>
                  <w:r>
                    <w:rPr>
                      <w:rFonts w:hint="eastAsia"/>
                      <w:color w:val="auto"/>
                      <w:lang w:val="en-US" w:eastAsia="zh-CN"/>
                    </w:rPr>
                    <w:t>絮凝沉淀池</w:t>
                  </w:r>
                </w:p>
              </w:tc>
              <w:tc>
                <w:tcPr>
                  <w:tcW w:w="918" w:type="pct"/>
                  <w:vAlign w:val="center"/>
                </w:tcPr>
                <w:p w14:paraId="68AC621A">
                  <w:pPr>
                    <w:pStyle w:val="46"/>
                    <w:bidi w:val="0"/>
                    <w:jc w:val="center"/>
                    <w:rPr>
                      <w:rFonts w:hint="default" w:eastAsia="宋体"/>
                      <w:color w:val="auto"/>
                      <w:lang w:val="en-US" w:eastAsia="zh-CN"/>
                    </w:rPr>
                  </w:pPr>
                  <w:r>
                    <w:rPr>
                      <w:rFonts w:hint="eastAsia"/>
                      <w:color w:val="auto"/>
                      <w:lang w:val="en-US" w:eastAsia="zh-CN"/>
                    </w:rPr>
                    <w:t>破碎废水</w:t>
                  </w:r>
                </w:p>
              </w:tc>
              <w:tc>
                <w:tcPr>
                  <w:tcW w:w="1823" w:type="pct"/>
                  <w:vMerge w:val="restart"/>
                  <w:vAlign w:val="center"/>
                </w:tcPr>
                <w:p w14:paraId="369D5411">
                  <w:pPr>
                    <w:pStyle w:val="46"/>
                    <w:bidi w:val="0"/>
                    <w:rPr>
                      <w:rFonts w:hint="default" w:eastAsia="宋体"/>
                      <w:color w:val="auto"/>
                      <w:lang w:val="en-US" w:eastAsia="zh-CN"/>
                    </w:rPr>
                  </w:pPr>
                  <w:r>
                    <w:rPr>
                      <w:rFonts w:hint="eastAsia"/>
                      <w:color w:val="auto"/>
                      <w:sz w:val="21"/>
                      <w:szCs w:val="21"/>
                    </w:rPr>
                    <w:t>铺设防渗混凝土（渗透系数≤1</w:t>
                  </w:r>
                  <w:r>
                    <w:rPr>
                      <w:color w:val="auto"/>
                      <w:sz w:val="21"/>
                      <w:szCs w:val="21"/>
                    </w:rPr>
                    <w:t>.0</w:t>
                  </w:r>
                  <w:r>
                    <w:rPr>
                      <w:rFonts w:hint="eastAsia"/>
                      <w:color w:val="auto"/>
                      <w:sz w:val="21"/>
                      <w:szCs w:val="21"/>
                    </w:rPr>
                    <w:t>×</w:t>
                  </w:r>
                  <w:r>
                    <w:rPr>
                      <w:color w:val="auto"/>
                      <w:sz w:val="21"/>
                      <w:szCs w:val="21"/>
                    </w:rPr>
                    <w:t>10</w:t>
                  </w:r>
                  <w:r>
                    <w:rPr>
                      <w:rFonts w:hint="eastAsia"/>
                      <w:color w:val="auto"/>
                      <w:sz w:val="21"/>
                      <w:szCs w:val="21"/>
                      <w:vertAlign w:val="superscript"/>
                      <w:lang w:val="en-US" w:eastAsia="zh-CN"/>
                    </w:rPr>
                    <w:t>-</w:t>
                  </w:r>
                  <w:r>
                    <w:rPr>
                      <w:color w:val="auto"/>
                      <w:sz w:val="21"/>
                      <w:szCs w:val="21"/>
                      <w:vertAlign w:val="superscript"/>
                    </w:rPr>
                    <w:t>8</w:t>
                  </w:r>
                  <w:r>
                    <w:rPr>
                      <w:color w:val="auto"/>
                      <w:sz w:val="21"/>
                      <w:szCs w:val="21"/>
                    </w:rPr>
                    <w:t>cm/</w:t>
                  </w:r>
                  <w:r>
                    <w:rPr>
                      <w:rFonts w:hint="eastAsia"/>
                      <w:color w:val="auto"/>
                      <w:sz w:val="21"/>
                      <w:szCs w:val="21"/>
                    </w:rPr>
                    <w:t>s，厚度≥</w:t>
                  </w:r>
                  <w:r>
                    <w:rPr>
                      <w:color w:val="auto"/>
                      <w:sz w:val="21"/>
                      <w:szCs w:val="21"/>
                    </w:rPr>
                    <w:t>150mm</w:t>
                  </w:r>
                  <w:r>
                    <w:rPr>
                      <w:rFonts w:hint="eastAsia"/>
                      <w:color w:val="auto"/>
                      <w:sz w:val="21"/>
                      <w:szCs w:val="21"/>
                    </w:rPr>
                    <w:t>）+</w:t>
                  </w:r>
                  <w:r>
                    <w:rPr>
                      <w:color w:val="auto"/>
                      <w:sz w:val="21"/>
                      <w:szCs w:val="21"/>
                    </w:rPr>
                    <w:t>HDPE</w:t>
                  </w:r>
                  <w:r>
                    <w:rPr>
                      <w:rFonts w:hint="eastAsia"/>
                      <w:color w:val="auto"/>
                      <w:sz w:val="21"/>
                      <w:szCs w:val="21"/>
                    </w:rPr>
                    <w:t>防渗膜（渗透系数≤1</w:t>
                  </w:r>
                  <w:r>
                    <w:rPr>
                      <w:color w:val="auto"/>
                      <w:sz w:val="21"/>
                      <w:szCs w:val="21"/>
                    </w:rPr>
                    <w:t>.0</w:t>
                  </w:r>
                  <w:r>
                    <w:rPr>
                      <w:rFonts w:hint="eastAsia"/>
                      <w:color w:val="auto"/>
                      <w:sz w:val="21"/>
                      <w:szCs w:val="21"/>
                    </w:rPr>
                    <w:t>×</w:t>
                  </w:r>
                  <w:r>
                    <w:rPr>
                      <w:color w:val="auto"/>
                      <w:sz w:val="21"/>
                      <w:szCs w:val="21"/>
                    </w:rPr>
                    <w:t>10</w:t>
                  </w:r>
                  <w:r>
                    <w:rPr>
                      <w:rFonts w:hint="eastAsia"/>
                      <w:color w:val="auto"/>
                      <w:sz w:val="21"/>
                      <w:szCs w:val="21"/>
                      <w:vertAlign w:val="superscript"/>
                      <w:lang w:val="en-US" w:eastAsia="zh-CN"/>
                    </w:rPr>
                    <w:t>-</w:t>
                  </w:r>
                  <w:r>
                    <w:rPr>
                      <w:color w:val="auto"/>
                      <w:sz w:val="21"/>
                      <w:szCs w:val="21"/>
                      <w:vertAlign w:val="superscript"/>
                    </w:rPr>
                    <w:t>10</w:t>
                  </w:r>
                  <w:r>
                    <w:rPr>
                      <w:color w:val="auto"/>
                      <w:sz w:val="21"/>
                      <w:szCs w:val="21"/>
                    </w:rPr>
                    <w:t>cm/s</w:t>
                  </w:r>
                  <w:r>
                    <w:rPr>
                      <w:rFonts w:hint="eastAsia"/>
                      <w:color w:val="auto"/>
                      <w:sz w:val="21"/>
                      <w:szCs w:val="21"/>
                    </w:rPr>
                    <w:t>）防渗</w:t>
                  </w:r>
                </w:p>
              </w:tc>
              <w:tc>
                <w:tcPr>
                  <w:tcW w:w="1003" w:type="pct"/>
                  <w:vMerge w:val="restart"/>
                  <w:vAlign w:val="center"/>
                </w:tcPr>
                <w:p w14:paraId="46F66CC3">
                  <w:pPr>
                    <w:pStyle w:val="46"/>
                    <w:bidi w:val="0"/>
                    <w:jc w:val="center"/>
                    <w:rPr>
                      <w:rFonts w:hint="eastAsia"/>
                      <w:color w:val="auto"/>
                      <w:lang w:val="en-US" w:eastAsia="zh-CN"/>
                    </w:rPr>
                  </w:pPr>
                </w:p>
                <w:p w14:paraId="2436F40A">
                  <w:pPr>
                    <w:pStyle w:val="46"/>
                    <w:bidi w:val="0"/>
                    <w:jc w:val="center"/>
                    <w:rPr>
                      <w:color w:val="auto"/>
                    </w:rPr>
                  </w:pPr>
                  <w:r>
                    <w:rPr>
                      <w:color w:val="auto"/>
                    </w:rPr>
                    <w:t>等效黏土防渗层Mb≥6.0m，</w:t>
                  </w:r>
                </w:p>
                <w:p w14:paraId="563F53BA">
                  <w:pPr>
                    <w:pStyle w:val="46"/>
                    <w:bidi w:val="0"/>
                    <w:jc w:val="center"/>
                    <w:rPr>
                      <w:color w:val="auto"/>
                    </w:rPr>
                  </w:pPr>
                  <w:r>
                    <w:rPr>
                      <w:color w:val="auto"/>
                    </w:rPr>
                    <w:t>K≤1×10</w:t>
                  </w:r>
                  <w:r>
                    <w:rPr>
                      <w:color w:val="auto"/>
                      <w:vertAlign w:val="superscript"/>
                    </w:rPr>
                    <w:t>-7</w:t>
                  </w:r>
                  <w:r>
                    <w:rPr>
                      <w:color w:val="auto"/>
                    </w:rPr>
                    <w:t>cm/s，或参照GB18</w:t>
                  </w:r>
                  <w:r>
                    <w:rPr>
                      <w:rFonts w:hint="eastAsia"/>
                      <w:color w:val="auto"/>
                      <w:lang w:eastAsia="zh-CN"/>
                    </w:rPr>
                    <w:t>811.3</w:t>
                  </w:r>
                  <w:r>
                    <w:rPr>
                      <w:color w:val="auto"/>
                    </w:rPr>
                    <w:t>执行</w:t>
                  </w:r>
                </w:p>
              </w:tc>
            </w:tr>
            <w:tr w14:paraId="6FC01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33" w:type="pct"/>
                  <w:vMerge w:val="continue"/>
                  <w:vAlign w:val="center"/>
                </w:tcPr>
                <w:p w14:paraId="0AF5FEEC">
                  <w:pPr>
                    <w:pStyle w:val="46"/>
                    <w:bidi w:val="0"/>
                    <w:jc w:val="center"/>
                    <w:rPr>
                      <w:color w:val="auto"/>
                    </w:rPr>
                  </w:pPr>
                </w:p>
              </w:tc>
              <w:tc>
                <w:tcPr>
                  <w:tcW w:w="821" w:type="pct"/>
                  <w:vAlign w:val="center"/>
                </w:tcPr>
                <w:p w14:paraId="686A25CA">
                  <w:pPr>
                    <w:pStyle w:val="46"/>
                    <w:bidi w:val="0"/>
                    <w:jc w:val="center"/>
                    <w:rPr>
                      <w:rFonts w:hint="default" w:eastAsia="宋体"/>
                      <w:color w:val="auto"/>
                      <w:lang w:val="en-US" w:eastAsia="zh-CN"/>
                    </w:rPr>
                  </w:pPr>
                  <w:r>
                    <w:rPr>
                      <w:rFonts w:hint="eastAsia"/>
                      <w:color w:val="auto"/>
                      <w:lang w:val="en-US" w:eastAsia="zh-CN"/>
                    </w:rPr>
                    <w:t>拆解区</w:t>
                  </w:r>
                </w:p>
              </w:tc>
              <w:tc>
                <w:tcPr>
                  <w:tcW w:w="918" w:type="pct"/>
                  <w:shd w:val="clear" w:color="auto" w:fill="auto"/>
                  <w:vAlign w:val="center"/>
                </w:tcPr>
                <w:p w14:paraId="23121B8E">
                  <w:pPr>
                    <w:pStyle w:val="46"/>
                    <w:bidi w:val="0"/>
                    <w:ind w:left="24" w:leftChars="10" w:right="24" w:rightChars="10" w:firstLine="0" w:firstLineChars="0"/>
                    <w:jc w:val="center"/>
                    <w:rPr>
                      <w:rFonts w:hint="default" w:ascii="Times New Roman" w:hAnsi="Times New Roman" w:eastAsia="宋体"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拆解废液压油</w:t>
                  </w:r>
                </w:p>
              </w:tc>
              <w:tc>
                <w:tcPr>
                  <w:tcW w:w="1823" w:type="pct"/>
                  <w:vMerge w:val="continue"/>
                  <w:vAlign w:val="center"/>
                </w:tcPr>
                <w:p w14:paraId="0E5B729D">
                  <w:pPr>
                    <w:pStyle w:val="46"/>
                    <w:bidi w:val="0"/>
                    <w:jc w:val="center"/>
                    <w:rPr>
                      <w:color w:val="auto"/>
                    </w:rPr>
                  </w:pPr>
                </w:p>
              </w:tc>
              <w:tc>
                <w:tcPr>
                  <w:tcW w:w="1003" w:type="pct"/>
                  <w:vMerge w:val="continue"/>
                  <w:vAlign w:val="center"/>
                </w:tcPr>
                <w:p w14:paraId="1BCFF424">
                  <w:pPr>
                    <w:pStyle w:val="46"/>
                    <w:bidi w:val="0"/>
                    <w:jc w:val="center"/>
                    <w:rPr>
                      <w:color w:val="auto"/>
                    </w:rPr>
                  </w:pPr>
                </w:p>
              </w:tc>
            </w:tr>
            <w:tr w14:paraId="00D31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33" w:type="pct"/>
                  <w:vMerge w:val="continue"/>
                  <w:vAlign w:val="center"/>
                </w:tcPr>
                <w:p w14:paraId="09B21C26">
                  <w:pPr>
                    <w:pStyle w:val="46"/>
                    <w:bidi w:val="0"/>
                    <w:jc w:val="center"/>
                    <w:rPr>
                      <w:color w:val="auto"/>
                    </w:rPr>
                  </w:pPr>
                </w:p>
              </w:tc>
              <w:tc>
                <w:tcPr>
                  <w:tcW w:w="821" w:type="pct"/>
                  <w:vAlign w:val="center"/>
                </w:tcPr>
                <w:p w14:paraId="42338BA8">
                  <w:pPr>
                    <w:pStyle w:val="46"/>
                    <w:bidi w:val="0"/>
                    <w:jc w:val="center"/>
                    <w:rPr>
                      <w:rFonts w:hint="eastAsia"/>
                      <w:color w:val="auto"/>
                      <w:lang w:val="en-US" w:eastAsia="zh-CN"/>
                    </w:rPr>
                  </w:pPr>
                  <w:r>
                    <w:rPr>
                      <w:rFonts w:hint="eastAsia"/>
                      <w:color w:val="auto"/>
                      <w:lang w:val="en-US" w:eastAsia="zh-CN"/>
                    </w:rPr>
                    <w:t>危废暂存间</w:t>
                  </w:r>
                </w:p>
              </w:tc>
              <w:tc>
                <w:tcPr>
                  <w:tcW w:w="918" w:type="pct"/>
                  <w:shd w:val="clear" w:color="auto" w:fill="auto"/>
                  <w:vAlign w:val="center"/>
                </w:tcPr>
                <w:p w14:paraId="0D10E4EE">
                  <w:pPr>
                    <w:pStyle w:val="46"/>
                    <w:bidi w:val="0"/>
                    <w:ind w:left="24" w:leftChars="10" w:right="24" w:rightChars="10" w:firstLine="0" w:firstLineChars="0"/>
                    <w:jc w:val="center"/>
                    <w:rPr>
                      <w:rFonts w:hint="eastAsia" w:ascii="Times New Roman" w:hAnsi="Times New Roman" w:eastAsia="宋体" w:cs="Times New Roman"/>
                      <w:b w:val="0"/>
                      <w:color w:val="auto"/>
                      <w:kern w:val="2"/>
                      <w:sz w:val="21"/>
                      <w:szCs w:val="21"/>
                      <w:lang w:val="en-US" w:eastAsia="zh-CN" w:bidi="ar-SA"/>
                    </w:rPr>
                  </w:pPr>
                  <w:r>
                    <w:rPr>
                      <w:color w:val="auto"/>
                    </w:rPr>
                    <w:t>危险废物</w:t>
                  </w:r>
                </w:p>
              </w:tc>
              <w:tc>
                <w:tcPr>
                  <w:tcW w:w="1823" w:type="pct"/>
                  <w:vMerge w:val="continue"/>
                  <w:vAlign w:val="center"/>
                </w:tcPr>
                <w:p w14:paraId="5F0A69A9">
                  <w:pPr>
                    <w:pStyle w:val="46"/>
                    <w:bidi w:val="0"/>
                    <w:jc w:val="center"/>
                    <w:rPr>
                      <w:color w:val="auto"/>
                    </w:rPr>
                  </w:pPr>
                </w:p>
              </w:tc>
              <w:tc>
                <w:tcPr>
                  <w:tcW w:w="1003" w:type="pct"/>
                  <w:vMerge w:val="continue"/>
                  <w:vAlign w:val="center"/>
                </w:tcPr>
                <w:p w14:paraId="13167A3C">
                  <w:pPr>
                    <w:pStyle w:val="46"/>
                    <w:bidi w:val="0"/>
                    <w:jc w:val="center"/>
                    <w:rPr>
                      <w:color w:val="auto"/>
                    </w:rPr>
                  </w:pPr>
                </w:p>
              </w:tc>
            </w:tr>
            <w:tr w14:paraId="4099C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39" w:hRule="atLeast"/>
                <w:jc w:val="center"/>
              </w:trPr>
              <w:tc>
                <w:tcPr>
                  <w:tcW w:w="433" w:type="pct"/>
                  <w:shd w:val="clear" w:color="auto" w:fill="auto"/>
                  <w:vAlign w:val="center"/>
                </w:tcPr>
                <w:p w14:paraId="512032CC">
                  <w:pPr>
                    <w:pStyle w:val="46"/>
                    <w:bidi w:val="0"/>
                    <w:jc w:val="center"/>
                    <w:rPr>
                      <w:color w:val="auto"/>
                    </w:rPr>
                  </w:pPr>
                  <w:r>
                    <w:rPr>
                      <w:color w:val="auto"/>
                    </w:rPr>
                    <w:t>一般</w:t>
                  </w:r>
                </w:p>
                <w:p w14:paraId="7DD5F578">
                  <w:pPr>
                    <w:pStyle w:val="46"/>
                    <w:bidi w:val="0"/>
                    <w:jc w:val="center"/>
                    <w:rPr>
                      <w:color w:val="auto"/>
                    </w:rPr>
                  </w:pPr>
                  <w:r>
                    <w:rPr>
                      <w:color w:val="auto"/>
                    </w:rPr>
                    <w:t>防渗</w:t>
                  </w:r>
                </w:p>
                <w:p w14:paraId="6252CF6A">
                  <w:pPr>
                    <w:pStyle w:val="46"/>
                    <w:bidi w:val="0"/>
                    <w:jc w:val="center"/>
                    <w:rPr>
                      <w:color w:val="auto"/>
                      <w:lang w:val="en-US" w:eastAsia="en-US"/>
                    </w:rPr>
                  </w:pPr>
                  <w:r>
                    <w:rPr>
                      <w:color w:val="auto"/>
                    </w:rPr>
                    <w:t>区</w:t>
                  </w:r>
                </w:p>
              </w:tc>
              <w:tc>
                <w:tcPr>
                  <w:tcW w:w="821" w:type="pct"/>
                  <w:shd w:val="clear" w:color="auto" w:fill="auto"/>
                  <w:vAlign w:val="center"/>
                </w:tcPr>
                <w:p w14:paraId="61EF3102">
                  <w:pPr>
                    <w:pStyle w:val="46"/>
                    <w:bidi w:val="0"/>
                    <w:ind w:left="0" w:leftChars="0" w:firstLine="0" w:firstLineChars="0"/>
                    <w:jc w:val="center"/>
                    <w:rPr>
                      <w:rFonts w:hint="default" w:eastAsia="宋体"/>
                      <w:color w:val="auto"/>
                      <w:lang w:val="en-US" w:eastAsia="zh-CN"/>
                    </w:rPr>
                  </w:pPr>
                  <w:r>
                    <w:rPr>
                      <w:color w:val="auto"/>
                    </w:rPr>
                    <w:t>一般固废</w:t>
                  </w:r>
                  <w:r>
                    <w:rPr>
                      <w:rFonts w:hint="eastAsia"/>
                      <w:color w:val="auto"/>
                      <w:lang w:val="en-US" w:eastAsia="zh-CN"/>
                    </w:rPr>
                    <w:t>暂存间、拆解车间其他区域</w:t>
                  </w:r>
                </w:p>
              </w:tc>
              <w:tc>
                <w:tcPr>
                  <w:tcW w:w="918" w:type="pct"/>
                  <w:shd w:val="clear" w:color="auto" w:fill="auto"/>
                  <w:vAlign w:val="center"/>
                </w:tcPr>
                <w:p w14:paraId="1749E3E7">
                  <w:pPr>
                    <w:pStyle w:val="46"/>
                    <w:bidi w:val="0"/>
                    <w:ind w:left="0" w:leftChars="0" w:firstLine="0" w:firstLineChars="0"/>
                    <w:jc w:val="center"/>
                    <w:rPr>
                      <w:rFonts w:hint="default" w:eastAsia="宋体"/>
                      <w:color w:val="auto"/>
                      <w:lang w:val="en-US" w:eastAsia="zh-CN"/>
                    </w:rPr>
                  </w:pPr>
                  <w:r>
                    <w:rPr>
                      <w:rFonts w:hint="eastAsia"/>
                      <w:color w:val="auto"/>
                      <w:lang w:val="en-US" w:eastAsia="zh-CN"/>
                    </w:rPr>
                    <w:t>一般工业固体废物</w:t>
                  </w:r>
                </w:p>
              </w:tc>
              <w:tc>
                <w:tcPr>
                  <w:tcW w:w="1823" w:type="pct"/>
                  <w:shd w:val="clear" w:color="auto" w:fill="auto"/>
                  <w:vAlign w:val="center"/>
                </w:tcPr>
                <w:p w14:paraId="1214AD2F">
                  <w:pPr>
                    <w:pStyle w:val="46"/>
                    <w:bidi w:val="0"/>
                    <w:jc w:val="center"/>
                    <w:rPr>
                      <w:color w:val="auto"/>
                      <w:lang w:val="en-US" w:eastAsia="en-US"/>
                    </w:rPr>
                  </w:pPr>
                  <w:r>
                    <w:rPr>
                      <w:color w:val="auto"/>
                    </w:rPr>
                    <w:t>一般工业固体废物在厂内贮存，不露天场地，库房地面做硬化防渗措施，其贮存过程</w:t>
                  </w:r>
                  <w:r>
                    <w:rPr>
                      <w:rFonts w:hint="eastAsia"/>
                      <w:color w:val="auto"/>
                      <w:lang w:val="en-US" w:eastAsia="zh-CN"/>
                    </w:rPr>
                    <w:t>应</w:t>
                  </w:r>
                  <w:r>
                    <w:rPr>
                      <w:color w:val="auto"/>
                    </w:rPr>
                    <w:t>满足防渗漏、防雨淋、防扬尘等环境保护要求。</w:t>
                  </w:r>
                </w:p>
              </w:tc>
              <w:tc>
                <w:tcPr>
                  <w:tcW w:w="1003" w:type="pct"/>
                  <w:shd w:val="clear" w:color="auto" w:fill="auto"/>
                  <w:vAlign w:val="center"/>
                </w:tcPr>
                <w:p w14:paraId="42DB1FA6">
                  <w:pPr>
                    <w:pStyle w:val="46"/>
                    <w:bidi w:val="0"/>
                    <w:jc w:val="center"/>
                    <w:rPr>
                      <w:color w:val="auto"/>
                    </w:rPr>
                  </w:pPr>
                  <w:r>
                    <w:rPr>
                      <w:color w:val="auto"/>
                    </w:rPr>
                    <w:t>等效黏土防渗层</w:t>
                  </w:r>
                </w:p>
                <w:p w14:paraId="71882257">
                  <w:pPr>
                    <w:pStyle w:val="46"/>
                    <w:bidi w:val="0"/>
                    <w:jc w:val="center"/>
                    <w:rPr>
                      <w:color w:val="auto"/>
                    </w:rPr>
                  </w:pPr>
                  <w:r>
                    <w:rPr>
                      <w:color w:val="auto"/>
                    </w:rPr>
                    <w:t>Mb≥1.5m</w:t>
                  </w:r>
                  <w:r>
                    <w:rPr>
                      <w:rFonts w:hint="eastAsia"/>
                      <w:color w:val="auto"/>
                      <w:lang w:eastAsia="zh-CN"/>
                    </w:rPr>
                    <w:t xml:space="preserve">, </w:t>
                  </w:r>
                  <w:r>
                    <w:rPr>
                      <w:color w:val="auto"/>
                    </w:rPr>
                    <w:t>K≤1</w:t>
                  </w:r>
                </w:p>
                <w:p w14:paraId="453FBA25">
                  <w:pPr>
                    <w:pStyle w:val="46"/>
                    <w:bidi w:val="0"/>
                    <w:jc w:val="center"/>
                    <w:rPr>
                      <w:color w:val="auto"/>
                      <w:lang w:val="en-US" w:eastAsia="en-US"/>
                    </w:rPr>
                  </w:pPr>
                  <w:r>
                    <w:rPr>
                      <w:color w:val="auto"/>
                    </w:rPr>
                    <w:t>×10</w:t>
                  </w:r>
                  <w:r>
                    <w:rPr>
                      <w:color w:val="auto"/>
                      <w:vertAlign w:val="superscript"/>
                    </w:rPr>
                    <w:t>-7</w:t>
                  </w:r>
                  <w:r>
                    <w:rPr>
                      <w:color w:val="auto"/>
                    </w:rPr>
                    <w:t>cm/s</w:t>
                  </w:r>
                </w:p>
              </w:tc>
            </w:tr>
          </w:tbl>
          <w:p w14:paraId="104DA724">
            <w:pPr>
              <w:keepNext w:val="0"/>
              <w:keepLines w:val="0"/>
              <w:suppressLineNumbers w:val="0"/>
              <w:spacing w:before="0" w:beforeAutospacing="0" w:after="0" w:afterAutospacing="0"/>
              <w:ind w:left="0" w:right="0" w:firstLine="482"/>
              <w:jc w:val="both"/>
              <w:rPr>
                <w:rFonts w:hint="default"/>
                <w:b/>
                <w:color w:val="auto"/>
              </w:rPr>
            </w:pPr>
            <w:r>
              <w:rPr>
                <w:rFonts w:hint="eastAsia"/>
                <w:b/>
                <w:bCs/>
                <w:color w:val="auto"/>
                <w:lang w:val="en-US" w:eastAsia="zh-CN"/>
              </w:rPr>
              <w:t>（3）</w:t>
            </w:r>
            <w:r>
              <w:rPr>
                <w:rFonts w:hint="default"/>
                <w:b/>
                <w:color w:val="auto"/>
              </w:rPr>
              <w:t>日常检查工作</w:t>
            </w:r>
          </w:p>
          <w:p w14:paraId="2C201146">
            <w:pPr>
              <w:keepNext w:val="0"/>
              <w:keepLines w:val="0"/>
              <w:suppressLineNumbers w:val="0"/>
              <w:bidi w:val="0"/>
              <w:spacing w:before="0" w:beforeAutospacing="0" w:after="0" w:afterAutospacing="0"/>
              <w:ind w:left="0" w:right="0"/>
              <w:rPr>
                <w:rFonts w:hint="default"/>
                <w:color w:val="auto"/>
              </w:rPr>
            </w:pPr>
            <w:r>
              <w:rPr>
                <w:rFonts w:hint="default"/>
                <w:color w:val="auto"/>
              </w:rPr>
              <w:t>加强地下水污染源的日常管理与维护，尤其是重点防治区域，发现防渗性能有明显下降时应及时补修。</w:t>
            </w:r>
            <w:r>
              <w:rPr>
                <w:rFonts w:hint="eastAsia"/>
                <w:color w:val="auto"/>
              </w:rPr>
              <w:t>一般固废暂存于一般固废间，杜绝露天堆放，安排专职人员进行日常检查。危废妥善暂存于规范危废暂存间内，做好台账记录</w:t>
            </w:r>
            <w:r>
              <w:rPr>
                <w:rFonts w:hint="default"/>
                <w:color w:val="auto"/>
              </w:rPr>
              <w:t>。建设项目强化废物产生、收集、贮运各环节的管理，杜绝固废在厂区内的散失、渗漏。</w:t>
            </w:r>
          </w:p>
          <w:p w14:paraId="5830E22E">
            <w:pPr>
              <w:keepNext w:val="0"/>
              <w:keepLines w:val="0"/>
              <w:suppressLineNumbers w:val="0"/>
              <w:bidi w:val="0"/>
              <w:spacing w:before="0" w:beforeAutospacing="0" w:after="0" w:afterAutospacing="0"/>
              <w:ind w:left="0" w:right="0"/>
              <w:rPr>
                <w:rFonts w:hint="default"/>
                <w:color w:val="auto"/>
                <w:szCs w:val="24"/>
              </w:rPr>
            </w:pPr>
            <w:r>
              <w:rPr>
                <w:rFonts w:hint="default"/>
                <w:color w:val="auto"/>
              </w:rPr>
              <w:t>综上所述</w:t>
            </w:r>
            <w:r>
              <w:rPr>
                <w:rFonts w:hint="default"/>
                <w:color w:val="auto"/>
                <w:spacing w:val="1"/>
                <w:szCs w:val="24"/>
              </w:rPr>
              <w:t>，采取</w:t>
            </w:r>
            <w:r>
              <w:rPr>
                <w:rFonts w:hint="eastAsia"/>
                <w:color w:val="auto"/>
                <w:spacing w:val="1"/>
                <w:szCs w:val="24"/>
                <w:lang w:val="en-US" w:eastAsia="zh-CN"/>
              </w:rPr>
              <w:t>以上</w:t>
            </w:r>
            <w:r>
              <w:rPr>
                <w:rFonts w:hint="default"/>
                <w:color w:val="auto"/>
                <w:spacing w:val="1"/>
                <w:szCs w:val="24"/>
              </w:rPr>
              <w:t>措施</w:t>
            </w:r>
            <w:r>
              <w:rPr>
                <w:rFonts w:hint="eastAsia"/>
                <w:color w:val="auto"/>
                <w:spacing w:val="1"/>
                <w:szCs w:val="24"/>
                <w:lang w:val="en-US" w:eastAsia="zh-CN"/>
              </w:rPr>
              <w:t>后</w:t>
            </w:r>
            <w:r>
              <w:rPr>
                <w:rFonts w:hint="default"/>
                <w:color w:val="auto"/>
                <w:spacing w:val="1"/>
                <w:szCs w:val="24"/>
              </w:rPr>
              <w:t>，各个环节得到良好控制的情况下，本项目不会</w:t>
            </w:r>
            <w:r>
              <w:rPr>
                <w:rFonts w:hint="default"/>
                <w:color w:val="auto"/>
                <w:spacing w:val="-1"/>
                <w:szCs w:val="24"/>
              </w:rPr>
              <w:t>对土壤和地下水造成明显影响。</w:t>
            </w:r>
          </w:p>
          <w:p w14:paraId="36BF35F9">
            <w:pPr>
              <w:keepNext w:val="0"/>
              <w:keepLines w:val="0"/>
              <w:numPr>
                <w:ilvl w:val="0"/>
                <w:numId w:val="11"/>
              </w:numPr>
              <w:suppressLineNumbers w:val="0"/>
              <w:spacing w:before="0" w:beforeAutospacing="0" w:after="0" w:afterAutospacing="0"/>
              <w:ind w:left="0" w:right="0" w:firstLine="482"/>
              <w:rPr>
                <w:rFonts w:hint="default" w:ascii="Times New Roman" w:hAnsi="Times New Roman" w:eastAsia="宋体" w:cs="Times New Roman"/>
                <w:b/>
                <w:bCs/>
                <w:color w:val="auto"/>
                <w:kern w:val="2"/>
                <w:sz w:val="24"/>
                <w:szCs w:val="24"/>
                <w:highlight w:val="none"/>
                <w:lang w:val="en-US" w:eastAsia="zh-CN" w:bidi="ar-SA"/>
              </w:rPr>
            </w:pPr>
            <w:r>
              <w:rPr>
                <w:rFonts w:hint="eastAsia" w:cs="Times New Roman"/>
                <w:b/>
                <w:bCs/>
                <w:color w:val="auto"/>
                <w:kern w:val="2"/>
                <w:sz w:val="24"/>
                <w:szCs w:val="24"/>
                <w:highlight w:val="none"/>
                <w:lang w:val="en-US" w:eastAsia="zh-CN" w:bidi="ar-SA"/>
              </w:rPr>
              <w:t>环</w:t>
            </w:r>
            <w:r>
              <w:rPr>
                <w:rFonts w:hint="default" w:ascii="Times New Roman" w:hAnsi="Times New Roman" w:eastAsia="宋体" w:cs="Times New Roman"/>
                <w:b/>
                <w:bCs/>
                <w:color w:val="auto"/>
                <w:kern w:val="2"/>
                <w:sz w:val="24"/>
                <w:szCs w:val="24"/>
                <w:highlight w:val="none"/>
                <w:lang w:val="en-US" w:eastAsia="zh-CN" w:bidi="ar-SA"/>
              </w:rPr>
              <w:t>境风险影响分析</w:t>
            </w:r>
          </w:p>
          <w:p w14:paraId="0D61424F">
            <w:pPr>
              <w:keepNext w:val="0"/>
              <w:keepLines w:val="0"/>
              <w:suppressLineNumbers w:val="0"/>
              <w:bidi w:val="0"/>
              <w:spacing w:before="0" w:beforeAutospacing="0" w:after="0" w:afterAutospacing="0"/>
              <w:ind w:left="0" w:right="0"/>
              <w:rPr>
                <w:rFonts w:hint="default"/>
                <w:b/>
                <w:bCs/>
                <w:color w:val="auto"/>
                <w:lang w:val="en-US" w:eastAsia="zh-CN"/>
              </w:rPr>
            </w:pPr>
            <w:r>
              <w:rPr>
                <w:rFonts w:hint="eastAsia"/>
                <w:b/>
                <w:bCs/>
                <w:color w:val="auto"/>
                <w:lang w:val="en-US" w:eastAsia="zh-CN"/>
              </w:rPr>
              <w:t>1、建设项目风险源调查</w:t>
            </w:r>
          </w:p>
          <w:p w14:paraId="46EB9FBD">
            <w:pPr>
              <w:keepNext w:val="0"/>
              <w:keepLines w:val="0"/>
              <w:suppressLineNumbers w:val="0"/>
              <w:bidi w:val="0"/>
              <w:spacing w:before="0" w:beforeAutospacing="0" w:after="0" w:afterAutospacing="0"/>
              <w:ind w:left="0" w:right="0"/>
              <w:rPr>
                <w:rFonts w:hint="default"/>
                <w:color w:val="045CE9"/>
                <w:lang w:val="en-US" w:eastAsia="zh-CN"/>
              </w:rPr>
            </w:pPr>
            <w:r>
              <w:rPr>
                <w:rFonts w:hint="eastAsia"/>
                <w:color w:val="auto"/>
              </w:rPr>
              <w:t>根据《建设项目环境风险评价技术导则》（HJ 169-2018），</w:t>
            </w:r>
            <w:r>
              <w:rPr>
                <w:rFonts w:hint="default"/>
                <w:color w:val="auto"/>
                <w:lang w:val="en-US" w:eastAsia="zh-CN"/>
              </w:rPr>
              <w:t>附录B中表B.1</w:t>
            </w:r>
            <w:r>
              <w:rPr>
                <w:rFonts w:hint="eastAsia"/>
                <w:color w:val="auto"/>
                <w:lang w:val="en-US" w:eastAsia="zh-CN"/>
              </w:rPr>
              <w:t>及B.2</w:t>
            </w:r>
            <w:r>
              <w:rPr>
                <w:rFonts w:hint="default"/>
                <w:color w:val="auto"/>
                <w:lang w:val="en-US" w:eastAsia="zh-CN"/>
              </w:rPr>
              <w:t>，</w:t>
            </w:r>
            <w:r>
              <w:rPr>
                <w:rFonts w:hint="eastAsia"/>
                <w:color w:val="auto"/>
                <w:lang w:val="en-US" w:eastAsia="zh-CN"/>
              </w:rPr>
              <w:t>本</w:t>
            </w:r>
            <w:r>
              <w:rPr>
                <w:rFonts w:hint="default"/>
                <w:color w:val="auto"/>
                <w:lang w:val="en-US" w:eastAsia="zh-CN"/>
              </w:rPr>
              <w:t>项目建成后全厂涉及的危险物质数量和分布详见下表。</w:t>
            </w:r>
          </w:p>
          <w:p w14:paraId="046E5A7D">
            <w:pPr>
              <w:pStyle w:val="43"/>
              <w:keepNext w:val="0"/>
              <w:keepLines w:val="0"/>
              <w:suppressLineNumbers w:val="0"/>
              <w:spacing w:before="0" w:beforeAutospacing="0" w:after="0" w:afterAutospacing="0"/>
              <w:ind w:left="0" w:right="0"/>
              <w:rPr>
                <w:rFonts w:hint="default"/>
                <w:color w:val="auto"/>
              </w:rPr>
            </w:pPr>
            <w:r>
              <w:rPr>
                <w:color w:val="auto"/>
              </w:rPr>
              <w:t>表4-</w:t>
            </w:r>
            <w:r>
              <w:rPr>
                <w:rFonts w:hint="eastAsia"/>
                <w:color w:val="auto"/>
                <w:lang w:val="en-US" w:eastAsia="zh-CN"/>
              </w:rPr>
              <w:t>24</w:t>
            </w:r>
            <w:r>
              <w:rPr>
                <w:rFonts w:hint="eastAsia"/>
                <w:color w:val="auto"/>
                <w:lang w:eastAsia="zh-CN"/>
              </w:rPr>
              <w:t xml:space="preserve">  </w:t>
            </w:r>
            <w:r>
              <w:rPr>
                <w:rFonts w:hint="default"/>
                <w:color w:val="auto"/>
              </w:rPr>
              <w:t>风险调查一览表</w:t>
            </w:r>
          </w:p>
          <w:tbl>
            <w:tblPr>
              <w:tblStyle w:val="19"/>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03"/>
              <w:gridCol w:w="1402"/>
              <w:gridCol w:w="848"/>
              <w:gridCol w:w="1066"/>
              <w:gridCol w:w="1615"/>
              <w:gridCol w:w="1033"/>
              <w:gridCol w:w="1218"/>
            </w:tblGrid>
            <w:tr w14:paraId="372F4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5" w:type="pct"/>
                  <w:noWrap/>
                  <w:vAlign w:val="center"/>
                </w:tcPr>
                <w:p w14:paraId="1CC14FBC">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textAlignment w:val="auto"/>
                    <w:rPr>
                      <w:rFonts w:hint="default"/>
                      <w:b/>
                      <w:bCs/>
                      <w:color w:val="auto"/>
                    </w:rPr>
                  </w:pPr>
                  <w:r>
                    <w:rPr>
                      <w:rFonts w:hint="default"/>
                      <w:b/>
                      <w:bCs/>
                      <w:color w:val="auto"/>
                    </w:rPr>
                    <w:t>序号</w:t>
                  </w:r>
                </w:p>
              </w:tc>
              <w:tc>
                <w:tcPr>
                  <w:tcW w:w="889" w:type="pct"/>
                  <w:noWrap/>
                  <w:vAlign w:val="center"/>
                </w:tcPr>
                <w:p w14:paraId="6DB435CF">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textAlignment w:val="auto"/>
                    <w:rPr>
                      <w:rFonts w:hint="default"/>
                      <w:b/>
                      <w:bCs/>
                      <w:color w:val="auto"/>
                    </w:rPr>
                  </w:pPr>
                  <w:r>
                    <w:rPr>
                      <w:rFonts w:hint="default"/>
                      <w:b/>
                      <w:bCs/>
                      <w:color w:val="auto"/>
                    </w:rPr>
                    <w:t>物料名称</w:t>
                  </w:r>
                </w:p>
              </w:tc>
              <w:tc>
                <w:tcPr>
                  <w:tcW w:w="537" w:type="pct"/>
                  <w:noWrap/>
                  <w:vAlign w:val="center"/>
                </w:tcPr>
                <w:p w14:paraId="2A54589A">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textAlignment w:val="auto"/>
                    <w:rPr>
                      <w:rFonts w:hint="default"/>
                      <w:b/>
                      <w:bCs/>
                      <w:color w:val="auto"/>
                    </w:rPr>
                  </w:pPr>
                  <w:r>
                    <w:rPr>
                      <w:rFonts w:hint="default"/>
                      <w:b/>
                      <w:bCs/>
                      <w:color w:val="auto"/>
                    </w:rPr>
                    <w:t>形态</w:t>
                  </w:r>
                </w:p>
              </w:tc>
              <w:tc>
                <w:tcPr>
                  <w:tcW w:w="675" w:type="pct"/>
                  <w:noWrap/>
                  <w:vAlign w:val="center"/>
                </w:tcPr>
                <w:p w14:paraId="57B5A736">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textAlignment w:val="auto"/>
                    <w:rPr>
                      <w:rFonts w:hint="default"/>
                      <w:b/>
                      <w:bCs/>
                      <w:color w:val="auto"/>
                    </w:rPr>
                  </w:pPr>
                  <w:r>
                    <w:rPr>
                      <w:rFonts w:hint="default"/>
                      <w:b/>
                      <w:bCs/>
                      <w:color w:val="auto"/>
                    </w:rPr>
                    <w:t>年</w:t>
                  </w:r>
                  <w:r>
                    <w:rPr>
                      <w:rFonts w:hint="eastAsia"/>
                      <w:b/>
                      <w:bCs/>
                      <w:color w:val="auto"/>
                      <w:lang w:val="en-US" w:eastAsia="zh-CN"/>
                    </w:rPr>
                    <w:t>使用/</w:t>
                  </w:r>
                  <w:r>
                    <w:rPr>
                      <w:b/>
                      <w:bCs/>
                      <w:color w:val="auto"/>
                    </w:rPr>
                    <w:t>产生</w:t>
                  </w:r>
                  <w:r>
                    <w:rPr>
                      <w:rFonts w:hint="default"/>
                      <w:b/>
                      <w:bCs/>
                      <w:color w:val="auto"/>
                    </w:rPr>
                    <w:t>量/t</w:t>
                  </w:r>
                </w:p>
              </w:tc>
              <w:tc>
                <w:tcPr>
                  <w:tcW w:w="1024" w:type="pct"/>
                  <w:noWrap/>
                  <w:vAlign w:val="center"/>
                </w:tcPr>
                <w:p w14:paraId="655EEC46">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textAlignment w:val="auto"/>
                    <w:rPr>
                      <w:rFonts w:hint="default"/>
                      <w:b/>
                      <w:bCs/>
                      <w:color w:val="auto"/>
                    </w:rPr>
                  </w:pPr>
                  <w:r>
                    <w:rPr>
                      <w:rFonts w:hint="default"/>
                      <w:b/>
                      <w:bCs/>
                      <w:color w:val="auto"/>
                    </w:rPr>
                    <w:t>包装规格</w:t>
                  </w:r>
                </w:p>
              </w:tc>
              <w:tc>
                <w:tcPr>
                  <w:tcW w:w="655" w:type="pct"/>
                  <w:noWrap/>
                  <w:vAlign w:val="center"/>
                </w:tcPr>
                <w:p w14:paraId="6C0D2CA5">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textAlignment w:val="auto"/>
                    <w:rPr>
                      <w:rFonts w:hint="default"/>
                      <w:b/>
                      <w:bCs/>
                      <w:color w:val="auto"/>
                    </w:rPr>
                  </w:pPr>
                  <w:r>
                    <w:rPr>
                      <w:rFonts w:hint="default"/>
                      <w:b/>
                      <w:bCs/>
                      <w:color w:val="auto"/>
                    </w:rPr>
                    <w:t>最大</w:t>
                  </w:r>
                  <w:r>
                    <w:rPr>
                      <w:b/>
                      <w:bCs/>
                      <w:color w:val="auto"/>
                    </w:rPr>
                    <w:t>存在总量</w:t>
                  </w:r>
                  <w:r>
                    <w:rPr>
                      <w:rFonts w:hint="default"/>
                      <w:b/>
                      <w:bCs/>
                      <w:color w:val="auto"/>
                    </w:rPr>
                    <w:t>/t</w:t>
                  </w:r>
                </w:p>
              </w:tc>
              <w:tc>
                <w:tcPr>
                  <w:tcW w:w="772" w:type="pct"/>
                  <w:noWrap/>
                  <w:vAlign w:val="center"/>
                </w:tcPr>
                <w:p w14:paraId="0B31C0C4">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textAlignment w:val="auto"/>
                    <w:rPr>
                      <w:rFonts w:hint="default"/>
                      <w:b/>
                      <w:bCs/>
                      <w:color w:val="auto"/>
                    </w:rPr>
                  </w:pPr>
                  <w:r>
                    <w:rPr>
                      <w:rFonts w:hint="default"/>
                      <w:b/>
                      <w:bCs/>
                      <w:color w:val="auto"/>
                    </w:rPr>
                    <w:t>储存位置</w:t>
                  </w:r>
                </w:p>
              </w:tc>
            </w:tr>
            <w:tr w14:paraId="2BEFC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5" w:type="pct"/>
                  <w:noWrap/>
                  <w:vAlign w:val="center"/>
                </w:tcPr>
                <w:p w14:paraId="05DE9635">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textAlignment w:val="auto"/>
                    <w:rPr>
                      <w:rFonts w:hint="default"/>
                      <w:color w:val="auto"/>
                    </w:rPr>
                  </w:pPr>
                  <w:r>
                    <w:rPr>
                      <w:rFonts w:hint="default"/>
                      <w:color w:val="auto"/>
                    </w:rPr>
                    <w:t>1</w:t>
                  </w:r>
                </w:p>
              </w:tc>
              <w:tc>
                <w:tcPr>
                  <w:tcW w:w="889" w:type="pct"/>
                  <w:shd w:val="clear" w:color="auto" w:fill="auto"/>
                  <w:noWrap/>
                  <w:vAlign w:val="center"/>
                </w:tcPr>
                <w:p w14:paraId="42262FDF">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润滑油</w:t>
                  </w:r>
                </w:p>
              </w:tc>
              <w:tc>
                <w:tcPr>
                  <w:tcW w:w="537" w:type="pct"/>
                  <w:shd w:val="clear" w:color="auto" w:fill="auto"/>
                  <w:noWrap/>
                  <w:vAlign w:val="center"/>
                </w:tcPr>
                <w:p w14:paraId="2DD227C7">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ascii="Times New Roman" w:hAnsi="Times New Roman" w:eastAsia="宋体"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液态</w:t>
                  </w:r>
                </w:p>
              </w:tc>
              <w:tc>
                <w:tcPr>
                  <w:tcW w:w="675" w:type="pct"/>
                  <w:shd w:val="clear" w:color="auto" w:fill="auto"/>
                  <w:noWrap/>
                  <w:vAlign w:val="center"/>
                </w:tcPr>
                <w:p w14:paraId="5BD786B8">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0.5</w:t>
                  </w:r>
                </w:p>
              </w:tc>
              <w:tc>
                <w:tcPr>
                  <w:tcW w:w="1024" w:type="pct"/>
                  <w:shd w:val="clear" w:color="auto" w:fill="auto"/>
                  <w:noWrap/>
                  <w:vAlign w:val="center"/>
                </w:tcPr>
                <w:p w14:paraId="4FAF16DA">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25kg/桶</w:t>
                  </w:r>
                </w:p>
              </w:tc>
              <w:tc>
                <w:tcPr>
                  <w:tcW w:w="655" w:type="pct"/>
                  <w:shd w:val="clear" w:color="auto" w:fill="auto"/>
                  <w:noWrap/>
                  <w:vAlign w:val="center"/>
                </w:tcPr>
                <w:p w14:paraId="644227FE">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0.5</w:t>
                  </w:r>
                </w:p>
              </w:tc>
              <w:tc>
                <w:tcPr>
                  <w:tcW w:w="772" w:type="pct"/>
                  <w:shd w:val="clear" w:color="auto" w:fill="auto"/>
                  <w:noWrap/>
                  <w:vAlign w:val="center"/>
                </w:tcPr>
                <w:p w14:paraId="6B3CEF7E">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ascii="Times New Roman" w:hAnsi="Times New Roman" w:eastAsia="宋体"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拆解车间</w:t>
                  </w:r>
                </w:p>
              </w:tc>
            </w:tr>
            <w:tr w14:paraId="506D96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5" w:type="pct"/>
                  <w:noWrap/>
                  <w:vAlign w:val="center"/>
                </w:tcPr>
                <w:p w14:paraId="7A93A2E0">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textAlignment w:val="auto"/>
                    <w:rPr>
                      <w:rFonts w:hint="eastAsia" w:eastAsia="宋体"/>
                      <w:color w:val="auto"/>
                      <w:lang w:val="en-US" w:eastAsia="zh-CN"/>
                    </w:rPr>
                  </w:pPr>
                  <w:r>
                    <w:rPr>
                      <w:rFonts w:hint="eastAsia"/>
                      <w:color w:val="auto"/>
                      <w:lang w:val="en-US" w:eastAsia="zh-CN"/>
                    </w:rPr>
                    <w:t>2</w:t>
                  </w:r>
                </w:p>
              </w:tc>
              <w:tc>
                <w:tcPr>
                  <w:tcW w:w="889" w:type="pct"/>
                  <w:shd w:val="clear" w:color="auto" w:fill="auto"/>
                  <w:noWrap/>
                  <w:vAlign w:val="center"/>
                </w:tcPr>
                <w:p w14:paraId="0736A971">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color w:val="auto"/>
                      <w:lang w:val="en-US" w:eastAsia="zh-CN"/>
                    </w:rPr>
                  </w:pPr>
                  <w:r>
                    <w:rPr>
                      <w:rFonts w:hint="eastAsia"/>
                      <w:color w:val="auto"/>
                      <w:lang w:val="en-US" w:eastAsia="zh-CN"/>
                    </w:rPr>
                    <w:t>废液压油</w:t>
                  </w:r>
                </w:p>
              </w:tc>
              <w:tc>
                <w:tcPr>
                  <w:tcW w:w="537" w:type="pct"/>
                  <w:shd w:val="clear" w:color="auto" w:fill="auto"/>
                  <w:noWrap/>
                  <w:vAlign w:val="center"/>
                </w:tcPr>
                <w:p w14:paraId="609EDD2E">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液态</w:t>
                  </w:r>
                </w:p>
              </w:tc>
              <w:tc>
                <w:tcPr>
                  <w:tcW w:w="675" w:type="pct"/>
                  <w:shd w:val="clear" w:color="auto" w:fill="auto"/>
                  <w:noWrap/>
                  <w:vAlign w:val="center"/>
                </w:tcPr>
                <w:p w14:paraId="07DFBBC2">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color w:val="auto"/>
                      <w:lang w:val="en-US" w:eastAsia="zh-CN"/>
                    </w:rPr>
                  </w:pPr>
                  <w:r>
                    <w:rPr>
                      <w:rFonts w:hint="eastAsia"/>
                      <w:color w:val="auto"/>
                      <w:lang w:val="en-US" w:eastAsia="zh-CN"/>
                    </w:rPr>
                    <w:t>0.5</w:t>
                  </w:r>
                </w:p>
              </w:tc>
              <w:tc>
                <w:tcPr>
                  <w:tcW w:w="1024" w:type="pct"/>
                  <w:shd w:val="clear" w:color="auto" w:fill="auto"/>
                  <w:noWrap/>
                  <w:vAlign w:val="center"/>
                </w:tcPr>
                <w:p w14:paraId="2FACAFE3">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eastAsia" w:eastAsia="宋体"/>
                      <w:color w:val="auto"/>
                      <w:lang w:val="en-US" w:eastAsia="zh-CN"/>
                    </w:rPr>
                  </w:pPr>
                  <w:r>
                    <w:rPr>
                      <w:rFonts w:hint="eastAsia"/>
                      <w:color w:val="auto"/>
                      <w:lang w:val="en-US" w:eastAsia="zh-CN"/>
                    </w:rPr>
                    <w:t>桶装</w:t>
                  </w:r>
                </w:p>
              </w:tc>
              <w:tc>
                <w:tcPr>
                  <w:tcW w:w="655" w:type="pct"/>
                  <w:shd w:val="clear" w:color="auto" w:fill="auto"/>
                  <w:noWrap/>
                  <w:vAlign w:val="center"/>
                </w:tcPr>
                <w:p w14:paraId="0B037924">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color w:val="auto"/>
                      <w:lang w:val="en-US" w:eastAsia="zh-CN"/>
                    </w:rPr>
                  </w:pPr>
                  <w:r>
                    <w:rPr>
                      <w:rFonts w:hint="eastAsia"/>
                      <w:color w:val="auto"/>
                      <w:lang w:val="en-US" w:eastAsia="zh-CN"/>
                    </w:rPr>
                    <w:t>0.5</w:t>
                  </w:r>
                </w:p>
              </w:tc>
              <w:tc>
                <w:tcPr>
                  <w:tcW w:w="772" w:type="pct"/>
                  <w:shd w:val="clear" w:color="auto" w:fill="auto"/>
                  <w:noWrap/>
                  <w:vAlign w:val="center"/>
                </w:tcPr>
                <w:p w14:paraId="6D0D0A0E">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危废暂存间</w:t>
                  </w:r>
                </w:p>
              </w:tc>
            </w:tr>
            <w:tr w14:paraId="26BE0C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5" w:type="pct"/>
                  <w:noWrap/>
                  <w:vAlign w:val="center"/>
                </w:tcPr>
                <w:p w14:paraId="68B60A57">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textAlignment w:val="auto"/>
                    <w:rPr>
                      <w:rFonts w:hint="default"/>
                      <w:color w:val="auto"/>
                      <w:lang w:val="en-US" w:eastAsia="zh-CN"/>
                    </w:rPr>
                  </w:pPr>
                  <w:r>
                    <w:rPr>
                      <w:rFonts w:hint="eastAsia"/>
                      <w:color w:val="auto"/>
                      <w:lang w:val="en-US" w:eastAsia="zh-CN"/>
                    </w:rPr>
                    <w:t>3</w:t>
                  </w:r>
                </w:p>
              </w:tc>
              <w:tc>
                <w:tcPr>
                  <w:tcW w:w="889" w:type="pct"/>
                  <w:shd w:val="clear" w:color="auto" w:fill="auto"/>
                  <w:noWrap/>
                  <w:vAlign w:val="center"/>
                </w:tcPr>
                <w:p w14:paraId="42AEDA84">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color w:val="auto"/>
                      <w:lang w:val="en-US" w:eastAsia="zh-CN"/>
                    </w:rPr>
                  </w:pPr>
                  <w:r>
                    <w:rPr>
                      <w:rFonts w:hint="eastAsia"/>
                      <w:color w:val="auto"/>
                      <w:lang w:val="en-US" w:eastAsia="zh-CN"/>
                    </w:rPr>
                    <w:t>废润滑油</w:t>
                  </w:r>
                </w:p>
              </w:tc>
              <w:tc>
                <w:tcPr>
                  <w:tcW w:w="537" w:type="pct"/>
                  <w:shd w:val="clear" w:color="auto" w:fill="auto"/>
                  <w:noWrap/>
                  <w:vAlign w:val="center"/>
                </w:tcPr>
                <w:p w14:paraId="28092728">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液态</w:t>
                  </w:r>
                </w:p>
              </w:tc>
              <w:tc>
                <w:tcPr>
                  <w:tcW w:w="675" w:type="pct"/>
                  <w:shd w:val="clear" w:color="auto" w:fill="auto"/>
                  <w:noWrap/>
                  <w:vAlign w:val="center"/>
                </w:tcPr>
                <w:p w14:paraId="0E385424">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color w:val="auto"/>
                      <w:lang w:val="en-US" w:eastAsia="zh-CN"/>
                    </w:rPr>
                  </w:pPr>
                  <w:r>
                    <w:rPr>
                      <w:rFonts w:hint="eastAsia"/>
                      <w:color w:val="auto"/>
                      <w:lang w:val="en-US" w:eastAsia="zh-CN"/>
                    </w:rPr>
                    <w:t>0.05</w:t>
                  </w:r>
                </w:p>
              </w:tc>
              <w:tc>
                <w:tcPr>
                  <w:tcW w:w="1024" w:type="pct"/>
                  <w:shd w:val="clear" w:color="auto" w:fill="auto"/>
                  <w:noWrap/>
                  <w:vAlign w:val="center"/>
                </w:tcPr>
                <w:p w14:paraId="09896C44">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eastAsia"/>
                      <w:color w:val="auto"/>
                      <w:lang w:val="en-US" w:eastAsia="zh-CN"/>
                    </w:rPr>
                  </w:pPr>
                  <w:r>
                    <w:rPr>
                      <w:rFonts w:hint="eastAsia"/>
                      <w:color w:val="auto"/>
                      <w:lang w:val="en-US" w:eastAsia="zh-CN"/>
                    </w:rPr>
                    <w:t>桶装</w:t>
                  </w:r>
                </w:p>
              </w:tc>
              <w:tc>
                <w:tcPr>
                  <w:tcW w:w="655" w:type="pct"/>
                  <w:shd w:val="clear" w:color="auto" w:fill="auto"/>
                  <w:noWrap/>
                  <w:vAlign w:val="center"/>
                </w:tcPr>
                <w:p w14:paraId="0A3BDC90">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color w:val="auto"/>
                      <w:lang w:val="en-US" w:eastAsia="zh-CN"/>
                    </w:rPr>
                  </w:pPr>
                  <w:r>
                    <w:rPr>
                      <w:rFonts w:hint="eastAsia"/>
                      <w:color w:val="auto"/>
                      <w:lang w:val="en-US" w:eastAsia="zh-CN"/>
                    </w:rPr>
                    <w:t>0.05</w:t>
                  </w:r>
                </w:p>
              </w:tc>
              <w:tc>
                <w:tcPr>
                  <w:tcW w:w="772" w:type="pct"/>
                  <w:shd w:val="clear" w:color="auto" w:fill="auto"/>
                  <w:noWrap/>
                  <w:vAlign w:val="center"/>
                </w:tcPr>
                <w:p w14:paraId="38CC6D14">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eastAsia"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危废暂存间</w:t>
                  </w:r>
                </w:p>
              </w:tc>
            </w:tr>
            <w:tr w14:paraId="09D22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445" w:type="pct"/>
                  <w:noWrap/>
                  <w:vAlign w:val="center"/>
                </w:tcPr>
                <w:p w14:paraId="47ED17CC">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textAlignment w:val="auto"/>
                    <w:rPr>
                      <w:rFonts w:hint="eastAsia" w:eastAsia="宋体"/>
                      <w:color w:val="auto"/>
                      <w:lang w:val="en-US" w:eastAsia="zh-CN"/>
                    </w:rPr>
                  </w:pPr>
                  <w:r>
                    <w:rPr>
                      <w:rFonts w:hint="eastAsia"/>
                      <w:color w:val="auto"/>
                      <w:lang w:val="en-US" w:eastAsia="zh-CN"/>
                    </w:rPr>
                    <w:t>4</w:t>
                  </w:r>
                </w:p>
              </w:tc>
              <w:tc>
                <w:tcPr>
                  <w:tcW w:w="889" w:type="pct"/>
                  <w:shd w:val="clear" w:color="auto" w:fill="auto"/>
                  <w:noWrap/>
                  <w:vAlign w:val="center"/>
                </w:tcPr>
                <w:p w14:paraId="3BDD541F">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color w:val="auto"/>
                      <w:lang w:val="en-US" w:eastAsia="zh-CN"/>
                    </w:rPr>
                  </w:pPr>
                  <w:r>
                    <w:rPr>
                      <w:rFonts w:hint="eastAsia"/>
                      <w:color w:val="auto"/>
                      <w:lang w:val="en-US" w:eastAsia="zh-CN"/>
                    </w:rPr>
                    <w:t>硫酸</w:t>
                  </w:r>
                </w:p>
              </w:tc>
              <w:tc>
                <w:tcPr>
                  <w:tcW w:w="537" w:type="pct"/>
                  <w:shd w:val="clear" w:color="auto" w:fill="auto"/>
                  <w:noWrap/>
                  <w:vAlign w:val="center"/>
                </w:tcPr>
                <w:p w14:paraId="65D1EAC5">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液态</w:t>
                  </w:r>
                </w:p>
              </w:tc>
              <w:tc>
                <w:tcPr>
                  <w:tcW w:w="675" w:type="pct"/>
                  <w:shd w:val="clear" w:color="auto" w:fill="auto"/>
                  <w:noWrap/>
                  <w:vAlign w:val="center"/>
                </w:tcPr>
                <w:p w14:paraId="29D40931">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color w:val="auto"/>
                      <w:lang w:val="en-US" w:eastAsia="zh-CN"/>
                    </w:rPr>
                  </w:pPr>
                  <w:r>
                    <w:rPr>
                      <w:rFonts w:hint="eastAsia"/>
                      <w:color w:val="auto"/>
                      <w:lang w:val="en-US" w:eastAsia="zh-CN"/>
                    </w:rPr>
                    <w:t>0.034</w:t>
                  </w:r>
                </w:p>
              </w:tc>
              <w:tc>
                <w:tcPr>
                  <w:tcW w:w="1024" w:type="pct"/>
                  <w:shd w:val="clear" w:color="auto" w:fill="auto"/>
                  <w:noWrap/>
                  <w:vAlign w:val="center"/>
                </w:tcPr>
                <w:p w14:paraId="20DC65C0">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eastAsia" w:eastAsia="宋体"/>
                      <w:color w:val="auto"/>
                      <w:lang w:val="en-US" w:eastAsia="zh-CN"/>
                    </w:rPr>
                  </w:pPr>
                  <w:r>
                    <w:rPr>
                      <w:rFonts w:hint="eastAsia"/>
                      <w:color w:val="auto"/>
                      <w:lang w:val="en-US" w:eastAsia="zh-CN"/>
                    </w:rPr>
                    <w:t>/</w:t>
                  </w:r>
                </w:p>
              </w:tc>
              <w:tc>
                <w:tcPr>
                  <w:tcW w:w="655" w:type="pct"/>
                  <w:shd w:val="clear" w:color="auto" w:fill="auto"/>
                  <w:noWrap/>
                  <w:vAlign w:val="center"/>
                </w:tcPr>
                <w:p w14:paraId="1D1C0565">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color w:val="auto"/>
                      <w:lang w:val="en-US" w:eastAsia="zh-CN"/>
                    </w:rPr>
                  </w:pPr>
                  <w:r>
                    <w:rPr>
                      <w:rFonts w:hint="eastAsia"/>
                      <w:color w:val="auto"/>
                      <w:lang w:val="en-US" w:eastAsia="zh-CN"/>
                    </w:rPr>
                    <w:t>0.034</w:t>
                  </w:r>
                </w:p>
              </w:tc>
              <w:tc>
                <w:tcPr>
                  <w:tcW w:w="772" w:type="pct"/>
                  <w:shd w:val="clear" w:color="auto" w:fill="auto"/>
                  <w:noWrap/>
                  <w:vAlign w:val="center"/>
                </w:tcPr>
                <w:p w14:paraId="73272082">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拆解车间</w:t>
                  </w:r>
                </w:p>
              </w:tc>
            </w:tr>
            <w:tr w14:paraId="6C1F5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0" w:type="pct"/>
                  <w:gridSpan w:val="7"/>
                  <w:noWrap/>
                  <w:vAlign w:val="center"/>
                </w:tcPr>
                <w:p w14:paraId="3240AC58">
                  <w:pPr>
                    <w:pStyle w:val="46"/>
                    <w:keepNext w:val="0"/>
                    <w:keepLines w:val="0"/>
                    <w:suppressLineNumbers w:val="0"/>
                    <w:bidi w:val="0"/>
                    <w:spacing w:before="0" w:beforeAutospacing="0" w:after="0" w:afterAutospacing="0"/>
                    <w:jc w:val="left"/>
                    <w:rPr>
                      <w:rFonts w:hint="default" w:eastAsia="微软雅黑"/>
                      <w:lang w:val="en-US" w:eastAsia="zh-CN"/>
                    </w:rPr>
                  </w:pPr>
                  <w:r>
                    <w:rPr>
                      <w:rFonts w:hint="eastAsia"/>
                      <w:b/>
                      <w:bCs/>
                      <w:color w:val="auto"/>
                      <w:sz w:val="18"/>
                      <w:szCs w:val="18"/>
                      <w:lang w:val="en-US" w:eastAsia="zh-CN"/>
                    </w:rPr>
                    <w:t>备注：①</w:t>
                  </w:r>
                  <w:r>
                    <w:rPr>
                      <w:rFonts w:hint="eastAsia" w:ascii="Times New Roman" w:hAnsi="Times New Roman" w:eastAsia="宋体" w:cs="Times New Roman"/>
                      <w:b/>
                      <w:bCs/>
                      <w:color w:val="auto"/>
                      <w:kern w:val="2"/>
                      <w:sz w:val="18"/>
                      <w:szCs w:val="18"/>
                      <w:lang w:val="en-US" w:eastAsia="zh-CN" w:bidi="ar-SA"/>
                    </w:rPr>
                    <w:t>根据《铅蓄电池用电解液》（JB/T10052-2010）中对液体电解液的要求，电解液中硫酸含量（质量分数）为15%～40%，破损废铅蓄电池量为0.086t，则在最不利的情况下（电解液中硫酸含量按40%计</w:t>
                  </w:r>
                  <w:r>
                    <w:rPr>
                      <w:rFonts w:hint="eastAsia" w:eastAsia="宋体" w:cs="Times New Roman"/>
                      <w:b/>
                      <w:bCs/>
                      <w:color w:val="auto"/>
                      <w:kern w:val="2"/>
                      <w:sz w:val="18"/>
                      <w:szCs w:val="18"/>
                      <w:lang w:val="en-US" w:eastAsia="zh-CN" w:bidi="ar-SA"/>
                    </w:rPr>
                    <w:t>，</w:t>
                  </w:r>
                  <w:r>
                    <w:rPr>
                      <w:rFonts w:hint="eastAsia" w:ascii="Times New Roman" w:hAnsi="Times New Roman" w:eastAsia="宋体" w:cs="Times New Roman"/>
                      <w:b/>
                      <w:bCs/>
                      <w:color w:val="auto"/>
                      <w:kern w:val="2"/>
                      <w:sz w:val="18"/>
                      <w:szCs w:val="18"/>
                      <w:lang w:val="en-US" w:eastAsia="zh-CN" w:bidi="ar-SA"/>
                    </w:rPr>
                    <w:t>破损电池中的硫酸全部泄漏），则泄漏的电解液中硫酸泄漏量为0.034t/a。</w:t>
                  </w:r>
                </w:p>
              </w:tc>
            </w:tr>
          </w:tbl>
          <w:p w14:paraId="534CF8EA">
            <w:pPr>
              <w:keepNext w:val="0"/>
              <w:keepLines w:val="0"/>
              <w:suppressLineNumbers w:val="0"/>
              <w:spacing w:before="0" w:beforeAutospacing="0" w:after="0" w:afterAutospacing="0" w:line="360" w:lineRule="auto"/>
              <w:ind w:left="0" w:right="0" w:firstLine="482" w:firstLineChars="200"/>
              <w:rPr>
                <w:rFonts w:hint="default" w:ascii="Times New Roman" w:hAnsi="Times New Roman" w:eastAsia="宋体" w:cs="Times New Roman"/>
                <w:b/>
                <w:bCs/>
                <w:color w:val="auto"/>
                <w:kern w:val="2"/>
                <w:sz w:val="24"/>
                <w:szCs w:val="24"/>
                <w:highlight w:val="none"/>
                <w:lang w:val="en-US" w:eastAsia="zh-CN" w:bidi="ar-SA"/>
              </w:rPr>
            </w:pPr>
            <w:r>
              <w:rPr>
                <w:rFonts w:hint="eastAsia" w:ascii="Times New Roman" w:hAnsi="Times New Roman" w:eastAsia="宋体" w:cs="Times New Roman"/>
                <w:b/>
                <w:bCs/>
                <w:color w:val="auto"/>
                <w:kern w:val="2"/>
                <w:sz w:val="24"/>
                <w:szCs w:val="24"/>
                <w:highlight w:val="none"/>
                <w:lang w:val="en-US" w:eastAsia="zh-CN" w:bidi="ar-SA"/>
              </w:rPr>
              <w:t>2、</w:t>
            </w:r>
            <w:r>
              <w:rPr>
                <w:rFonts w:hint="default" w:ascii="Times New Roman" w:hAnsi="Times New Roman" w:eastAsia="宋体" w:cs="Times New Roman"/>
                <w:b/>
                <w:bCs/>
                <w:color w:val="auto"/>
                <w:kern w:val="2"/>
                <w:sz w:val="24"/>
                <w:szCs w:val="24"/>
                <w:highlight w:val="none"/>
                <w:lang w:val="en-US" w:eastAsia="zh-CN" w:bidi="ar-SA"/>
              </w:rPr>
              <w:t>风险潜势初判</w:t>
            </w:r>
          </w:p>
          <w:p w14:paraId="67BDB27B">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b w:val="0"/>
                <w:bCs w:val="0"/>
                <w:color w:val="auto"/>
                <w:kern w:val="2"/>
                <w:sz w:val="24"/>
                <w:szCs w:val="24"/>
                <w:highlight w:val="none"/>
                <w:lang w:val="en-US" w:eastAsia="zh-CN" w:bidi="ar-SA"/>
              </w:rPr>
            </w:pPr>
            <w:r>
              <w:rPr>
                <w:rFonts w:hint="default" w:ascii="Times New Roman" w:hAnsi="Times New Roman" w:eastAsia="宋体" w:cs="Times New Roman"/>
                <w:b w:val="0"/>
                <w:bCs w:val="0"/>
                <w:color w:val="auto"/>
                <w:kern w:val="2"/>
                <w:sz w:val="24"/>
                <w:szCs w:val="24"/>
                <w:highlight w:val="none"/>
                <w:lang w:val="en-US" w:eastAsia="zh-CN" w:bidi="ar-SA"/>
              </w:rPr>
              <w:t>根据《建设项目环境风险评价技术导则》（HJ</w:t>
            </w:r>
            <w:r>
              <w:rPr>
                <w:rFonts w:hint="eastAsia" w:ascii="Times New Roman" w:hAnsi="Times New Roman" w:eastAsia="宋体" w:cs="Times New Roman"/>
                <w:b w:val="0"/>
                <w:bCs w:val="0"/>
                <w:color w:val="auto"/>
                <w:kern w:val="2"/>
                <w:sz w:val="24"/>
                <w:szCs w:val="24"/>
                <w:highlight w:val="none"/>
                <w:lang w:val="en-US" w:eastAsia="zh-CN" w:bidi="ar-SA"/>
              </w:rPr>
              <w:t xml:space="preserve"> </w:t>
            </w:r>
            <w:r>
              <w:rPr>
                <w:rFonts w:hint="default" w:ascii="Times New Roman" w:hAnsi="Times New Roman" w:eastAsia="宋体" w:cs="Times New Roman"/>
                <w:b w:val="0"/>
                <w:bCs w:val="0"/>
                <w:color w:val="auto"/>
                <w:kern w:val="2"/>
                <w:sz w:val="24"/>
                <w:szCs w:val="24"/>
                <w:highlight w:val="none"/>
                <w:lang w:val="en-US" w:eastAsia="zh-CN" w:bidi="ar-SA"/>
              </w:rPr>
              <w:t>169-2018）当存在多种危险物质时，则按式（C.1）计算物质总量与其临界量比值（Q）：</w:t>
            </w:r>
          </w:p>
          <w:p w14:paraId="55FADDF9">
            <w:pPr>
              <w:pStyle w:val="39"/>
              <w:keepNext w:val="0"/>
              <w:keepLines w:val="0"/>
              <w:suppressLineNumbers w:val="0"/>
              <w:bidi w:val="0"/>
              <w:spacing w:before="0" w:beforeAutospacing="0" w:after="0" w:afterAutospacing="0"/>
              <w:ind w:left="0" w:right="0"/>
              <w:rPr>
                <w:rFonts w:hint="eastAsia" w:ascii="Times New Roman" w:hAnsi="Times New Roman" w:eastAsia="宋体" w:cs="Times New Roman"/>
                <w:b w:val="0"/>
                <w:bCs w:val="0"/>
                <w:color w:val="auto"/>
                <w:kern w:val="2"/>
                <w:sz w:val="24"/>
                <w:szCs w:val="24"/>
                <w:highlight w:val="none"/>
                <w:lang w:val="en-US" w:eastAsia="zh-CN" w:bidi="ar-SA"/>
              </w:rPr>
            </w:pPr>
            <m:oMathPara>
              <m:oMath>
                <m:r>
                  <m:rPr>
                    <m:sty m:val="p"/>
                  </m:rPr>
                  <w:rPr>
                    <w:rFonts w:hint="default" w:ascii="Cambria Math" w:hAnsi="Cambria Math"/>
                    <w:color w:val="auto"/>
                    <w:sz w:val="24"/>
                    <w:szCs w:val="24"/>
                    <w:highlight w:val="none"/>
                  </w:rPr>
                  <m:t>Q=</m:t>
                </m:r>
                <m:f>
                  <m:fPr>
                    <m:ctrlPr>
                      <w:rPr>
                        <w:rFonts w:hint="default" w:ascii="Cambria Math" w:hAnsi="Cambria Math"/>
                        <w:color w:val="auto"/>
                        <w:sz w:val="24"/>
                        <w:szCs w:val="24"/>
                        <w:highlight w:val="none"/>
                      </w:rPr>
                    </m:ctrlPr>
                  </m:fPr>
                  <m:num>
                    <m:sSub>
                      <m:sSubPr>
                        <m:ctrlPr>
                          <w:rPr>
                            <w:rFonts w:hint="default" w:ascii="Cambria Math" w:hAnsi="Cambria Math"/>
                            <w:color w:val="auto"/>
                            <w:sz w:val="24"/>
                            <w:szCs w:val="24"/>
                            <w:highlight w:val="none"/>
                          </w:rPr>
                        </m:ctrlPr>
                      </m:sSubPr>
                      <m:e>
                        <m:r>
                          <m:rPr/>
                          <w:rPr>
                            <w:rFonts w:hint="default" w:ascii="Cambria Math" w:hAnsi="Cambria Math"/>
                            <w:color w:val="auto"/>
                            <w:sz w:val="24"/>
                            <w:szCs w:val="24"/>
                            <w:highlight w:val="none"/>
                          </w:rPr>
                          <m:t>q</m:t>
                        </m:r>
                        <m:ctrlPr>
                          <w:rPr>
                            <w:rFonts w:hint="default" w:ascii="Cambria Math" w:hAnsi="Cambria Math"/>
                            <w:color w:val="auto"/>
                            <w:sz w:val="24"/>
                            <w:szCs w:val="24"/>
                            <w:highlight w:val="none"/>
                          </w:rPr>
                        </m:ctrlPr>
                      </m:e>
                      <m:sub>
                        <m:r>
                          <m:rPr>
                            <m:sty m:val="p"/>
                          </m:rPr>
                          <w:rPr>
                            <w:rFonts w:hint="default" w:ascii="Cambria Math" w:hAnsi="Cambria Math"/>
                            <w:color w:val="auto"/>
                            <w:sz w:val="24"/>
                            <w:szCs w:val="24"/>
                            <w:highlight w:val="none"/>
                          </w:rPr>
                          <m:t>1</m:t>
                        </m:r>
                        <m:ctrlPr>
                          <w:rPr>
                            <w:rFonts w:hint="default" w:ascii="Cambria Math" w:hAnsi="Cambria Math"/>
                            <w:color w:val="auto"/>
                            <w:sz w:val="24"/>
                            <w:szCs w:val="24"/>
                            <w:highlight w:val="none"/>
                          </w:rPr>
                        </m:ctrlPr>
                      </m:sub>
                    </m:sSub>
                    <m:ctrlPr>
                      <w:rPr>
                        <w:rFonts w:hint="default" w:ascii="Cambria Math" w:hAnsi="Cambria Math"/>
                        <w:color w:val="auto"/>
                        <w:sz w:val="24"/>
                        <w:szCs w:val="24"/>
                        <w:highlight w:val="none"/>
                      </w:rPr>
                    </m:ctrlPr>
                  </m:num>
                  <m:den>
                    <m:sSub>
                      <m:sSubPr>
                        <m:ctrlPr>
                          <w:rPr>
                            <w:rFonts w:hint="default" w:ascii="Cambria Math" w:hAnsi="Cambria Math"/>
                            <w:color w:val="auto"/>
                            <w:sz w:val="24"/>
                            <w:szCs w:val="24"/>
                            <w:highlight w:val="none"/>
                          </w:rPr>
                        </m:ctrlPr>
                      </m:sSubPr>
                      <m:e>
                        <m:r>
                          <m:rPr/>
                          <w:rPr>
                            <w:rFonts w:hint="default" w:ascii="Cambria Math" w:hAnsi="Cambria Math"/>
                            <w:color w:val="auto"/>
                            <w:sz w:val="24"/>
                            <w:szCs w:val="24"/>
                            <w:highlight w:val="none"/>
                          </w:rPr>
                          <m:t>Q</m:t>
                        </m:r>
                        <m:ctrlPr>
                          <w:rPr>
                            <w:rFonts w:hint="default" w:ascii="Cambria Math" w:hAnsi="Cambria Math"/>
                            <w:color w:val="auto"/>
                            <w:sz w:val="24"/>
                            <w:szCs w:val="24"/>
                            <w:highlight w:val="none"/>
                          </w:rPr>
                        </m:ctrlPr>
                      </m:e>
                      <m:sub>
                        <m:r>
                          <m:rPr>
                            <m:sty m:val="p"/>
                          </m:rPr>
                          <w:rPr>
                            <w:rFonts w:hint="default" w:ascii="Cambria Math" w:hAnsi="Cambria Math"/>
                            <w:color w:val="auto"/>
                            <w:sz w:val="24"/>
                            <w:szCs w:val="24"/>
                            <w:highlight w:val="none"/>
                          </w:rPr>
                          <m:t>1</m:t>
                        </m:r>
                        <m:ctrlPr>
                          <w:rPr>
                            <w:rFonts w:hint="default" w:ascii="Cambria Math" w:hAnsi="Cambria Math"/>
                            <w:color w:val="auto"/>
                            <w:sz w:val="24"/>
                            <w:szCs w:val="24"/>
                            <w:highlight w:val="none"/>
                          </w:rPr>
                        </m:ctrlPr>
                      </m:sub>
                    </m:sSub>
                    <m:ctrlPr>
                      <w:rPr>
                        <w:rFonts w:hint="default" w:ascii="Cambria Math" w:hAnsi="Cambria Math"/>
                        <w:color w:val="auto"/>
                        <w:sz w:val="24"/>
                        <w:szCs w:val="24"/>
                        <w:highlight w:val="none"/>
                      </w:rPr>
                    </m:ctrlPr>
                  </m:den>
                </m:f>
                <m:r>
                  <m:rPr>
                    <m:sty m:val="p"/>
                  </m:rPr>
                  <w:rPr>
                    <w:rFonts w:hint="default" w:ascii="Cambria Math" w:hAnsi="Cambria Math"/>
                    <w:color w:val="auto"/>
                    <w:sz w:val="24"/>
                    <w:szCs w:val="24"/>
                    <w:highlight w:val="none"/>
                  </w:rPr>
                  <m:t>+</m:t>
                </m:r>
                <m:f>
                  <m:fPr>
                    <m:ctrlPr>
                      <w:rPr>
                        <w:rFonts w:hint="default" w:ascii="Cambria Math" w:hAnsi="Cambria Math"/>
                        <w:color w:val="auto"/>
                        <w:sz w:val="24"/>
                        <w:szCs w:val="24"/>
                        <w:highlight w:val="none"/>
                      </w:rPr>
                    </m:ctrlPr>
                  </m:fPr>
                  <m:num>
                    <m:sSub>
                      <m:sSubPr>
                        <m:ctrlPr>
                          <w:rPr>
                            <w:rFonts w:hint="default" w:ascii="Cambria Math" w:hAnsi="Cambria Math"/>
                            <w:color w:val="auto"/>
                            <w:sz w:val="24"/>
                            <w:szCs w:val="24"/>
                            <w:highlight w:val="none"/>
                          </w:rPr>
                        </m:ctrlPr>
                      </m:sSubPr>
                      <m:e>
                        <m:r>
                          <m:rPr/>
                          <w:rPr>
                            <w:rFonts w:hint="default" w:ascii="Cambria Math" w:hAnsi="Cambria Math"/>
                            <w:color w:val="auto"/>
                            <w:sz w:val="24"/>
                            <w:szCs w:val="24"/>
                            <w:highlight w:val="none"/>
                          </w:rPr>
                          <m:t>q</m:t>
                        </m:r>
                        <m:ctrlPr>
                          <w:rPr>
                            <w:rFonts w:hint="default" w:ascii="Cambria Math" w:hAnsi="Cambria Math"/>
                            <w:color w:val="auto"/>
                            <w:sz w:val="24"/>
                            <w:szCs w:val="24"/>
                            <w:highlight w:val="none"/>
                          </w:rPr>
                        </m:ctrlPr>
                      </m:e>
                      <m:sub>
                        <m:r>
                          <m:rPr>
                            <m:sty m:val="p"/>
                          </m:rPr>
                          <w:rPr>
                            <w:rFonts w:hint="default" w:ascii="Cambria Math" w:hAnsi="Cambria Math"/>
                            <w:color w:val="auto"/>
                            <w:sz w:val="24"/>
                            <w:szCs w:val="24"/>
                            <w:highlight w:val="none"/>
                          </w:rPr>
                          <m:t>2</m:t>
                        </m:r>
                        <m:ctrlPr>
                          <w:rPr>
                            <w:rFonts w:hint="default" w:ascii="Cambria Math" w:hAnsi="Cambria Math"/>
                            <w:color w:val="auto"/>
                            <w:sz w:val="24"/>
                            <w:szCs w:val="24"/>
                            <w:highlight w:val="none"/>
                          </w:rPr>
                        </m:ctrlPr>
                      </m:sub>
                    </m:sSub>
                    <m:ctrlPr>
                      <w:rPr>
                        <w:rFonts w:hint="default" w:ascii="Cambria Math" w:hAnsi="Cambria Math"/>
                        <w:color w:val="auto"/>
                        <w:sz w:val="24"/>
                        <w:szCs w:val="24"/>
                        <w:highlight w:val="none"/>
                      </w:rPr>
                    </m:ctrlPr>
                  </m:num>
                  <m:den>
                    <m:sSub>
                      <m:sSubPr>
                        <m:ctrlPr>
                          <w:rPr>
                            <w:rFonts w:hint="default" w:ascii="Cambria Math" w:hAnsi="Cambria Math"/>
                            <w:color w:val="auto"/>
                            <w:sz w:val="24"/>
                            <w:szCs w:val="24"/>
                            <w:highlight w:val="none"/>
                          </w:rPr>
                        </m:ctrlPr>
                      </m:sSubPr>
                      <m:e>
                        <m:r>
                          <m:rPr/>
                          <w:rPr>
                            <w:rFonts w:hint="default" w:ascii="Cambria Math" w:hAnsi="Cambria Math"/>
                            <w:color w:val="auto"/>
                            <w:sz w:val="24"/>
                            <w:szCs w:val="24"/>
                            <w:highlight w:val="none"/>
                          </w:rPr>
                          <m:t>Q</m:t>
                        </m:r>
                        <m:ctrlPr>
                          <w:rPr>
                            <w:rFonts w:hint="default" w:ascii="Cambria Math" w:hAnsi="Cambria Math"/>
                            <w:color w:val="auto"/>
                            <w:sz w:val="24"/>
                            <w:szCs w:val="24"/>
                            <w:highlight w:val="none"/>
                          </w:rPr>
                        </m:ctrlPr>
                      </m:e>
                      <m:sub>
                        <m:r>
                          <m:rPr>
                            <m:sty m:val="p"/>
                          </m:rPr>
                          <w:rPr>
                            <w:rFonts w:hint="default" w:ascii="Cambria Math" w:hAnsi="Cambria Math"/>
                            <w:color w:val="auto"/>
                            <w:sz w:val="24"/>
                            <w:szCs w:val="24"/>
                            <w:highlight w:val="none"/>
                          </w:rPr>
                          <m:t>2</m:t>
                        </m:r>
                        <m:ctrlPr>
                          <w:rPr>
                            <w:rFonts w:hint="default" w:ascii="Cambria Math" w:hAnsi="Cambria Math"/>
                            <w:color w:val="auto"/>
                            <w:sz w:val="24"/>
                            <w:szCs w:val="24"/>
                            <w:highlight w:val="none"/>
                          </w:rPr>
                        </m:ctrlPr>
                      </m:sub>
                    </m:sSub>
                    <m:ctrlPr>
                      <w:rPr>
                        <w:rFonts w:hint="default" w:ascii="Cambria Math" w:hAnsi="Cambria Math"/>
                        <w:color w:val="auto"/>
                        <w:sz w:val="24"/>
                        <w:szCs w:val="24"/>
                        <w:highlight w:val="none"/>
                      </w:rPr>
                    </m:ctrlPr>
                  </m:den>
                </m:f>
                <m:r>
                  <m:rPr>
                    <m:sty m:val="p"/>
                  </m:rPr>
                  <w:rPr>
                    <w:rFonts w:hint="default" w:ascii="Cambria Math" w:hAnsi="Cambria Math"/>
                    <w:color w:val="auto"/>
                    <w:sz w:val="24"/>
                    <w:szCs w:val="24"/>
                    <w:highlight w:val="none"/>
                  </w:rPr>
                  <m:t>+…</m:t>
                </m:r>
                <m:f>
                  <m:fPr>
                    <m:ctrlPr>
                      <w:rPr>
                        <w:rFonts w:hint="default" w:ascii="Cambria Math" w:hAnsi="Cambria Math"/>
                        <w:color w:val="auto"/>
                        <w:sz w:val="24"/>
                        <w:szCs w:val="24"/>
                        <w:highlight w:val="none"/>
                      </w:rPr>
                    </m:ctrlPr>
                  </m:fPr>
                  <m:num>
                    <m:sSub>
                      <m:sSubPr>
                        <m:ctrlPr>
                          <w:rPr>
                            <w:rFonts w:hint="default" w:ascii="Cambria Math" w:hAnsi="Cambria Math"/>
                            <w:color w:val="auto"/>
                            <w:sz w:val="24"/>
                            <w:szCs w:val="24"/>
                            <w:highlight w:val="none"/>
                          </w:rPr>
                        </m:ctrlPr>
                      </m:sSubPr>
                      <m:e>
                        <m:r>
                          <m:rPr/>
                          <w:rPr>
                            <w:rFonts w:hint="default" w:ascii="Cambria Math" w:hAnsi="Cambria Math"/>
                            <w:color w:val="auto"/>
                            <w:sz w:val="24"/>
                            <w:szCs w:val="24"/>
                            <w:highlight w:val="none"/>
                          </w:rPr>
                          <m:t>q</m:t>
                        </m:r>
                        <m:ctrlPr>
                          <w:rPr>
                            <w:rFonts w:hint="default" w:ascii="Cambria Math" w:hAnsi="Cambria Math"/>
                            <w:color w:val="auto"/>
                            <w:sz w:val="24"/>
                            <w:szCs w:val="24"/>
                            <w:highlight w:val="none"/>
                          </w:rPr>
                        </m:ctrlPr>
                      </m:e>
                      <m:sub>
                        <m:r>
                          <m:rPr/>
                          <w:rPr>
                            <w:rFonts w:hint="default" w:ascii="Cambria Math" w:hAnsi="Cambria Math"/>
                            <w:color w:val="auto"/>
                            <w:sz w:val="24"/>
                            <w:szCs w:val="24"/>
                            <w:highlight w:val="none"/>
                          </w:rPr>
                          <m:t>n</m:t>
                        </m:r>
                        <m:ctrlPr>
                          <w:rPr>
                            <w:rFonts w:hint="default" w:ascii="Cambria Math" w:hAnsi="Cambria Math"/>
                            <w:color w:val="auto"/>
                            <w:sz w:val="24"/>
                            <w:szCs w:val="24"/>
                            <w:highlight w:val="none"/>
                          </w:rPr>
                        </m:ctrlPr>
                      </m:sub>
                    </m:sSub>
                    <m:ctrlPr>
                      <w:rPr>
                        <w:rFonts w:hint="default" w:ascii="Cambria Math" w:hAnsi="Cambria Math"/>
                        <w:color w:val="auto"/>
                        <w:sz w:val="24"/>
                        <w:szCs w:val="24"/>
                        <w:highlight w:val="none"/>
                      </w:rPr>
                    </m:ctrlPr>
                  </m:num>
                  <m:den>
                    <m:sSub>
                      <m:sSubPr>
                        <m:ctrlPr>
                          <w:rPr>
                            <w:rFonts w:hint="default" w:ascii="Cambria Math" w:hAnsi="Cambria Math"/>
                            <w:color w:val="auto"/>
                            <w:sz w:val="24"/>
                            <w:szCs w:val="24"/>
                            <w:highlight w:val="none"/>
                          </w:rPr>
                        </m:ctrlPr>
                      </m:sSubPr>
                      <m:e>
                        <m:r>
                          <m:rPr/>
                          <w:rPr>
                            <w:rFonts w:hint="default" w:ascii="Cambria Math" w:hAnsi="Cambria Math"/>
                            <w:color w:val="auto"/>
                            <w:sz w:val="24"/>
                            <w:szCs w:val="24"/>
                            <w:highlight w:val="none"/>
                          </w:rPr>
                          <m:t>Q</m:t>
                        </m:r>
                        <m:ctrlPr>
                          <w:rPr>
                            <w:rFonts w:hint="default" w:ascii="Cambria Math" w:hAnsi="Cambria Math"/>
                            <w:color w:val="auto"/>
                            <w:sz w:val="24"/>
                            <w:szCs w:val="24"/>
                            <w:highlight w:val="none"/>
                          </w:rPr>
                        </m:ctrlPr>
                      </m:e>
                      <m:sub>
                        <m:r>
                          <m:rPr/>
                          <w:rPr>
                            <w:rFonts w:hint="default" w:ascii="Cambria Math" w:hAnsi="Cambria Math"/>
                            <w:color w:val="auto"/>
                            <w:sz w:val="24"/>
                            <w:szCs w:val="24"/>
                            <w:highlight w:val="none"/>
                          </w:rPr>
                          <m:t>n</m:t>
                        </m:r>
                        <m:ctrlPr>
                          <w:rPr>
                            <w:rFonts w:hint="default" w:ascii="Cambria Math" w:hAnsi="Cambria Math"/>
                            <w:color w:val="auto"/>
                            <w:sz w:val="24"/>
                            <w:szCs w:val="24"/>
                            <w:highlight w:val="none"/>
                          </w:rPr>
                        </m:ctrlPr>
                      </m:sub>
                    </m:sSub>
                    <m:ctrlPr>
                      <w:rPr>
                        <w:rFonts w:hint="default" w:ascii="Cambria Math" w:hAnsi="Cambria Math"/>
                        <w:color w:val="auto"/>
                        <w:sz w:val="24"/>
                        <w:szCs w:val="24"/>
                        <w:highlight w:val="none"/>
                      </w:rPr>
                    </m:ctrlPr>
                  </m:den>
                </m:f>
              </m:oMath>
            </m:oMathPara>
          </w:p>
          <w:p w14:paraId="257E1336">
            <w:pPr>
              <w:keepNext w:val="0"/>
              <w:keepLines w:val="0"/>
              <w:suppressLineNumbers w:val="0"/>
              <w:spacing w:before="0" w:beforeAutospacing="0" w:after="0" w:afterAutospacing="0" w:line="360" w:lineRule="auto"/>
              <w:ind w:left="0" w:right="0" w:firstLine="480"/>
              <w:rPr>
                <w:rFonts w:hint="default"/>
                <w:snapToGrid w:val="0"/>
                <w:color w:val="auto"/>
                <w:kern w:val="0"/>
                <w:sz w:val="24"/>
                <w:szCs w:val="24"/>
                <w:highlight w:val="none"/>
              </w:rPr>
            </w:pPr>
            <w:r>
              <w:rPr>
                <w:rFonts w:hint="default"/>
                <w:snapToGrid w:val="0"/>
                <w:color w:val="auto"/>
                <w:kern w:val="0"/>
                <w:sz w:val="24"/>
                <w:szCs w:val="24"/>
                <w:highlight w:val="none"/>
              </w:rPr>
              <w:t>式中：q</w:t>
            </w:r>
            <w:r>
              <w:rPr>
                <w:rFonts w:hint="default"/>
                <w:snapToGrid w:val="0"/>
                <w:color w:val="auto"/>
                <w:kern w:val="0"/>
                <w:sz w:val="24"/>
                <w:szCs w:val="24"/>
                <w:highlight w:val="none"/>
                <w:vertAlign w:val="subscript"/>
              </w:rPr>
              <w:t>1</w:t>
            </w:r>
            <w:r>
              <w:rPr>
                <w:rFonts w:hint="default"/>
                <w:snapToGrid w:val="0"/>
                <w:color w:val="auto"/>
                <w:kern w:val="0"/>
                <w:sz w:val="24"/>
                <w:szCs w:val="24"/>
                <w:highlight w:val="none"/>
              </w:rPr>
              <w:t>，q</w:t>
            </w:r>
            <w:r>
              <w:rPr>
                <w:rFonts w:hint="default"/>
                <w:snapToGrid w:val="0"/>
                <w:color w:val="auto"/>
                <w:kern w:val="0"/>
                <w:sz w:val="24"/>
                <w:szCs w:val="24"/>
                <w:highlight w:val="none"/>
                <w:vertAlign w:val="subscript"/>
              </w:rPr>
              <w:t>2</w:t>
            </w:r>
            <w:r>
              <w:rPr>
                <w:rFonts w:hint="default"/>
                <w:snapToGrid w:val="0"/>
                <w:color w:val="auto"/>
                <w:kern w:val="0"/>
                <w:sz w:val="24"/>
                <w:szCs w:val="24"/>
                <w:highlight w:val="none"/>
              </w:rPr>
              <w:t>…q</w:t>
            </w:r>
            <w:r>
              <w:rPr>
                <w:rFonts w:hint="default"/>
                <w:snapToGrid w:val="0"/>
                <w:color w:val="auto"/>
                <w:kern w:val="0"/>
                <w:sz w:val="24"/>
                <w:szCs w:val="24"/>
                <w:highlight w:val="none"/>
                <w:vertAlign w:val="subscript"/>
              </w:rPr>
              <w:t>n</w:t>
            </w:r>
            <w:r>
              <w:rPr>
                <w:rFonts w:hint="default"/>
                <w:snapToGrid w:val="0"/>
                <w:color w:val="auto"/>
                <w:kern w:val="0"/>
                <w:sz w:val="24"/>
                <w:szCs w:val="24"/>
                <w:highlight w:val="none"/>
              </w:rPr>
              <w:t>为每种危险物质最大存在总量，t。</w:t>
            </w:r>
          </w:p>
          <w:p w14:paraId="0D995C95">
            <w:pPr>
              <w:keepNext w:val="0"/>
              <w:keepLines w:val="0"/>
              <w:suppressLineNumbers w:val="0"/>
              <w:spacing w:before="0" w:beforeAutospacing="0" w:after="0" w:afterAutospacing="0" w:line="360" w:lineRule="auto"/>
              <w:ind w:left="0" w:right="0" w:firstLine="1200" w:firstLineChars="500"/>
              <w:rPr>
                <w:rFonts w:hint="default"/>
                <w:snapToGrid w:val="0"/>
                <w:color w:val="auto"/>
                <w:kern w:val="0"/>
                <w:sz w:val="24"/>
                <w:szCs w:val="24"/>
                <w:highlight w:val="none"/>
              </w:rPr>
            </w:pPr>
            <w:r>
              <w:rPr>
                <w:rFonts w:hint="default"/>
                <w:snapToGrid w:val="0"/>
                <w:color w:val="auto"/>
                <w:kern w:val="0"/>
                <w:sz w:val="24"/>
                <w:szCs w:val="24"/>
                <w:highlight w:val="none"/>
              </w:rPr>
              <w:t>Q</w:t>
            </w:r>
            <w:r>
              <w:rPr>
                <w:rFonts w:hint="default"/>
                <w:snapToGrid w:val="0"/>
                <w:color w:val="auto"/>
                <w:kern w:val="0"/>
                <w:sz w:val="24"/>
                <w:szCs w:val="24"/>
                <w:highlight w:val="none"/>
                <w:vertAlign w:val="subscript"/>
              </w:rPr>
              <w:t>1</w:t>
            </w:r>
            <w:r>
              <w:rPr>
                <w:rFonts w:hint="default"/>
                <w:snapToGrid w:val="0"/>
                <w:color w:val="auto"/>
                <w:kern w:val="0"/>
                <w:sz w:val="24"/>
                <w:szCs w:val="24"/>
                <w:highlight w:val="none"/>
              </w:rPr>
              <w:t>，Q</w:t>
            </w:r>
            <w:r>
              <w:rPr>
                <w:rFonts w:hint="default"/>
                <w:snapToGrid w:val="0"/>
                <w:color w:val="auto"/>
                <w:kern w:val="0"/>
                <w:sz w:val="24"/>
                <w:szCs w:val="24"/>
                <w:highlight w:val="none"/>
                <w:vertAlign w:val="subscript"/>
              </w:rPr>
              <w:t>2</w:t>
            </w:r>
            <w:r>
              <w:rPr>
                <w:rFonts w:hint="default"/>
                <w:snapToGrid w:val="0"/>
                <w:color w:val="auto"/>
                <w:kern w:val="0"/>
                <w:sz w:val="24"/>
                <w:szCs w:val="24"/>
                <w:highlight w:val="none"/>
              </w:rPr>
              <w:t>…Q</w:t>
            </w:r>
            <w:r>
              <w:rPr>
                <w:rFonts w:hint="default"/>
                <w:snapToGrid w:val="0"/>
                <w:color w:val="auto"/>
                <w:kern w:val="0"/>
                <w:sz w:val="24"/>
                <w:szCs w:val="24"/>
                <w:highlight w:val="none"/>
                <w:vertAlign w:val="subscript"/>
              </w:rPr>
              <w:t>n</w:t>
            </w:r>
            <w:r>
              <w:rPr>
                <w:rFonts w:hint="default"/>
                <w:snapToGrid w:val="0"/>
                <w:color w:val="auto"/>
                <w:kern w:val="0"/>
                <w:sz w:val="24"/>
                <w:szCs w:val="24"/>
                <w:highlight w:val="none"/>
              </w:rPr>
              <w:t>为每种危险物质的临界量，t。</w:t>
            </w:r>
          </w:p>
          <w:p w14:paraId="0A639D2F">
            <w:pPr>
              <w:keepNext w:val="0"/>
              <w:keepLines w:val="0"/>
              <w:suppressLineNumbers w:val="0"/>
              <w:bidi w:val="0"/>
              <w:spacing w:before="0" w:beforeAutospacing="0" w:after="0" w:afterAutospacing="0"/>
              <w:ind w:left="0" w:right="0"/>
              <w:rPr>
                <w:rFonts w:hint="default"/>
                <w:color w:val="auto"/>
              </w:rPr>
            </w:pPr>
            <w:r>
              <w:rPr>
                <w:rFonts w:hint="default"/>
                <w:color w:val="auto"/>
              </w:rPr>
              <w:t>当Q＜1时，该项目环境风险潜势为I；</w:t>
            </w:r>
          </w:p>
          <w:p w14:paraId="4CE1A4A4">
            <w:pPr>
              <w:keepNext w:val="0"/>
              <w:keepLines w:val="0"/>
              <w:suppressLineNumbers w:val="0"/>
              <w:bidi w:val="0"/>
              <w:spacing w:before="0" w:beforeAutospacing="0" w:after="0" w:afterAutospacing="0"/>
              <w:ind w:left="0" w:right="0"/>
              <w:rPr>
                <w:rFonts w:hint="default"/>
                <w:color w:val="auto"/>
              </w:rPr>
            </w:pPr>
            <w:r>
              <w:rPr>
                <w:rFonts w:hint="default"/>
                <w:color w:val="auto"/>
              </w:rPr>
              <w:t>当Q≥1时，将Q值划分为：（1）1≤Q＜10；（2）10≤Q＜100；（3）Q≥100。</w:t>
            </w:r>
          </w:p>
          <w:p w14:paraId="76D0016D">
            <w:pPr>
              <w:keepNext w:val="0"/>
              <w:keepLines w:val="0"/>
              <w:suppressLineNumbers w:val="0"/>
              <w:bidi w:val="0"/>
              <w:spacing w:before="0" w:beforeAutospacing="0" w:after="0" w:afterAutospacing="0"/>
              <w:ind w:left="0" w:right="0"/>
              <w:rPr>
                <w:rFonts w:hint="default"/>
                <w:color w:val="auto"/>
                <w:lang w:val="en-US" w:eastAsia="zh-CN"/>
              </w:rPr>
            </w:pPr>
            <w:r>
              <w:rPr>
                <w:rFonts w:hint="default"/>
                <w:color w:val="auto"/>
                <w:lang w:val="en-US" w:eastAsia="zh-CN"/>
              </w:rPr>
              <w:t>对照《建设项目环境风险评价技术导则》</w:t>
            </w:r>
            <w:r>
              <w:rPr>
                <w:rFonts w:hint="eastAsia"/>
                <w:color w:val="auto"/>
                <w:lang w:val="en-US" w:eastAsia="zh-CN"/>
              </w:rPr>
              <w:t>（</w:t>
            </w:r>
            <w:r>
              <w:rPr>
                <w:rFonts w:hint="default"/>
                <w:color w:val="auto"/>
                <w:lang w:val="en-US" w:eastAsia="zh-CN"/>
              </w:rPr>
              <w:t>HJ</w:t>
            </w:r>
            <w:r>
              <w:rPr>
                <w:rFonts w:hint="eastAsia"/>
                <w:color w:val="auto"/>
                <w:lang w:val="en-US" w:eastAsia="zh-CN"/>
              </w:rPr>
              <w:t xml:space="preserve"> </w:t>
            </w:r>
            <w:r>
              <w:rPr>
                <w:rFonts w:hint="default"/>
                <w:color w:val="auto"/>
                <w:lang w:val="en-US" w:eastAsia="zh-CN"/>
              </w:rPr>
              <w:t>169</w:t>
            </w:r>
            <w:r>
              <w:rPr>
                <w:rFonts w:hint="eastAsia"/>
                <w:color w:val="auto"/>
                <w:lang w:val="en-US" w:eastAsia="zh-CN"/>
              </w:rPr>
              <w:t>-</w:t>
            </w:r>
            <w:r>
              <w:rPr>
                <w:rFonts w:hint="default"/>
                <w:color w:val="auto"/>
                <w:lang w:val="en-US" w:eastAsia="zh-CN"/>
              </w:rPr>
              <w:t>2018</w:t>
            </w:r>
            <w:r>
              <w:rPr>
                <w:rFonts w:hint="eastAsia"/>
                <w:color w:val="auto"/>
                <w:lang w:val="en-US" w:eastAsia="zh-CN"/>
              </w:rPr>
              <w:t>）</w:t>
            </w:r>
            <w:r>
              <w:rPr>
                <w:rFonts w:hint="default"/>
                <w:color w:val="auto"/>
                <w:lang w:val="en-US" w:eastAsia="zh-CN"/>
              </w:rPr>
              <w:t>附录B.1中的突发环境事件风险物质及临界量情况，本项目危险物质判别情况见下表。</w:t>
            </w:r>
          </w:p>
          <w:p w14:paraId="282C0F10">
            <w:pPr>
              <w:pStyle w:val="43"/>
              <w:keepNext w:val="0"/>
              <w:keepLines w:val="0"/>
              <w:suppressLineNumbers w:val="0"/>
              <w:bidi w:val="0"/>
              <w:spacing w:before="0" w:beforeAutospacing="0" w:after="0" w:afterAutospacing="0"/>
              <w:ind w:left="0" w:right="0"/>
              <w:rPr>
                <w:rFonts w:hint="default"/>
                <w:color w:val="auto"/>
                <w:lang w:val="en-US" w:eastAsia="zh-CN"/>
              </w:rPr>
            </w:pPr>
            <w:r>
              <w:rPr>
                <w:rFonts w:hint="default"/>
                <w:color w:val="auto"/>
                <w:lang w:val="en-US" w:eastAsia="zh-CN"/>
              </w:rPr>
              <w:t>表</w:t>
            </w:r>
            <w:r>
              <w:rPr>
                <w:rFonts w:hint="eastAsia"/>
                <w:color w:val="auto"/>
                <w:lang w:val="en-US" w:eastAsia="zh-CN"/>
              </w:rPr>
              <w:t>4</w:t>
            </w:r>
            <w:r>
              <w:rPr>
                <w:rFonts w:hint="default"/>
                <w:color w:val="auto"/>
                <w:lang w:val="en-US" w:eastAsia="zh-CN"/>
              </w:rPr>
              <w:t>-</w:t>
            </w:r>
            <w:r>
              <w:rPr>
                <w:rFonts w:hint="eastAsia"/>
                <w:color w:val="auto"/>
                <w:lang w:val="en-US" w:eastAsia="zh-CN"/>
              </w:rPr>
              <w:t xml:space="preserve">25  </w:t>
            </w:r>
            <w:r>
              <w:rPr>
                <w:rFonts w:hint="default"/>
                <w:color w:val="auto"/>
                <w:lang w:val="en-US" w:eastAsia="zh-CN"/>
              </w:rPr>
              <w:t>危险物质数量与临界量比值（Q）计算结果一览</w:t>
            </w:r>
            <w:commentRangeStart w:id="41"/>
            <w:commentRangeStart w:id="42"/>
            <w:r>
              <w:rPr>
                <w:rFonts w:hint="default"/>
                <w:color w:val="auto"/>
                <w:lang w:val="en-US" w:eastAsia="zh-CN"/>
              </w:rPr>
              <w:t>表</w:t>
            </w:r>
            <w:commentRangeEnd w:id="41"/>
            <w:r>
              <w:commentReference w:id="41"/>
            </w:r>
            <w:commentRangeEnd w:id="42"/>
            <w:r>
              <w:commentReference w:id="42"/>
            </w:r>
          </w:p>
          <w:tbl>
            <w:tblPr>
              <w:tblStyle w:val="19"/>
              <w:tblW w:w="790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574"/>
              <w:gridCol w:w="1834"/>
              <w:gridCol w:w="1149"/>
              <w:gridCol w:w="1286"/>
              <w:gridCol w:w="1013"/>
              <w:gridCol w:w="849"/>
              <w:gridCol w:w="1195"/>
            </w:tblGrid>
            <w:tr w14:paraId="2DAB77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69" w:hRule="atLeast"/>
                <w:jc w:val="center"/>
              </w:trPr>
              <w:tc>
                <w:tcPr>
                  <w:tcW w:w="3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204D2F">
                  <w:pPr>
                    <w:pStyle w:val="46"/>
                    <w:keepNext w:val="0"/>
                    <w:keepLines w:val="0"/>
                    <w:suppressLineNumbers w:val="0"/>
                    <w:bidi w:val="0"/>
                    <w:spacing w:before="0" w:beforeAutospacing="0" w:after="0" w:afterAutospacing="0"/>
                    <w:rPr>
                      <w:rFonts w:hint="eastAsia"/>
                      <w:b/>
                      <w:bCs/>
                      <w:color w:val="auto"/>
                    </w:rPr>
                  </w:pPr>
                  <w:r>
                    <w:rPr>
                      <w:rFonts w:hint="eastAsia"/>
                      <w:b/>
                      <w:bCs/>
                      <w:color w:val="auto"/>
                      <w:lang w:val="en-US" w:eastAsia="zh-CN"/>
                    </w:rPr>
                    <w:t>序号</w:t>
                  </w:r>
                </w:p>
              </w:tc>
              <w:tc>
                <w:tcPr>
                  <w:tcW w:w="11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51F530">
                  <w:pPr>
                    <w:pStyle w:val="46"/>
                    <w:keepNext w:val="0"/>
                    <w:keepLines w:val="0"/>
                    <w:suppressLineNumbers w:val="0"/>
                    <w:bidi w:val="0"/>
                    <w:spacing w:before="0" w:beforeAutospacing="0" w:after="0" w:afterAutospacing="0"/>
                    <w:rPr>
                      <w:rFonts w:hint="eastAsia"/>
                      <w:b/>
                      <w:bCs/>
                      <w:color w:val="auto"/>
                    </w:rPr>
                  </w:pPr>
                  <w:r>
                    <w:rPr>
                      <w:rFonts w:hint="eastAsia"/>
                      <w:b/>
                      <w:bCs/>
                      <w:color w:val="auto"/>
                      <w:lang w:val="en-US" w:eastAsia="zh-CN"/>
                    </w:rPr>
                    <w:t>原辅材料名称</w:t>
                  </w:r>
                </w:p>
              </w:tc>
              <w:tc>
                <w:tcPr>
                  <w:tcW w:w="7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FDAE0">
                  <w:pPr>
                    <w:pStyle w:val="46"/>
                    <w:keepNext w:val="0"/>
                    <w:keepLines w:val="0"/>
                    <w:suppressLineNumbers w:val="0"/>
                    <w:bidi w:val="0"/>
                    <w:spacing w:before="0" w:beforeAutospacing="0" w:after="0" w:afterAutospacing="0"/>
                    <w:rPr>
                      <w:rFonts w:hint="default"/>
                      <w:b/>
                      <w:bCs/>
                      <w:color w:val="auto"/>
                    </w:rPr>
                  </w:pPr>
                  <w:r>
                    <w:rPr>
                      <w:rFonts w:hint="default"/>
                      <w:b/>
                      <w:bCs/>
                      <w:color w:val="auto"/>
                      <w:lang w:val="en-US" w:eastAsia="zh-CN"/>
                    </w:rPr>
                    <w:t>CAS</w:t>
                  </w:r>
                  <w:r>
                    <w:rPr>
                      <w:rFonts w:hint="eastAsia"/>
                      <w:b/>
                      <w:bCs/>
                      <w:color w:val="auto"/>
                      <w:lang w:val="en-US" w:eastAsia="zh-CN"/>
                    </w:rPr>
                    <w:t>号</w:t>
                  </w:r>
                </w:p>
              </w:tc>
              <w:tc>
                <w:tcPr>
                  <w:tcW w:w="8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FBFAF5">
                  <w:pPr>
                    <w:pStyle w:val="46"/>
                    <w:keepNext w:val="0"/>
                    <w:keepLines w:val="0"/>
                    <w:suppressLineNumbers w:val="0"/>
                    <w:bidi w:val="0"/>
                    <w:spacing w:before="0" w:beforeAutospacing="0" w:after="0" w:afterAutospacing="0"/>
                    <w:rPr>
                      <w:rFonts w:hint="eastAsia"/>
                      <w:b/>
                      <w:bCs/>
                      <w:color w:val="auto"/>
                    </w:rPr>
                  </w:pPr>
                  <w:r>
                    <w:rPr>
                      <w:rFonts w:hint="eastAsia"/>
                      <w:b/>
                      <w:bCs/>
                      <w:color w:val="auto"/>
                      <w:lang w:val="en-US" w:eastAsia="zh-CN"/>
                    </w:rPr>
                    <w:t>储存位置</w:t>
                  </w:r>
                </w:p>
              </w:tc>
              <w:tc>
                <w:tcPr>
                  <w:tcW w:w="6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1D8744">
                  <w:pPr>
                    <w:pStyle w:val="46"/>
                    <w:keepNext w:val="0"/>
                    <w:keepLines w:val="0"/>
                    <w:suppressLineNumbers w:val="0"/>
                    <w:bidi w:val="0"/>
                    <w:spacing w:before="0" w:beforeAutospacing="0" w:after="0" w:afterAutospacing="0"/>
                    <w:rPr>
                      <w:rFonts w:hint="eastAsia"/>
                      <w:b/>
                      <w:bCs/>
                      <w:color w:val="auto"/>
                    </w:rPr>
                  </w:pPr>
                  <w:r>
                    <w:rPr>
                      <w:rFonts w:hint="eastAsia"/>
                      <w:b/>
                      <w:bCs/>
                      <w:color w:val="auto"/>
                      <w:lang w:val="en-US" w:eastAsia="zh-CN"/>
                    </w:rPr>
                    <w:t>最大储存量</w:t>
                  </w:r>
                  <w:r>
                    <w:rPr>
                      <w:rFonts w:hint="default"/>
                      <w:b/>
                      <w:bCs/>
                      <w:color w:val="auto"/>
                      <w:lang w:val="en-US" w:eastAsia="zh-CN"/>
                    </w:rPr>
                    <w:t>t</w:t>
                  </w:r>
                </w:p>
              </w:tc>
              <w:tc>
                <w:tcPr>
                  <w:tcW w:w="5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E5DFBA">
                  <w:pPr>
                    <w:pStyle w:val="46"/>
                    <w:keepNext w:val="0"/>
                    <w:keepLines w:val="0"/>
                    <w:suppressLineNumbers w:val="0"/>
                    <w:bidi w:val="0"/>
                    <w:spacing w:before="0" w:beforeAutospacing="0" w:after="0" w:afterAutospacing="0"/>
                    <w:rPr>
                      <w:rFonts w:hint="eastAsia"/>
                      <w:b/>
                      <w:bCs/>
                      <w:color w:val="auto"/>
                    </w:rPr>
                  </w:pPr>
                  <w:r>
                    <w:rPr>
                      <w:rFonts w:hint="eastAsia"/>
                      <w:b/>
                      <w:bCs/>
                      <w:color w:val="auto"/>
                      <w:lang w:val="en-US" w:eastAsia="zh-CN"/>
                    </w:rPr>
                    <w:t>临界量</w:t>
                  </w:r>
                  <w:r>
                    <w:rPr>
                      <w:rFonts w:hint="default"/>
                      <w:b/>
                      <w:bCs/>
                      <w:color w:val="auto"/>
                      <w:lang w:val="en-US" w:eastAsia="zh-CN"/>
                    </w:rPr>
                    <w:t>/t</w:t>
                  </w:r>
                </w:p>
              </w:tc>
              <w:tc>
                <w:tcPr>
                  <w:tcW w:w="7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45322A">
                  <w:pPr>
                    <w:pStyle w:val="46"/>
                    <w:keepNext w:val="0"/>
                    <w:keepLines w:val="0"/>
                    <w:suppressLineNumbers w:val="0"/>
                    <w:bidi w:val="0"/>
                    <w:spacing w:before="0" w:beforeAutospacing="0" w:after="0" w:afterAutospacing="0"/>
                    <w:rPr>
                      <w:rFonts w:hint="default"/>
                      <w:b/>
                      <w:bCs/>
                      <w:color w:val="auto"/>
                    </w:rPr>
                  </w:pPr>
                  <w:r>
                    <w:rPr>
                      <w:rFonts w:hint="default"/>
                      <w:b/>
                      <w:bCs/>
                      <w:color w:val="auto"/>
                      <w:lang w:val="en-US" w:eastAsia="zh-CN"/>
                    </w:rPr>
                    <w:t>Q</w:t>
                  </w:r>
                  <w:r>
                    <w:rPr>
                      <w:rFonts w:hint="eastAsia"/>
                      <w:b/>
                      <w:bCs/>
                      <w:color w:val="auto"/>
                      <w:lang w:val="en-US" w:eastAsia="zh-CN"/>
                    </w:rPr>
                    <w:t>值</w:t>
                  </w:r>
                </w:p>
              </w:tc>
            </w:tr>
            <w:tr w14:paraId="3A2202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369" w:hRule="atLeast"/>
                <w:jc w:val="center"/>
              </w:trPr>
              <w:tc>
                <w:tcPr>
                  <w:tcW w:w="3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1C6ADE">
                  <w:pPr>
                    <w:pStyle w:val="46"/>
                    <w:keepNext w:val="0"/>
                    <w:keepLines w:val="0"/>
                    <w:suppressLineNumbers w:val="0"/>
                    <w:bidi w:val="0"/>
                    <w:spacing w:before="0" w:beforeAutospacing="0" w:after="0" w:afterAutospacing="0"/>
                    <w:rPr>
                      <w:rFonts w:hint="default"/>
                      <w:color w:val="auto"/>
                    </w:rPr>
                  </w:pPr>
                  <w:r>
                    <w:rPr>
                      <w:rFonts w:hint="default"/>
                      <w:color w:val="auto"/>
                      <w:lang w:val="en-US" w:eastAsia="zh-CN"/>
                    </w:rPr>
                    <w:t>1</w:t>
                  </w:r>
                </w:p>
              </w:tc>
              <w:tc>
                <w:tcPr>
                  <w:tcW w:w="11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2A810F">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润滑油</w:t>
                  </w:r>
                </w:p>
              </w:tc>
              <w:tc>
                <w:tcPr>
                  <w:tcW w:w="7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0FA67">
                  <w:pPr>
                    <w:pStyle w:val="46"/>
                    <w:keepNext w:val="0"/>
                    <w:keepLines w:val="0"/>
                    <w:suppressLineNumbers w:val="0"/>
                    <w:bidi w:val="0"/>
                    <w:spacing w:before="0" w:beforeAutospacing="0" w:after="0" w:afterAutospacing="0"/>
                    <w:rPr>
                      <w:rFonts w:hint="default"/>
                      <w:color w:val="auto"/>
                    </w:rPr>
                  </w:pPr>
                  <w:r>
                    <w:rPr>
                      <w:rFonts w:hint="eastAsia"/>
                      <w:color w:val="auto"/>
                      <w:lang w:val="en-US" w:eastAsia="zh-CN"/>
                    </w:rPr>
                    <w:t>/</w:t>
                  </w:r>
                </w:p>
              </w:tc>
              <w:tc>
                <w:tcPr>
                  <w:tcW w:w="8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6E338">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ascii="Times New Roman" w:hAnsi="Times New Roman" w:eastAsia="宋体"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拆解车间</w:t>
                  </w:r>
                </w:p>
              </w:tc>
              <w:tc>
                <w:tcPr>
                  <w:tcW w:w="6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32EA7">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0.5</w:t>
                  </w:r>
                </w:p>
              </w:tc>
              <w:tc>
                <w:tcPr>
                  <w:tcW w:w="5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BFE374">
                  <w:pPr>
                    <w:pStyle w:val="46"/>
                    <w:keepNext w:val="0"/>
                    <w:keepLines w:val="0"/>
                    <w:suppressLineNumbers w:val="0"/>
                    <w:bidi w:val="0"/>
                    <w:spacing w:before="0" w:beforeAutospacing="0" w:after="0" w:afterAutospacing="0"/>
                    <w:rPr>
                      <w:rFonts w:hint="default"/>
                      <w:color w:val="auto"/>
                    </w:rPr>
                  </w:pPr>
                  <w:r>
                    <w:rPr>
                      <w:rFonts w:hint="default"/>
                      <w:color w:val="auto"/>
                      <w:lang w:val="en-US" w:eastAsia="zh-CN"/>
                    </w:rPr>
                    <w:t>2500</w:t>
                  </w:r>
                </w:p>
              </w:tc>
              <w:tc>
                <w:tcPr>
                  <w:tcW w:w="7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5ADFA4">
                  <w:pPr>
                    <w:pStyle w:val="61"/>
                    <w:keepNext w:val="0"/>
                    <w:keepLines w:val="0"/>
                    <w:suppressLineNumbers w:val="0"/>
                    <w:bidi w:val="0"/>
                    <w:spacing w:before="0" w:beforeAutospacing="0" w:after="0" w:afterAutospacing="0"/>
                    <w:ind w:left="0" w:right="0"/>
                    <w:rPr>
                      <w:rFonts w:hint="default"/>
                      <w:color w:val="auto"/>
                      <w:lang w:val="en-US" w:eastAsia="zh-CN"/>
                    </w:rPr>
                  </w:pPr>
                  <w:r>
                    <w:rPr>
                      <w:rFonts w:hint="default"/>
                      <w:color w:val="auto"/>
                      <w:lang w:val="en-US" w:eastAsia="zh-CN"/>
                    </w:rPr>
                    <w:t>0.0002</w:t>
                  </w:r>
                </w:p>
              </w:tc>
            </w:tr>
            <w:tr w14:paraId="23EB3E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69" w:hRule="atLeast"/>
                <w:jc w:val="center"/>
              </w:trPr>
              <w:tc>
                <w:tcPr>
                  <w:tcW w:w="3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460CFB">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2</w:t>
                  </w:r>
                </w:p>
              </w:tc>
              <w:tc>
                <w:tcPr>
                  <w:tcW w:w="11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E0520">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废液压油</w:t>
                  </w:r>
                </w:p>
              </w:tc>
              <w:tc>
                <w:tcPr>
                  <w:tcW w:w="7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CF90D7">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w:t>
                  </w:r>
                </w:p>
              </w:tc>
              <w:tc>
                <w:tcPr>
                  <w:tcW w:w="8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0415B4">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eastAsia" w:ascii="Times New Roman" w:hAnsi="Times New Roman" w:eastAsia="宋体"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危废暂存间</w:t>
                  </w:r>
                </w:p>
              </w:tc>
              <w:tc>
                <w:tcPr>
                  <w:tcW w:w="6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D717C2">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0.5</w:t>
                  </w:r>
                </w:p>
              </w:tc>
              <w:tc>
                <w:tcPr>
                  <w:tcW w:w="5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7D42E4">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2500</w:t>
                  </w:r>
                </w:p>
              </w:tc>
              <w:tc>
                <w:tcPr>
                  <w:tcW w:w="7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71191D">
                  <w:pPr>
                    <w:pStyle w:val="61"/>
                    <w:keepNext w:val="0"/>
                    <w:keepLines w:val="0"/>
                    <w:suppressLineNumbers w:val="0"/>
                    <w:bidi w:val="0"/>
                    <w:spacing w:before="0" w:beforeAutospacing="0" w:after="0" w:afterAutospacing="0"/>
                    <w:ind w:left="0" w:right="0"/>
                    <w:rPr>
                      <w:rFonts w:hint="default"/>
                      <w:color w:val="auto"/>
                      <w:lang w:val="en-US" w:eastAsia="zh-CN"/>
                    </w:rPr>
                  </w:pPr>
                  <w:r>
                    <w:rPr>
                      <w:rFonts w:hint="default"/>
                      <w:color w:val="auto"/>
                      <w:lang w:val="en-US" w:eastAsia="zh-CN"/>
                    </w:rPr>
                    <w:t>0.0002</w:t>
                  </w:r>
                </w:p>
              </w:tc>
            </w:tr>
            <w:tr w14:paraId="675A57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369" w:hRule="atLeast"/>
                <w:jc w:val="center"/>
              </w:trPr>
              <w:tc>
                <w:tcPr>
                  <w:tcW w:w="3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47C924">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3</w:t>
                  </w:r>
                </w:p>
              </w:tc>
              <w:tc>
                <w:tcPr>
                  <w:tcW w:w="11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A6EA2">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废润滑油</w:t>
                  </w:r>
                </w:p>
              </w:tc>
              <w:tc>
                <w:tcPr>
                  <w:tcW w:w="7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CF31A">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w:t>
                  </w:r>
                </w:p>
              </w:tc>
              <w:tc>
                <w:tcPr>
                  <w:tcW w:w="8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0977EE">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eastAsia" w:ascii="Times New Roman" w:hAnsi="Times New Roman" w:eastAsia="宋体"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危废暂存间</w:t>
                  </w:r>
                </w:p>
              </w:tc>
              <w:tc>
                <w:tcPr>
                  <w:tcW w:w="6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ACFF27">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0.05</w:t>
                  </w:r>
                </w:p>
              </w:tc>
              <w:tc>
                <w:tcPr>
                  <w:tcW w:w="5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63A3EB">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2500</w:t>
                  </w:r>
                </w:p>
              </w:tc>
              <w:tc>
                <w:tcPr>
                  <w:tcW w:w="7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65F7A8">
                  <w:pPr>
                    <w:pStyle w:val="61"/>
                    <w:keepNext w:val="0"/>
                    <w:keepLines w:val="0"/>
                    <w:suppressLineNumbers w:val="0"/>
                    <w:bidi w:val="0"/>
                    <w:spacing w:before="0" w:beforeAutospacing="0" w:after="0" w:afterAutospacing="0"/>
                    <w:ind w:left="0" w:right="0"/>
                    <w:rPr>
                      <w:rFonts w:hint="default"/>
                      <w:color w:val="auto"/>
                      <w:lang w:val="en-US" w:eastAsia="zh-CN"/>
                    </w:rPr>
                  </w:pPr>
                  <w:r>
                    <w:rPr>
                      <w:rFonts w:hint="default"/>
                      <w:color w:val="auto"/>
                      <w:lang w:val="en-US" w:eastAsia="zh-CN"/>
                    </w:rPr>
                    <w:t>0.00002</w:t>
                  </w:r>
                </w:p>
              </w:tc>
            </w:tr>
            <w:tr w14:paraId="65DEE8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369" w:hRule="atLeast"/>
                <w:jc w:val="center"/>
              </w:trPr>
              <w:tc>
                <w:tcPr>
                  <w:tcW w:w="36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449BE4">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4</w:t>
                  </w:r>
                </w:p>
              </w:tc>
              <w:tc>
                <w:tcPr>
                  <w:tcW w:w="11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82EE31">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硫酸</w:t>
                  </w:r>
                </w:p>
              </w:tc>
              <w:tc>
                <w:tcPr>
                  <w:tcW w:w="72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B5AAF0">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7664-93-9</w:t>
                  </w:r>
                </w:p>
              </w:tc>
              <w:tc>
                <w:tcPr>
                  <w:tcW w:w="8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EBC59A">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default" w:ascii="Times New Roman" w:hAnsi="Times New Roman" w:eastAsia="宋体" w:cs="Times New Roman"/>
                      <w:b w:val="0"/>
                      <w:color w:val="auto"/>
                      <w:kern w:val="2"/>
                      <w:sz w:val="21"/>
                      <w:szCs w:val="21"/>
                      <w:lang w:val="en-US" w:eastAsia="zh-CN" w:bidi="ar-SA"/>
                    </w:rPr>
                  </w:pPr>
                  <w:r>
                    <w:rPr>
                      <w:rFonts w:hint="eastAsia" w:cs="Times New Roman"/>
                      <w:b w:val="0"/>
                      <w:color w:val="auto"/>
                      <w:kern w:val="2"/>
                      <w:sz w:val="21"/>
                      <w:szCs w:val="21"/>
                      <w:lang w:val="en-US" w:eastAsia="zh-CN" w:bidi="ar-SA"/>
                    </w:rPr>
                    <w:t>拆解车间</w:t>
                  </w:r>
                </w:p>
              </w:tc>
              <w:tc>
                <w:tcPr>
                  <w:tcW w:w="6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9DD3B">
                  <w:pPr>
                    <w:pStyle w:val="46"/>
                    <w:keepNext w:val="0"/>
                    <w:keepLines w:val="0"/>
                    <w:pageBreakBefore w:val="0"/>
                    <w:suppressLineNumbers w:val="0"/>
                    <w:kinsoku/>
                    <w:wordWrap w:val="0"/>
                    <w:overflowPunct/>
                    <w:topLinePunct w:val="0"/>
                    <w:autoSpaceDE/>
                    <w:autoSpaceDN/>
                    <w:bidi w:val="0"/>
                    <w:adjustRightInd w:val="0"/>
                    <w:snapToGrid w:val="0"/>
                    <w:spacing w:before="0" w:beforeAutospacing="0" w:after="0" w:afterAutospacing="0"/>
                    <w:ind w:left="24" w:leftChars="10" w:right="24" w:rightChars="10" w:firstLine="0" w:firstLineChars="0"/>
                    <w:textAlignment w:val="auto"/>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0.034</w:t>
                  </w:r>
                </w:p>
              </w:tc>
              <w:tc>
                <w:tcPr>
                  <w:tcW w:w="5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67342A">
                  <w:pPr>
                    <w:pStyle w:val="46"/>
                    <w:keepNext w:val="0"/>
                    <w:keepLines w:val="0"/>
                    <w:suppressLineNumbers w:val="0"/>
                    <w:bidi w:val="0"/>
                    <w:spacing w:before="0" w:beforeAutospacing="0" w:after="0" w:afterAutospacing="0"/>
                    <w:rPr>
                      <w:rFonts w:hint="default"/>
                      <w:color w:val="auto"/>
                      <w:lang w:val="en-US" w:eastAsia="zh-CN"/>
                    </w:rPr>
                  </w:pPr>
                  <w:r>
                    <w:rPr>
                      <w:rFonts w:hint="eastAsia"/>
                      <w:color w:val="auto"/>
                      <w:lang w:val="en-US" w:eastAsia="zh-CN"/>
                    </w:rPr>
                    <w:t>10</w:t>
                  </w:r>
                </w:p>
              </w:tc>
              <w:tc>
                <w:tcPr>
                  <w:tcW w:w="7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5F0D5B">
                  <w:pPr>
                    <w:pStyle w:val="61"/>
                    <w:keepNext w:val="0"/>
                    <w:keepLines w:val="0"/>
                    <w:suppressLineNumbers w:val="0"/>
                    <w:bidi w:val="0"/>
                    <w:spacing w:before="0" w:beforeAutospacing="0" w:after="0" w:afterAutospacing="0"/>
                    <w:ind w:left="0" w:right="0"/>
                    <w:rPr>
                      <w:rFonts w:hint="eastAsia"/>
                      <w:color w:val="auto"/>
                      <w:lang w:val="en-US" w:eastAsia="zh-CN"/>
                    </w:rPr>
                  </w:pPr>
                  <w:r>
                    <w:rPr>
                      <w:rFonts w:hint="default"/>
                      <w:color w:val="auto"/>
                      <w:lang w:val="en-US" w:eastAsia="zh-CN"/>
                    </w:rPr>
                    <w:t>0.0034</w:t>
                  </w:r>
                </w:p>
              </w:tc>
            </w:tr>
            <w:tr w14:paraId="14A4FF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369" w:hRule="atLeast"/>
                <w:jc w:val="center"/>
              </w:trPr>
              <w:tc>
                <w:tcPr>
                  <w:tcW w:w="4243" w:type="pct"/>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5E70D">
                  <w:pPr>
                    <w:pStyle w:val="46"/>
                    <w:keepNext w:val="0"/>
                    <w:keepLines w:val="0"/>
                    <w:suppressLineNumbers w:val="0"/>
                    <w:bidi w:val="0"/>
                    <w:spacing w:before="0" w:beforeAutospacing="0" w:after="0" w:afterAutospacing="0"/>
                    <w:rPr>
                      <w:rFonts w:hint="eastAsia"/>
                      <w:color w:val="auto"/>
                    </w:rPr>
                  </w:pPr>
                  <w:r>
                    <w:rPr>
                      <w:rFonts w:hint="eastAsia"/>
                      <w:color w:val="auto"/>
                      <w:lang w:val="en-US" w:eastAsia="zh-CN"/>
                    </w:rPr>
                    <w:t>合计</w:t>
                  </w:r>
                </w:p>
              </w:tc>
              <w:tc>
                <w:tcPr>
                  <w:tcW w:w="75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B40E1C">
                  <w:pPr>
                    <w:pStyle w:val="61"/>
                    <w:keepNext w:val="0"/>
                    <w:keepLines w:val="0"/>
                    <w:suppressLineNumbers w:val="0"/>
                    <w:bidi w:val="0"/>
                    <w:spacing w:before="0" w:beforeAutospacing="0" w:after="0" w:afterAutospacing="0"/>
                    <w:ind w:left="0" w:right="0"/>
                    <w:rPr>
                      <w:rFonts w:hint="default"/>
                      <w:color w:val="auto"/>
                      <w:lang w:val="en-US"/>
                    </w:rPr>
                  </w:pPr>
                  <w:r>
                    <w:rPr>
                      <w:rFonts w:hint="eastAsia"/>
                      <w:color w:val="auto"/>
                      <w:lang w:val="en-US" w:eastAsia="zh-CN"/>
                    </w:rPr>
                    <w:t>0.0046</w:t>
                  </w:r>
                  <w:r>
                    <w:rPr>
                      <w:rFonts w:hint="default"/>
                      <w:color w:val="auto"/>
                      <w:lang w:val="en-US" w:eastAsia="zh-CN"/>
                    </w:rPr>
                    <w:t>2</w:t>
                  </w:r>
                </w:p>
              </w:tc>
            </w:tr>
            <w:tr w14:paraId="277EE9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369" w:hRule="atLeast"/>
                <w:jc w:val="center"/>
              </w:trPr>
              <w:tc>
                <w:tcPr>
                  <w:tcW w:w="5000" w:type="pct"/>
                  <w:gridSpan w:val="7"/>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295257">
                  <w:pPr>
                    <w:pStyle w:val="46"/>
                    <w:keepNext w:val="0"/>
                    <w:keepLines w:val="0"/>
                    <w:suppressLineNumbers w:val="0"/>
                    <w:bidi w:val="0"/>
                    <w:spacing w:before="0" w:beforeAutospacing="0" w:after="0" w:afterAutospacing="0"/>
                    <w:jc w:val="left"/>
                    <w:rPr>
                      <w:rFonts w:hint="default"/>
                      <w:color w:val="auto"/>
                      <w:lang w:val="en-US" w:eastAsia="zh-CN"/>
                    </w:rPr>
                  </w:pPr>
                  <w:r>
                    <w:rPr>
                      <w:rFonts w:hint="eastAsia"/>
                      <w:b/>
                      <w:bCs/>
                      <w:color w:val="auto"/>
                      <w:sz w:val="18"/>
                      <w:szCs w:val="18"/>
                      <w:lang w:val="en-US" w:eastAsia="zh-CN"/>
                    </w:rPr>
                    <w:t>备注：①润滑油、液压油主要成分为矿物油，其临界量参照</w:t>
                  </w:r>
                  <w:r>
                    <w:rPr>
                      <w:rFonts w:hint="default"/>
                      <w:b/>
                      <w:bCs/>
                      <w:color w:val="auto"/>
                      <w:sz w:val="18"/>
                      <w:szCs w:val="18"/>
                      <w:lang w:val="en-US" w:eastAsia="zh-CN"/>
                    </w:rPr>
                    <w:t>《建设项目环境风险评价技术导则》</w:t>
                  </w:r>
                  <w:r>
                    <w:rPr>
                      <w:rFonts w:hint="eastAsia"/>
                      <w:b/>
                      <w:bCs/>
                      <w:color w:val="auto"/>
                      <w:sz w:val="18"/>
                      <w:szCs w:val="18"/>
                      <w:lang w:val="en-US" w:eastAsia="zh-CN"/>
                    </w:rPr>
                    <w:t>（</w:t>
                  </w:r>
                  <w:r>
                    <w:rPr>
                      <w:rFonts w:hint="default"/>
                      <w:b/>
                      <w:bCs/>
                      <w:color w:val="auto"/>
                      <w:sz w:val="18"/>
                      <w:szCs w:val="18"/>
                      <w:lang w:val="en-US" w:eastAsia="zh-CN"/>
                    </w:rPr>
                    <w:t>HJ</w:t>
                  </w:r>
                  <w:r>
                    <w:rPr>
                      <w:rFonts w:hint="eastAsia"/>
                      <w:b/>
                      <w:bCs/>
                      <w:color w:val="auto"/>
                      <w:sz w:val="18"/>
                      <w:szCs w:val="18"/>
                      <w:lang w:val="en-US" w:eastAsia="zh-CN"/>
                    </w:rPr>
                    <w:t xml:space="preserve"> </w:t>
                  </w:r>
                  <w:r>
                    <w:rPr>
                      <w:rFonts w:hint="default"/>
                      <w:b/>
                      <w:bCs/>
                      <w:color w:val="auto"/>
                      <w:sz w:val="18"/>
                      <w:szCs w:val="18"/>
                      <w:lang w:val="en-US" w:eastAsia="zh-CN"/>
                    </w:rPr>
                    <w:t>169</w:t>
                  </w:r>
                  <w:r>
                    <w:rPr>
                      <w:rFonts w:hint="eastAsia"/>
                      <w:b/>
                      <w:bCs/>
                      <w:color w:val="auto"/>
                      <w:sz w:val="18"/>
                      <w:szCs w:val="18"/>
                      <w:lang w:val="en-US" w:eastAsia="zh-CN"/>
                    </w:rPr>
                    <w:t>-</w:t>
                  </w:r>
                  <w:r>
                    <w:rPr>
                      <w:rFonts w:hint="default"/>
                      <w:b/>
                      <w:bCs/>
                      <w:color w:val="auto"/>
                      <w:sz w:val="18"/>
                      <w:szCs w:val="18"/>
                      <w:lang w:val="en-US" w:eastAsia="zh-CN"/>
                    </w:rPr>
                    <w:t>2018</w:t>
                  </w:r>
                  <w:r>
                    <w:rPr>
                      <w:rFonts w:hint="eastAsia"/>
                      <w:b/>
                      <w:bCs/>
                      <w:color w:val="auto"/>
                      <w:sz w:val="18"/>
                      <w:szCs w:val="18"/>
                      <w:lang w:val="en-US" w:eastAsia="zh-CN"/>
                    </w:rPr>
                    <w:t>）</w:t>
                  </w:r>
                  <w:r>
                    <w:rPr>
                      <w:rFonts w:hint="default"/>
                      <w:b/>
                      <w:bCs/>
                      <w:color w:val="auto"/>
                      <w:sz w:val="18"/>
                      <w:szCs w:val="18"/>
                      <w:lang w:val="en-US" w:eastAsia="zh-CN"/>
                    </w:rPr>
                    <w:t>附录B.1</w:t>
                  </w:r>
                  <w:r>
                    <w:rPr>
                      <w:rFonts w:hint="eastAsia"/>
                      <w:b/>
                      <w:bCs/>
                      <w:color w:val="auto"/>
                      <w:sz w:val="18"/>
                      <w:szCs w:val="18"/>
                      <w:lang w:val="en-US" w:eastAsia="zh-CN"/>
                    </w:rPr>
                    <w:t>中油类物质取2500t。</w:t>
                  </w:r>
                </w:p>
              </w:tc>
            </w:tr>
          </w:tbl>
          <w:p w14:paraId="6FB1494D">
            <w:pPr>
              <w:keepNext w:val="0"/>
              <w:keepLines w:val="0"/>
              <w:suppressLineNumbers w:val="0"/>
              <w:bidi w:val="0"/>
              <w:spacing w:before="0" w:beforeAutospacing="0" w:after="0" w:afterAutospacing="0"/>
              <w:ind w:left="0" w:right="0"/>
              <w:rPr>
                <w:rFonts w:hint="default"/>
                <w:color w:val="auto"/>
              </w:rPr>
            </w:pPr>
            <w:r>
              <w:rPr>
                <w:rFonts w:hint="default"/>
                <w:color w:val="auto"/>
                <w:lang w:val="en-US" w:eastAsia="zh-CN"/>
              </w:rPr>
              <w:t>根据《建设项目环境风险评价技术导则》</w:t>
            </w:r>
            <w:r>
              <w:rPr>
                <w:rFonts w:hint="eastAsia"/>
                <w:color w:val="auto"/>
                <w:lang w:val="en-US" w:eastAsia="zh-CN"/>
              </w:rPr>
              <w:t>（</w:t>
            </w:r>
            <w:r>
              <w:rPr>
                <w:rFonts w:hint="default"/>
                <w:color w:val="auto"/>
                <w:lang w:val="en-US" w:eastAsia="zh-CN"/>
              </w:rPr>
              <w:t>HJ</w:t>
            </w:r>
            <w:r>
              <w:rPr>
                <w:rFonts w:hint="eastAsia"/>
                <w:color w:val="auto"/>
                <w:lang w:val="en-US" w:eastAsia="zh-CN"/>
              </w:rPr>
              <w:t xml:space="preserve"> </w:t>
            </w:r>
            <w:r>
              <w:rPr>
                <w:rFonts w:hint="default"/>
                <w:color w:val="auto"/>
                <w:lang w:val="en-US" w:eastAsia="zh-CN"/>
              </w:rPr>
              <w:t>169-2018</w:t>
            </w:r>
            <w:r>
              <w:rPr>
                <w:rFonts w:hint="eastAsia"/>
                <w:color w:val="auto"/>
                <w:lang w:val="en-US" w:eastAsia="zh-CN"/>
              </w:rPr>
              <w:t>）</w:t>
            </w:r>
            <w:r>
              <w:rPr>
                <w:rFonts w:hint="default"/>
                <w:color w:val="auto"/>
                <w:lang w:val="en-US" w:eastAsia="zh-CN"/>
              </w:rPr>
              <w:t>，当Q＜1时，项目环境风险潜势为I</w:t>
            </w:r>
            <w:r>
              <w:rPr>
                <w:rFonts w:hint="default"/>
                <w:color w:val="auto"/>
              </w:rPr>
              <w:t>，</w:t>
            </w:r>
            <w:r>
              <w:rPr>
                <w:rFonts w:hint="eastAsia"/>
                <w:color w:val="auto"/>
                <w:lang w:val="en-US" w:eastAsia="zh-CN"/>
              </w:rPr>
              <w:t>本次就风险物质的分布及可能的影响途径，提出相对应的风险防范措施</w:t>
            </w:r>
            <w:r>
              <w:rPr>
                <w:rFonts w:hint="default"/>
                <w:color w:val="auto"/>
              </w:rPr>
              <w:t>。</w:t>
            </w:r>
          </w:p>
          <w:p w14:paraId="30A842D8">
            <w:pPr>
              <w:keepNext w:val="0"/>
              <w:keepLines w:val="0"/>
              <w:suppressLineNumbers w:val="0"/>
              <w:bidi w:val="0"/>
              <w:spacing w:before="0" w:beforeAutospacing="0" w:after="0" w:afterAutospacing="0"/>
              <w:ind w:left="0" w:right="0"/>
              <w:rPr>
                <w:rFonts w:hint="default"/>
                <w:b/>
                <w:bCs/>
                <w:lang w:val="en-US" w:eastAsia="zh-CN"/>
              </w:rPr>
            </w:pPr>
            <w:r>
              <w:rPr>
                <w:rFonts w:hint="eastAsia"/>
                <w:b/>
                <w:bCs/>
                <w:lang w:val="en-US" w:eastAsia="zh-CN"/>
              </w:rPr>
              <w:t>3、环境风险识别</w:t>
            </w:r>
          </w:p>
          <w:p w14:paraId="1B995C70">
            <w:pPr>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本项目环境风险可能影响途径包括以下几点：</w:t>
            </w:r>
          </w:p>
          <w:p w14:paraId="46BD20EE">
            <w:pPr>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①废铅蓄电池</w:t>
            </w:r>
            <w:r>
              <w:rPr>
                <w:rFonts w:hint="eastAsia"/>
                <w:lang w:val="en-US" w:eastAsia="zh-CN"/>
              </w:rPr>
              <w:t>拆解</w:t>
            </w:r>
            <w:r>
              <w:rPr>
                <w:rFonts w:hint="default"/>
                <w:lang w:val="en-US" w:eastAsia="zh-CN"/>
              </w:rPr>
              <w:t>、贮存过程中，事故情况下造成电解液泄漏，渗入地下，造成土壤和地下水污染；</w:t>
            </w:r>
          </w:p>
          <w:p w14:paraId="147ACF93">
            <w:pPr>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②在人工转运过程中电池坠落造成包装破损，造成电解液泄漏，渗入地下，造成土壤和地下水污染；</w:t>
            </w:r>
          </w:p>
          <w:p w14:paraId="67471F27">
            <w:pPr>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③废电解液</w:t>
            </w:r>
            <w:r>
              <w:rPr>
                <w:rFonts w:hint="eastAsia"/>
                <w:lang w:val="en-US" w:eastAsia="zh-CN"/>
              </w:rPr>
              <w:t>、废液压油、废润滑油等液态危废</w:t>
            </w:r>
            <w:r>
              <w:rPr>
                <w:rFonts w:hint="default"/>
                <w:lang w:val="en-US" w:eastAsia="zh-CN"/>
              </w:rPr>
              <w:t>储存</w:t>
            </w:r>
            <w:r>
              <w:rPr>
                <w:rFonts w:hint="eastAsia"/>
                <w:lang w:val="en-US" w:eastAsia="zh-CN"/>
              </w:rPr>
              <w:t>容器</w:t>
            </w:r>
            <w:r>
              <w:rPr>
                <w:rFonts w:hint="default"/>
                <w:lang w:val="en-US" w:eastAsia="zh-CN"/>
              </w:rPr>
              <w:t>破损，</w:t>
            </w:r>
            <w:r>
              <w:rPr>
                <w:rFonts w:hint="eastAsia"/>
                <w:lang w:val="en-US" w:eastAsia="zh-CN"/>
              </w:rPr>
              <w:t>危险废物泄漏</w:t>
            </w:r>
            <w:r>
              <w:rPr>
                <w:rFonts w:hint="default"/>
                <w:lang w:val="en-US" w:eastAsia="zh-CN"/>
              </w:rPr>
              <w:t>，渗入地下，造成土壤和地下水污染；</w:t>
            </w:r>
          </w:p>
          <w:p w14:paraId="4F03565B">
            <w:pPr>
              <w:keepNext w:val="0"/>
              <w:keepLines w:val="0"/>
              <w:suppressLineNumbers w:val="0"/>
              <w:bidi w:val="0"/>
              <w:spacing w:before="0" w:beforeAutospacing="0" w:after="0" w:afterAutospacing="0"/>
              <w:ind w:left="0" w:right="0"/>
              <w:rPr>
                <w:rFonts w:hint="eastAsia"/>
                <w:lang w:val="en-US" w:eastAsia="zh-CN"/>
              </w:rPr>
            </w:pPr>
            <w:r>
              <w:rPr>
                <w:rFonts w:hint="default"/>
                <w:lang w:val="en-US" w:eastAsia="zh-CN"/>
              </w:rPr>
              <w:t>④</w:t>
            </w:r>
            <w:r>
              <w:rPr>
                <w:rFonts w:hint="eastAsia"/>
                <w:lang w:val="en-US" w:eastAsia="zh-CN"/>
              </w:rPr>
              <w:t>本项目涉及的油类物</w:t>
            </w:r>
            <w:r>
              <w:rPr>
                <w:rFonts w:hint="eastAsia"/>
              </w:rPr>
              <w:t>出现</w:t>
            </w:r>
            <w:r>
              <w:rPr>
                <w:rFonts w:hint="eastAsia"/>
                <w:lang w:val="en-US" w:eastAsia="zh-CN"/>
              </w:rPr>
              <w:t>泄漏</w:t>
            </w:r>
            <w:r>
              <w:rPr>
                <w:rFonts w:hint="eastAsia"/>
              </w:rPr>
              <w:t>事故，势必挥发到周围的大气环境中，对周围的环境空气带来一定程度的污染；如果流到防渗层破损的地面，会污染区域的地下水、土壤；</w:t>
            </w:r>
            <w:r>
              <w:rPr>
                <w:rFonts w:hint="eastAsia"/>
                <w:lang w:val="en-US" w:eastAsia="zh-CN"/>
              </w:rPr>
              <w:t>泄漏</w:t>
            </w:r>
            <w:r>
              <w:rPr>
                <w:rFonts w:hint="eastAsia"/>
              </w:rPr>
              <w:t>后</w:t>
            </w:r>
            <w:r>
              <w:rPr>
                <w:rFonts w:hint="eastAsia"/>
                <w:lang w:eastAsia="zh-CN"/>
              </w:rPr>
              <w:t>若</w:t>
            </w:r>
            <w:r>
              <w:rPr>
                <w:rFonts w:hint="eastAsia"/>
              </w:rPr>
              <w:t>遇到明火，将会带来火灾等严重的事故；会产生一部分的消防废水，如果</w:t>
            </w:r>
            <w:r>
              <w:rPr>
                <w:rFonts w:hint="eastAsia"/>
                <w:lang w:eastAsia="zh-CN"/>
              </w:rPr>
              <w:t>流入</w:t>
            </w:r>
            <w:r>
              <w:rPr>
                <w:rFonts w:hint="eastAsia"/>
              </w:rPr>
              <w:t>外环境中，会对区域的地表水、地下水、土壤带来一定程度的污染</w:t>
            </w:r>
            <w:r>
              <w:rPr>
                <w:rFonts w:hint="eastAsia"/>
                <w:lang w:val="en-US" w:eastAsia="zh-CN"/>
              </w:rPr>
              <w:t>；</w:t>
            </w:r>
          </w:p>
          <w:p w14:paraId="21DED6F8">
            <w:pPr>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⑤</w:t>
            </w:r>
            <w:r>
              <w:rPr>
                <w:rFonts w:hint="default"/>
                <w:lang w:val="en-US" w:eastAsia="zh-CN"/>
              </w:rPr>
              <w:t>因电气设施老化或管理不严，有明火进入车间，则可能引发火灾，可能引起厂房内暂存电池的爆炸、破裂，电解液泄漏等，电解液渗入地下，造成土壤和地下水污染，火灾造成大气污染</w:t>
            </w:r>
            <w:r>
              <w:rPr>
                <w:rFonts w:hint="eastAsia"/>
                <w:lang w:val="en-US" w:eastAsia="zh-CN"/>
              </w:rPr>
              <w:t>。</w:t>
            </w:r>
          </w:p>
          <w:p w14:paraId="0AFDA871">
            <w:pPr>
              <w:keepNext w:val="0"/>
              <w:keepLines w:val="0"/>
              <w:suppressLineNumbers w:val="0"/>
              <w:bidi w:val="0"/>
              <w:spacing w:before="0" w:beforeAutospacing="0" w:after="0" w:afterAutospacing="0"/>
              <w:ind w:left="0" w:right="0"/>
              <w:rPr>
                <w:rFonts w:hint="default"/>
                <w:b/>
                <w:bCs/>
                <w:color w:val="auto"/>
              </w:rPr>
            </w:pPr>
            <w:r>
              <w:rPr>
                <w:rFonts w:hint="eastAsia"/>
                <w:b/>
                <w:bCs/>
                <w:color w:val="auto"/>
                <w:lang w:val="en-US" w:eastAsia="zh-CN"/>
              </w:rPr>
              <w:t>4、</w:t>
            </w:r>
            <w:r>
              <w:rPr>
                <w:rFonts w:hint="eastAsia"/>
                <w:b/>
                <w:bCs/>
                <w:color w:val="auto"/>
              </w:rPr>
              <w:t>风险防范</w:t>
            </w:r>
            <w:commentRangeStart w:id="43"/>
            <w:r>
              <w:rPr>
                <w:rFonts w:hint="eastAsia"/>
                <w:b/>
                <w:bCs/>
                <w:color w:val="auto"/>
              </w:rPr>
              <w:t>措施</w:t>
            </w:r>
            <w:commentRangeEnd w:id="43"/>
            <w:r>
              <w:rPr>
                <w:rFonts w:hint="default"/>
              </w:rPr>
              <w:commentReference w:id="43"/>
            </w:r>
          </w:p>
          <w:p w14:paraId="55E86AF7">
            <w:pPr>
              <w:keepNext w:val="0"/>
              <w:keepLines w:val="0"/>
              <w:suppressLineNumbers w:val="0"/>
              <w:bidi w:val="0"/>
              <w:spacing w:before="0" w:beforeAutospacing="0" w:after="0" w:afterAutospacing="0"/>
              <w:ind w:left="0" w:right="0"/>
              <w:rPr>
                <w:rFonts w:hint="default"/>
                <w:b/>
                <w:bCs/>
                <w:color w:val="auto"/>
                <w:spacing w:val="-4"/>
                <w:sz w:val="24"/>
                <w:szCs w:val="24"/>
              </w:rPr>
            </w:pPr>
            <w:r>
              <w:rPr>
                <w:rFonts w:hint="eastAsia"/>
                <w:b/>
                <w:bCs/>
                <w:color w:val="auto"/>
                <w:spacing w:val="-4"/>
                <w:sz w:val="24"/>
                <w:szCs w:val="24"/>
                <w:lang w:eastAsia="zh-CN"/>
              </w:rPr>
              <w:t>（</w:t>
            </w:r>
            <w:r>
              <w:rPr>
                <w:rFonts w:hint="eastAsia"/>
                <w:b/>
                <w:bCs/>
                <w:color w:val="auto"/>
                <w:spacing w:val="-4"/>
                <w:sz w:val="24"/>
                <w:szCs w:val="24"/>
                <w:lang w:val="en-US" w:eastAsia="zh-CN"/>
              </w:rPr>
              <w:t>1</w:t>
            </w:r>
            <w:r>
              <w:rPr>
                <w:rFonts w:hint="eastAsia"/>
                <w:b/>
                <w:bCs/>
                <w:color w:val="auto"/>
                <w:spacing w:val="-4"/>
                <w:sz w:val="24"/>
                <w:szCs w:val="24"/>
                <w:lang w:eastAsia="zh-CN"/>
              </w:rPr>
              <w:t>）</w:t>
            </w:r>
            <w:r>
              <w:rPr>
                <w:rFonts w:hint="default"/>
                <w:b/>
                <w:bCs/>
                <w:color w:val="auto"/>
                <w:spacing w:val="-4"/>
                <w:sz w:val="24"/>
                <w:szCs w:val="24"/>
              </w:rPr>
              <w:t>危险废物的风险防范措施</w:t>
            </w:r>
          </w:p>
          <w:p w14:paraId="68E86ABB">
            <w:pPr>
              <w:keepNext w:val="0"/>
              <w:keepLines w:val="0"/>
              <w:suppressLineNumbers w:val="0"/>
              <w:bidi w:val="0"/>
              <w:spacing w:before="0" w:beforeAutospacing="0" w:after="0" w:afterAutospacing="0"/>
              <w:ind w:left="0" w:right="0"/>
              <w:rPr>
                <w:rFonts w:hint="default"/>
                <w:color w:val="auto"/>
              </w:rPr>
            </w:pPr>
            <w:r>
              <w:rPr>
                <w:rFonts w:hint="eastAsia"/>
                <w:color w:val="auto"/>
                <w:lang w:val="en-US" w:eastAsia="zh-CN"/>
              </w:rPr>
              <w:t>由工程分析可知，本项目危险废物主要为废铅蓄电池、废电路板及电子元器件、废液压油、废电解液中和废物、废润滑油等，</w:t>
            </w:r>
            <w:r>
              <w:rPr>
                <w:rFonts w:hint="default"/>
                <w:color w:val="auto"/>
              </w:rPr>
              <w:t>在建设单位交由有资质的单位处理处置前，厂内必须设置危险废物暂存场所对其进行合理贮存和严格管理，若任意堆放或暂存场所未采取防渗防漏措施或疏于管理，都将造成危险废物中的有毒有害物质进入周边环境，给周边的土壤、生态、水体及空气等环境造成一定的危害。</w:t>
            </w:r>
          </w:p>
          <w:p w14:paraId="1CE6AA0C">
            <w:pPr>
              <w:keepNext w:val="0"/>
              <w:keepLines w:val="0"/>
              <w:suppressLineNumbers w:val="0"/>
              <w:bidi w:val="0"/>
              <w:spacing w:before="0" w:beforeAutospacing="0" w:after="0" w:afterAutospacing="0"/>
              <w:ind w:left="0" w:right="0"/>
              <w:rPr>
                <w:rFonts w:hint="eastAsia"/>
                <w:color w:val="0000FF"/>
                <w:lang w:eastAsia="zh-CN"/>
              </w:rPr>
            </w:pPr>
            <w:r>
              <w:rPr>
                <w:rFonts w:hint="default"/>
                <w:color w:val="0000FF"/>
              </w:rPr>
              <w:t>为确保本项目产生的废铅蓄电池、废电路板、废液压油等危险废物在厂内暂存期间的环境安全，防止有毒有害物质泄漏、渗漏或扩散，必须严格执行以下风险防范措施</w:t>
            </w:r>
            <w:r>
              <w:rPr>
                <w:rFonts w:hint="eastAsia"/>
                <w:color w:val="0000FF"/>
                <w:lang w:eastAsia="zh-CN"/>
              </w:rPr>
              <w:t>。</w:t>
            </w:r>
          </w:p>
          <w:p w14:paraId="1043FDF2">
            <w:pPr>
              <w:keepNext w:val="0"/>
              <w:keepLines w:val="0"/>
              <w:suppressLineNumbers w:val="0"/>
              <w:bidi w:val="0"/>
              <w:spacing w:before="0" w:beforeAutospacing="0" w:after="0" w:afterAutospacing="0"/>
              <w:ind w:left="0" w:right="0"/>
              <w:rPr>
                <w:rFonts w:hint="default"/>
                <w:b/>
                <w:bCs/>
                <w:color w:val="0000FF"/>
              </w:rPr>
            </w:pPr>
            <w:r>
              <w:rPr>
                <w:rFonts w:hint="eastAsia"/>
                <w:b/>
                <w:bCs/>
                <w:color w:val="0000FF"/>
                <w:lang w:val="en-US" w:eastAsia="zh-CN"/>
              </w:rPr>
              <w:t>1）</w:t>
            </w:r>
            <w:r>
              <w:rPr>
                <w:rFonts w:hint="eastAsia"/>
                <w:b/>
                <w:bCs/>
                <w:color w:val="0000FF"/>
              </w:rPr>
              <w:t>贮存设施建设与防渗要求</w:t>
            </w:r>
          </w:p>
          <w:p w14:paraId="7157172D">
            <w:pPr>
              <w:keepNext w:val="0"/>
              <w:keepLines w:val="0"/>
              <w:suppressLineNumbers w:val="0"/>
              <w:bidi w:val="0"/>
              <w:spacing w:before="0" w:beforeAutospacing="0" w:after="0" w:afterAutospacing="0"/>
              <w:ind w:left="0" w:right="0"/>
              <w:rPr>
                <w:rFonts w:hint="default"/>
                <w:color w:val="0000FF"/>
              </w:rPr>
            </w:pPr>
            <w:r>
              <w:rPr>
                <w:rFonts w:hint="eastAsia"/>
                <w:color w:val="0000FF"/>
              </w:rPr>
              <w:t>①</w:t>
            </w:r>
            <w:r>
              <w:rPr>
                <w:rFonts w:hint="eastAsia"/>
                <w:color w:val="0000FF"/>
                <w:lang w:val="en-US" w:eastAsia="zh-CN"/>
              </w:rPr>
              <w:t>对新建危废暂存库</w:t>
            </w:r>
            <w:r>
              <w:rPr>
                <w:rFonts w:hint="eastAsia"/>
                <w:color w:val="0000FF"/>
              </w:rPr>
              <w:t>进行重点防</w:t>
            </w:r>
            <w:r>
              <w:rPr>
                <w:rFonts w:hint="default"/>
                <w:color w:val="0000FF"/>
              </w:rPr>
              <w:t>渗，严格执行重点防渗区要求。基础防渗层的渗透系数不得大于10⁻¹⁰ cm/s。可采用2mm厚高密度聚乙烯（HDPE）膜作为主防渗层，其上应铺设保护层和耐腐蚀面层。对于地面及裙脚，应形成完整的、无裂隙的防渗体系，确保即使发生泄漏，污染物也不会下渗污染土壤及地下水</w:t>
            </w:r>
            <w:r>
              <w:rPr>
                <w:rFonts w:hint="eastAsia"/>
                <w:color w:val="0000FF"/>
              </w:rPr>
              <w:t>。</w:t>
            </w:r>
          </w:p>
          <w:p w14:paraId="18EFBC0A">
            <w:pPr>
              <w:keepNext w:val="0"/>
              <w:keepLines w:val="0"/>
              <w:suppressLineNumbers w:val="0"/>
              <w:bidi w:val="0"/>
              <w:spacing w:before="0" w:beforeAutospacing="0" w:after="0" w:afterAutospacing="0"/>
              <w:ind w:left="0" w:right="0"/>
              <w:rPr>
                <w:rFonts w:hint="default"/>
                <w:color w:val="0000FF"/>
              </w:rPr>
            </w:pPr>
            <w:r>
              <w:rPr>
                <w:rFonts w:hint="eastAsia"/>
                <w:color w:val="0000FF"/>
              </w:rPr>
              <w:t>②</w:t>
            </w:r>
            <w:r>
              <w:rPr>
                <w:rFonts w:hint="default"/>
                <w:color w:val="0000FF"/>
              </w:rPr>
              <w:t>暂存仓地面及裙脚（踢脚线或围堰）必须采用坚固、防渗、耐腐蚀的材料建造。地面应设置堵截泄漏的裙脚（围堰），其围建的容积应不低于堵截最大容器的最大储量或总储量的1/5。地面与裙脚的材料必须与计划贮存的各类危险废物相容，防止发生化学反应腐蚀设施</w:t>
            </w:r>
            <w:r>
              <w:rPr>
                <w:rFonts w:hint="eastAsia"/>
                <w:color w:val="0000FF"/>
              </w:rPr>
              <w:t>。</w:t>
            </w:r>
          </w:p>
          <w:p w14:paraId="0102CFCE">
            <w:pPr>
              <w:keepNext w:val="0"/>
              <w:keepLines w:val="0"/>
              <w:suppressLineNumbers w:val="0"/>
              <w:bidi w:val="0"/>
              <w:spacing w:before="0" w:beforeAutospacing="0" w:after="0" w:afterAutospacing="0"/>
              <w:ind w:left="0" w:right="0"/>
              <w:rPr>
                <w:rFonts w:hint="eastAsia"/>
                <w:color w:val="0000FF"/>
                <w:lang w:eastAsia="zh-CN"/>
              </w:rPr>
            </w:pPr>
            <w:r>
              <w:rPr>
                <w:rFonts w:hint="eastAsia"/>
                <w:color w:val="0000FF"/>
                <w:lang w:val="en-US" w:eastAsia="zh-CN"/>
              </w:rPr>
              <w:t>③</w:t>
            </w:r>
            <w:r>
              <w:rPr>
                <w:rFonts w:hint="default"/>
                <w:color w:val="0000FF"/>
              </w:rPr>
              <w:t>必须设置泄漏液体收集装置（如导流沟、集液池），确保泄漏的液体能被有效收集，防止漫流。收集池应耐腐蚀，</w:t>
            </w:r>
            <w:r>
              <w:rPr>
                <w:rFonts w:hint="eastAsia"/>
                <w:color w:val="0000FF"/>
                <w:lang w:val="en-US" w:eastAsia="zh-CN"/>
              </w:rPr>
              <w:t>有效容积不小于0.5m³</w:t>
            </w:r>
            <w:r>
              <w:rPr>
                <w:rFonts w:hint="eastAsia"/>
                <w:color w:val="0000FF"/>
                <w:lang w:eastAsia="zh-CN"/>
              </w:rPr>
              <w:t>。</w:t>
            </w:r>
          </w:p>
          <w:p w14:paraId="18C66803">
            <w:pPr>
              <w:keepNext w:val="0"/>
              <w:keepLines w:val="0"/>
              <w:suppressLineNumbers w:val="0"/>
              <w:bidi w:val="0"/>
              <w:spacing w:before="0" w:beforeAutospacing="0" w:after="0" w:afterAutospacing="0"/>
              <w:ind w:left="0" w:right="0"/>
              <w:rPr>
                <w:rFonts w:hint="eastAsia"/>
                <w:color w:val="0000FF"/>
                <w:lang w:eastAsia="zh-CN"/>
              </w:rPr>
            </w:pPr>
            <w:r>
              <w:rPr>
                <w:rFonts w:hint="eastAsia"/>
                <w:color w:val="0000FF"/>
                <w:lang w:val="en-US" w:eastAsia="zh-CN"/>
              </w:rPr>
              <w:t>④</w:t>
            </w:r>
            <w:r>
              <w:rPr>
                <w:rFonts w:hint="default"/>
                <w:color w:val="0000FF"/>
              </w:rPr>
              <w:t>暂存</w:t>
            </w:r>
            <w:r>
              <w:rPr>
                <w:rFonts w:hint="eastAsia"/>
                <w:color w:val="0000FF"/>
                <w:lang w:val="en-US" w:eastAsia="zh-CN"/>
              </w:rPr>
              <w:t>库</w:t>
            </w:r>
            <w:r>
              <w:rPr>
                <w:rFonts w:hint="default"/>
                <w:color w:val="0000FF"/>
              </w:rPr>
              <w:t>周围应设置环形消防通道，并根据所存废物的危险特性配备足量的消防栓、灭火器（如干粉、二氧化碳灭火器）、消防沙、吸附棉等应急物资</w:t>
            </w:r>
            <w:r>
              <w:rPr>
                <w:rFonts w:hint="eastAsia"/>
                <w:color w:val="0000FF"/>
                <w:lang w:eastAsia="zh-CN"/>
              </w:rPr>
              <w:t>。</w:t>
            </w:r>
          </w:p>
          <w:p w14:paraId="345FCF36">
            <w:pPr>
              <w:keepNext w:val="0"/>
              <w:keepLines w:val="0"/>
              <w:suppressLineNumbers w:val="0"/>
              <w:bidi w:val="0"/>
              <w:spacing w:before="0" w:beforeAutospacing="0" w:after="0" w:afterAutospacing="0"/>
              <w:ind w:left="0" w:right="0"/>
              <w:rPr>
                <w:rFonts w:hint="eastAsia"/>
                <w:color w:val="0000FF"/>
                <w:lang w:eastAsia="zh-CN"/>
              </w:rPr>
            </w:pPr>
            <w:r>
              <w:rPr>
                <w:rFonts w:hint="eastAsia"/>
                <w:color w:val="0000FF"/>
                <w:lang w:val="en-US" w:eastAsia="zh-CN"/>
              </w:rPr>
              <w:t>⑤</w:t>
            </w:r>
            <w:r>
              <w:rPr>
                <w:rFonts w:hint="default"/>
                <w:color w:val="0000FF"/>
              </w:rPr>
              <w:t>仓库出入口应设置明显的安全警示标志及风险告知卡。保持良好自然通风或设置机械通风系统，防止易燃、有毒气体积聚。对于报废动力电池贮存区，必须保证通风良好，避免高温</w:t>
            </w:r>
            <w:r>
              <w:rPr>
                <w:rFonts w:hint="eastAsia"/>
                <w:color w:val="0000FF"/>
                <w:lang w:eastAsia="zh-CN"/>
              </w:rPr>
              <w:t>。</w:t>
            </w:r>
          </w:p>
          <w:p w14:paraId="5EEE8C39">
            <w:pPr>
              <w:keepNext w:val="0"/>
              <w:keepLines w:val="0"/>
              <w:suppressLineNumbers w:val="0"/>
              <w:bidi w:val="0"/>
              <w:spacing w:before="0" w:beforeAutospacing="0" w:after="0" w:afterAutospacing="0"/>
              <w:ind w:left="0" w:right="0"/>
              <w:rPr>
                <w:rFonts w:hint="default"/>
                <w:b/>
                <w:bCs/>
                <w:color w:val="0000FF"/>
              </w:rPr>
            </w:pPr>
            <w:r>
              <w:rPr>
                <w:rFonts w:hint="eastAsia"/>
                <w:b/>
                <w:bCs/>
                <w:color w:val="0000FF"/>
                <w:lang w:val="en-US" w:eastAsia="zh-CN"/>
              </w:rPr>
              <w:t>2）</w:t>
            </w:r>
            <w:r>
              <w:rPr>
                <w:rFonts w:hint="eastAsia"/>
                <w:b/>
                <w:bCs/>
                <w:color w:val="0000FF"/>
              </w:rPr>
              <w:t>包装、容器与分类贮存要求</w:t>
            </w:r>
          </w:p>
          <w:p w14:paraId="1F4F04F9">
            <w:pPr>
              <w:keepNext w:val="0"/>
              <w:keepLines w:val="0"/>
              <w:suppressLineNumbers w:val="0"/>
              <w:bidi w:val="0"/>
              <w:spacing w:before="0" w:beforeAutospacing="0" w:after="0" w:afterAutospacing="0"/>
              <w:ind w:left="0" w:right="0"/>
              <w:rPr>
                <w:rFonts w:hint="eastAsia"/>
                <w:color w:val="0000FF"/>
                <w:lang w:eastAsia="zh-CN"/>
              </w:rPr>
            </w:pPr>
            <w:r>
              <w:rPr>
                <w:rFonts w:hint="eastAsia"/>
                <w:color w:val="0000FF"/>
                <w:lang w:val="en-US" w:eastAsia="zh-CN"/>
              </w:rPr>
              <w:t>①</w:t>
            </w:r>
            <w:r>
              <w:rPr>
                <w:rFonts w:hint="default"/>
                <w:color w:val="0000FF"/>
              </w:rPr>
              <w:t>所有危险废物必须装入符合国家标准的、完好的容器内。禁止使用有破损、变形或腐蚀迹象的容器</w:t>
            </w:r>
            <w:r>
              <w:rPr>
                <w:rFonts w:hint="eastAsia"/>
                <w:color w:val="0000FF"/>
                <w:lang w:eastAsia="zh-CN"/>
              </w:rPr>
              <w:t>。</w:t>
            </w:r>
          </w:p>
          <w:p w14:paraId="198CC50D">
            <w:pPr>
              <w:keepNext w:val="0"/>
              <w:keepLines w:val="0"/>
              <w:suppressLineNumbers w:val="0"/>
              <w:bidi w:val="0"/>
              <w:spacing w:before="0" w:beforeAutospacing="0" w:after="0" w:afterAutospacing="0"/>
              <w:ind w:left="0" w:right="0"/>
              <w:rPr>
                <w:rFonts w:hint="eastAsia"/>
                <w:color w:val="0000FF"/>
                <w:lang w:eastAsia="zh-CN"/>
              </w:rPr>
            </w:pPr>
            <w:r>
              <w:rPr>
                <w:rFonts w:hint="eastAsia"/>
                <w:color w:val="0000FF"/>
                <w:lang w:val="en-US" w:eastAsia="zh-CN"/>
              </w:rPr>
              <w:t>②</w:t>
            </w:r>
            <w:r>
              <w:rPr>
                <w:rFonts w:hint="default"/>
                <w:color w:val="0000FF"/>
              </w:rPr>
              <w:t>盛装危险废物的容器材质和衬里必须与所装废物</w:t>
            </w:r>
            <w:r>
              <w:rPr>
                <w:rFonts w:hint="eastAsia"/>
                <w:color w:val="0000FF"/>
              </w:rPr>
              <w:t>相容</w:t>
            </w:r>
            <w:r>
              <w:rPr>
                <w:rFonts w:hint="eastAsia"/>
                <w:color w:val="0000FF"/>
                <w:lang w:eastAsia="zh-CN"/>
              </w:rPr>
              <w:t>。</w:t>
            </w:r>
          </w:p>
          <w:p w14:paraId="145CD5D1">
            <w:pPr>
              <w:keepNext w:val="0"/>
              <w:keepLines w:val="0"/>
              <w:suppressLineNumbers w:val="0"/>
              <w:bidi w:val="0"/>
              <w:spacing w:before="0" w:beforeAutospacing="0" w:after="0" w:afterAutospacing="0"/>
              <w:ind w:left="0" w:right="0"/>
              <w:rPr>
                <w:rFonts w:hint="eastAsia"/>
                <w:color w:val="0000FF"/>
                <w:lang w:val="en-US" w:eastAsia="zh-CN"/>
              </w:rPr>
            </w:pPr>
            <w:r>
              <w:rPr>
                <w:rFonts w:hint="eastAsia"/>
                <w:color w:val="0000FF"/>
                <w:lang w:val="en-US" w:eastAsia="zh-CN"/>
              </w:rPr>
              <w:t>③每个盛装危险废物的容器或包装袋上，必须粘贴清晰、完整的危险废物标签，注明废物名称、代码、成分、危险特性、产生日期、产废单位等信息。</w:t>
            </w:r>
          </w:p>
          <w:p w14:paraId="12D56766">
            <w:pPr>
              <w:keepNext w:val="0"/>
              <w:keepLines w:val="0"/>
              <w:suppressLineNumbers w:val="0"/>
              <w:bidi w:val="0"/>
              <w:spacing w:before="0" w:beforeAutospacing="0" w:after="0" w:afterAutospacing="0"/>
              <w:ind w:left="0" w:right="0"/>
              <w:rPr>
                <w:rFonts w:hint="eastAsia"/>
                <w:color w:val="0000FF"/>
                <w:lang w:val="en-US" w:eastAsia="zh-CN"/>
              </w:rPr>
            </w:pPr>
            <w:r>
              <w:rPr>
                <w:rFonts w:hint="eastAsia"/>
                <w:color w:val="0000FF"/>
                <w:lang w:val="en-US" w:eastAsia="zh-CN"/>
              </w:rPr>
              <w:t>④必须根据危险废物的形态、物理化学性质（腐蚀性/易燃性/毒性）、是否相容等因素分区贮存。不同分区之间应设置明显的间隔，严禁将不相容的废物混合或堆放在一起，危废间平面布局图见附图。</w:t>
            </w:r>
          </w:p>
          <w:p w14:paraId="5BA5E334">
            <w:pPr>
              <w:keepNext w:val="0"/>
              <w:keepLines w:val="0"/>
              <w:suppressLineNumbers w:val="0"/>
              <w:bidi w:val="0"/>
              <w:spacing w:before="0" w:beforeAutospacing="0" w:after="0" w:afterAutospacing="0"/>
              <w:ind w:left="0" w:right="0"/>
              <w:rPr>
                <w:rFonts w:hint="default"/>
                <w:color w:val="0000FF"/>
                <w:lang w:val="en-US" w:eastAsia="zh-CN"/>
              </w:rPr>
            </w:pPr>
            <w:r>
              <w:rPr>
                <w:rFonts w:hint="eastAsia"/>
                <w:color w:val="0000FF"/>
                <w:lang w:val="en-US" w:eastAsia="zh-CN"/>
              </w:rPr>
              <w:t>⑤根据《废电池污染防治技术政策》要求，废电池应分类收集，且具有明显标识，存放点应耐腐蚀、耐压等特性，运输过程中装运电池的容器应使用不易损坏、不易变形、耐腐蚀的材料。贮存场所禁止堆放在露天场地以免遭受雨淋水浸，批量废电池贮存点不得放置其他物料，且需配备相关的消防器材及安全标识。</w:t>
            </w:r>
          </w:p>
          <w:p w14:paraId="73AA0102">
            <w:pPr>
              <w:keepNext w:val="0"/>
              <w:keepLines w:val="0"/>
              <w:suppressLineNumbers w:val="0"/>
              <w:bidi w:val="0"/>
              <w:spacing w:before="0" w:beforeAutospacing="0" w:after="0" w:afterAutospacing="0"/>
              <w:ind w:left="0" w:right="0"/>
              <w:rPr>
                <w:rFonts w:hint="eastAsia"/>
                <w:color w:val="0000FF"/>
                <w:lang w:val="en-US" w:eastAsia="zh-CN"/>
              </w:rPr>
            </w:pPr>
            <w:r>
              <w:rPr>
                <w:rFonts w:hint="eastAsia"/>
                <w:color w:val="0000FF"/>
                <w:lang w:val="en-US" w:eastAsia="zh-CN"/>
              </w:rPr>
              <w:t>报废动力电池贮存应避免高温、保证通风良好，正负极接触头应采取绝缘防护，堆码高度不超过2米，不同材料类型应分开贮存，使用防渗托盘进行暂存，废破损铅蓄电池使用带盖PVC箱对破损废铅蓄电池进行暂存。</w:t>
            </w:r>
          </w:p>
          <w:p w14:paraId="640A1DD2">
            <w:pPr>
              <w:keepNext w:val="0"/>
              <w:keepLines w:val="0"/>
              <w:suppressLineNumbers w:val="0"/>
              <w:bidi w:val="0"/>
              <w:spacing w:before="0" w:beforeAutospacing="0" w:after="0" w:afterAutospacing="0"/>
              <w:ind w:left="0" w:right="0"/>
              <w:rPr>
                <w:rFonts w:hint="default"/>
                <w:b/>
                <w:bCs/>
                <w:color w:val="0000FF"/>
              </w:rPr>
            </w:pPr>
            <w:r>
              <w:rPr>
                <w:rFonts w:hint="eastAsia"/>
                <w:b/>
                <w:bCs/>
                <w:color w:val="0000FF"/>
                <w:lang w:val="en-US" w:eastAsia="zh-CN"/>
              </w:rPr>
              <w:t>3）</w:t>
            </w:r>
            <w:r>
              <w:rPr>
                <w:rFonts w:hint="eastAsia"/>
                <w:b/>
                <w:bCs/>
                <w:color w:val="0000FF"/>
              </w:rPr>
              <w:t>运行管理与台账制度</w:t>
            </w:r>
          </w:p>
          <w:p w14:paraId="6576833A">
            <w:pPr>
              <w:keepNext w:val="0"/>
              <w:keepLines w:val="0"/>
              <w:suppressLineNumbers w:val="0"/>
              <w:bidi w:val="0"/>
              <w:spacing w:before="0" w:beforeAutospacing="0" w:after="0" w:afterAutospacing="0"/>
              <w:ind w:left="0" w:right="0"/>
              <w:rPr>
                <w:rFonts w:hint="default"/>
                <w:color w:val="0000FF"/>
              </w:rPr>
            </w:pPr>
            <w:r>
              <w:rPr>
                <w:rFonts w:hint="eastAsia"/>
                <w:color w:val="0000FF"/>
                <w:lang w:val="en-US" w:eastAsia="zh-CN"/>
              </w:rPr>
              <w:t>①</w:t>
            </w:r>
            <w:r>
              <w:rPr>
                <w:rFonts w:hint="default"/>
                <w:color w:val="0000FF"/>
              </w:rPr>
              <w:t>应建立定期巡检制度，定期检查存贮容器、包装袋是否有破损、泄漏迹象，贮存设施（如地面、围堰、集液池、通风系统）是否完好。发现破损应立即采取措施，更换容器或清理泄漏物，并做好记录。定期检查消防器材和应急物资的有效性。</w:t>
            </w:r>
          </w:p>
          <w:p w14:paraId="74EA1E2E">
            <w:pPr>
              <w:keepNext w:val="0"/>
              <w:keepLines w:val="0"/>
              <w:suppressLineNumbers w:val="0"/>
              <w:bidi w:val="0"/>
              <w:spacing w:before="0" w:beforeAutospacing="0" w:after="0" w:afterAutospacing="0"/>
              <w:ind w:left="0" w:right="0"/>
              <w:rPr>
                <w:rFonts w:hint="default"/>
                <w:color w:val="0000FF"/>
              </w:rPr>
            </w:pPr>
            <w:r>
              <w:rPr>
                <w:rFonts w:hint="eastAsia"/>
                <w:color w:val="0000FF"/>
                <w:lang w:val="en-US" w:eastAsia="zh-CN"/>
              </w:rPr>
              <w:t>②</w:t>
            </w:r>
            <w:r>
              <w:rPr>
                <w:rFonts w:hint="default"/>
                <w:color w:val="0000FF"/>
              </w:rPr>
              <w:t>按照国家规定制定年度危险废物管理计划，并报所在地生态环境主管部门备案</w:t>
            </w:r>
            <w:r>
              <w:rPr>
                <w:rFonts w:hint="eastAsia"/>
                <w:color w:val="0000FF"/>
                <w:lang w:eastAsia="zh-CN"/>
              </w:rPr>
              <w:t>，</w:t>
            </w:r>
            <w:r>
              <w:rPr>
                <w:rFonts w:hint="default"/>
                <w:color w:val="0000FF"/>
              </w:rPr>
              <w:t>当危险废物转移出库交由有资质的单位处置时，必须严格执行危险废物转移联单制度，如实填写转移信息。</w:t>
            </w:r>
          </w:p>
          <w:p w14:paraId="374CE4E6">
            <w:pPr>
              <w:keepNext w:val="0"/>
              <w:keepLines w:val="0"/>
              <w:suppressLineNumbers w:val="0"/>
              <w:bidi w:val="0"/>
              <w:spacing w:before="0" w:beforeAutospacing="0" w:after="0" w:afterAutospacing="0"/>
              <w:ind w:left="0" w:right="0"/>
              <w:rPr>
                <w:rFonts w:hint="eastAsia"/>
                <w:color w:val="0000FF"/>
                <w:lang w:val="en-US" w:eastAsia="zh-CN"/>
              </w:rPr>
            </w:pPr>
            <w:r>
              <w:rPr>
                <w:rFonts w:hint="eastAsia"/>
                <w:color w:val="0000FF"/>
                <w:lang w:val="en-US" w:eastAsia="zh-CN"/>
              </w:rPr>
              <w:t>③</w:t>
            </w:r>
            <w:r>
              <w:rPr>
                <w:rFonts w:hint="default"/>
                <w:color w:val="0000FF"/>
              </w:rPr>
              <w:t>制定危险废物意外事故防范措施和应急预案，并</w:t>
            </w:r>
            <w:r>
              <w:rPr>
                <w:rFonts w:hint="eastAsia"/>
                <w:color w:val="0000FF"/>
              </w:rPr>
              <w:t>每年至少组织一次应急演练，保存演练相关记录</w:t>
            </w:r>
            <w:r>
              <w:rPr>
                <w:rFonts w:hint="eastAsia"/>
                <w:color w:val="0000FF"/>
                <w:lang w:eastAsia="zh-CN"/>
              </w:rPr>
              <w:t>，</w:t>
            </w:r>
            <w:r>
              <w:rPr>
                <w:rFonts w:hint="eastAsia"/>
                <w:color w:val="0000FF"/>
                <w:lang w:val="en-US" w:eastAsia="zh-CN"/>
              </w:rPr>
              <w:t>危废库配备视频监控系统。</w:t>
            </w:r>
          </w:p>
          <w:p w14:paraId="4F06FC99">
            <w:pPr>
              <w:keepNext w:val="0"/>
              <w:keepLines w:val="0"/>
              <w:suppressLineNumbers w:val="0"/>
              <w:bidi w:val="0"/>
              <w:spacing w:before="0" w:beforeAutospacing="0" w:after="0" w:afterAutospacing="0"/>
              <w:ind w:left="0" w:right="0"/>
              <w:rPr>
                <w:rFonts w:hint="eastAsia"/>
                <w:color w:val="0000FF"/>
                <w:lang w:val="en-US" w:eastAsia="zh-CN"/>
              </w:rPr>
            </w:pPr>
            <w:r>
              <w:rPr>
                <w:rFonts w:hint="eastAsia"/>
                <w:color w:val="0000FF"/>
                <w:lang w:val="en-US" w:eastAsia="zh-CN"/>
              </w:rPr>
              <w:t>④</w:t>
            </w:r>
            <w:r>
              <w:rPr>
                <w:rFonts w:hint="default"/>
                <w:color w:val="0000FF"/>
              </w:rPr>
              <w:t>本项目产生的危险废物必须全部</w:t>
            </w:r>
            <w:r>
              <w:rPr>
                <w:rFonts w:hint="eastAsia"/>
                <w:color w:val="0000FF"/>
              </w:rPr>
              <w:t>交由持有《危险废物经营许可证》的、具有相应处置能力的单位进行安全处置。在危险废物产生前，即应与处置单位签订正式的危废处置协议，明确双方责任和废物类别</w:t>
            </w:r>
            <w:r>
              <w:rPr>
                <w:rFonts w:hint="eastAsia"/>
                <w:color w:val="0000FF"/>
                <w:lang w:eastAsia="zh-CN"/>
              </w:rPr>
              <w:t>，</w:t>
            </w:r>
            <w:r>
              <w:rPr>
                <w:rFonts w:hint="default"/>
                <w:color w:val="0000FF"/>
              </w:rPr>
              <w:t>危险废物在厂内暂存时间原则上</w:t>
            </w:r>
            <w:r>
              <w:rPr>
                <w:rFonts w:hint="eastAsia"/>
                <w:color w:val="0000FF"/>
              </w:rPr>
              <w:t>不得超过一年。如确需延长，需报经生态环境主管部门批</w:t>
            </w:r>
          </w:p>
          <w:p w14:paraId="3C8335F1">
            <w:pPr>
              <w:keepNext w:val="0"/>
              <w:keepLines w:val="0"/>
              <w:suppressLineNumbers w:val="0"/>
              <w:tabs>
                <w:tab w:val="left" w:pos="2295"/>
              </w:tabs>
              <w:spacing w:before="0" w:beforeAutospacing="0" w:after="0" w:afterAutospacing="0"/>
              <w:ind w:left="0" w:right="0" w:firstLine="482"/>
              <w:jc w:val="both"/>
              <w:rPr>
                <w:rFonts w:hint="default"/>
                <w:b/>
                <w:bCs/>
                <w:color w:val="auto"/>
              </w:rPr>
            </w:pPr>
            <w:r>
              <w:rPr>
                <w:rFonts w:hint="eastAsia"/>
                <w:b/>
                <w:bCs/>
                <w:color w:val="auto"/>
                <w:lang w:eastAsia="zh-CN"/>
              </w:rPr>
              <w:t>（</w:t>
            </w:r>
            <w:r>
              <w:rPr>
                <w:rFonts w:hint="eastAsia"/>
                <w:b/>
                <w:bCs/>
                <w:color w:val="auto"/>
                <w:lang w:val="en-US" w:eastAsia="zh-CN"/>
              </w:rPr>
              <w:t>2</w:t>
            </w:r>
            <w:r>
              <w:rPr>
                <w:rFonts w:hint="eastAsia"/>
                <w:b/>
                <w:bCs/>
                <w:color w:val="auto"/>
                <w:lang w:eastAsia="zh-CN"/>
              </w:rPr>
              <w:t>）</w:t>
            </w:r>
            <w:r>
              <w:rPr>
                <w:rFonts w:hint="eastAsia"/>
                <w:b/>
                <w:bCs/>
                <w:color w:val="auto"/>
              </w:rPr>
              <w:t>生产区风险防范措施</w:t>
            </w:r>
          </w:p>
          <w:p w14:paraId="1928C499">
            <w:pPr>
              <w:keepNext w:val="0"/>
              <w:keepLines w:val="0"/>
              <w:suppressLineNumbers w:val="0"/>
              <w:spacing w:before="0" w:beforeAutospacing="0" w:after="0" w:afterAutospacing="0"/>
              <w:ind w:left="0" w:right="0" w:firstLine="480"/>
              <w:jc w:val="both"/>
              <w:rPr>
                <w:rFonts w:hint="default"/>
                <w:color w:val="auto"/>
              </w:rPr>
            </w:pPr>
            <w:r>
              <w:rPr>
                <w:rFonts w:hint="eastAsia"/>
                <w:color w:val="auto"/>
              </w:rPr>
              <w:t>①厂区总图布置及建筑安全防护应根据《建筑防火设计规范》（</w:t>
            </w:r>
            <w:r>
              <w:rPr>
                <w:rFonts w:hint="default"/>
                <w:color w:val="auto"/>
              </w:rPr>
              <w:t>GB50016-2014</w:t>
            </w:r>
            <w:r>
              <w:rPr>
                <w:rFonts w:hint="eastAsia"/>
                <w:color w:val="auto"/>
              </w:rPr>
              <w:t>）有关要求，在建筑设计布置方面均设置足够的安全防护距离和建筑防火间距，并在厂内设置应急急救设施、应急消防及疏散通道等。</w:t>
            </w:r>
          </w:p>
          <w:p w14:paraId="4FFEF95B">
            <w:pPr>
              <w:keepNext w:val="0"/>
              <w:keepLines w:val="0"/>
              <w:suppressLineNumbers w:val="0"/>
              <w:spacing w:before="0" w:beforeAutospacing="0" w:after="0" w:afterAutospacing="0"/>
              <w:ind w:left="0" w:right="0" w:firstLine="480"/>
              <w:jc w:val="both"/>
              <w:rPr>
                <w:rFonts w:hint="eastAsia"/>
                <w:color w:val="auto"/>
              </w:rPr>
            </w:pPr>
            <w:r>
              <w:rPr>
                <w:rFonts w:hint="eastAsia"/>
                <w:color w:val="auto"/>
              </w:rPr>
              <w:t>②加强管理，防止因管理不善而导致生产区火灾。每天对设备，特别是电器设备进行检查，防止因为设备故障而引起火灾；对员工进行上岗培训，使其了解生产作业中应该注意的具体事项。</w:t>
            </w:r>
          </w:p>
          <w:p w14:paraId="2472D626">
            <w:pPr>
              <w:keepNext w:val="0"/>
              <w:keepLines w:val="0"/>
              <w:suppressLineNumbers w:val="0"/>
              <w:bidi w:val="0"/>
              <w:spacing w:before="0" w:beforeAutospacing="0" w:after="0" w:afterAutospacing="0"/>
              <w:ind w:left="0" w:right="0"/>
              <w:rPr>
                <w:rFonts w:hint="eastAsia"/>
                <w:color w:val="auto"/>
                <w:lang w:val="en-US" w:eastAsia="zh-CN"/>
              </w:rPr>
            </w:pPr>
            <w:r>
              <w:rPr>
                <w:rFonts w:hint="eastAsia"/>
                <w:color w:val="auto"/>
                <w:lang w:val="en-US" w:eastAsia="zh-CN"/>
              </w:rPr>
              <w:t>③项目缩短转运周期，严格控制一般固废及危险废物在厂区的最大暂存量，从源头上降低环境风险。暂存区应设置应急收集桶、人员防护物资应急吸附物资，以备事故状态下的应急处置。</w:t>
            </w:r>
          </w:p>
          <w:p w14:paraId="40F3BFB5">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firstLine="480" w:firstLineChars="200"/>
              <w:textAlignment w:val="auto"/>
              <w:rPr>
                <w:rFonts w:hint="default" w:ascii="Times New Roman" w:hAnsi="Times New Roman" w:eastAsia="宋体" w:cs="Times New Roman"/>
                <w:b w:val="0"/>
                <w:bCs/>
                <w:color w:val="auto"/>
                <w:kern w:val="0"/>
                <w:sz w:val="24"/>
              </w:rPr>
            </w:pPr>
            <w:r>
              <w:rPr>
                <w:rFonts w:hint="eastAsia"/>
                <w:color w:val="auto"/>
                <w:lang w:val="en-US" w:eastAsia="zh-CN"/>
              </w:rPr>
              <w:t>④</w:t>
            </w:r>
            <w:r>
              <w:rPr>
                <w:rFonts w:hint="default" w:ascii="Times New Roman" w:hAnsi="Times New Roman" w:eastAsia="宋体" w:cs="Times New Roman"/>
                <w:b w:val="0"/>
                <w:bCs/>
                <w:color w:val="auto"/>
                <w:kern w:val="0"/>
                <w:sz w:val="24"/>
              </w:rPr>
              <w:t>各类设备和管道从设计、安装，制造严格按照安全规定要求进行，车间加强通风。所有设施必须由当地有关质检部门进行验收并通过后方能投入使用。</w:t>
            </w:r>
          </w:p>
          <w:p w14:paraId="5E1F8658">
            <w:pPr>
              <w:keepNext w:val="0"/>
              <w:keepLines w:val="0"/>
              <w:suppressLineNumbers w:val="0"/>
              <w:bidi w:val="0"/>
              <w:spacing w:before="0" w:beforeAutospacing="0" w:after="0" w:afterAutospacing="0"/>
              <w:ind w:left="0" w:right="0"/>
              <w:rPr>
                <w:rFonts w:hint="eastAsia"/>
                <w:b/>
                <w:bCs/>
                <w:lang w:val="en-US" w:eastAsia="zh-CN"/>
              </w:rPr>
            </w:pPr>
            <w:r>
              <w:rPr>
                <w:rFonts w:hint="eastAsia"/>
                <w:b/>
                <w:bCs/>
                <w:lang w:eastAsia="zh-CN"/>
              </w:rPr>
              <w:t>（</w:t>
            </w:r>
            <w:r>
              <w:rPr>
                <w:rFonts w:hint="eastAsia"/>
                <w:b/>
                <w:bCs/>
                <w:lang w:val="en-US" w:eastAsia="zh-CN"/>
              </w:rPr>
              <w:t>3</w:t>
            </w:r>
            <w:r>
              <w:rPr>
                <w:rFonts w:hint="eastAsia"/>
                <w:b/>
                <w:bCs/>
                <w:lang w:eastAsia="zh-CN"/>
              </w:rPr>
              <w:t>）</w:t>
            </w:r>
            <w:r>
              <w:rPr>
                <w:rFonts w:hint="eastAsia"/>
                <w:b/>
                <w:bCs/>
                <w:lang w:val="en-US" w:eastAsia="zh-CN"/>
              </w:rPr>
              <w:t>拆解、暂存过程风险防范</w:t>
            </w:r>
          </w:p>
          <w:p w14:paraId="3BBD74FE">
            <w:pPr>
              <w:keepNext w:val="0"/>
              <w:keepLines w:val="0"/>
              <w:numPr>
                <w:ilvl w:val="0"/>
                <w:numId w:val="0"/>
              </w:numPr>
              <w:suppressLineNumbers w:val="0"/>
              <w:adjustRightInd w:val="0"/>
              <w:snapToGrid w:val="0"/>
              <w:spacing w:before="0" w:beforeAutospacing="0" w:after="0" w:afterAutospacing="0" w:line="360" w:lineRule="auto"/>
              <w:ind w:left="0" w:right="0" w:firstLine="480" w:firstLineChars="200"/>
              <w:rPr>
                <w:rFonts w:hint="eastAsia" w:ascii="Times New Roman" w:hAnsi="Times New Roman" w:eastAsia="宋体" w:cs="Times New Roman"/>
                <w:b w:val="0"/>
                <w:bCs w:val="0"/>
                <w:color w:val="auto"/>
                <w:u w:val="none"/>
                <w:lang w:val="en-US" w:eastAsia="zh-CN"/>
              </w:rPr>
            </w:pPr>
            <w:r>
              <w:rPr>
                <w:rFonts w:hint="eastAsia" w:ascii="Times New Roman" w:hAnsi="Times New Roman" w:eastAsia="宋体" w:cs="Times New Roman"/>
                <w:b w:val="0"/>
                <w:bCs w:val="0"/>
                <w:color w:val="auto"/>
                <w:u w:val="none"/>
                <w:lang w:val="en-US" w:eastAsia="zh-CN"/>
              </w:rPr>
              <w:t>①入厂后，装卸前应检查</w:t>
            </w:r>
            <w:r>
              <w:rPr>
                <w:rFonts w:hint="eastAsia" w:cs="Times New Roman"/>
                <w:b w:val="0"/>
                <w:bCs w:val="0"/>
                <w:color w:val="auto"/>
                <w:u w:val="none"/>
                <w:lang w:val="en-US" w:eastAsia="zh-CN"/>
              </w:rPr>
              <w:t>废旧电动自行车</w:t>
            </w:r>
            <w:r>
              <w:rPr>
                <w:rFonts w:hint="eastAsia" w:ascii="Times New Roman" w:hAnsi="Times New Roman" w:eastAsia="宋体" w:cs="Times New Roman"/>
                <w:b w:val="0"/>
                <w:bCs w:val="0"/>
                <w:color w:val="auto"/>
                <w:u w:val="none"/>
                <w:lang w:val="en-US" w:eastAsia="zh-CN"/>
              </w:rPr>
              <w:t>的在运输途中是否</w:t>
            </w:r>
            <w:r>
              <w:rPr>
                <w:rFonts w:hint="eastAsia" w:cs="Times New Roman"/>
                <w:b w:val="0"/>
                <w:bCs w:val="0"/>
                <w:color w:val="auto"/>
                <w:u w:val="none"/>
                <w:lang w:val="en-US" w:eastAsia="zh-CN"/>
              </w:rPr>
              <w:t>出现电池松动、破损、</w:t>
            </w:r>
            <w:r>
              <w:rPr>
                <w:rFonts w:hint="eastAsia" w:ascii="Times New Roman" w:hAnsi="Times New Roman" w:eastAsia="宋体" w:cs="Times New Roman"/>
                <w:b w:val="0"/>
                <w:bCs w:val="0"/>
                <w:color w:val="auto"/>
                <w:u w:val="none"/>
                <w:lang w:val="en-US" w:eastAsia="zh-CN"/>
              </w:rPr>
              <w:t>破裂，装卸、搬运时应轻装轻卸，注意自我防护。</w:t>
            </w:r>
          </w:p>
          <w:p w14:paraId="5C69FE21">
            <w:pPr>
              <w:keepNext w:val="0"/>
              <w:keepLines w:val="0"/>
              <w:numPr>
                <w:ilvl w:val="0"/>
                <w:numId w:val="0"/>
              </w:numPr>
              <w:suppressLineNumbers w:val="0"/>
              <w:adjustRightInd w:val="0"/>
              <w:snapToGrid w:val="0"/>
              <w:spacing w:before="0" w:beforeAutospacing="0" w:after="0" w:afterAutospacing="0" w:line="360" w:lineRule="auto"/>
              <w:ind w:left="0" w:right="0" w:firstLine="480" w:firstLineChars="200"/>
              <w:rPr>
                <w:rFonts w:hint="eastAsia" w:ascii="Times New Roman" w:hAnsi="Times New Roman" w:eastAsia="宋体" w:cs="Times New Roman"/>
                <w:b w:val="0"/>
                <w:bCs w:val="0"/>
                <w:color w:val="auto"/>
                <w:u w:val="none"/>
                <w:lang w:val="en-US" w:eastAsia="zh-CN"/>
              </w:rPr>
            </w:pPr>
            <w:r>
              <w:rPr>
                <w:rFonts w:hint="eastAsia" w:ascii="Times New Roman" w:hAnsi="Times New Roman" w:eastAsia="宋体" w:cs="Times New Roman"/>
                <w:b w:val="0"/>
                <w:bCs w:val="0"/>
                <w:color w:val="auto"/>
                <w:u w:val="none"/>
                <w:lang w:val="en-US" w:eastAsia="zh-CN"/>
              </w:rPr>
              <w:t>②企业应加强管理，制定专门的装卸操作指南，减少装卸过程的</w:t>
            </w:r>
            <w:r>
              <w:rPr>
                <w:rFonts w:hint="eastAsia" w:cs="Times New Roman"/>
                <w:b w:val="0"/>
                <w:bCs w:val="0"/>
                <w:color w:val="auto"/>
                <w:u w:val="none"/>
                <w:lang w:val="en-US" w:eastAsia="zh-CN"/>
              </w:rPr>
              <w:t>意外及</w:t>
            </w:r>
            <w:r>
              <w:rPr>
                <w:rFonts w:hint="eastAsia" w:ascii="Times New Roman" w:hAnsi="Times New Roman" w:eastAsia="宋体" w:cs="Times New Roman"/>
                <w:b w:val="0"/>
                <w:bCs w:val="0"/>
                <w:color w:val="auto"/>
                <w:u w:val="none"/>
                <w:lang w:val="en-US" w:eastAsia="zh-CN"/>
              </w:rPr>
              <w:t>滴漏，少量滴漏应及时收集、擦除。</w:t>
            </w:r>
          </w:p>
          <w:p w14:paraId="3599BEC2">
            <w:pPr>
              <w:keepNext w:val="0"/>
              <w:keepLines w:val="0"/>
              <w:numPr>
                <w:ilvl w:val="0"/>
                <w:numId w:val="0"/>
              </w:numPr>
              <w:suppressLineNumbers w:val="0"/>
              <w:adjustRightInd w:val="0"/>
              <w:snapToGrid w:val="0"/>
              <w:spacing w:before="0" w:beforeAutospacing="0" w:after="0" w:afterAutospacing="0" w:line="360" w:lineRule="auto"/>
              <w:ind w:left="0" w:right="0" w:firstLine="480" w:firstLineChars="200"/>
              <w:rPr>
                <w:rFonts w:hint="eastAsia" w:ascii="Times New Roman" w:hAnsi="Times New Roman" w:eastAsia="宋体" w:cs="Times New Roman"/>
                <w:b w:val="0"/>
                <w:bCs w:val="0"/>
                <w:color w:val="auto"/>
                <w:u w:val="none"/>
                <w:lang w:val="en-US" w:eastAsia="zh-CN"/>
              </w:rPr>
            </w:pPr>
            <w:r>
              <w:rPr>
                <w:rFonts w:hint="eastAsia" w:ascii="Times New Roman" w:hAnsi="Times New Roman" w:eastAsia="宋体" w:cs="Times New Roman"/>
                <w:b w:val="0"/>
                <w:bCs w:val="0"/>
                <w:color w:val="auto"/>
                <w:u w:val="none"/>
                <w:lang w:val="en-US" w:eastAsia="zh-CN"/>
              </w:rPr>
              <w:t>③电池</w:t>
            </w:r>
            <w:r>
              <w:rPr>
                <w:rFonts w:hint="eastAsia" w:cs="Times New Roman"/>
                <w:b w:val="0"/>
                <w:bCs w:val="0"/>
                <w:color w:val="auto"/>
                <w:u w:val="none"/>
                <w:lang w:val="en-US" w:eastAsia="zh-CN"/>
              </w:rPr>
              <w:t>拆解</w:t>
            </w:r>
            <w:r>
              <w:rPr>
                <w:rFonts w:hint="eastAsia" w:ascii="Times New Roman" w:hAnsi="Times New Roman" w:eastAsia="宋体" w:cs="Times New Roman"/>
                <w:b w:val="0"/>
                <w:bCs w:val="0"/>
                <w:color w:val="auto"/>
                <w:u w:val="none"/>
                <w:lang w:val="en-US" w:eastAsia="zh-CN"/>
              </w:rPr>
              <w:t>、搬运过程中，时刻注意电池堆放状态，若电池出现晃动，及时调整好电池位置。</w:t>
            </w:r>
          </w:p>
          <w:p w14:paraId="43CCD1A3">
            <w:pPr>
              <w:keepNext w:val="0"/>
              <w:keepLines w:val="0"/>
              <w:numPr>
                <w:ilvl w:val="0"/>
                <w:numId w:val="0"/>
              </w:numPr>
              <w:suppressLineNumbers w:val="0"/>
              <w:adjustRightInd w:val="0"/>
              <w:snapToGrid w:val="0"/>
              <w:spacing w:before="0" w:beforeAutospacing="0" w:after="0" w:afterAutospacing="0" w:line="360" w:lineRule="auto"/>
              <w:ind w:left="0" w:right="0" w:firstLine="480" w:firstLineChars="200"/>
              <w:rPr>
                <w:rFonts w:hint="eastAsia" w:ascii="Times New Roman" w:hAnsi="Times New Roman" w:eastAsia="宋体" w:cs="Times New Roman"/>
                <w:b w:val="0"/>
                <w:bCs w:val="0"/>
                <w:color w:val="auto"/>
                <w:u w:val="none"/>
                <w:lang w:val="en-US" w:eastAsia="zh-CN"/>
              </w:rPr>
            </w:pPr>
            <w:r>
              <w:rPr>
                <w:rFonts w:hint="eastAsia" w:cs="Times New Roman"/>
                <w:b w:val="0"/>
                <w:bCs/>
                <w:color w:val="auto"/>
                <w:kern w:val="0"/>
                <w:sz w:val="24"/>
                <w:lang w:val="en-US" w:eastAsia="zh-CN"/>
              </w:rPr>
              <w:t>④</w:t>
            </w:r>
            <w:r>
              <w:rPr>
                <w:rFonts w:hint="eastAsia" w:ascii="Times New Roman" w:hAnsi="Times New Roman" w:eastAsia="宋体" w:cs="Times New Roman"/>
                <w:b w:val="0"/>
                <w:bCs w:val="0"/>
                <w:color w:val="auto"/>
                <w:u w:val="none"/>
                <w:lang w:val="en-US" w:eastAsia="zh-CN"/>
              </w:rPr>
              <w:t>贮存过程中若发现废铅蓄电池破损，及时将破损废铅蓄电池放入专用容器盛放，再储存于</w:t>
            </w:r>
            <w:r>
              <w:rPr>
                <w:rFonts w:hint="eastAsia" w:cs="Times New Roman"/>
                <w:b w:val="0"/>
                <w:bCs w:val="0"/>
                <w:color w:val="auto"/>
                <w:u w:val="none"/>
                <w:lang w:val="en-US" w:eastAsia="zh-CN"/>
              </w:rPr>
              <w:t>危废间</w:t>
            </w:r>
            <w:r>
              <w:rPr>
                <w:rFonts w:hint="eastAsia" w:ascii="Times New Roman" w:hAnsi="Times New Roman" w:eastAsia="宋体" w:cs="Times New Roman"/>
                <w:b w:val="0"/>
                <w:bCs w:val="0"/>
                <w:color w:val="auto"/>
                <w:u w:val="none"/>
                <w:lang w:val="en-US" w:eastAsia="zh-CN"/>
              </w:rPr>
              <w:t>铅蓄电池</w:t>
            </w:r>
            <w:r>
              <w:rPr>
                <w:rFonts w:hint="eastAsia" w:cs="Times New Roman"/>
                <w:b w:val="0"/>
                <w:bCs w:val="0"/>
                <w:color w:val="auto"/>
                <w:u w:val="none"/>
                <w:lang w:val="en-US" w:eastAsia="zh-CN"/>
              </w:rPr>
              <w:t>暂存区</w:t>
            </w:r>
            <w:r>
              <w:rPr>
                <w:rFonts w:hint="eastAsia" w:ascii="Times New Roman" w:hAnsi="Times New Roman" w:eastAsia="宋体" w:cs="Times New Roman"/>
                <w:b w:val="0"/>
                <w:bCs w:val="0"/>
                <w:color w:val="auto"/>
                <w:u w:val="none"/>
                <w:lang w:val="en-US" w:eastAsia="zh-CN"/>
              </w:rPr>
              <w:t>。项目废铅蓄电池</w:t>
            </w:r>
            <w:r>
              <w:rPr>
                <w:rFonts w:hint="eastAsia" w:cs="Times New Roman"/>
                <w:b w:val="0"/>
                <w:bCs w:val="0"/>
                <w:color w:val="auto"/>
                <w:u w:val="none"/>
                <w:lang w:val="en-US" w:eastAsia="zh-CN"/>
              </w:rPr>
              <w:t>拆解</w:t>
            </w:r>
            <w:r>
              <w:rPr>
                <w:rFonts w:hint="eastAsia" w:ascii="Times New Roman" w:hAnsi="Times New Roman" w:eastAsia="宋体" w:cs="Times New Roman"/>
                <w:b w:val="0"/>
                <w:bCs w:val="0"/>
                <w:color w:val="auto"/>
                <w:u w:val="none"/>
                <w:lang w:val="en-US" w:eastAsia="zh-CN"/>
              </w:rPr>
              <w:t>过程避免不了出现电解液泄露，若电解液泄露量较少时</w:t>
            </w:r>
            <w:r>
              <w:rPr>
                <w:rFonts w:hint="eastAsia" w:cs="Times New Roman"/>
                <w:b w:val="0"/>
                <w:bCs w:val="0"/>
                <w:color w:val="auto"/>
                <w:u w:val="none"/>
                <w:lang w:val="en-US" w:eastAsia="zh-CN"/>
              </w:rPr>
              <w:t>立即</w:t>
            </w:r>
            <w:r>
              <w:rPr>
                <w:rFonts w:hint="eastAsia" w:ascii="Times New Roman" w:hAnsi="Times New Roman" w:eastAsia="宋体" w:cs="Times New Roman"/>
                <w:b w:val="0"/>
                <w:bCs w:val="0"/>
                <w:color w:val="auto"/>
                <w:u w:val="none"/>
                <w:lang w:val="en-US" w:eastAsia="zh-CN"/>
              </w:rPr>
              <w:t>用生石灰中和后收集中和废物，并使用抹布及时擦拭并清理地面，保证地面无残留；电解液泄露量较大时，使用工具将电解液装入废电解液储存箱，将储存箱存放于</w:t>
            </w:r>
            <w:r>
              <w:rPr>
                <w:rFonts w:hint="eastAsia" w:cs="Times New Roman"/>
                <w:b w:val="0"/>
                <w:bCs w:val="0"/>
                <w:color w:val="auto"/>
                <w:u w:val="none"/>
                <w:lang w:val="en-US" w:eastAsia="zh-CN"/>
              </w:rPr>
              <w:t>危废间废电解液暂存区</w:t>
            </w:r>
            <w:r>
              <w:rPr>
                <w:rFonts w:hint="eastAsia" w:ascii="Times New Roman" w:hAnsi="Times New Roman" w:eastAsia="宋体" w:cs="Times New Roman"/>
                <w:b w:val="0"/>
                <w:bCs w:val="0"/>
                <w:color w:val="auto"/>
                <w:u w:val="none"/>
                <w:lang w:val="en-US" w:eastAsia="zh-CN"/>
              </w:rPr>
              <w:t>。</w:t>
            </w:r>
          </w:p>
          <w:p w14:paraId="420B22FB">
            <w:pPr>
              <w:keepNext w:val="0"/>
              <w:keepLines w:val="0"/>
              <w:numPr>
                <w:ilvl w:val="0"/>
                <w:numId w:val="0"/>
              </w:numPr>
              <w:suppressLineNumbers w:val="0"/>
              <w:adjustRightInd w:val="0"/>
              <w:snapToGrid w:val="0"/>
              <w:spacing w:before="0" w:beforeAutospacing="0" w:after="0" w:afterAutospacing="0" w:line="360" w:lineRule="auto"/>
              <w:ind w:left="0" w:right="0" w:firstLine="480" w:firstLineChars="200"/>
              <w:rPr>
                <w:rFonts w:hint="default" w:ascii="Times New Roman" w:hAnsi="Times New Roman" w:eastAsia="宋体" w:cs="Times New Roman"/>
                <w:b w:val="0"/>
                <w:bCs/>
                <w:color w:val="auto"/>
                <w:kern w:val="0"/>
                <w:sz w:val="24"/>
                <w:lang w:val="en-US" w:eastAsia="zh-CN"/>
              </w:rPr>
            </w:pPr>
            <w:r>
              <w:rPr>
                <w:rFonts w:hint="eastAsia" w:cs="Times New Roman"/>
                <w:b w:val="0"/>
                <w:bCs w:val="0"/>
                <w:color w:val="auto"/>
                <w:u w:val="none"/>
                <w:lang w:val="en-US" w:eastAsia="zh-CN"/>
              </w:rPr>
              <w:t>危废间设</w:t>
            </w:r>
            <w:r>
              <w:rPr>
                <w:rFonts w:hint="eastAsia" w:ascii="Times New Roman" w:hAnsi="Times New Roman" w:eastAsia="宋体" w:cs="Times New Roman"/>
                <w:b w:val="0"/>
                <w:bCs w:val="0"/>
                <w:color w:val="auto"/>
                <w:u w:val="none"/>
                <w:lang w:val="en-US" w:eastAsia="zh-CN"/>
              </w:rPr>
              <w:t>收集池：</w:t>
            </w:r>
            <w:r>
              <w:rPr>
                <w:rFonts w:hint="eastAsia" w:eastAsia="宋体" w:cs="Times New Roman"/>
                <w:b w:val="0"/>
                <w:bCs w:val="0"/>
                <w:color w:val="auto"/>
                <w:u w:val="none"/>
                <w:lang w:val="en-US" w:eastAsia="zh-CN"/>
              </w:rPr>
              <w:t>本项目液态危险废物均采用包装桶盛装，单个包装桶最大暂存量为0.15t。根据《危险废物贮存污染控制标准》（GB 18597-2023）要求，危废暂存间内设置液体泄漏导流沟及收集池，收集池有效容积不小于0.5m³，满足‘对应贮存区域最大液态废物容器容积’与‘液态废物总储量1/10’二者取较大值的要求</w:t>
            </w:r>
            <w:r>
              <w:rPr>
                <w:rFonts w:hint="eastAsia" w:cs="Times New Roman"/>
                <w:b w:val="0"/>
                <w:bCs w:val="0"/>
                <w:color w:val="auto"/>
                <w:u w:val="none"/>
                <w:lang w:val="en-US" w:eastAsia="zh-CN"/>
              </w:rPr>
              <w:t>。</w:t>
            </w:r>
          </w:p>
          <w:p w14:paraId="001DC89B">
            <w:pPr>
              <w:keepNext w:val="0"/>
              <w:keepLines w:val="0"/>
              <w:numPr>
                <w:ilvl w:val="0"/>
                <w:numId w:val="0"/>
              </w:numPr>
              <w:suppressLineNumbers w:val="0"/>
              <w:bidi w:val="0"/>
              <w:spacing w:before="0" w:beforeAutospacing="0" w:after="0" w:afterAutospacing="0"/>
              <w:ind w:left="480" w:leftChars="200" w:right="0" w:rightChars="0"/>
              <w:rPr>
                <w:rFonts w:hint="eastAsia"/>
                <w:b/>
                <w:bCs/>
                <w:color w:val="auto"/>
                <w:lang w:val="en-US" w:eastAsia="zh-CN"/>
              </w:rPr>
            </w:pPr>
            <w:r>
              <w:rPr>
                <w:rFonts w:hint="eastAsia"/>
                <w:b/>
                <w:bCs/>
                <w:color w:val="auto"/>
                <w:lang w:val="en-US" w:eastAsia="zh-CN"/>
              </w:rPr>
              <w:t>（4）破碎废水泄露</w:t>
            </w:r>
          </w:p>
          <w:p w14:paraId="425F31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s="Times New Roman"/>
                <w:b w:val="0"/>
                <w:bCs/>
                <w:color w:val="auto"/>
                <w:kern w:val="0"/>
                <w:sz w:val="24"/>
                <w:lang w:val="en-US" w:eastAsia="zh-CN"/>
              </w:rPr>
            </w:pPr>
            <w:r>
              <w:rPr>
                <w:rFonts w:hint="eastAsia"/>
                <w:color w:val="auto"/>
                <w:lang w:val="en-US" w:eastAsia="zh-CN"/>
              </w:rPr>
              <w:t>本项目生产过程中涉及湿法破碎工序。在</w:t>
            </w:r>
            <w:r>
              <w:rPr>
                <w:rFonts w:hint="eastAsia" w:cs="Times New Roman"/>
                <w:b w:val="0"/>
                <w:bCs/>
                <w:color w:val="auto"/>
                <w:kern w:val="0"/>
                <w:sz w:val="24"/>
                <w:lang w:val="en-US" w:eastAsia="zh-CN"/>
              </w:rPr>
              <w:t>生产</w:t>
            </w:r>
            <w:r>
              <w:rPr>
                <w:rFonts w:hint="default" w:ascii="Times New Roman" w:hAnsi="Times New Roman" w:eastAsia="宋体" w:cs="Times New Roman"/>
                <w:b w:val="0"/>
                <w:bCs/>
                <w:color w:val="auto"/>
                <w:kern w:val="0"/>
                <w:sz w:val="24"/>
                <w:lang w:val="en-US" w:eastAsia="zh-CN"/>
              </w:rPr>
              <w:t>过程中</w:t>
            </w:r>
            <w:r>
              <w:rPr>
                <w:rFonts w:hint="eastAsia" w:ascii="Times New Roman" w:hAnsi="Times New Roman" w:eastAsia="宋体" w:cs="Times New Roman"/>
                <w:b w:val="0"/>
                <w:bCs/>
                <w:color w:val="auto"/>
                <w:kern w:val="0"/>
                <w:sz w:val="24"/>
                <w:lang w:val="en-US" w:eastAsia="zh-CN"/>
              </w:rPr>
              <w:t>有可能</w:t>
            </w:r>
            <w:r>
              <w:rPr>
                <w:rFonts w:hint="default" w:ascii="Times New Roman" w:hAnsi="Times New Roman" w:eastAsia="宋体" w:cs="Times New Roman"/>
                <w:b w:val="0"/>
                <w:bCs/>
                <w:color w:val="auto"/>
                <w:kern w:val="0"/>
                <w:sz w:val="24"/>
                <w:lang w:val="en-US" w:eastAsia="zh-CN"/>
              </w:rPr>
              <w:t>由于管理、操作不当而</w:t>
            </w:r>
            <w:r>
              <w:rPr>
                <w:rFonts w:hint="eastAsia" w:cs="Times New Roman"/>
                <w:b w:val="0"/>
                <w:bCs/>
                <w:color w:val="auto"/>
                <w:kern w:val="0"/>
                <w:sz w:val="24"/>
                <w:lang w:val="en-US" w:eastAsia="zh-CN"/>
              </w:rPr>
              <w:t>导致破碎废水泄漏</w:t>
            </w:r>
            <w:r>
              <w:rPr>
                <w:rFonts w:hint="default" w:ascii="Times New Roman" w:hAnsi="Times New Roman" w:eastAsia="宋体" w:cs="Times New Roman"/>
                <w:b w:val="0"/>
                <w:bCs/>
                <w:color w:val="auto"/>
                <w:kern w:val="0"/>
                <w:sz w:val="24"/>
                <w:lang w:val="en-US" w:eastAsia="zh-CN"/>
              </w:rPr>
              <w:t>。</w:t>
            </w:r>
            <w:r>
              <w:rPr>
                <w:rFonts w:hint="eastAsia" w:ascii="Times New Roman" w:hAnsi="Times New Roman" w:eastAsia="宋体" w:cs="Times New Roman"/>
                <w:b w:val="0"/>
                <w:bCs/>
                <w:color w:val="auto"/>
                <w:kern w:val="0"/>
                <w:sz w:val="24"/>
                <w:lang w:val="en-US" w:eastAsia="zh-CN"/>
              </w:rPr>
              <w:t>因此</w:t>
            </w:r>
            <w:r>
              <w:rPr>
                <w:rFonts w:hint="eastAsia" w:cs="Times New Roman"/>
                <w:b w:val="0"/>
                <w:bCs/>
                <w:color w:val="auto"/>
                <w:kern w:val="0"/>
                <w:sz w:val="24"/>
                <w:lang w:val="en-US" w:eastAsia="zh-CN"/>
              </w:rPr>
              <w:t>项目设置可视化破碎废水收集排放管道</w:t>
            </w:r>
            <w:r>
              <w:rPr>
                <w:rFonts w:hint="eastAsia" w:eastAsia="宋体" w:cs="Times New Roman"/>
                <w:b w:val="0"/>
                <w:bCs/>
                <w:color w:val="auto"/>
                <w:kern w:val="0"/>
                <w:sz w:val="24"/>
                <w:lang w:val="en-US" w:eastAsia="zh-CN"/>
              </w:rPr>
              <w:t>。为减少</w:t>
            </w:r>
            <w:r>
              <w:rPr>
                <w:rFonts w:hint="eastAsia" w:cs="Times New Roman"/>
                <w:b w:val="0"/>
                <w:bCs/>
                <w:color w:val="auto"/>
                <w:kern w:val="0"/>
                <w:sz w:val="24"/>
                <w:lang w:val="en-US" w:eastAsia="zh-CN"/>
              </w:rPr>
              <w:t>破碎废水泄漏</w:t>
            </w:r>
            <w:r>
              <w:rPr>
                <w:rFonts w:hint="eastAsia" w:eastAsia="宋体" w:cs="Times New Roman"/>
                <w:b w:val="0"/>
                <w:bCs/>
                <w:color w:val="auto"/>
                <w:kern w:val="0"/>
                <w:sz w:val="24"/>
                <w:lang w:val="en-US" w:eastAsia="zh-CN"/>
              </w:rPr>
              <w:t>对环境的影响，</w:t>
            </w:r>
            <w:r>
              <w:rPr>
                <w:rFonts w:hint="eastAsia" w:cs="Times New Roman"/>
                <w:b w:val="0"/>
                <w:bCs/>
                <w:color w:val="auto"/>
                <w:kern w:val="0"/>
                <w:sz w:val="24"/>
                <w:lang w:val="en-US" w:eastAsia="zh-CN"/>
              </w:rPr>
              <w:t>项目对废水收集管道及絮凝沉淀池进行重点防渗</w:t>
            </w:r>
            <w:r>
              <w:rPr>
                <w:rFonts w:hint="eastAsia" w:ascii="Times New Roman" w:hAnsi="Times New Roman" w:eastAsia="宋体" w:cs="Times New Roman"/>
                <w:b w:val="0"/>
                <w:bCs/>
                <w:color w:val="auto"/>
                <w:kern w:val="0"/>
                <w:sz w:val="24"/>
                <w:lang w:val="en-US" w:eastAsia="zh-CN"/>
              </w:rPr>
              <w:t>，做好</w:t>
            </w:r>
            <w:r>
              <w:rPr>
                <w:rFonts w:hint="eastAsia"/>
                <w:color w:val="auto"/>
              </w:rPr>
              <w:t>防风、防晒、防雨、防漏、防渗、防腐</w:t>
            </w:r>
            <w:r>
              <w:rPr>
                <w:rFonts w:hint="eastAsia" w:cs="Times New Roman"/>
                <w:b w:val="0"/>
                <w:bCs/>
                <w:color w:val="auto"/>
                <w:kern w:val="0"/>
                <w:sz w:val="24"/>
                <w:lang w:val="en-US" w:eastAsia="zh-CN"/>
              </w:rPr>
              <w:t>“五</w:t>
            </w:r>
            <w:r>
              <w:rPr>
                <w:rFonts w:hint="eastAsia" w:ascii="Times New Roman" w:hAnsi="Times New Roman" w:eastAsia="宋体" w:cs="Times New Roman"/>
                <w:b w:val="0"/>
                <w:bCs/>
                <w:color w:val="auto"/>
                <w:kern w:val="0"/>
                <w:sz w:val="24"/>
                <w:lang w:val="en-US" w:eastAsia="zh-CN"/>
              </w:rPr>
              <w:t>防</w:t>
            </w:r>
            <w:r>
              <w:rPr>
                <w:rFonts w:hint="eastAsia" w:cs="Times New Roman"/>
                <w:b w:val="0"/>
                <w:bCs/>
                <w:color w:val="auto"/>
                <w:kern w:val="0"/>
                <w:sz w:val="24"/>
                <w:lang w:val="en-US" w:eastAsia="zh-CN"/>
              </w:rPr>
              <w:t>”</w:t>
            </w:r>
            <w:r>
              <w:rPr>
                <w:rFonts w:hint="eastAsia" w:ascii="Times New Roman" w:hAnsi="Times New Roman" w:eastAsia="宋体" w:cs="Times New Roman"/>
                <w:b w:val="0"/>
                <w:bCs/>
                <w:color w:val="auto"/>
                <w:kern w:val="0"/>
                <w:sz w:val="24"/>
                <w:lang w:val="en-US" w:eastAsia="zh-CN"/>
              </w:rPr>
              <w:t>措施；生产过程中做到规范操作，避免发生</w:t>
            </w:r>
            <w:r>
              <w:rPr>
                <w:rFonts w:hint="eastAsia" w:cs="Times New Roman"/>
                <w:b w:val="0"/>
                <w:bCs/>
                <w:color w:val="auto"/>
                <w:kern w:val="0"/>
                <w:sz w:val="24"/>
                <w:lang w:val="en-US" w:eastAsia="zh-CN"/>
              </w:rPr>
              <w:t>泄漏</w:t>
            </w:r>
            <w:r>
              <w:rPr>
                <w:rFonts w:hint="eastAsia" w:ascii="Times New Roman" w:hAnsi="Times New Roman" w:eastAsia="宋体" w:cs="Times New Roman"/>
                <w:b w:val="0"/>
                <w:bCs/>
                <w:color w:val="auto"/>
                <w:kern w:val="0"/>
                <w:sz w:val="24"/>
                <w:lang w:val="en-US" w:eastAsia="zh-CN"/>
              </w:rPr>
              <w:t>。</w:t>
            </w:r>
            <w:r>
              <w:rPr>
                <w:rFonts w:hint="eastAsia" w:eastAsia="宋体" w:cs="Times New Roman"/>
                <w:b w:val="0"/>
                <w:bCs/>
                <w:color w:val="auto"/>
                <w:kern w:val="0"/>
                <w:sz w:val="24"/>
                <w:lang w:val="en-US" w:eastAsia="zh-CN"/>
              </w:rPr>
              <w:t>定期对</w:t>
            </w:r>
            <w:r>
              <w:rPr>
                <w:rFonts w:hint="eastAsia" w:cs="Times New Roman"/>
                <w:b w:val="0"/>
                <w:bCs/>
                <w:color w:val="auto"/>
                <w:kern w:val="0"/>
                <w:sz w:val="24"/>
                <w:lang w:val="en-US" w:eastAsia="zh-CN"/>
              </w:rPr>
              <w:t>其</w:t>
            </w:r>
            <w:r>
              <w:rPr>
                <w:rFonts w:hint="eastAsia" w:eastAsia="宋体" w:cs="Times New Roman"/>
                <w:b w:val="0"/>
                <w:bCs/>
                <w:color w:val="auto"/>
                <w:kern w:val="0"/>
                <w:sz w:val="24"/>
                <w:lang w:val="en-US" w:eastAsia="zh-CN"/>
              </w:rPr>
              <w:t>进行检查，发现</w:t>
            </w:r>
            <w:r>
              <w:rPr>
                <w:rFonts w:hint="eastAsia" w:cs="Times New Roman"/>
                <w:b w:val="0"/>
                <w:bCs/>
                <w:color w:val="auto"/>
                <w:kern w:val="0"/>
                <w:sz w:val="24"/>
                <w:lang w:val="en-US" w:eastAsia="zh-CN"/>
              </w:rPr>
              <w:t>泄漏</w:t>
            </w:r>
            <w:r>
              <w:rPr>
                <w:rFonts w:hint="eastAsia" w:eastAsia="宋体" w:cs="Times New Roman"/>
                <w:b w:val="0"/>
                <w:bCs/>
                <w:color w:val="auto"/>
                <w:kern w:val="0"/>
                <w:sz w:val="24"/>
                <w:lang w:val="en-US" w:eastAsia="zh-CN"/>
              </w:rPr>
              <w:t>及时处理。</w:t>
            </w:r>
          </w:p>
          <w:p w14:paraId="11A6EC49">
            <w:pPr>
              <w:keepNext w:val="0"/>
              <w:keepLines w:val="0"/>
              <w:suppressLineNumbers w:val="0"/>
              <w:bidi w:val="0"/>
              <w:spacing w:before="0" w:beforeAutospacing="0" w:after="0" w:afterAutospacing="0"/>
              <w:ind w:left="0" w:right="0"/>
              <w:rPr>
                <w:rFonts w:hint="default"/>
                <w:b/>
                <w:bCs/>
                <w:color w:val="auto"/>
              </w:rPr>
            </w:pPr>
            <w:r>
              <w:rPr>
                <w:rFonts w:hint="eastAsia"/>
                <w:b/>
                <w:bCs/>
                <w:color w:val="auto"/>
                <w:lang w:eastAsia="zh-CN"/>
              </w:rPr>
              <w:t>（</w:t>
            </w:r>
            <w:r>
              <w:rPr>
                <w:rFonts w:hint="eastAsia"/>
                <w:b/>
                <w:bCs/>
                <w:color w:val="auto"/>
                <w:lang w:val="en-US" w:eastAsia="zh-CN"/>
              </w:rPr>
              <w:t>5</w:t>
            </w:r>
            <w:r>
              <w:rPr>
                <w:rFonts w:hint="eastAsia"/>
                <w:b/>
                <w:bCs/>
                <w:color w:val="auto"/>
                <w:lang w:eastAsia="zh-CN"/>
              </w:rPr>
              <w:t>）</w:t>
            </w:r>
            <w:r>
              <w:rPr>
                <w:rFonts w:hint="default"/>
                <w:b/>
                <w:bCs/>
                <w:color w:val="auto"/>
              </w:rPr>
              <w:t>风险事故应急预案</w:t>
            </w:r>
          </w:p>
          <w:p w14:paraId="74085258">
            <w:pPr>
              <w:keepNext w:val="0"/>
              <w:keepLines w:val="0"/>
              <w:suppressLineNumbers w:val="0"/>
              <w:bidi w:val="0"/>
              <w:spacing w:before="0" w:beforeAutospacing="0" w:after="0" w:afterAutospacing="0"/>
              <w:ind w:left="0" w:right="0"/>
              <w:rPr>
                <w:rFonts w:hint="eastAsia"/>
                <w:color w:val="auto"/>
                <w:lang w:eastAsia="zh-CN"/>
              </w:rPr>
            </w:pPr>
            <w:r>
              <w:rPr>
                <w:rFonts w:hint="default"/>
                <w:color w:val="auto"/>
              </w:rPr>
              <w:t>制定风险事故应急预案的</w:t>
            </w:r>
            <w:r>
              <w:rPr>
                <w:rFonts w:hint="eastAsia"/>
                <w:color w:val="auto"/>
                <w:lang w:eastAsia="zh-CN"/>
              </w:rPr>
              <w:t>目的是</w:t>
            </w:r>
            <w:r>
              <w:rPr>
                <w:rFonts w:hint="default"/>
                <w:color w:val="auto"/>
              </w:rPr>
              <w:t>在发生风险事故时，能以最快的速度发挥最大效能，有序的实施救援，尽快控制事态的发展，降低事故造成的危害，减少事故造成的损失。根据HJ/T169-2004《建设项目环境风险评价技术导则》（HJ169-2018），本项目投入运行前按规定需编制应急预案。应急预案应涵盖下表的内容和要求</w:t>
            </w:r>
            <w:r>
              <w:rPr>
                <w:rFonts w:hint="eastAsia"/>
                <w:color w:val="auto"/>
                <w:lang w:eastAsia="zh-CN"/>
              </w:rPr>
              <w:t>。</w:t>
            </w:r>
          </w:p>
          <w:p w14:paraId="2EB0400F">
            <w:pPr>
              <w:pStyle w:val="43"/>
              <w:keepNext w:val="0"/>
              <w:keepLines w:val="0"/>
              <w:suppressLineNumbers w:val="0"/>
              <w:bidi w:val="0"/>
              <w:spacing w:before="0" w:beforeAutospacing="0" w:after="0" w:afterAutospacing="0"/>
              <w:ind w:left="0" w:right="0"/>
              <w:rPr>
                <w:rFonts w:hint="eastAsia"/>
                <w:color w:val="auto"/>
                <w:lang w:eastAsia="zh-CN"/>
              </w:rPr>
            </w:pPr>
            <w:r>
              <w:rPr>
                <w:rFonts w:hint="default"/>
                <w:color w:val="auto"/>
              </w:rPr>
              <w:t>表</w:t>
            </w:r>
            <w:r>
              <w:rPr>
                <w:rFonts w:hint="eastAsia"/>
                <w:color w:val="auto"/>
              </w:rPr>
              <w:t>4</w:t>
            </w:r>
            <w:r>
              <w:rPr>
                <w:rFonts w:hint="default"/>
                <w:color w:val="auto"/>
              </w:rPr>
              <w:t>-</w:t>
            </w:r>
            <w:r>
              <w:rPr>
                <w:rFonts w:hint="eastAsia"/>
                <w:color w:val="auto"/>
                <w:lang w:val="en-US" w:eastAsia="zh-CN"/>
              </w:rPr>
              <w:t>26</w:t>
            </w:r>
            <w:r>
              <w:rPr>
                <w:rFonts w:hint="eastAsia"/>
                <w:color w:val="auto"/>
                <w:lang w:eastAsia="zh-CN"/>
              </w:rPr>
              <w:t xml:space="preserve">  </w:t>
            </w:r>
            <w:r>
              <w:rPr>
                <w:rFonts w:hint="default" w:ascii="Times New Roman" w:hAnsi="Times New Roman" w:eastAsia="宋体" w:cs="Times New Roman"/>
                <w:color w:val="auto"/>
              </w:rPr>
              <w:t>项目环境风险应急预案内容及要求</w:t>
            </w:r>
          </w:p>
          <w:tbl>
            <w:tblPr>
              <w:tblStyle w:val="38"/>
              <w:tblW w:w="78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82"/>
              <w:gridCol w:w="2376"/>
              <w:gridCol w:w="4721"/>
            </w:tblGrid>
            <w:tr w14:paraId="28066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2" w:hRule="atLeast"/>
                <w:jc w:val="center"/>
              </w:trPr>
              <w:tc>
                <w:tcPr>
                  <w:tcW w:w="782" w:type="dxa"/>
                  <w:vAlign w:val="center"/>
                </w:tcPr>
                <w:p w14:paraId="07258F20">
                  <w:pPr>
                    <w:pStyle w:val="46"/>
                    <w:bidi w:val="0"/>
                    <w:jc w:val="center"/>
                    <w:rPr>
                      <w:b/>
                      <w:bCs/>
                      <w:color w:val="auto"/>
                    </w:rPr>
                  </w:pPr>
                  <w:r>
                    <w:rPr>
                      <w:b/>
                      <w:bCs/>
                      <w:color w:val="auto"/>
                    </w:rPr>
                    <w:t>序号</w:t>
                  </w:r>
                </w:p>
              </w:tc>
              <w:tc>
                <w:tcPr>
                  <w:tcW w:w="2376" w:type="dxa"/>
                  <w:vAlign w:val="center"/>
                </w:tcPr>
                <w:p w14:paraId="49FF4409">
                  <w:pPr>
                    <w:pStyle w:val="46"/>
                    <w:bidi w:val="0"/>
                    <w:jc w:val="center"/>
                    <w:rPr>
                      <w:b/>
                      <w:bCs/>
                      <w:color w:val="auto"/>
                    </w:rPr>
                  </w:pPr>
                  <w:r>
                    <w:rPr>
                      <w:b/>
                      <w:bCs/>
                      <w:color w:val="auto"/>
                    </w:rPr>
                    <w:t>项目</w:t>
                  </w:r>
                </w:p>
              </w:tc>
              <w:tc>
                <w:tcPr>
                  <w:tcW w:w="4721" w:type="dxa"/>
                  <w:vAlign w:val="center"/>
                </w:tcPr>
                <w:p w14:paraId="08958DAB">
                  <w:pPr>
                    <w:pStyle w:val="46"/>
                    <w:bidi w:val="0"/>
                    <w:jc w:val="center"/>
                    <w:rPr>
                      <w:b/>
                      <w:bCs/>
                      <w:color w:val="auto"/>
                    </w:rPr>
                  </w:pPr>
                  <w:r>
                    <w:rPr>
                      <w:b/>
                      <w:bCs/>
                      <w:color w:val="auto"/>
                    </w:rPr>
                    <w:t>内容及要求</w:t>
                  </w:r>
                </w:p>
              </w:tc>
            </w:tr>
            <w:tr w14:paraId="3869A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3" w:hRule="atLeast"/>
                <w:jc w:val="center"/>
              </w:trPr>
              <w:tc>
                <w:tcPr>
                  <w:tcW w:w="782" w:type="dxa"/>
                  <w:vAlign w:val="center"/>
                </w:tcPr>
                <w:p w14:paraId="3A09C760">
                  <w:pPr>
                    <w:pStyle w:val="46"/>
                    <w:bidi w:val="0"/>
                    <w:jc w:val="center"/>
                    <w:rPr>
                      <w:color w:val="auto"/>
                    </w:rPr>
                  </w:pPr>
                  <w:r>
                    <w:rPr>
                      <w:color w:val="auto"/>
                    </w:rPr>
                    <w:t>1</w:t>
                  </w:r>
                </w:p>
              </w:tc>
              <w:tc>
                <w:tcPr>
                  <w:tcW w:w="2376" w:type="dxa"/>
                  <w:vAlign w:val="center"/>
                </w:tcPr>
                <w:p w14:paraId="67FD28FD">
                  <w:pPr>
                    <w:pStyle w:val="46"/>
                    <w:bidi w:val="0"/>
                    <w:jc w:val="center"/>
                    <w:rPr>
                      <w:color w:val="auto"/>
                    </w:rPr>
                  </w:pPr>
                  <w:r>
                    <w:rPr>
                      <w:color w:val="auto"/>
                    </w:rPr>
                    <w:t>应急计划区</w:t>
                  </w:r>
                </w:p>
              </w:tc>
              <w:tc>
                <w:tcPr>
                  <w:tcW w:w="4721" w:type="dxa"/>
                  <w:vAlign w:val="center"/>
                </w:tcPr>
                <w:p w14:paraId="6D9F21C1">
                  <w:pPr>
                    <w:pStyle w:val="46"/>
                    <w:bidi w:val="0"/>
                    <w:jc w:val="center"/>
                    <w:rPr>
                      <w:rFonts w:hint="default" w:eastAsia="宋体"/>
                      <w:color w:val="auto"/>
                      <w:lang w:val="en-US" w:eastAsia="zh-CN"/>
                    </w:rPr>
                  </w:pPr>
                  <w:r>
                    <w:rPr>
                      <w:color w:val="auto"/>
                    </w:rPr>
                    <w:t>危险目标：</w:t>
                  </w:r>
                  <w:r>
                    <w:rPr>
                      <w:rFonts w:hint="eastAsia"/>
                      <w:color w:val="auto"/>
                      <w:lang w:val="en-US" w:eastAsia="zh-CN"/>
                    </w:rPr>
                    <w:t>拆解车间、暂存车间</w:t>
                  </w:r>
                </w:p>
              </w:tc>
            </w:tr>
            <w:tr w14:paraId="0E3D8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7" w:hRule="atLeast"/>
                <w:jc w:val="center"/>
              </w:trPr>
              <w:tc>
                <w:tcPr>
                  <w:tcW w:w="782" w:type="dxa"/>
                  <w:vAlign w:val="center"/>
                </w:tcPr>
                <w:p w14:paraId="1316D2B7">
                  <w:pPr>
                    <w:pStyle w:val="46"/>
                    <w:bidi w:val="0"/>
                    <w:jc w:val="center"/>
                    <w:rPr>
                      <w:color w:val="auto"/>
                    </w:rPr>
                  </w:pPr>
                  <w:r>
                    <w:rPr>
                      <w:color w:val="auto"/>
                    </w:rPr>
                    <w:t>2</w:t>
                  </w:r>
                </w:p>
              </w:tc>
              <w:tc>
                <w:tcPr>
                  <w:tcW w:w="2376" w:type="dxa"/>
                  <w:vAlign w:val="center"/>
                </w:tcPr>
                <w:p w14:paraId="31D0711F">
                  <w:pPr>
                    <w:pStyle w:val="46"/>
                    <w:bidi w:val="0"/>
                    <w:jc w:val="center"/>
                    <w:rPr>
                      <w:color w:val="auto"/>
                    </w:rPr>
                  </w:pPr>
                  <w:r>
                    <w:rPr>
                      <w:color w:val="auto"/>
                    </w:rPr>
                    <w:t>应急组织机构、人员</w:t>
                  </w:r>
                </w:p>
              </w:tc>
              <w:tc>
                <w:tcPr>
                  <w:tcW w:w="4721" w:type="dxa"/>
                  <w:vAlign w:val="center"/>
                </w:tcPr>
                <w:p w14:paraId="5CD60BED">
                  <w:pPr>
                    <w:pStyle w:val="46"/>
                    <w:bidi w:val="0"/>
                    <w:jc w:val="center"/>
                    <w:rPr>
                      <w:color w:val="auto"/>
                    </w:rPr>
                  </w:pPr>
                  <w:r>
                    <w:rPr>
                      <w:color w:val="auto"/>
                    </w:rPr>
                    <w:t>工厂、</w:t>
                  </w:r>
                  <w:r>
                    <w:rPr>
                      <w:rFonts w:hint="eastAsia"/>
                      <w:color w:val="auto"/>
                      <w:lang w:eastAsia="zh-CN"/>
                    </w:rPr>
                    <w:t>场区应急</w:t>
                  </w:r>
                  <w:r>
                    <w:rPr>
                      <w:color w:val="auto"/>
                    </w:rPr>
                    <w:t>组织机构、人员</w:t>
                  </w:r>
                </w:p>
              </w:tc>
            </w:tr>
            <w:tr w14:paraId="4B9042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7" w:hRule="atLeast"/>
                <w:jc w:val="center"/>
              </w:trPr>
              <w:tc>
                <w:tcPr>
                  <w:tcW w:w="782" w:type="dxa"/>
                  <w:vAlign w:val="center"/>
                </w:tcPr>
                <w:p w14:paraId="72F7993E">
                  <w:pPr>
                    <w:pStyle w:val="46"/>
                    <w:bidi w:val="0"/>
                    <w:jc w:val="center"/>
                    <w:rPr>
                      <w:color w:val="auto"/>
                    </w:rPr>
                  </w:pPr>
                  <w:r>
                    <w:rPr>
                      <w:color w:val="auto"/>
                    </w:rPr>
                    <w:t>3</w:t>
                  </w:r>
                </w:p>
              </w:tc>
              <w:tc>
                <w:tcPr>
                  <w:tcW w:w="2376" w:type="dxa"/>
                  <w:vAlign w:val="center"/>
                </w:tcPr>
                <w:p w14:paraId="587383F3">
                  <w:pPr>
                    <w:pStyle w:val="46"/>
                    <w:bidi w:val="0"/>
                    <w:jc w:val="center"/>
                    <w:rPr>
                      <w:color w:val="auto"/>
                    </w:rPr>
                  </w:pPr>
                  <w:r>
                    <w:rPr>
                      <w:color w:val="auto"/>
                    </w:rPr>
                    <w:t>预案分级响应条件</w:t>
                  </w:r>
                </w:p>
              </w:tc>
              <w:tc>
                <w:tcPr>
                  <w:tcW w:w="4721" w:type="dxa"/>
                  <w:vAlign w:val="center"/>
                </w:tcPr>
                <w:p w14:paraId="78916463">
                  <w:pPr>
                    <w:pStyle w:val="46"/>
                    <w:bidi w:val="0"/>
                    <w:jc w:val="center"/>
                    <w:rPr>
                      <w:color w:val="auto"/>
                    </w:rPr>
                  </w:pPr>
                  <w:r>
                    <w:rPr>
                      <w:color w:val="auto"/>
                    </w:rPr>
                    <w:t>规定预案级别及分级响应程序</w:t>
                  </w:r>
                </w:p>
              </w:tc>
            </w:tr>
            <w:tr w14:paraId="01920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7" w:hRule="atLeast"/>
                <w:jc w:val="center"/>
              </w:trPr>
              <w:tc>
                <w:tcPr>
                  <w:tcW w:w="782" w:type="dxa"/>
                  <w:vAlign w:val="center"/>
                </w:tcPr>
                <w:p w14:paraId="337A4E38">
                  <w:pPr>
                    <w:pStyle w:val="46"/>
                    <w:bidi w:val="0"/>
                    <w:jc w:val="center"/>
                    <w:rPr>
                      <w:color w:val="auto"/>
                    </w:rPr>
                  </w:pPr>
                  <w:r>
                    <w:rPr>
                      <w:color w:val="auto"/>
                    </w:rPr>
                    <w:t>4</w:t>
                  </w:r>
                </w:p>
              </w:tc>
              <w:tc>
                <w:tcPr>
                  <w:tcW w:w="2376" w:type="dxa"/>
                  <w:vAlign w:val="center"/>
                </w:tcPr>
                <w:p w14:paraId="61B4F2B3">
                  <w:pPr>
                    <w:pStyle w:val="46"/>
                    <w:bidi w:val="0"/>
                    <w:jc w:val="center"/>
                    <w:rPr>
                      <w:color w:val="auto"/>
                    </w:rPr>
                  </w:pPr>
                  <w:r>
                    <w:rPr>
                      <w:color w:val="auto"/>
                    </w:rPr>
                    <w:t>应急救援保障</w:t>
                  </w:r>
                </w:p>
              </w:tc>
              <w:tc>
                <w:tcPr>
                  <w:tcW w:w="4721" w:type="dxa"/>
                  <w:vAlign w:val="center"/>
                </w:tcPr>
                <w:p w14:paraId="24B5B0E1">
                  <w:pPr>
                    <w:pStyle w:val="46"/>
                    <w:bidi w:val="0"/>
                    <w:jc w:val="center"/>
                    <w:rPr>
                      <w:color w:val="auto"/>
                    </w:rPr>
                  </w:pPr>
                  <w:r>
                    <w:rPr>
                      <w:color w:val="auto"/>
                    </w:rPr>
                    <w:t>应急设施，设备与器材等</w:t>
                  </w:r>
                </w:p>
              </w:tc>
            </w:tr>
            <w:tr w14:paraId="2A09D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3" w:hRule="atLeast"/>
                <w:jc w:val="center"/>
              </w:trPr>
              <w:tc>
                <w:tcPr>
                  <w:tcW w:w="782" w:type="dxa"/>
                  <w:vAlign w:val="center"/>
                </w:tcPr>
                <w:p w14:paraId="3D8EAE01">
                  <w:pPr>
                    <w:pStyle w:val="46"/>
                    <w:bidi w:val="0"/>
                    <w:jc w:val="center"/>
                    <w:rPr>
                      <w:color w:val="auto"/>
                    </w:rPr>
                  </w:pPr>
                  <w:r>
                    <w:rPr>
                      <w:color w:val="auto"/>
                    </w:rPr>
                    <w:t>5</w:t>
                  </w:r>
                </w:p>
              </w:tc>
              <w:tc>
                <w:tcPr>
                  <w:tcW w:w="2376" w:type="dxa"/>
                  <w:vAlign w:val="center"/>
                </w:tcPr>
                <w:p w14:paraId="495D7B22">
                  <w:pPr>
                    <w:pStyle w:val="46"/>
                    <w:bidi w:val="0"/>
                    <w:jc w:val="center"/>
                    <w:rPr>
                      <w:color w:val="auto"/>
                    </w:rPr>
                  </w:pPr>
                  <w:r>
                    <w:rPr>
                      <w:color w:val="auto"/>
                    </w:rPr>
                    <w:t>报警、通讯联络方式</w:t>
                  </w:r>
                </w:p>
              </w:tc>
              <w:tc>
                <w:tcPr>
                  <w:tcW w:w="4721" w:type="dxa"/>
                  <w:vAlign w:val="center"/>
                </w:tcPr>
                <w:p w14:paraId="55F14ED1">
                  <w:pPr>
                    <w:pStyle w:val="46"/>
                    <w:bidi w:val="0"/>
                    <w:jc w:val="center"/>
                    <w:rPr>
                      <w:color w:val="auto"/>
                    </w:rPr>
                  </w:pPr>
                  <w:r>
                    <w:rPr>
                      <w:color w:val="auto"/>
                    </w:rPr>
                    <w:t>规定应急状态下的</w:t>
                  </w:r>
                  <w:r>
                    <w:rPr>
                      <w:rFonts w:hint="eastAsia"/>
                      <w:color w:val="auto"/>
                      <w:lang w:eastAsia="zh-CN"/>
                    </w:rPr>
                    <w:t>报警通信</w:t>
                  </w:r>
                  <w:r>
                    <w:rPr>
                      <w:color w:val="auto"/>
                    </w:rPr>
                    <w:t>方式、通知方式和交通保障、管制等相关内容</w:t>
                  </w:r>
                </w:p>
              </w:tc>
            </w:tr>
            <w:tr w14:paraId="262E1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26" w:hRule="atLeast"/>
                <w:jc w:val="center"/>
              </w:trPr>
              <w:tc>
                <w:tcPr>
                  <w:tcW w:w="782" w:type="dxa"/>
                  <w:vAlign w:val="center"/>
                </w:tcPr>
                <w:p w14:paraId="3AFD6B1D">
                  <w:pPr>
                    <w:pStyle w:val="46"/>
                    <w:bidi w:val="0"/>
                    <w:jc w:val="center"/>
                    <w:rPr>
                      <w:color w:val="auto"/>
                    </w:rPr>
                  </w:pPr>
                  <w:r>
                    <w:rPr>
                      <w:color w:val="auto"/>
                    </w:rPr>
                    <w:t>6</w:t>
                  </w:r>
                </w:p>
              </w:tc>
              <w:tc>
                <w:tcPr>
                  <w:tcW w:w="2376" w:type="dxa"/>
                  <w:vAlign w:val="center"/>
                </w:tcPr>
                <w:p w14:paraId="37C437DD">
                  <w:pPr>
                    <w:pStyle w:val="46"/>
                    <w:bidi w:val="0"/>
                    <w:jc w:val="center"/>
                    <w:rPr>
                      <w:color w:val="auto"/>
                    </w:rPr>
                  </w:pPr>
                  <w:r>
                    <w:rPr>
                      <w:color w:val="auto"/>
                    </w:rPr>
                    <w:t>应急环境监测、抢险、救援及控制措施</w:t>
                  </w:r>
                </w:p>
              </w:tc>
              <w:tc>
                <w:tcPr>
                  <w:tcW w:w="4721" w:type="dxa"/>
                  <w:vAlign w:val="center"/>
                </w:tcPr>
                <w:p w14:paraId="120E23A0">
                  <w:pPr>
                    <w:pStyle w:val="46"/>
                    <w:bidi w:val="0"/>
                    <w:jc w:val="center"/>
                    <w:rPr>
                      <w:color w:val="auto"/>
                    </w:rPr>
                  </w:pPr>
                  <w:r>
                    <w:rPr>
                      <w:color w:val="auto"/>
                    </w:rPr>
                    <w:t>由专业队伍负责对事故现场进行监测，对事故性质、参数与后果进行评估，为指挥部门提供决策依据</w:t>
                  </w:r>
                </w:p>
              </w:tc>
            </w:tr>
            <w:tr w14:paraId="285226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3" w:hRule="atLeast"/>
                <w:jc w:val="center"/>
              </w:trPr>
              <w:tc>
                <w:tcPr>
                  <w:tcW w:w="782" w:type="dxa"/>
                  <w:vAlign w:val="center"/>
                </w:tcPr>
                <w:p w14:paraId="4EAB53C3">
                  <w:pPr>
                    <w:pStyle w:val="46"/>
                    <w:bidi w:val="0"/>
                    <w:jc w:val="center"/>
                    <w:rPr>
                      <w:color w:val="auto"/>
                    </w:rPr>
                  </w:pPr>
                  <w:r>
                    <w:rPr>
                      <w:color w:val="auto"/>
                    </w:rPr>
                    <w:t>7</w:t>
                  </w:r>
                </w:p>
              </w:tc>
              <w:tc>
                <w:tcPr>
                  <w:tcW w:w="2376" w:type="dxa"/>
                  <w:vAlign w:val="center"/>
                </w:tcPr>
                <w:p w14:paraId="1E1CB9AF">
                  <w:pPr>
                    <w:pStyle w:val="46"/>
                    <w:bidi w:val="0"/>
                    <w:jc w:val="center"/>
                    <w:rPr>
                      <w:color w:val="auto"/>
                    </w:rPr>
                  </w:pPr>
                  <w:r>
                    <w:rPr>
                      <w:color w:val="auto"/>
                    </w:rPr>
                    <w:t>应急检测、防护措施、清除泄漏措施和器材</w:t>
                  </w:r>
                </w:p>
              </w:tc>
              <w:tc>
                <w:tcPr>
                  <w:tcW w:w="4721" w:type="dxa"/>
                  <w:vAlign w:val="center"/>
                </w:tcPr>
                <w:p w14:paraId="5E77B503">
                  <w:pPr>
                    <w:pStyle w:val="46"/>
                    <w:bidi w:val="0"/>
                    <w:jc w:val="center"/>
                    <w:rPr>
                      <w:color w:val="auto"/>
                    </w:rPr>
                  </w:pPr>
                  <w:r>
                    <w:rPr>
                      <w:color w:val="auto"/>
                    </w:rPr>
                    <w:t>防火区域控制：事故现场邻近区域清除污染措施：事故现场邻近区域清除污染设备及配置</w:t>
                  </w:r>
                </w:p>
              </w:tc>
            </w:tr>
            <w:tr w14:paraId="1A2C7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26" w:hRule="atLeast"/>
                <w:jc w:val="center"/>
              </w:trPr>
              <w:tc>
                <w:tcPr>
                  <w:tcW w:w="782" w:type="dxa"/>
                  <w:vAlign w:val="center"/>
                </w:tcPr>
                <w:p w14:paraId="1D39EC46">
                  <w:pPr>
                    <w:pStyle w:val="46"/>
                    <w:bidi w:val="0"/>
                    <w:ind w:left="0" w:leftChars="0" w:firstLine="0" w:firstLineChars="0"/>
                    <w:jc w:val="center"/>
                    <w:rPr>
                      <w:color w:val="auto"/>
                    </w:rPr>
                  </w:pPr>
                  <w:r>
                    <w:rPr>
                      <w:color w:val="auto"/>
                    </w:rPr>
                    <w:t>8</w:t>
                  </w:r>
                </w:p>
              </w:tc>
              <w:tc>
                <w:tcPr>
                  <w:tcW w:w="2376" w:type="dxa"/>
                  <w:vAlign w:val="center"/>
                </w:tcPr>
                <w:p w14:paraId="5C2CA292">
                  <w:pPr>
                    <w:pStyle w:val="46"/>
                    <w:bidi w:val="0"/>
                    <w:jc w:val="center"/>
                    <w:rPr>
                      <w:color w:val="auto"/>
                    </w:rPr>
                  </w:pPr>
                  <w:r>
                    <w:rPr>
                      <w:color w:val="auto"/>
                    </w:rPr>
                    <w:t>人员紧急撤离、疏散，应急剂量控制、撤离组织计划</w:t>
                  </w:r>
                </w:p>
              </w:tc>
              <w:tc>
                <w:tcPr>
                  <w:tcW w:w="4721" w:type="dxa"/>
                  <w:vAlign w:val="center"/>
                </w:tcPr>
                <w:p w14:paraId="0BA424DC">
                  <w:pPr>
                    <w:pStyle w:val="46"/>
                    <w:bidi w:val="0"/>
                    <w:jc w:val="center"/>
                    <w:rPr>
                      <w:color w:val="auto"/>
                    </w:rPr>
                  </w:pPr>
                  <w:r>
                    <w:rPr>
                      <w:color w:val="auto"/>
                    </w:rPr>
                    <w:t>毒物应急剂量控制规定：事故现场工厂、邻近区撤离组织计划医疗救护公众健康</w:t>
                  </w:r>
                </w:p>
              </w:tc>
            </w:tr>
            <w:tr w14:paraId="36E81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3" w:hRule="atLeast"/>
                <w:jc w:val="center"/>
              </w:trPr>
              <w:tc>
                <w:tcPr>
                  <w:tcW w:w="782" w:type="dxa"/>
                  <w:vAlign w:val="center"/>
                </w:tcPr>
                <w:p w14:paraId="54732882">
                  <w:pPr>
                    <w:pStyle w:val="46"/>
                    <w:bidi w:val="0"/>
                    <w:jc w:val="center"/>
                    <w:rPr>
                      <w:color w:val="auto"/>
                    </w:rPr>
                  </w:pPr>
                  <w:r>
                    <w:rPr>
                      <w:color w:val="auto"/>
                    </w:rPr>
                    <w:t>9</w:t>
                  </w:r>
                </w:p>
              </w:tc>
              <w:tc>
                <w:tcPr>
                  <w:tcW w:w="2376" w:type="dxa"/>
                  <w:vAlign w:val="center"/>
                </w:tcPr>
                <w:p w14:paraId="6738229A">
                  <w:pPr>
                    <w:pStyle w:val="46"/>
                    <w:bidi w:val="0"/>
                    <w:jc w:val="center"/>
                    <w:rPr>
                      <w:color w:val="auto"/>
                    </w:rPr>
                  </w:pPr>
                  <w:r>
                    <w:rPr>
                      <w:color w:val="auto"/>
                    </w:rPr>
                    <w:t>事故应急救援关闭程序与恢复措施</w:t>
                  </w:r>
                </w:p>
              </w:tc>
              <w:tc>
                <w:tcPr>
                  <w:tcW w:w="4721" w:type="dxa"/>
                  <w:vAlign w:val="center"/>
                </w:tcPr>
                <w:p w14:paraId="53498858">
                  <w:pPr>
                    <w:pStyle w:val="46"/>
                    <w:bidi w:val="0"/>
                    <w:jc w:val="center"/>
                    <w:rPr>
                      <w:color w:val="auto"/>
                    </w:rPr>
                  </w:pPr>
                  <w:r>
                    <w:rPr>
                      <w:color w:val="auto"/>
                    </w:rPr>
                    <w:t>规定应急状态终止程序事故现场善后处理，恢复措施基地、邻近区域解除事故警戒及善后恢复措施</w:t>
                  </w:r>
                </w:p>
              </w:tc>
            </w:tr>
            <w:tr w14:paraId="1C9E8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7" w:hRule="atLeast"/>
                <w:jc w:val="center"/>
              </w:trPr>
              <w:tc>
                <w:tcPr>
                  <w:tcW w:w="782" w:type="dxa"/>
                  <w:vAlign w:val="center"/>
                </w:tcPr>
                <w:p w14:paraId="0566AEA9">
                  <w:pPr>
                    <w:pStyle w:val="46"/>
                    <w:bidi w:val="0"/>
                    <w:jc w:val="center"/>
                    <w:rPr>
                      <w:color w:val="auto"/>
                    </w:rPr>
                  </w:pPr>
                  <w:r>
                    <w:rPr>
                      <w:color w:val="auto"/>
                    </w:rPr>
                    <w:t>10</w:t>
                  </w:r>
                </w:p>
              </w:tc>
              <w:tc>
                <w:tcPr>
                  <w:tcW w:w="2376" w:type="dxa"/>
                  <w:vAlign w:val="center"/>
                </w:tcPr>
                <w:p w14:paraId="7781B6C0">
                  <w:pPr>
                    <w:pStyle w:val="46"/>
                    <w:bidi w:val="0"/>
                    <w:jc w:val="center"/>
                    <w:rPr>
                      <w:color w:val="auto"/>
                    </w:rPr>
                  </w:pPr>
                  <w:r>
                    <w:rPr>
                      <w:color w:val="auto"/>
                    </w:rPr>
                    <w:t>应急培训计划</w:t>
                  </w:r>
                </w:p>
              </w:tc>
              <w:tc>
                <w:tcPr>
                  <w:tcW w:w="4721" w:type="dxa"/>
                  <w:vAlign w:val="center"/>
                </w:tcPr>
                <w:p w14:paraId="10B5E1DA">
                  <w:pPr>
                    <w:pStyle w:val="46"/>
                    <w:bidi w:val="0"/>
                    <w:jc w:val="center"/>
                    <w:rPr>
                      <w:color w:val="auto"/>
                    </w:rPr>
                  </w:pPr>
                  <w:r>
                    <w:rPr>
                      <w:color w:val="auto"/>
                    </w:rPr>
                    <w:t>人员培训应急预案演练</w:t>
                  </w:r>
                </w:p>
              </w:tc>
            </w:tr>
            <w:tr w14:paraId="52AE8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2" w:hRule="atLeast"/>
                <w:jc w:val="center"/>
              </w:trPr>
              <w:tc>
                <w:tcPr>
                  <w:tcW w:w="782" w:type="dxa"/>
                  <w:vAlign w:val="center"/>
                </w:tcPr>
                <w:p w14:paraId="63568EEB">
                  <w:pPr>
                    <w:pStyle w:val="46"/>
                    <w:bidi w:val="0"/>
                    <w:jc w:val="center"/>
                    <w:rPr>
                      <w:color w:val="auto"/>
                    </w:rPr>
                  </w:pPr>
                  <w:r>
                    <w:rPr>
                      <w:color w:val="auto"/>
                    </w:rPr>
                    <w:t>11</w:t>
                  </w:r>
                </w:p>
              </w:tc>
              <w:tc>
                <w:tcPr>
                  <w:tcW w:w="2376" w:type="dxa"/>
                  <w:vAlign w:val="center"/>
                </w:tcPr>
                <w:p w14:paraId="73DC23BC">
                  <w:pPr>
                    <w:pStyle w:val="46"/>
                    <w:bidi w:val="0"/>
                    <w:jc w:val="center"/>
                    <w:rPr>
                      <w:color w:val="auto"/>
                    </w:rPr>
                  </w:pPr>
                  <w:r>
                    <w:rPr>
                      <w:color w:val="auto"/>
                    </w:rPr>
                    <w:t>公众教育和信息</w:t>
                  </w:r>
                </w:p>
              </w:tc>
              <w:tc>
                <w:tcPr>
                  <w:tcW w:w="4721" w:type="dxa"/>
                  <w:vAlign w:val="center"/>
                </w:tcPr>
                <w:p w14:paraId="123A7B07">
                  <w:pPr>
                    <w:pStyle w:val="46"/>
                    <w:bidi w:val="0"/>
                    <w:jc w:val="center"/>
                    <w:rPr>
                      <w:color w:val="auto"/>
                    </w:rPr>
                  </w:pPr>
                  <w:r>
                    <w:rPr>
                      <w:color w:val="auto"/>
                    </w:rPr>
                    <w:t>公众教育信息发布</w:t>
                  </w:r>
                </w:p>
              </w:tc>
            </w:tr>
          </w:tbl>
          <w:p w14:paraId="4A1D45A9">
            <w:pPr>
              <w:keepNext w:val="0"/>
              <w:keepLines w:val="0"/>
              <w:suppressLineNumbers w:val="0"/>
              <w:spacing w:before="0" w:beforeAutospacing="0" w:after="0" w:afterAutospacing="0"/>
              <w:ind w:left="0" w:right="0"/>
              <w:rPr>
                <w:rFonts w:hint="default"/>
                <w:b/>
                <w:bCs/>
                <w:color w:val="auto"/>
                <w:lang w:val="en-US" w:eastAsia="zh-CN"/>
              </w:rPr>
            </w:pPr>
            <w:r>
              <w:rPr>
                <w:rFonts w:hint="eastAsia"/>
                <w:b/>
                <w:bCs/>
                <w:color w:val="auto"/>
                <w:lang w:val="en-US" w:eastAsia="zh-CN"/>
              </w:rPr>
              <w:t>5、风险评价结论</w:t>
            </w:r>
          </w:p>
          <w:p w14:paraId="4ED3BD9B">
            <w:pPr>
              <w:keepNext w:val="0"/>
              <w:keepLines w:val="0"/>
              <w:suppressLineNumbers w:val="0"/>
              <w:bidi w:val="0"/>
              <w:spacing w:before="0" w:beforeAutospacing="0" w:after="0" w:afterAutospacing="0"/>
              <w:ind w:left="0" w:right="0"/>
              <w:rPr>
                <w:rFonts w:hint="default"/>
              </w:rPr>
            </w:pPr>
            <w:r>
              <w:rPr>
                <w:rFonts w:hint="default"/>
                <w:color w:val="auto"/>
                <w:lang w:val="en-US" w:eastAsia="zh-CN"/>
              </w:rPr>
              <w:t>综上所述，本项目涉及的</w:t>
            </w:r>
            <w:r>
              <w:rPr>
                <w:rFonts w:hint="eastAsia"/>
                <w:color w:val="auto"/>
                <w:lang w:val="en-US" w:eastAsia="zh-CN"/>
              </w:rPr>
              <w:t>风险物质主要为废铅蓄电池、废电路板及电子元器件、废液压油、废电解液中和</w:t>
            </w:r>
            <w:r>
              <w:rPr>
                <w:rFonts w:hint="eastAsia"/>
                <w:lang w:val="en-US" w:eastAsia="zh-CN"/>
              </w:rPr>
              <w:t>废物、废润滑油等</w:t>
            </w:r>
            <w:r>
              <w:rPr>
                <w:rFonts w:hint="default"/>
                <w:lang w:val="en-US" w:eastAsia="zh-CN"/>
              </w:rPr>
              <w:t>，不构成重大危险源，可能发生的风险事故为</w:t>
            </w:r>
            <w:r>
              <w:rPr>
                <w:rFonts w:hint="eastAsia"/>
                <w:lang w:val="en-US" w:eastAsia="zh-CN"/>
              </w:rPr>
              <w:t>危废泄漏</w:t>
            </w:r>
            <w:r>
              <w:rPr>
                <w:rFonts w:hint="default"/>
                <w:lang w:val="en-US" w:eastAsia="zh-CN"/>
              </w:rPr>
              <w:t>、</w:t>
            </w:r>
            <w:r>
              <w:rPr>
                <w:rFonts w:hint="eastAsia"/>
                <w:lang w:val="en-US" w:eastAsia="zh-CN"/>
              </w:rPr>
              <w:t>破碎水泄漏、润滑油泄漏、</w:t>
            </w:r>
            <w:r>
              <w:rPr>
                <w:rFonts w:hint="default"/>
                <w:lang w:val="en-US" w:eastAsia="zh-CN"/>
              </w:rPr>
              <w:t>火灾等；一旦发生风险事故，只要严格执行</w:t>
            </w:r>
            <w:r>
              <w:rPr>
                <w:rFonts w:hint="eastAsia"/>
                <w:lang w:val="en-US" w:eastAsia="zh-CN"/>
              </w:rPr>
              <w:t>各项</w:t>
            </w:r>
            <w:r>
              <w:rPr>
                <w:rFonts w:hint="default"/>
                <w:lang w:val="en-US" w:eastAsia="zh-CN"/>
              </w:rPr>
              <w:t>应急预案并采取相应的风险防范措施，能有效减轻对周围环境及人群造成的伤害和环境危害，其环境风险水平在可接受范围内。项目在采取本报告中提出的风险防范和管理措施的基础上，可以认为本</w:t>
            </w:r>
            <w:r>
              <w:rPr>
                <w:rFonts w:hint="eastAsia"/>
                <w:lang w:val="en-US" w:eastAsia="zh-CN"/>
              </w:rPr>
              <w:t>项目风险</w:t>
            </w:r>
            <w:r>
              <w:rPr>
                <w:rFonts w:hint="default"/>
                <w:lang w:val="en-US" w:eastAsia="zh-CN"/>
              </w:rPr>
              <w:t>水平较低，风险后果是可以防控的</w:t>
            </w:r>
            <w:r>
              <w:rPr>
                <w:rFonts w:hint="default"/>
              </w:rPr>
              <w:t>。</w:t>
            </w:r>
          </w:p>
          <w:p w14:paraId="5E5C1C75">
            <w:pPr>
              <w:pStyle w:val="12"/>
              <w:keepNext w:val="0"/>
              <w:keepLines w:val="0"/>
              <w:suppressLineNumbers w:val="0"/>
              <w:spacing w:before="0" w:beforeAutospacing="0" w:after="0" w:afterAutospacing="0"/>
              <w:ind w:right="0"/>
              <w:rPr>
                <w:rFonts w:hint="default"/>
              </w:rPr>
            </w:pPr>
          </w:p>
          <w:p w14:paraId="7BAC9DD5">
            <w:pPr>
              <w:keepNext w:val="0"/>
              <w:keepLines w:val="0"/>
              <w:suppressLineNumbers w:val="0"/>
              <w:spacing w:before="0" w:beforeAutospacing="0" w:after="0" w:afterAutospacing="0"/>
              <w:ind w:left="0" w:right="0"/>
              <w:rPr>
                <w:rFonts w:hint="default"/>
              </w:rPr>
            </w:pPr>
          </w:p>
          <w:p w14:paraId="58EDF23B">
            <w:pPr>
              <w:pStyle w:val="12"/>
              <w:keepNext w:val="0"/>
              <w:keepLines w:val="0"/>
              <w:suppressLineNumbers w:val="0"/>
              <w:spacing w:before="0" w:beforeAutospacing="0" w:after="0" w:afterAutospacing="0"/>
              <w:ind w:right="0"/>
              <w:rPr>
                <w:rFonts w:hint="default"/>
              </w:rPr>
            </w:pPr>
          </w:p>
          <w:p w14:paraId="02CD0EA8">
            <w:pPr>
              <w:keepNext w:val="0"/>
              <w:keepLines w:val="0"/>
              <w:suppressLineNumbers w:val="0"/>
              <w:spacing w:before="0" w:beforeAutospacing="0" w:after="0" w:afterAutospacing="0"/>
              <w:ind w:left="0" w:right="0"/>
              <w:rPr>
                <w:rFonts w:hint="default"/>
              </w:rPr>
            </w:pPr>
          </w:p>
          <w:p w14:paraId="1EACA98D">
            <w:pPr>
              <w:pStyle w:val="12"/>
              <w:keepNext w:val="0"/>
              <w:keepLines w:val="0"/>
              <w:suppressLineNumbers w:val="0"/>
              <w:spacing w:before="0" w:beforeAutospacing="0" w:after="0" w:afterAutospacing="0"/>
              <w:ind w:right="0"/>
              <w:rPr>
                <w:rFonts w:hint="default"/>
              </w:rPr>
            </w:pPr>
          </w:p>
          <w:p w14:paraId="72EDEC8C">
            <w:pPr>
              <w:keepNext w:val="0"/>
              <w:keepLines w:val="0"/>
              <w:suppressLineNumbers w:val="0"/>
              <w:spacing w:before="0" w:beforeAutospacing="0" w:after="0" w:afterAutospacing="0"/>
              <w:ind w:left="0" w:right="0"/>
              <w:rPr>
                <w:rFonts w:hint="default"/>
              </w:rPr>
            </w:pPr>
          </w:p>
          <w:p w14:paraId="615B0D20">
            <w:pPr>
              <w:pStyle w:val="12"/>
              <w:keepNext w:val="0"/>
              <w:keepLines w:val="0"/>
              <w:suppressLineNumbers w:val="0"/>
              <w:spacing w:before="0" w:beforeAutospacing="0" w:after="0" w:afterAutospacing="0"/>
              <w:ind w:right="0"/>
              <w:rPr>
                <w:rFonts w:hint="default"/>
              </w:rPr>
            </w:pPr>
          </w:p>
          <w:p w14:paraId="5A5A0C51">
            <w:pPr>
              <w:keepNext w:val="0"/>
              <w:keepLines w:val="0"/>
              <w:suppressLineNumbers w:val="0"/>
              <w:spacing w:before="0" w:beforeAutospacing="0" w:after="0" w:afterAutospacing="0"/>
              <w:ind w:left="0" w:right="0"/>
              <w:rPr>
                <w:rFonts w:hint="default"/>
              </w:rPr>
            </w:pPr>
          </w:p>
          <w:p w14:paraId="17C4F77F">
            <w:pPr>
              <w:pStyle w:val="12"/>
              <w:keepNext w:val="0"/>
              <w:keepLines w:val="0"/>
              <w:suppressLineNumbers w:val="0"/>
              <w:spacing w:before="0" w:beforeAutospacing="0" w:after="0" w:afterAutospacing="0"/>
              <w:ind w:right="0"/>
              <w:rPr>
                <w:rFonts w:hint="default"/>
              </w:rPr>
            </w:pPr>
          </w:p>
          <w:p w14:paraId="70CD0101">
            <w:pPr>
              <w:keepNext w:val="0"/>
              <w:keepLines w:val="0"/>
              <w:suppressLineNumbers w:val="0"/>
              <w:spacing w:before="0" w:beforeAutospacing="0" w:after="0" w:afterAutospacing="0"/>
              <w:ind w:left="0" w:right="0"/>
              <w:rPr>
                <w:rFonts w:hint="default"/>
              </w:rPr>
            </w:pPr>
          </w:p>
          <w:p w14:paraId="1E329DA4">
            <w:pPr>
              <w:pStyle w:val="12"/>
              <w:keepNext w:val="0"/>
              <w:keepLines w:val="0"/>
              <w:suppressLineNumbers w:val="0"/>
              <w:spacing w:before="0" w:beforeAutospacing="0" w:after="0" w:afterAutospacing="0"/>
              <w:ind w:right="0"/>
              <w:rPr>
                <w:rFonts w:hint="default"/>
              </w:rPr>
            </w:pPr>
          </w:p>
          <w:p w14:paraId="2CA1AB02">
            <w:pPr>
              <w:keepNext w:val="0"/>
              <w:keepLines w:val="0"/>
              <w:suppressLineNumbers w:val="0"/>
              <w:spacing w:before="0" w:beforeAutospacing="0" w:after="0" w:afterAutospacing="0"/>
              <w:ind w:left="0" w:right="0"/>
              <w:rPr>
                <w:rFonts w:hint="default"/>
              </w:rPr>
            </w:pPr>
          </w:p>
          <w:p w14:paraId="3BD9773F">
            <w:pPr>
              <w:pStyle w:val="12"/>
              <w:keepNext w:val="0"/>
              <w:keepLines w:val="0"/>
              <w:suppressLineNumbers w:val="0"/>
              <w:spacing w:before="0" w:beforeAutospacing="0" w:after="0" w:afterAutospacing="0"/>
              <w:ind w:right="0"/>
              <w:rPr>
                <w:rFonts w:hint="default"/>
              </w:rPr>
            </w:pPr>
          </w:p>
          <w:p w14:paraId="072BD6B2">
            <w:pPr>
              <w:keepNext w:val="0"/>
              <w:keepLines w:val="0"/>
              <w:suppressLineNumbers w:val="0"/>
              <w:spacing w:before="0" w:beforeAutospacing="0" w:after="0" w:afterAutospacing="0"/>
              <w:ind w:left="0" w:right="0"/>
              <w:rPr>
                <w:rFonts w:hint="default"/>
              </w:rPr>
            </w:pPr>
          </w:p>
          <w:p w14:paraId="2D87CA5C">
            <w:pPr>
              <w:pStyle w:val="12"/>
              <w:keepNext w:val="0"/>
              <w:keepLines w:val="0"/>
              <w:suppressLineNumbers w:val="0"/>
              <w:spacing w:before="0" w:beforeAutospacing="0" w:after="0" w:afterAutospacing="0"/>
              <w:ind w:right="0"/>
              <w:rPr>
                <w:rFonts w:hint="default"/>
              </w:rPr>
            </w:pPr>
          </w:p>
          <w:p w14:paraId="0DDAB02A">
            <w:pPr>
              <w:keepNext w:val="0"/>
              <w:keepLines w:val="0"/>
              <w:suppressLineNumbers w:val="0"/>
              <w:spacing w:before="0" w:beforeAutospacing="0" w:after="0" w:afterAutospacing="0"/>
              <w:ind w:left="0" w:right="0"/>
              <w:rPr>
                <w:rFonts w:hint="default"/>
              </w:rPr>
            </w:pPr>
          </w:p>
          <w:p w14:paraId="3A9D9812">
            <w:pPr>
              <w:pStyle w:val="12"/>
              <w:keepNext w:val="0"/>
              <w:keepLines w:val="0"/>
              <w:suppressLineNumbers w:val="0"/>
              <w:spacing w:before="0" w:beforeAutospacing="0" w:after="0" w:afterAutospacing="0"/>
              <w:ind w:right="0"/>
              <w:rPr>
                <w:rFonts w:hint="default"/>
              </w:rPr>
            </w:pPr>
          </w:p>
          <w:p w14:paraId="744A4AD4">
            <w:pPr>
              <w:keepNext w:val="0"/>
              <w:keepLines w:val="0"/>
              <w:suppressLineNumbers w:val="0"/>
              <w:spacing w:before="0" w:beforeAutospacing="0" w:after="0" w:afterAutospacing="0"/>
              <w:ind w:left="0" w:right="0"/>
              <w:rPr>
                <w:rFonts w:hint="default"/>
              </w:rPr>
            </w:pPr>
          </w:p>
          <w:p w14:paraId="70AF2818">
            <w:pPr>
              <w:pStyle w:val="12"/>
              <w:keepNext w:val="0"/>
              <w:keepLines w:val="0"/>
              <w:suppressLineNumbers w:val="0"/>
              <w:spacing w:before="0" w:beforeAutospacing="0" w:after="0" w:afterAutospacing="0"/>
              <w:ind w:right="0"/>
              <w:rPr>
                <w:rFonts w:hint="default"/>
              </w:rPr>
            </w:pPr>
          </w:p>
          <w:p w14:paraId="5853C72C">
            <w:pPr>
              <w:keepNext w:val="0"/>
              <w:keepLines w:val="0"/>
              <w:suppressLineNumbers w:val="0"/>
              <w:spacing w:before="0" w:beforeAutospacing="0" w:after="0" w:afterAutospacing="0"/>
              <w:ind w:left="0" w:right="0"/>
              <w:rPr>
                <w:rFonts w:hint="default"/>
              </w:rPr>
            </w:pPr>
          </w:p>
          <w:p w14:paraId="418F5907">
            <w:pPr>
              <w:pStyle w:val="12"/>
              <w:keepNext w:val="0"/>
              <w:keepLines w:val="0"/>
              <w:suppressLineNumbers w:val="0"/>
              <w:spacing w:before="0" w:beforeAutospacing="0" w:after="0" w:afterAutospacing="0"/>
              <w:ind w:right="0"/>
              <w:rPr>
                <w:rFonts w:hint="default"/>
              </w:rPr>
            </w:pPr>
          </w:p>
          <w:p w14:paraId="21F43384">
            <w:pPr>
              <w:keepNext w:val="0"/>
              <w:keepLines w:val="0"/>
              <w:suppressLineNumbers w:val="0"/>
              <w:spacing w:before="0" w:beforeAutospacing="0" w:after="0" w:afterAutospacing="0"/>
              <w:ind w:left="0" w:right="0"/>
              <w:rPr>
                <w:rFonts w:hint="default"/>
              </w:rPr>
            </w:pPr>
          </w:p>
          <w:p w14:paraId="3AD22606">
            <w:pPr>
              <w:pStyle w:val="12"/>
              <w:keepNext w:val="0"/>
              <w:keepLines w:val="0"/>
              <w:suppressLineNumbers w:val="0"/>
              <w:spacing w:before="0" w:beforeAutospacing="0" w:after="0" w:afterAutospacing="0"/>
              <w:ind w:right="0"/>
              <w:rPr>
                <w:rFonts w:hint="default"/>
              </w:rPr>
            </w:pPr>
          </w:p>
          <w:p w14:paraId="6ABE09B3">
            <w:pPr>
              <w:keepNext w:val="0"/>
              <w:keepLines w:val="0"/>
              <w:suppressLineNumbers w:val="0"/>
              <w:spacing w:before="0" w:beforeAutospacing="0" w:after="0" w:afterAutospacing="0"/>
              <w:ind w:left="0" w:right="0"/>
              <w:rPr>
                <w:rFonts w:hint="default"/>
              </w:rPr>
            </w:pPr>
          </w:p>
          <w:p w14:paraId="60381945">
            <w:pPr>
              <w:pStyle w:val="12"/>
              <w:keepNext w:val="0"/>
              <w:keepLines w:val="0"/>
              <w:suppressLineNumbers w:val="0"/>
              <w:spacing w:before="0" w:beforeAutospacing="0" w:after="0" w:afterAutospacing="0"/>
              <w:ind w:right="0"/>
              <w:rPr>
                <w:rFonts w:hint="default"/>
              </w:rPr>
            </w:pPr>
          </w:p>
          <w:p w14:paraId="05C41D0F">
            <w:pPr>
              <w:keepNext w:val="0"/>
              <w:keepLines w:val="0"/>
              <w:suppressLineNumbers w:val="0"/>
              <w:spacing w:before="0" w:beforeAutospacing="0" w:after="0" w:afterAutospacing="0"/>
              <w:ind w:left="0" w:right="0"/>
              <w:rPr>
                <w:rFonts w:hint="default"/>
              </w:rPr>
            </w:pPr>
          </w:p>
          <w:p w14:paraId="0E336D45">
            <w:pPr>
              <w:pStyle w:val="12"/>
              <w:keepNext w:val="0"/>
              <w:keepLines w:val="0"/>
              <w:suppressLineNumbers w:val="0"/>
              <w:spacing w:before="0" w:beforeAutospacing="0" w:after="0" w:afterAutospacing="0"/>
              <w:ind w:right="0"/>
              <w:rPr>
                <w:rFonts w:hint="default"/>
              </w:rPr>
            </w:pPr>
          </w:p>
          <w:p w14:paraId="22C5B31F">
            <w:pPr>
              <w:keepNext w:val="0"/>
              <w:keepLines w:val="0"/>
              <w:suppressLineNumbers w:val="0"/>
              <w:spacing w:before="0" w:beforeAutospacing="0" w:after="0" w:afterAutospacing="0"/>
              <w:ind w:left="0" w:right="0"/>
              <w:rPr>
                <w:rFonts w:hint="default"/>
              </w:rPr>
            </w:pPr>
          </w:p>
          <w:p w14:paraId="31D8416B">
            <w:pPr>
              <w:pStyle w:val="12"/>
              <w:keepNext w:val="0"/>
              <w:keepLines w:val="0"/>
              <w:suppressLineNumbers w:val="0"/>
              <w:spacing w:before="0" w:beforeAutospacing="0" w:after="0" w:afterAutospacing="0"/>
              <w:ind w:right="0"/>
              <w:rPr>
                <w:rFonts w:hint="default"/>
              </w:rPr>
            </w:pPr>
          </w:p>
          <w:p w14:paraId="072122B1">
            <w:pPr>
              <w:keepNext w:val="0"/>
              <w:keepLines w:val="0"/>
              <w:suppressLineNumbers w:val="0"/>
              <w:spacing w:before="0" w:beforeAutospacing="0" w:after="0" w:afterAutospacing="0"/>
              <w:ind w:left="0" w:right="0"/>
              <w:rPr>
                <w:rFonts w:hint="default"/>
              </w:rPr>
            </w:pPr>
          </w:p>
          <w:p w14:paraId="7382EFA8">
            <w:pPr>
              <w:pStyle w:val="12"/>
              <w:keepNext w:val="0"/>
              <w:keepLines w:val="0"/>
              <w:suppressLineNumbers w:val="0"/>
              <w:spacing w:before="0" w:beforeAutospacing="0" w:after="0" w:afterAutospacing="0"/>
              <w:ind w:right="0"/>
              <w:rPr>
                <w:rFonts w:hint="default"/>
              </w:rPr>
            </w:pPr>
          </w:p>
          <w:p w14:paraId="7D3BC042">
            <w:pPr>
              <w:keepNext w:val="0"/>
              <w:keepLines w:val="0"/>
              <w:suppressLineNumbers w:val="0"/>
              <w:spacing w:before="0" w:beforeAutospacing="0" w:after="0" w:afterAutospacing="0"/>
              <w:ind w:left="0" w:right="0"/>
              <w:rPr>
                <w:rFonts w:hint="default"/>
              </w:rPr>
            </w:pPr>
          </w:p>
          <w:p w14:paraId="25ACC2F2">
            <w:pPr>
              <w:pStyle w:val="12"/>
              <w:keepNext w:val="0"/>
              <w:keepLines w:val="0"/>
              <w:suppressLineNumbers w:val="0"/>
              <w:spacing w:before="0" w:beforeAutospacing="0" w:after="0" w:afterAutospacing="0"/>
              <w:ind w:right="0"/>
              <w:rPr>
                <w:rFonts w:hint="default"/>
              </w:rPr>
            </w:pPr>
          </w:p>
        </w:tc>
      </w:tr>
    </w:tbl>
    <w:p w14:paraId="0EE06E82">
      <w:pPr>
        <w:pStyle w:val="2"/>
        <w:ind w:firstLine="667"/>
        <w:rPr>
          <w:b w:val="0"/>
          <w:bCs w:val="0"/>
          <w:color w:val="auto"/>
          <w:highlight w:val="none"/>
        </w:rPr>
      </w:pPr>
      <w:r>
        <w:rPr>
          <w:color w:val="auto"/>
          <w:spacing w:val="6"/>
          <w:highlight w:val="none"/>
        </w:rPr>
        <w:br w:type="page"/>
      </w:r>
      <w:bookmarkStart w:id="10" w:name="_Toc2028"/>
      <w:r>
        <w:rPr>
          <w:rFonts w:hint="eastAsia"/>
          <w:color w:val="auto"/>
          <w:highlight w:val="none"/>
        </w:rPr>
        <w:t>五</w:t>
      </w:r>
      <w:r>
        <w:rPr>
          <w:color w:val="auto"/>
          <w:highlight w:val="none"/>
        </w:rPr>
        <w:t>、</w:t>
      </w:r>
      <w:r>
        <w:rPr>
          <w:rFonts w:hint="eastAsia"/>
          <w:color w:val="auto"/>
          <w:highlight w:val="none"/>
        </w:rPr>
        <w:t>环境保护措施监督检查清单</w:t>
      </w:r>
      <w:bookmarkEnd w:id="10"/>
    </w:p>
    <w:tbl>
      <w:tblPr>
        <w:tblStyle w:val="19"/>
        <w:tblW w:w="501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22"/>
        <w:gridCol w:w="1164"/>
        <w:gridCol w:w="1259"/>
        <w:gridCol w:w="2158"/>
        <w:gridCol w:w="2834"/>
      </w:tblGrid>
      <w:tr w14:paraId="59270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3" w:type="pct"/>
            <w:tcBorders>
              <w:tl2br w:val="single" w:color="auto" w:sz="4" w:space="0"/>
            </w:tcBorders>
            <w:vAlign w:val="center"/>
          </w:tcPr>
          <w:p w14:paraId="54DF896E">
            <w:pPr>
              <w:pStyle w:val="40"/>
              <w:keepNext w:val="0"/>
              <w:keepLines w:val="0"/>
              <w:suppressLineNumbers w:val="0"/>
              <w:spacing w:before="33" w:beforeAutospacing="0" w:after="33" w:afterAutospacing="0"/>
              <w:jc w:val="right"/>
              <w:rPr>
                <w:rFonts w:hint="default"/>
                <w:b/>
                <w:bCs w:val="0"/>
              </w:rPr>
            </w:pPr>
            <w:r>
              <w:rPr>
                <w:rFonts w:hint="eastAsia"/>
                <w:b/>
                <w:bCs w:val="0"/>
              </w:rPr>
              <w:t>内容</w:t>
            </w:r>
          </w:p>
          <w:p w14:paraId="512D3F23">
            <w:pPr>
              <w:pStyle w:val="40"/>
              <w:keepNext w:val="0"/>
              <w:keepLines w:val="0"/>
              <w:suppressLineNumbers w:val="0"/>
              <w:spacing w:before="33" w:beforeAutospacing="0" w:after="33" w:afterAutospacing="0"/>
              <w:jc w:val="both"/>
              <w:rPr>
                <w:rFonts w:hint="default"/>
                <w:b/>
                <w:bCs w:val="0"/>
              </w:rPr>
            </w:pPr>
            <w:r>
              <w:rPr>
                <w:rFonts w:hint="eastAsia"/>
                <w:b/>
                <w:bCs w:val="0"/>
              </w:rPr>
              <w:t>要素</w:t>
            </w:r>
          </w:p>
        </w:tc>
        <w:tc>
          <w:tcPr>
            <w:tcW w:w="698" w:type="pct"/>
            <w:tcBorders>
              <w:tl2br w:val="nil"/>
              <w:tr2bl w:val="nil"/>
            </w:tcBorders>
            <w:vAlign w:val="center"/>
          </w:tcPr>
          <w:p w14:paraId="6F1C278A">
            <w:pPr>
              <w:pStyle w:val="40"/>
              <w:keepNext w:val="0"/>
              <w:keepLines w:val="0"/>
              <w:suppressLineNumbers w:val="0"/>
              <w:spacing w:before="33" w:beforeAutospacing="0" w:after="33" w:afterAutospacing="0"/>
              <w:rPr>
                <w:rFonts w:hint="default"/>
                <w:b/>
                <w:bCs w:val="0"/>
              </w:rPr>
            </w:pPr>
            <w:r>
              <w:rPr>
                <w:rFonts w:hint="eastAsia"/>
                <w:b/>
                <w:bCs w:val="0"/>
              </w:rPr>
              <w:t>排放口</w:t>
            </w:r>
            <w:r>
              <w:rPr>
                <w:rFonts w:hint="eastAsia"/>
                <w:b/>
                <w:bCs w:val="0"/>
                <w:lang w:eastAsia="zh-CN"/>
              </w:rPr>
              <w:t>（</w:t>
            </w:r>
            <w:r>
              <w:rPr>
                <w:rFonts w:hint="eastAsia"/>
                <w:b/>
                <w:bCs w:val="0"/>
              </w:rPr>
              <w:t>编号、名称</w:t>
            </w:r>
            <w:r>
              <w:rPr>
                <w:rFonts w:hint="eastAsia"/>
                <w:b/>
                <w:bCs w:val="0"/>
                <w:lang w:eastAsia="zh-CN"/>
              </w:rPr>
              <w:t>）</w:t>
            </w:r>
            <w:r>
              <w:rPr>
                <w:rFonts w:hint="eastAsia"/>
                <w:b/>
                <w:bCs w:val="0"/>
              </w:rPr>
              <w:t>/污染源</w:t>
            </w:r>
          </w:p>
        </w:tc>
        <w:tc>
          <w:tcPr>
            <w:tcW w:w="755" w:type="pct"/>
            <w:tcBorders>
              <w:tl2br w:val="nil"/>
              <w:tr2bl w:val="nil"/>
            </w:tcBorders>
            <w:vAlign w:val="center"/>
          </w:tcPr>
          <w:p w14:paraId="7E7EF5BB">
            <w:pPr>
              <w:pStyle w:val="40"/>
              <w:keepNext w:val="0"/>
              <w:keepLines w:val="0"/>
              <w:suppressLineNumbers w:val="0"/>
              <w:spacing w:before="33" w:beforeAutospacing="0" w:after="33" w:afterAutospacing="0"/>
              <w:rPr>
                <w:rFonts w:hint="default"/>
                <w:b/>
                <w:bCs w:val="0"/>
              </w:rPr>
            </w:pPr>
            <w:r>
              <w:rPr>
                <w:rFonts w:hint="eastAsia"/>
                <w:b/>
                <w:bCs w:val="0"/>
              </w:rPr>
              <w:t>污染物项目</w:t>
            </w:r>
          </w:p>
        </w:tc>
        <w:tc>
          <w:tcPr>
            <w:tcW w:w="1294" w:type="pct"/>
            <w:tcBorders>
              <w:tl2br w:val="nil"/>
              <w:tr2bl w:val="nil"/>
            </w:tcBorders>
            <w:vAlign w:val="center"/>
          </w:tcPr>
          <w:p w14:paraId="417B860B">
            <w:pPr>
              <w:pStyle w:val="40"/>
              <w:keepNext w:val="0"/>
              <w:keepLines w:val="0"/>
              <w:suppressLineNumbers w:val="0"/>
              <w:spacing w:before="33" w:beforeAutospacing="0" w:after="33" w:afterAutospacing="0"/>
              <w:rPr>
                <w:rFonts w:hint="default"/>
                <w:b/>
                <w:bCs w:val="0"/>
              </w:rPr>
            </w:pPr>
            <w:r>
              <w:rPr>
                <w:rFonts w:hint="eastAsia"/>
                <w:b/>
                <w:bCs w:val="0"/>
              </w:rPr>
              <w:t>环境保护措施</w:t>
            </w:r>
          </w:p>
        </w:tc>
        <w:tc>
          <w:tcPr>
            <w:tcW w:w="1697" w:type="pct"/>
            <w:tcBorders>
              <w:tl2br w:val="nil"/>
              <w:tr2bl w:val="nil"/>
            </w:tcBorders>
            <w:vAlign w:val="center"/>
          </w:tcPr>
          <w:p w14:paraId="49469C65">
            <w:pPr>
              <w:pStyle w:val="40"/>
              <w:keepNext w:val="0"/>
              <w:keepLines w:val="0"/>
              <w:suppressLineNumbers w:val="0"/>
              <w:spacing w:before="33" w:beforeAutospacing="0" w:after="33" w:afterAutospacing="0"/>
              <w:rPr>
                <w:rFonts w:hint="default"/>
                <w:b/>
                <w:bCs w:val="0"/>
              </w:rPr>
            </w:pPr>
            <w:r>
              <w:rPr>
                <w:rFonts w:hint="eastAsia"/>
                <w:b/>
                <w:bCs w:val="0"/>
              </w:rPr>
              <w:t>执行标准</w:t>
            </w:r>
          </w:p>
        </w:tc>
      </w:tr>
      <w:tr w14:paraId="3524E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3" w:hRule="atLeast"/>
          <w:jc w:val="center"/>
        </w:trPr>
        <w:tc>
          <w:tcPr>
            <w:tcW w:w="553" w:type="pct"/>
            <w:vMerge w:val="restart"/>
            <w:tcBorders>
              <w:tl2br w:val="nil"/>
              <w:tr2bl w:val="nil"/>
            </w:tcBorders>
            <w:vAlign w:val="center"/>
          </w:tcPr>
          <w:p w14:paraId="607209AD">
            <w:pPr>
              <w:pStyle w:val="40"/>
              <w:keepNext w:val="0"/>
              <w:keepLines w:val="0"/>
              <w:suppressLineNumbers w:val="0"/>
              <w:spacing w:before="33" w:beforeAutospacing="0" w:after="33" w:afterAutospacing="0"/>
              <w:rPr>
                <w:rFonts w:hint="default"/>
                <w:bCs/>
              </w:rPr>
            </w:pPr>
            <w:r>
              <w:rPr>
                <w:rFonts w:hint="eastAsia"/>
                <w:bCs/>
              </w:rPr>
              <w:t>大气环境</w:t>
            </w:r>
          </w:p>
        </w:tc>
        <w:tc>
          <w:tcPr>
            <w:tcW w:w="698" w:type="pct"/>
            <w:vMerge w:val="restart"/>
            <w:tcBorders>
              <w:tl2br w:val="nil"/>
              <w:tr2bl w:val="nil"/>
            </w:tcBorders>
            <w:vAlign w:val="center"/>
          </w:tcPr>
          <w:p w14:paraId="2B57DC2B">
            <w:pPr>
              <w:pStyle w:val="40"/>
              <w:keepNext w:val="0"/>
              <w:keepLines w:val="0"/>
              <w:suppressLineNumbers w:val="0"/>
              <w:spacing w:before="33" w:beforeAutospacing="0" w:after="33" w:afterAutospacing="0"/>
              <w:rPr>
                <w:rFonts w:hint="default" w:eastAsia="宋体"/>
                <w:bCs/>
                <w:lang w:val="en-US" w:eastAsia="zh-CN"/>
              </w:rPr>
            </w:pPr>
            <w:r>
              <w:rPr>
                <w:rFonts w:hint="eastAsia"/>
                <w:bCs/>
                <w:lang w:val="en-US" w:eastAsia="zh-CN"/>
              </w:rPr>
              <w:t>/</w:t>
            </w:r>
          </w:p>
        </w:tc>
        <w:tc>
          <w:tcPr>
            <w:tcW w:w="755" w:type="pct"/>
            <w:tcBorders>
              <w:tl2br w:val="nil"/>
              <w:tr2bl w:val="nil"/>
            </w:tcBorders>
            <w:vAlign w:val="center"/>
          </w:tcPr>
          <w:p w14:paraId="74854096">
            <w:pPr>
              <w:pStyle w:val="40"/>
              <w:keepNext w:val="0"/>
              <w:keepLines w:val="0"/>
              <w:suppressLineNumbers w:val="0"/>
              <w:spacing w:before="33" w:beforeAutospacing="0" w:after="33" w:afterAutospacing="0"/>
              <w:rPr>
                <w:rFonts w:hint="default" w:eastAsia="宋体"/>
                <w:bCs/>
                <w:lang w:val="en-US" w:eastAsia="zh-CN"/>
              </w:rPr>
            </w:pPr>
            <w:r>
              <w:rPr>
                <w:rFonts w:hint="eastAsia"/>
                <w:bCs/>
                <w:lang w:val="en-US" w:eastAsia="zh-CN"/>
              </w:rPr>
              <w:t>颗粒物</w:t>
            </w:r>
          </w:p>
        </w:tc>
        <w:tc>
          <w:tcPr>
            <w:tcW w:w="1294" w:type="pct"/>
            <w:tcBorders>
              <w:tl2br w:val="nil"/>
              <w:tr2bl w:val="nil"/>
            </w:tcBorders>
            <w:vAlign w:val="center"/>
          </w:tcPr>
          <w:p w14:paraId="277957C7">
            <w:pPr>
              <w:pStyle w:val="40"/>
              <w:keepNext w:val="0"/>
              <w:keepLines w:val="0"/>
              <w:suppressLineNumbers w:val="0"/>
              <w:spacing w:before="33" w:beforeAutospacing="0" w:after="33" w:afterAutospacing="0"/>
              <w:ind w:left="0" w:leftChars="0"/>
              <w:rPr>
                <w:rFonts w:hint="default"/>
                <w:bCs/>
                <w:highlight w:val="none"/>
                <w:lang w:val="en-US" w:eastAsia="zh-CN"/>
              </w:rPr>
            </w:pPr>
            <w:r>
              <w:rPr>
                <w:rFonts w:hint="eastAsia"/>
                <w:bCs/>
                <w:highlight w:val="none"/>
                <w:lang w:val="en-US" w:eastAsia="zh-CN"/>
              </w:rPr>
              <w:t>集气罩+袋式除尘器+15m排气筒</w:t>
            </w:r>
          </w:p>
        </w:tc>
        <w:tc>
          <w:tcPr>
            <w:tcW w:w="1697" w:type="pct"/>
            <w:tcBorders>
              <w:tl2br w:val="nil"/>
              <w:tr2bl w:val="nil"/>
            </w:tcBorders>
            <w:vAlign w:val="center"/>
          </w:tcPr>
          <w:p w14:paraId="2564F65D">
            <w:pPr>
              <w:pStyle w:val="40"/>
              <w:keepNext w:val="0"/>
              <w:keepLines w:val="0"/>
              <w:suppressLineNumbers w:val="0"/>
              <w:spacing w:before="33" w:beforeAutospacing="0" w:after="33" w:afterAutospacing="0"/>
              <w:rPr>
                <w:rFonts w:hint="eastAsia"/>
                <w:lang w:val="en-US" w:eastAsia="zh-CN"/>
              </w:rPr>
            </w:pPr>
            <w:r>
              <w:rPr>
                <w:rFonts w:hint="default"/>
              </w:rPr>
              <w:t>《大气污染物综合排放标准》（GB16297-1996）表2中二级排放标准</w:t>
            </w:r>
          </w:p>
        </w:tc>
      </w:tr>
      <w:tr w14:paraId="531A6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3" w:hRule="atLeast"/>
          <w:jc w:val="center"/>
        </w:trPr>
        <w:tc>
          <w:tcPr>
            <w:tcW w:w="553" w:type="pct"/>
            <w:vMerge w:val="continue"/>
            <w:tcBorders>
              <w:tl2br w:val="nil"/>
              <w:tr2bl w:val="nil"/>
            </w:tcBorders>
            <w:vAlign w:val="center"/>
          </w:tcPr>
          <w:p w14:paraId="3CFEF3DC">
            <w:pPr>
              <w:pStyle w:val="40"/>
              <w:keepNext w:val="0"/>
              <w:keepLines w:val="0"/>
              <w:suppressLineNumbers w:val="0"/>
              <w:spacing w:before="33" w:beforeAutospacing="0" w:after="33" w:afterAutospacing="0"/>
              <w:rPr>
                <w:rFonts w:hint="default"/>
              </w:rPr>
            </w:pPr>
          </w:p>
        </w:tc>
        <w:tc>
          <w:tcPr>
            <w:tcW w:w="698" w:type="pct"/>
            <w:vMerge w:val="continue"/>
            <w:tcBorders>
              <w:tl2br w:val="nil"/>
              <w:tr2bl w:val="nil"/>
            </w:tcBorders>
            <w:vAlign w:val="center"/>
          </w:tcPr>
          <w:p w14:paraId="7B969108">
            <w:pPr>
              <w:pStyle w:val="40"/>
              <w:keepNext w:val="0"/>
              <w:keepLines w:val="0"/>
              <w:suppressLineNumbers w:val="0"/>
              <w:spacing w:before="33" w:beforeAutospacing="0" w:after="33" w:afterAutospacing="0"/>
              <w:rPr>
                <w:rFonts w:hint="default"/>
              </w:rPr>
            </w:pPr>
          </w:p>
        </w:tc>
        <w:tc>
          <w:tcPr>
            <w:tcW w:w="755" w:type="pct"/>
            <w:tcBorders>
              <w:tl2br w:val="nil"/>
              <w:tr2bl w:val="nil"/>
            </w:tcBorders>
            <w:shd w:val="clear" w:color="auto" w:fill="auto"/>
            <w:vAlign w:val="center"/>
          </w:tcPr>
          <w:p w14:paraId="7618B4DB">
            <w:pPr>
              <w:pStyle w:val="40"/>
              <w:keepNext w:val="0"/>
              <w:keepLines w:val="0"/>
              <w:suppressLineNumbers w:val="0"/>
              <w:spacing w:before="33" w:beforeAutospacing="0" w:after="33" w:afterAutospacing="0"/>
              <w:ind w:left="24" w:leftChars="10" w:right="24" w:rightChars="10" w:firstLine="0" w:firstLineChars="0"/>
              <w:rPr>
                <w:rFonts w:hint="eastAsia" w:ascii="Times New Roman" w:hAnsi="Times New Roman" w:eastAsia="宋体" w:cs="Times New Roman"/>
                <w:bCs/>
                <w:spacing w:val="-2"/>
                <w:kern w:val="2"/>
                <w:sz w:val="21"/>
                <w:szCs w:val="18"/>
                <w:lang w:val="en-US" w:eastAsia="zh-CN" w:bidi="ar-SA"/>
              </w:rPr>
            </w:pPr>
            <w:r>
              <w:rPr>
                <w:rFonts w:hint="eastAsia"/>
                <w:bCs/>
                <w:lang w:val="en-US" w:eastAsia="zh-CN"/>
              </w:rPr>
              <w:t>臭气浓度</w:t>
            </w:r>
          </w:p>
        </w:tc>
        <w:tc>
          <w:tcPr>
            <w:tcW w:w="1294" w:type="pct"/>
            <w:tcBorders>
              <w:tl2br w:val="nil"/>
              <w:tr2bl w:val="nil"/>
            </w:tcBorders>
            <w:shd w:val="clear" w:color="auto" w:fill="auto"/>
            <w:vAlign w:val="center"/>
          </w:tcPr>
          <w:p w14:paraId="2872090B">
            <w:pPr>
              <w:pStyle w:val="40"/>
              <w:keepNext w:val="0"/>
              <w:keepLines w:val="0"/>
              <w:suppressLineNumbers w:val="0"/>
              <w:spacing w:before="33" w:beforeAutospacing="0" w:after="33" w:afterAutospacing="0"/>
              <w:ind w:left="0" w:leftChars="0" w:right="24" w:rightChars="10" w:firstLine="0" w:firstLineChars="0"/>
              <w:rPr>
                <w:rFonts w:hint="eastAsia" w:ascii="Times New Roman" w:hAnsi="Times New Roman" w:eastAsia="宋体" w:cs="Times New Roman"/>
                <w:bCs/>
                <w:color w:val="auto"/>
                <w:spacing w:val="-2"/>
                <w:kern w:val="2"/>
                <w:sz w:val="21"/>
                <w:szCs w:val="18"/>
                <w:highlight w:val="none"/>
                <w:lang w:val="en-US" w:eastAsia="zh-CN" w:bidi="ar-SA"/>
              </w:rPr>
            </w:pPr>
            <w:r>
              <w:rPr>
                <w:rFonts w:hint="eastAsia" w:ascii="Calibri" w:hAnsi="Calibri" w:cs="Times New Roman"/>
                <w:b w:val="0"/>
                <w:bCs w:val="0"/>
                <w:color w:val="auto"/>
                <w:kern w:val="2"/>
                <w:sz w:val="21"/>
                <w:szCs w:val="20"/>
                <w:lang w:val="en-US" w:eastAsia="zh-CN" w:bidi="ar-SA"/>
              </w:rPr>
              <w:t>车间通风、定期喷洒除臭剂、污泥脱水后使用封闭包装袋打包后暂存，及时清运</w:t>
            </w:r>
          </w:p>
        </w:tc>
        <w:tc>
          <w:tcPr>
            <w:tcW w:w="1697" w:type="pct"/>
            <w:tcBorders>
              <w:tl2br w:val="nil"/>
              <w:tr2bl w:val="nil"/>
            </w:tcBorders>
            <w:shd w:val="clear" w:color="auto" w:fill="auto"/>
            <w:vAlign w:val="center"/>
          </w:tcPr>
          <w:p w14:paraId="31937303">
            <w:pPr>
              <w:pStyle w:val="40"/>
              <w:keepNext w:val="0"/>
              <w:keepLines w:val="0"/>
              <w:suppressLineNumbers w:val="0"/>
              <w:spacing w:before="33" w:beforeAutospacing="0" w:after="33" w:afterAutospacing="0"/>
              <w:ind w:left="24" w:leftChars="10" w:right="24" w:rightChars="10" w:firstLine="0" w:firstLineChars="0"/>
              <w:rPr>
                <w:rFonts w:hint="eastAsia" w:ascii="Times New Roman" w:hAnsi="Times New Roman" w:eastAsia="宋体" w:cs="Times New Roman"/>
                <w:color w:val="auto"/>
                <w:spacing w:val="-2"/>
                <w:kern w:val="2"/>
                <w:sz w:val="21"/>
                <w:szCs w:val="18"/>
                <w:lang w:val="en-US" w:eastAsia="zh-CN" w:bidi="ar-SA"/>
              </w:rPr>
            </w:pPr>
            <w:r>
              <w:rPr>
                <w:rFonts w:hint="eastAsia" w:ascii="Calibri" w:hAnsi="Calibri" w:eastAsia="宋体" w:cs="Times New Roman"/>
                <w:b w:val="0"/>
                <w:bCs w:val="0"/>
                <w:color w:val="auto"/>
                <w:kern w:val="2"/>
                <w:sz w:val="21"/>
                <w:szCs w:val="20"/>
                <w:lang w:val="en-US" w:eastAsia="zh-CN" w:bidi="ar-SA"/>
              </w:rPr>
              <w:t>《恶臭污染物排放标准》（GB14554-93</w:t>
            </w:r>
            <w:r>
              <w:rPr>
                <w:rFonts w:hint="eastAsia" w:ascii="Calibri" w:hAnsi="Calibri" w:cs="Times New Roman"/>
                <w:b w:val="0"/>
                <w:bCs w:val="0"/>
                <w:color w:val="auto"/>
                <w:kern w:val="2"/>
                <w:sz w:val="21"/>
                <w:szCs w:val="20"/>
                <w:lang w:val="en-US" w:eastAsia="zh-CN" w:bidi="ar-SA"/>
              </w:rPr>
              <w:t>）</w:t>
            </w:r>
            <w:r>
              <w:rPr>
                <w:rFonts w:hint="eastAsia" w:ascii="Calibri" w:hAnsi="Calibri" w:eastAsia="宋体" w:cs="Times New Roman"/>
                <w:b w:val="0"/>
                <w:bCs w:val="0"/>
                <w:color w:val="auto"/>
                <w:kern w:val="2"/>
                <w:sz w:val="21"/>
                <w:szCs w:val="20"/>
                <w:lang w:val="en-US" w:eastAsia="zh-CN" w:bidi="ar-SA"/>
              </w:rPr>
              <w:t>表1排放限值</w:t>
            </w:r>
          </w:p>
        </w:tc>
      </w:tr>
      <w:tr w14:paraId="284EFF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6" w:hRule="atLeast"/>
          <w:jc w:val="center"/>
        </w:trPr>
        <w:tc>
          <w:tcPr>
            <w:tcW w:w="553" w:type="pct"/>
            <w:tcBorders>
              <w:tl2br w:val="nil"/>
              <w:tr2bl w:val="nil"/>
            </w:tcBorders>
            <w:vAlign w:val="center"/>
          </w:tcPr>
          <w:p w14:paraId="6D541D5D">
            <w:pPr>
              <w:pStyle w:val="40"/>
              <w:keepNext w:val="0"/>
              <w:keepLines w:val="0"/>
              <w:suppressLineNumbers w:val="0"/>
              <w:spacing w:before="33" w:beforeAutospacing="0" w:after="33" w:afterAutospacing="0"/>
              <w:rPr>
                <w:rFonts w:hint="default"/>
                <w:bCs/>
              </w:rPr>
            </w:pPr>
            <w:r>
              <w:rPr>
                <w:rFonts w:hint="eastAsia"/>
                <w:bCs/>
              </w:rPr>
              <w:t>地表水环境</w:t>
            </w:r>
          </w:p>
        </w:tc>
        <w:tc>
          <w:tcPr>
            <w:tcW w:w="698" w:type="pct"/>
            <w:tcBorders>
              <w:tl2br w:val="nil"/>
              <w:tr2bl w:val="nil"/>
            </w:tcBorders>
            <w:vAlign w:val="center"/>
          </w:tcPr>
          <w:p w14:paraId="0B46CDF6">
            <w:pPr>
              <w:pStyle w:val="40"/>
              <w:keepNext w:val="0"/>
              <w:keepLines w:val="0"/>
              <w:suppressLineNumbers w:val="0"/>
              <w:spacing w:before="33" w:beforeAutospacing="0" w:after="33" w:afterAutospacing="0"/>
              <w:rPr>
                <w:rFonts w:hint="default"/>
              </w:rPr>
            </w:pPr>
            <w:r>
              <w:rPr>
                <w:rFonts w:hint="eastAsia"/>
              </w:rPr>
              <w:t>/</w:t>
            </w:r>
          </w:p>
        </w:tc>
        <w:tc>
          <w:tcPr>
            <w:tcW w:w="755" w:type="pct"/>
            <w:tcBorders>
              <w:tl2br w:val="nil"/>
              <w:tr2bl w:val="nil"/>
            </w:tcBorders>
            <w:vAlign w:val="center"/>
          </w:tcPr>
          <w:p w14:paraId="0ED5431E">
            <w:pPr>
              <w:pStyle w:val="40"/>
              <w:keepNext w:val="0"/>
              <w:keepLines w:val="0"/>
              <w:suppressLineNumbers w:val="0"/>
              <w:spacing w:before="33" w:beforeAutospacing="0" w:after="33" w:afterAutospacing="0"/>
              <w:rPr>
                <w:rFonts w:hint="default"/>
              </w:rPr>
            </w:pPr>
            <w:r>
              <w:rPr>
                <w:rFonts w:hint="eastAsia"/>
              </w:rPr>
              <w:t>pH、</w:t>
            </w:r>
            <w:r>
              <w:rPr>
                <w:rFonts w:hint="default"/>
              </w:rPr>
              <w:t>COD、</w:t>
            </w:r>
            <w:r>
              <w:rPr>
                <w:rFonts w:hint="eastAsia"/>
              </w:rPr>
              <w:t>BOD</w:t>
            </w:r>
            <w:r>
              <w:rPr>
                <w:rFonts w:hint="eastAsia"/>
                <w:vertAlign w:val="subscript"/>
              </w:rPr>
              <w:t>5</w:t>
            </w:r>
            <w:r>
              <w:rPr>
                <w:rFonts w:hint="default"/>
              </w:rPr>
              <w:t>、SS、NH</w:t>
            </w:r>
            <w:r>
              <w:rPr>
                <w:rFonts w:hint="default"/>
                <w:vertAlign w:val="subscript"/>
              </w:rPr>
              <w:t>3</w:t>
            </w:r>
            <w:r>
              <w:rPr>
                <w:rFonts w:hint="default"/>
              </w:rPr>
              <w:t>-N</w:t>
            </w:r>
            <w:r>
              <w:rPr>
                <w:rFonts w:hint="eastAsia"/>
                <w:lang w:val="en-US" w:eastAsia="zh-CN"/>
              </w:rPr>
              <w:t>、TP、TN</w:t>
            </w:r>
            <w:r>
              <w:rPr>
                <w:rFonts w:hint="eastAsia"/>
              </w:rPr>
              <w:t>等</w:t>
            </w:r>
          </w:p>
        </w:tc>
        <w:tc>
          <w:tcPr>
            <w:tcW w:w="1294" w:type="pct"/>
            <w:tcBorders>
              <w:tl2br w:val="nil"/>
              <w:tr2bl w:val="nil"/>
            </w:tcBorders>
            <w:vAlign w:val="center"/>
          </w:tcPr>
          <w:p w14:paraId="3D7C9D2E">
            <w:pPr>
              <w:pStyle w:val="40"/>
              <w:keepNext w:val="0"/>
              <w:keepLines w:val="0"/>
              <w:suppressLineNumbers w:val="0"/>
              <w:spacing w:before="33" w:beforeAutospacing="0" w:after="33" w:afterAutospacing="0"/>
              <w:rPr>
                <w:rFonts w:hint="default"/>
                <w:lang w:val="en-US"/>
              </w:rPr>
            </w:pPr>
            <w:r>
              <w:rPr>
                <w:rFonts w:hint="eastAsia"/>
              </w:rPr>
              <w:t>生活污水</w:t>
            </w:r>
            <w:r>
              <w:rPr>
                <w:rFonts w:hint="default"/>
              </w:rPr>
              <w:t>经厂区化粪池</w:t>
            </w:r>
            <w:r>
              <w:rPr>
                <w:rFonts w:hint="eastAsia"/>
              </w:rPr>
              <w:t>预</w:t>
            </w:r>
            <w:r>
              <w:rPr>
                <w:rFonts w:hint="default"/>
              </w:rPr>
              <w:t>处理后</w:t>
            </w:r>
            <w:r>
              <w:rPr>
                <w:rFonts w:hint="eastAsia"/>
              </w:rPr>
              <w:t>接管淮南</w:t>
            </w:r>
            <w:r>
              <w:rPr>
                <w:rFonts w:hint="eastAsia"/>
                <w:lang w:val="en-US" w:eastAsia="zh-CN"/>
              </w:rPr>
              <w:t>首创环境八公山污水处理厂；破碎废水经絮凝沉淀池处理后回用于生产，不外排</w:t>
            </w:r>
          </w:p>
        </w:tc>
        <w:tc>
          <w:tcPr>
            <w:tcW w:w="1697" w:type="pct"/>
            <w:tcBorders>
              <w:tl2br w:val="nil"/>
              <w:tr2bl w:val="nil"/>
            </w:tcBorders>
            <w:vAlign w:val="center"/>
          </w:tcPr>
          <w:p w14:paraId="2E5BB7FC">
            <w:pPr>
              <w:pStyle w:val="40"/>
              <w:keepNext w:val="0"/>
              <w:keepLines w:val="0"/>
              <w:suppressLineNumbers w:val="0"/>
              <w:spacing w:before="33" w:beforeAutospacing="0" w:after="33" w:afterAutospacing="0"/>
              <w:rPr>
                <w:rFonts w:hint="default"/>
                <w:lang w:val="en-US"/>
              </w:rPr>
            </w:pPr>
            <w:r>
              <w:rPr>
                <w:rFonts w:hint="eastAsia"/>
                <w:lang w:val="en-US" w:eastAsia="zh-CN"/>
              </w:rPr>
              <w:t>生活污水执行</w:t>
            </w:r>
            <w:r>
              <w:rPr>
                <w:rFonts w:hint="eastAsia"/>
              </w:rPr>
              <w:t>淮南</w:t>
            </w:r>
            <w:r>
              <w:rPr>
                <w:rFonts w:hint="eastAsia"/>
                <w:lang w:val="en-US" w:eastAsia="zh-CN"/>
              </w:rPr>
              <w:t>首创八公山污水处理厂接管限值</w:t>
            </w:r>
          </w:p>
        </w:tc>
      </w:tr>
      <w:tr w14:paraId="58D5D5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3" w:type="pct"/>
            <w:vMerge w:val="restart"/>
            <w:tcBorders>
              <w:tl2br w:val="nil"/>
              <w:tr2bl w:val="nil"/>
            </w:tcBorders>
            <w:vAlign w:val="center"/>
          </w:tcPr>
          <w:p w14:paraId="23ECCD74">
            <w:pPr>
              <w:pStyle w:val="40"/>
              <w:keepNext w:val="0"/>
              <w:keepLines w:val="0"/>
              <w:suppressLineNumbers w:val="0"/>
              <w:spacing w:before="33" w:beforeAutospacing="0" w:after="33" w:afterAutospacing="0"/>
              <w:rPr>
                <w:rFonts w:hint="default"/>
                <w:bCs/>
              </w:rPr>
            </w:pPr>
            <w:r>
              <w:rPr>
                <w:rFonts w:hint="eastAsia"/>
                <w:bCs/>
              </w:rPr>
              <w:t>固体废物</w:t>
            </w:r>
          </w:p>
        </w:tc>
        <w:tc>
          <w:tcPr>
            <w:tcW w:w="698" w:type="pct"/>
            <w:tcBorders>
              <w:tl2br w:val="nil"/>
              <w:tr2bl w:val="nil"/>
            </w:tcBorders>
            <w:vAlign w:val="center"/>
          </w:tcPr>
          <w:p w14:paraId="2E3B84C2">
            <w:pPr>
              <w:pStyle w:val="27"/>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ascii="Calibri" w:hAnsi="Calibri" w:eastAsia="宋体" w:cs="Times New Roman"/>
                <w:color w:val="auto"/>
                <w:kern w:val="2"/>
                <w:sz w:val="21"/>
                <w:szCs w:val="20"/>
                <w:lang w:val="en-US" w:eastAsia="zh-CN" w:bidi="ar-SA"/>
              </w:rPr>
            </w:pPr>
            <w:r>
              <w:rPr>
                <w:rFonts w:hint="eastAsia" w:ascii="Calibri" w:hAnsi="Calibri" w:cs="Times New Roman"/>
                <w:color w:val="auto"/>
                <w:kern w:val="2"/>
                <w:sz w:val="21"/>
                <w:szCs w:val="20"/>
                <w:lang w:val="en-US" w:eastAsia="zh-CN" w:bidi="ar-SA"/>
              </w:rPr>
              <w:t>员工生活</w:t>
            </w:r>
          </w:p>
        </w:tc>
        <w:tc>
          <w:tcPr>
            <w:tcW w:w="755" w:type="pct"/>
            <w:tcBorders>
              <w:tl2br w:val="nil"/>
              <w:tr2bl w:val="nil"/>
            </w:tcBorders>
            <w:shd w:val="clear" w:color="auto" w:fill="auto"/>
            <w:vAlign w:val="center"/>
          </w:tcPr>
          <w:p w14:paraId="3BCC7C31">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生活垃圾</w:t>
            </w:r>
          </w:p>
        </w:tc>
        <w:tc>
          <w:tcPr>
            <w:tcW w:w="1294" w:type="pct"/>
            <w:tcBorders>
              <w:tl2br w:val="nil"/>
              <w:tr2bl w:val="nil"/>
            </w:tcBorders>
            <w:vAlign w:val="center"/>
          </w:tcPr>
          <w:p w14:paraId="2E63886F">
            <w:pPr>
              <w:pStyle w:val="40"/>
              <w:keepNext w:val="0"/>
              <w:keepLines w:val="0"/>
              <w:suppressLineNumbers w:val="0"/>
              <w:spacing w:before="33" w:beforeAutospacing="0" w:after="33" w:afterAutospacing="0"/>
              <w:rPr>
                <w:rFonts w:hint="default" w:eastAsia="宋体"/>
                <w:bCs/>
                <w:lang w:val="en-US" w:eastAsia="zh-CN"/>
              </w:rPr>
            </w:pPr>
            <w:r>
              <w:rPr>
                <w:rFonts w:hint="eastAsia"/>
                <w:color w:val="auto"/>
                <w:lang w:val="en-US" w:eastAsia="zh-CN"/>
              </w:rPr>
              <w:t>环卫定期清运</w:t>
            </w:r>
          </w:p>
        </w:tc>
        <w:tc>
          <w:tcPr>
            <w:tcW w:w="1697" w:type="pct"/>
            <w:vMerge w:val="restart"/>
            <w:tcBorders>
              <w:tl2br w:val="nil"/>
              <w:tr2bl w:val="nil"/>
            </w:tcBorders>
            <w:vAlign w:val="center"/>
          </w:tcPr>
          <w:p w14:paraId="692AFCF2">
            <w:pPr>
              <w:pStyle w:val="40"/>
              <w:keepNext w:val="0"/>
              <w:keepLines w:val="0"/>
              <w:suppressLineNumbers w:val="0"/>
              <w:spacing w:before="33" w:beforeAutospacing="0" w:after="33" w:afterAutospacing="0"/>
              <w:rPr>
                <w:rFonts w:hint="default"/>
                <w:bCs/>
              </w:rPr>
            </w:pPr>
            <w:r>
              <w:rPr>
                <w:rFonts w:hint="default"/>
              </w:rPr>
              <w:t>不对环境造成影响</w:t>
            </w:r>
          </w:p>
        </w:tc>
      </w:tr>
      <w:tr w14:paraId="01DA85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5" w:hRule="atLeast"/>
          <w:jc w:val="center"/>
        </w:trPr>
        <w:tc>
          <w:tcPr>
            <w:tcW w:w="553" w:type="pct"/>
            <w:vMerge w:val="continue"/>
            <w:tcBorders>
              <w:tl2br w:val="nil"/>
              <w:tr2bl w:val="nil"/>
            </w:tcBorders>
            <w:vAlign w:val="center"/>
          </w:tcPr>
          <w:p w14:paraId="10311D44">
            <w:pPr>
              <w:pStyle w:val="40"/>
              <w:keepNext w:val="0"/>
              <w:keepLines w:val="0"/>
              <w:suppressLineNumbers w:val="0"/>
              <w:spacing w:before="33" w:beforeAutospacing="0" w:after="33" w:afterAutospacing="0"/>
              <w:rPr>
                <w:rFonts w:hint="default"/>
                <w:bCs/>
              </w:rPr>
            </w:pPr>
          </w:p>
        </w:tc>
        <w:tc>
          <w:tcPr>
            <w:tcW w:w="698" w:type="pct"/>
            <w:vMerge w:val="restart"/>
            <w:tcBorders>
              <w:tl2br w:val="nil"/>
              <w:tr2bl w:val="nil"/>
            </w:tcBorders>
            <w:vAlign w:val="center"/>
          </w:tcPr>
          <w:p w14:paraId="71C633ED">
            <w:pPr>
              <w:pStyle w:val="27"/>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ascii="Calibri" w:hAnsi="Calibri" w:eastAsia="宋体" w:cs="Times New Roman"/>
                <w:color w:val="auto"/>
                <w:kern w:val="2"/>
                <w:sz w:val="21"/>
                <w:szCs w:val="20"/>
                <w:lang w:val="en-US" w:eastAsia="zh-CN" w:bidi="ar-SA"/>
              </w:rPr>
            </w:pPr>
            <w:r>
              <w:rPr>
                <w:rFonts w:hint="eastAsia" w:ascii="Calibri" w:hAnsi="Calibri" w:cs="Times New Roman"/>
                <w:color w:val="auto"/>
                <w:kern w:val="2"/>
                <w:sz w:val="21"/>
                <w:szCs w:val="20"/>
                <w:lang w:val="en-US" w:eastAsia="zh-CN" w:bidi="ar-SA"/>
              </w:rPr>
              <w:t>拆解</w:t>
            </w:r>
          </w:p>
        </w:tc>
        <w:tc>
          <w:tcPr>
            <w:tcW w:w="755" w:type="pct"/>
            <w:tcBorders>
              <w:tl2br w:val="nil"/>
              <w:tr2bl w:val="nil"/>
            </w:tcBorders>
            <w:shd w:val="clear" w:color="auto" w:fill="auto"/>
            <w:vAlign w:val="center"/>
          </w:tcPr>
          <w:p w14:paraId="4E6A6B95">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废电机</w:t>
            </w:r>
          </w:p>
        </w:tc>
        <w:tc>
          <w:tcPr>
            <w:tcW w:w="1294" w:type="pct"/>
            <w:vMerge w:val="restart"/>
            <w:tcBorders>
              <w:tl2br w:val="nil"/>
              <w:tr2bl w:val="nil"/>
            </w:tcBorders>
            <w:vAlign w:val="center"/>
          </w:tcPr>
          <w:p w14:paraId="4FBED023">
            <w:pPr>
              <w:pStyle w:val="40"/>
              <w:keepNext w:val="0"/>
              <w:keepLines w:val="0"/>
              <w:suppressLineNumbers w:val="0"/>
              <w:spacing w:before="33" w:beforeAutospacing="0" w:after="33" w:afterAutospacing="0"/>
              <w:rPr>
                <w:rFonts w:hint="eastAsia" w:eastAsia="宋体"/>
                <w:bCs/>
                <w:lang w:val="en-US" w:eastAsia="zh-CN"/>
              </w:rPr>
            </w:pPr>
            <w:r>
              <w:rPr>
                <w:rFonts w:hint="eastAsia"/>
                <w:bCs/>
                <w:lang w:val="en-US" w:eastAsia="zh-CN"/>
              </w:rPr>
              <w:t>外售</w:t>
            </w:r>
          </w:p>
        </w:tc>
        <w:tc>
          <w:tcPr>
            <w:tcW w:w="1697" w:type="pct"/>
            <w:vMerge w:val="continue"/>
            <w:tcBorders>
              <w:tl2br w:val="nil"/>
              <w:tr2bl w:val="nil"/>
            </w:tcBorders>
            <w:vAlign w:val="center"/>
          </w:tcPr>
          <w:p w14:paraId="3B7CE29F">
            <w:pPr>
              <w:pStyle w:val="40"/>
              <w:keepNext w:val="0"/>
              <w:keepLines w:val="0"/>
              <w:suppressLineNumbers w:val="0"/>
              <w:spacing w:before="33" w:beforeAutospacing="0" w:after="33" w:afterAutospacing="0"/>
              <w:rPr>
                <w:rFonts w:hint="default"/>
                <w:bCs/>
              </w:rPr>
            </w:pPr>
          </w:p>
        </w:tc>
      </w:tr>
      <w:tr w14:paraId="46699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3" w:type="pct"/>
            <w:vMerge w:val="continue"/>
            <w:tcBorders>
              <w:tl2br w:val="nil"/>
              <w:tr2bl w:val="nil"/>
            </w:tcBorders>
            <w:vAlign w:val="center"/>
          </w:tcPr>
          <w:p w14:paraId="615F2BAC">
            <w:pPr>
              <w:pStyle w:val="40"/>
              <w:keepNext w:val="0"/>
              <w:keepLines w:val="0"/>
              <w:suppressLineNumbers w:val="0"/>
              <w:spacing w:before="33" w:beforeAutospacing="0" w:after="33" w:afterAutospacing="0"/>
              <w:rPr>
                <w:rFonts w:hint="default"/>
                <w:bCs/>
              </w:rPr>
            </w:pPr>
          </w:p>
        </w:tc>
        <w:tc>
          <w:tcPr>
            <w:tcW w:w="698" w:type="pct"/>
            <w:vMerge w:val="continue"/>
            <w:tcBorders>
              <w:tl2br w:val="nil"/>
              <w:tr2bl w:val="nil"/>
            </w:tcBorders>
            <w:vAlign w:val="center"/>
          </w:tcPr>
          <w:p w14:paraId="1B5495D7">
            <w:pPr>
              <w:pStyle w:val="27"/>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ascii="Calibri" w:hAnsi="Calibri" w:eastAsia="宋体" w:cs="Times New Roman"/>
                <w:color w:val="auto"/>
                <w:kern w:val="2"/>
                <w:sz w:val="21"/>
                <w:szCs w:val="20"/>
                <w:lang w:val="en-US" w:eastAsia="zh-CN" w:bidi="ar-SA"/>
              </w:rPr>
            </w:pPr>
          </w:p>
        </w:tc>
        <w:tc>
          <w:tcPr>
            <w:tcW w:w="755" w:type="pct"/>
            <w:tcBorders>
              <w:tl2br w:val="nil"/>
              <w:tr2bl w:val="nil"/>
            </w:tcBorders>
            <w:shd w:val="clear" w:color="auto" w:fill="auto"/>
            <w:vAlign w:val="center"/>
          </w:tcPr>
          <w:p w14:paraId="3D57C1A6">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废钢铁件</w:t>
            </w:r>
          </w:p>
        </w:tc>
        <w:tc>
          <w:tcPr>
            <w:tcW w:w="1294" w:type="pct"/>
            <w:vMerge w:val="continue"/>
            <w:tcBorders>
              <w:tl2br w:val="nil"/>
              <w:tr2bl w:val="nil"/>
            </w:tcBorders>
            <w:vAlign w:val="center"/>
          </w:tcPr>
          <w:p w14:paraId="37CC3C6C">
            <w:pPr>
              <w:pStyle w:val="40"/>
              <w:keepNext w:val="0"/>
              <w:keepLines w:val="0"/>
              <w:suppressLineNumbers w:val="0"/>
              <w:spacing w:before="33" w:beforeAutospacing="0" w:after="33" w:afterAutospacing="0"/>
              <w:rPr>
                <w:rFonts w:hint="default"/>
                <w:bCs/>
              </w:rPr>
            </w:pPr>
          </w:p>
        </w:tc>
        <w:tc>
          <w:tcPr>
            <w:tcW w:w="1697" w:type="pct"/>
            <w:vMerge w:val="continue"/>
            <w:tcBorders>
              <w:tl2br w:val="nil"/>
              <w:tr2bl w:val="nil"/>
            </w:tcBorders>
            <w:vAlign w:val="center"/>
          </w:tcPr>
          <w:p w14:paraId="0C860AB3">
            <w:pPr>
              <w:pStyle w:val="40"/>
              <w:keepNext w:val="0"/>
              <w:keepLines w:val="0"/>
              <w:suppressLineNumbers w:val="0"/>
              <w:spacing w:before="33" w:beforeAutospacing="0" w:after="33" w:afterAutospacing="0"/>
              <w:rPr>
                <w:rFonts w:hint="default"/>
                <w:bCs/>
              </w:rPr>
            </w:pPr>
          </w:p>
        </w:tc>
      </w:tr>
      <w:tr w14:paraId="4FFEE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3" w:type="pct"/>
            <w:vMerge w:val="continue"/>
            <w:tcBorders>
              <w:tl2br w:val="nil"/>
              <w:tr2bl w:val="nil"/>
            </w:tcBorders>
            <w:vAlign w:val="center"/>
          </w:tcPr>
          <w:p w14:paraId="282C6583">
            <w:pPr>
              <w:pStyle w:val="40"/>
              <w:keepNext w:val="0"/>
              <w:keepLines w:val="0"/>
              <w:suppressLineNumbers w:val="0"/>
              <w:spacing w:before="33" w:beforeAutospacing="0" w:after="33" w:afterAutospacing="0"/>
              <w:rPr>
                <w:rFonts w:hint="default"/>
                <w:bCs/>
              </w:rPr>
            </w:pPr>
          </w:p>
        </w:tc>
        <w:tc>
          <w:tcPr>
            <w:tcW w:w="698" w:type="pct"/>
            <w:vMerge w:val="continue"/>
            <w:tcBorders>
              <w:tl2br w:val="nil"/>
              <w:tr2bl w:val="nil"/>
            </w:tcBorders>
            <w:vAlign w:val="center"/>
          </w:tcPr>
          <w:p w14:paraId="38C2C32C">
            <w:pPr>
              <w:pStyle w:val="27"/>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ascii="Calibri" w:hAnsi="Calibri" w:eastAsia="宋体" w:cs="Times New Roman"/>
                <w:color w:val="auto"/>
                <w:kern w:val="2"/>
                <w:sz w:val="21"/>
                <w:szCs w:val="20"/>
                <w:lang w:val="en-US" w:eastAsia="zh-CN" w:bidi="ar-SA"/>
              </w:rPr>
            </w:pPr>
          </w:p>
        </w:tc>
        <w:tc>
          <w:tcPr>
            <w:tcW w:w="755" w:type="pct"/>
            <w:tcBorders>
              <w:tl2br w:val="nil"/>
              <w:tr2bl w:val="nil"/>
            </w:tcBorders>
            <w:shd w:val="clear" w:color="auto" w:fill="auto"/>
            <w:vAlign w:val="center"/>
          </w:tcPr>
          <w:p w14:paraId="4AC08779">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废轮胎/密封件</w:t>
            </w:r>
          </w:p>
        </w:tc>
        <w:tc>
          <w:tcPr>
            <w:tcW w:w="1294" w:type="pct"/>
            <w:vMerge w:val="continue"/>
            <w:tcBorders>
              <w:tl2br w:val="nil"/>
              <w:tr2bl w:val="nil"/>
            </w:tcBorders>
            <w:vAlign w:val="center"/>
          </w:tcPr>
          <w:p w14:paraId="033C1B81">
            <w:pPr>
              <w:pStyle w:val="40"/>
              <w:keepNext w:val="0"/>
              <w:keepLines w:val="0"/>
              <w:suppressLineNumbers w:val="0"/>
              <w:spacing w:before="33" w:beforeAutospacing="0" w:after="33" w:afterAutospacing="0"/>
              <w:rPr>
                <w:rFonts w:hint="default"/>
                <w:bCs/>
              </w:rPr>
            </w:pPr>
          </w:p>
        </w:tc>
        <w:tc>
          <w:tcPr>
            <w:tcW w:w="1697" w:type="pct"/>
            <w:vMerge w:val="continue"/>
            <w:tcBorders>
              <w:tl2br w:val="nil"/>
              <w:tr2bl w:val="nil"/>
            </w:tcBorders>
            <w:vAlign w:val="center"/>
          </w:tcPr>
          <w:p w14:paraId="516917D7">
            <w:pPr>
              <w:pStyle w:val="40"/>
              <w:keepNext w:val="0"/>
              <w:keepLines w:val="0"/>
              <w:suppressLineNumbers w:val="0"/>
              <w:spacing w:before="33" w:beforeAutospacing="0" w:after="33" w:afterAutospacing="0"/>
              <w:rPr>
                <w:rFonts w:hint="default"/>
                <w:bCs/>
              </w:rPr>
            </w:pPr>
          </w:p>
        </w:tc>
      </w:tr>
      <w:tr w14:paraId="47FD9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3" w:type="pct"/>
            <w:vMerge w:val="continue"/>
            <w:tcBorders>
              <w:tl2br w:val="nil"/>
              <w:tr2bl w:val="nil"/>
            </w:tcBorders>
            <w:vAlign w:val="center"/>
          </w:tcPr>
          <w:p w14:paraId="4D44F93F">
            <w:pPr>
              <w:pStyle w:val="40"/>
              <w:keepNext w:val="0"/>
              <w:keepLines w:val="0"/>
              <w:suppressLineNumbers w:val="0"/>
              <w:spacing w:before="33" w:beforeAutospacing="0" w:after="33" w:afterAutospacing="0"/>
              <w:rPr>
                <w:rFonts w:hint="default"/>
                <w:bCs/>
              </w:rPr>
            </w:pPr>
          </w:p>
        </w:tc>
        <w:tc>
          <w:tcPr>
            <w:tcW w:w="698" w:type="pct"/>
            <w:vMerge w:val="continue"/>
            <w:tcBorders>
              <w:tl2br w:val="nil"/>
              <w:tr2bl w:val="nil"/>
            </w:tcBorders>
            <w:vAlign w:val="center"/>
          </w:tcPr>
          <w:p w14:paraId="4F3F6A70">
            <w:pPr>
              <w:pStyle w:val="27"/>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color w:val="auto"/>
                <w:lang w:val="en-US" w:eastAsia="zh-CN"/>
              </w:rPr>
            </w:pPr>
          </w:p>
        </w:tc>
        <w:tc>
          <w:tcPr>
            <w:tcW w:w="755" w:type="pct"/>
            <w:tcBorders>
              <w:tl2br w:val="nil"/>
              <w:tr2bl w:val="nil"/>
            </w:tcBorders>
            <w:shd w:val="clear" w:color="auto" w:fill="auto"/>
            <w:vAlign w:val="center"/>
          </w:tcPr>
          <w:p w14:paraId="28A0379E">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废塑料</w:t>
            </w:r>
          </w:p>
        </w:tc>
        <w:tc>
          <w:tcPr>
            <w:tcW w:w="1294" w:type="pct"/>
            <w:vMerge w:val="continue"/>
            <w:tcBorders>
              <w:tl2br w:val="nil"/>
              <w:tr2bl w:val="nil"/>
            </w:tcBorders>
            <w:vAlign w:val="center"/>
          </w:tcPr>
          <w:p w14:paraId="4A8786F4">
            <w:pPr>
              <w:pStyle w:val="40"/>
              <w:keepNext w:val="0"/>
              <w:keepLines w:val="0"/>
              <w:suppressLineNumbers w:val="0"/>
              <w:spacing w:before="33" w:beforeAutospacing="0" w:after="33" w:afterAutospacing="0"/>
              <w:rPr>
                <w:rFonts w:hint="default"/>
                <w:bCs/>
              </w:rPr>
            </w:pPr>
          </w:p>
        </w:tc>
        <w:tc>
          <w:tcPr>
            <w:tcW w:w="1697" w:type="pct"/>
            <w:vMerge w:val="continue"/>
            <w:tcBorders>
              <w:tl2br w:val="nil"/>
              <w:tr2bl w:val="nil"/>
            </w:tcBorders>
            <w:vAlign w:val="center"/>
          </w:tcPr>
          <w:p w14:paraId="7C959223">
            <w:pPr>
              <w:pStyle w:val="40"/>
              <w:keepNext w:val="0"/>
              <w:keepLines w:val="0"/>
              <w:suppressLineNumbers w:val="0"/>
              <w:spacing w:before="33" w:beforeAutospacing="0" w:after="33" w:afterAutospacing="0"/>
              <w:rPr>
                <w:rFonts w:hint="default"/>
                <w:bCs/>
              </w:rPr>
            </w:pPr>
          </w:p>
        </w:tc>
      </w:tr>
      <w:tr w14:paraId="0BD7A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3" w:type="pct"/>
            <w:vMerge w:val="continue"/>
            <w:tcBorders>
              <w:tl2br w:val="nil"/>
              <w:tr2bl w:val="nil"/>
            </w:tcBorders>
            <w:vAlign w:val="center"/>
          </w:tcPr>
          <w:p w14:paraId="00923F59">
            <w:pPr>
              <w:pStyle w:val="40"/>
              <w:keepNext w:val="0"/>
              <w:keepLines w:val="0"/>
              <w:suppressLineNumbers w:val="0"/>
              <w:spacing w:before="33" w:beforeAutospacing="0" w:after="33" w:afterAutospacing="0"/>
              <w:rPr>
                <w:rFonts w:hint="default"/>
                <w:bCs/>
              </w:rPr>
            </w:pPr>
          </w:p>
        </w:tc>
        <w:tc>
          <w:tcPr>
            <w:tcW w:w="698" w:type="pct"/>
            <w:vMerge w:val="continue"/>
            <w:tcBorders>
              <w:tl2br w:val="nil"/>
              <w:tr2bl w:val="nil"/>
            </w:tcBorders>
            <w:vAlign w:val="center"/>
          </w:tcPr>
          <w:p w14:paraId="25366A6A">
            <w:pPr>
              <w:pStyle w:val="27"/>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ascii="Calibri" w:hAnsi="Calibri" w:eastAsia="宋体" w:cs="Times New Roman"/>
                <w:color w:val="auto"/>
                <w:kern w:val="2"/>
                <w:sz w:val="21"/>
                <w:szCs w:val="20"/>
                <w:lang w:val="en-US" w:eastAsia="zh-CN" w:bidi="ar-SA"/>
              </w:rPr>
            </w:pPr>
          </w:p>
        </w:tc>
        <w:tc>
          <w:tcPr>
            <w:tcW w:w="755" w:type="pct"/>
            <w:tcBorders>
              <w:tl2br w:val="nil"/>
              <w:tr2bl w:val="nil"/>
            </w:tcBorders>
            <w:shd w:val="clear" w:color="auto" w:fill="auto"/>
            <w:vAlign w:val="center"/>
          </w:tcPr>
          <w:p w14:paraId="571F86C7">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废电线</w:t>
            </w:r>
          </w:p>
        </w:tc>
        <w:tc>
          <w:tcPr>
            <w:tcW w:w="1294" w:type="pct"/>
            <w:vMerge w:val="continue"/>
            <w:tcBorders>
              <w:tl2br w:val="nil"/>
              <w:tr2bl w:val="nil"/>
            </w:tcBorders>
            <w:vAlign w:val="center"/>
          </w:tcPr>
          <w:p w14:paraId="2982EB7F">
            <w:pPr>
              <w:pStyle w:val="40"/>
              <w:keepNext w:val="0"/>
              <w:keepLines w:val="0"/>
              <w:suppressLineNumbers w:val="0"/>
              <w:spacing w:before="33" w:beforeAutospacing="0" w:after="33" w:afterAutospacing="0"/>
              <w:rPr>
                <w:rFonts w:hint="default"/>
                <w:bCs/>
              </w:rPr>
            </w:pPr>
          </w:p>
        </w:tc>
        <w:tc>
          <w:tcPr>
            <w:tcW w:w="1697" w:type="pct"/>
            <w:vMerge w:val="continue"/>
            <w:tcBorders>
              <w:tl2br w:val="nil"/>
              <w:tr2bl w:val="nil"/>
            </w:tcBorders>
            <w:vAlign w:val="center"/>
          </w:tcPr>
          <w:p w14:paraId="6089C2C7">
            <w:pPr>
              <w:pStyle w:val="40"/>
              <w:keepNext w:val="0"/>
              <w:keepLines w:val="0"/>
              <w:suppressLineNumbers w:val="0"/>
              <w:spacing w:before="33" w:beforeAutospacing="0" w:after="33" w:afterAutospacing="0"/>
              <w:rPr>
                <w:rFonts w:hint="default"/>
                <w:bCs/>
              </w:rPr>
            </w:pPr>
          </w:p>
        </w:tc>
      </w:tr>
      <w:tr w14:paraId="327B8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64" w:hRule="atLeast"/>
          <w:jc w:val="center"/>
        </w:trPr>
        <w:tc>
          <w:tcPr>
            <w:tcW w:w="553" w:type="pct"/>
            <w:vMerge w:val="continue"/>
            <w:tcBorders>
              <w:tl2br w:val="nil"/>
              <w:tr2bl w:val="nil"/>
            </w:tcBorders>
            <w:vAlign w:val="center"/>
          </w:tcPr>
          <w:p w14:paraId="1FB381C6">
            <w:pPr>
              <w:pStyle w:val="40"/>
              <w:keepNext w:val="0"/>
              <w:keepLines w:val="0"/>
              <w:suppressLineNumbers w:val="0"/>
              <w:spacing w:before="33" w:beforeAutospacing="0" w:after="33" w:afterAutospacing="0"/>
              <w:rPr>
                <w:rFonts w:hint="default"/>
                <w:bCs/>
              </w:rPr>
            </w:pPr>
          </w:p>
        </w:tc>
        <w:tc>
          <w:tcPr>
            <w:tcW w:w="698" w:type="pct"/>
            <w:vMerge w:val="continue"/>
            <w:tcBorders>
              <w:tl2br w:val="nil"/>
              <w:tr2bl w:val="nil"/>
            </w:tcBorders>
            <w:vAlign w:val="center"/>
          </w:tcPr>
          <w:p w14:paraId="7315C808">
            <w:pPr>
              <w:pStyle w:val="27"/>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ascii="Calibri" w:hAnsi="Calibri" w:eastAsia="宋体" w:cs="Times New Roman"/>
                <w:color w:val="auto"/>
                <w:kern w:val="2"/>
                <w:sz w:val="21"/>
                <w:szCs w:val="20"/>
                <w:lang w:val="en-US" w:eastAsia="zh-CN" w:bidi="ar-SA"/>
              </w:rPr>
            </w:pPr>
          </w:p>
        </w:tc>
        <w:tc>
          <w:tcPr>
            <w:tcW w:w="755" w:type="pct"/>
            <w:tcBorders>
              <w:tl2br w:val="nil"/>
              <w:tr2bl w:val="nil"/>
            </w:tcBorders>
            <w:shd w:val="clear" w:color="auto" w:fill="auto"/>
            <w:vAlign w:val="center"/>
          </w:tcPr>
          <w:p w14:paraId="29E3C613">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废玻璃</w:t>
            </w:r>
          </w:p>
        </w:tc>
        <w:tc>
          <w:tcPr>
            <w:tcW w:w="1294" w:type="pct"/>
            <w:vMerge w:val="continue"/>
            <w:tcBorders>
              <w:tl2br w:val="nil"/>
              <w:tr2bl w:val="nil"/>
            </w:tcBorders>
            <w:vAlign w:val="center"/>
          </w:tcPr>
          <w:p w14:paraId="5967D727">
            <w:pPr>
              <w:pStyle w:val="40"/>
              <w:keepNext w:val="0"/>
              <w:keepLines w:val="0"/>
              <w:suppressLineNumbers w:val="0"/>
              <w:spacing w:before="33" w:beforeAutospacing="0" w:after="33" w:afterAutospacing="0"/>
              <w:rPr>
                <w:rFonts w:hint="default"/>
                <w:bCs/>
              </w:rPr>
            </w:pPr>
          </w:p>
        </w:tc>
        <w:tc>
          <w:tcPr>
            <w:tcW w:w="1697" w:type="pct"/>
            <w:vMerge w:val="continue"/>
            <w:tcBorders>
              <w:tl2br w:val="nil"/>
              <w:tr2bl w:val="nil"/>
            </w:tcBorders>
            <w:vAlign w:val="center"/>
          </w:tcPr>
          <w:p w14:paraId="42C1C678">
            <w:pPr>
              <w:pStyle w:val="40"/>
              <w:keepNext w:val="0"/>
              <w:keepLines w:val="0"/>
              <w:suppressLineNumbers w:val="0"/>
              <w:spacing w:before="33" w:beforeAutospacing="0" w:after="33" w:afterAutospacing="0"/>
              <w:rPr>
                <w:rFonts w:hint="default"/>
                <w:bCs/>
              </w:rPr>
            </w:pPr>
          </w:p>
        </w:tc>
      </w:tr>
      <w:tr w14:paraId="57626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3" w:type="pct"/>
            <w:vMerge w:val="continue"/>
            <w:tcBorders>
              <w:tl2br w:val="nil"/>
              <w:tr2bl w:val="nil"/>
            </w:tcBorders>
            <w:vAlign w:val="center"/>
          </w:tcPr>
          <w:p w14:paraId="6EFAA197">
            <w:pPr>
              <w:pStyle w:val="40"/>
              <w:keepNext w:val="0"/>
              <w:keepLines w:val="0"/>
              <w:suppressLineNumbers w:val="0"/>
              <w:spacing w:before="33" w:beforeAutospacing="0" w:after="33" w:afterAutospacing="0"/>
              <w:rPr>
                <w:rFonts w:hint="default"/>
                <w:bCs/>
              </w:rPr>
            </w:pPr>
          </w:p>
        </w:tc>
        <w:tc>
          <w:tcPr>
            <w:tcW w:w="698" w:type="pct"/>
            <w:vMerge w:val="continue"/>
            <w:tcBorders>
              <w:tl2br w:val="nil"/>
              <w:tr2bl w:val="nil"/>
            </w:tcBorders>
            <w:vAlign w:val="center"/>
          </w:tcPr>
          <w:p w14:paraId="29F1D7D7">
            <w:pPr>
              <w:pStyle w:val="27"/>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eastAsia" w:ascii="Calibri" w:hAnsi="Calibri" w:eastAsia="宋体" w:cs="Times New Roman"/>
                <w:color w:val="auto"/>
                <w:kern w:val="2"/>
                <w:sz w:val="21"/>
                <w:szCs w:val="20"/>
                <w:lang w:val="en-US" w:eastAsia="zh-CN" w:bidi="ar-SA"/>
              </w:rPr>
            </w:pPr>
          </w:p>
        </w:tc>
        <w:tc>
          <w:tcPr>
            <w:tcW w:w="755" w:type="pct"/>
            <w:tcBorders>
              <w:tl2br w:val="nil"/>
              <w:tr2bl w:val="nil"/>
            </w:tcBorders>
            <w:shd w:val="clear" w:color="auto" w:fill="auto"/>
            <w:vAlign w:val="center"/>
          </w:tcPr>
          <w:p w14:paraId="1C5F754E">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废皮布制品</w:t>
            </w:r>
          </w:p>
        </w:tc>
        <w:tc>
          <w:tcPr>
            <w:tcW w:w="1294" w:type="pct"/>
            <w:vMerge w:val="continue"/>
            <w:tcBorders>
              <w:tl2br w:val="nil"/>
              <w:tr2bl w:val="nil"/>
            </w:tcBorders>
            <w:vAlign w:val="center"/>
          </w:tcPr>
          <w:p w14:paraId="1E38E449">
            <w:pPr>
              <w:pStyle w:val="40"/>
              <w:keepNext w:val="0"/>
              <w:keepLines w:val="0"/>
              <w:suppressLineNumbers w:val="0"/>
              <w:spacing w:before="33" w:beforeAutospacing="0" w:after="33" w:afterAutospacing="0"/>
              <w:rPr>
                <w:rFonts w:hint="default"/>
                <w:bCs/>
              </w:rPr>
            </w:pPr>
          </w:p>
        </w:tc>
        <w:tc>
          <w:tcPr>
            <w:tcW w:w="1697" w:type="pct"/>
            <w:vMerge w:val="continue"/>
            <w:tcBorders>
              <w:tl2br w:val="nil"/>
              <w:tr2bl w:val="nil"/>
            </w:tcBorders>
            <w:vAlign w:val="center"/>
          </w:tcPr>
          <w:p w14:paraId="734F8967">
            <w:pPr>
              <w:pStyle w:val="40"/>
              <w:keepNext w:val="0"/>
              <w:keepLines w:val="0"/>
              <w:suppressLineNumbers w:val="0"/>
              <w:spacing w:before="33" w:beforeAutospacing="0" w:after="33" w:afterAutospacing="0"/>
              <w:rPr>
                <w:rFonts w:hint="default"/>
                <w:bCs/>
              </w:rPr>
            </w:pPr>
          </w:p>
        </w:tc>
      </w:tr>
      <w:tr w14:paraId="15CB5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3" w:type="pct"/>
            <w:vMerge w:val="continue"/>
            <w:tcBorders>
              <w:tl2br w:val="nil"/>
              <w:tr2bl w:val="nil"/>
            </w:tcBorders>
            <w:vAlign w:val="center"/>
          </w:tcPr>
          <w:p w14:paraId="3915D6EF">
            <w:pPr>
              <w:pStyle w:val="40"/>
              <w:keepNext w:val="0"/>
              <w:keepLines w:val="0"/>
              <w:suppressLineNumbers w:val="0"/>
              <w:spacing w:before="33" w:beforeAutospacing="0" w:after="33" w:afterAutospacing="0"/>
              <w:rPr>
                <w:rFonts w:hint="default"/>
                <w:bCs/>
              </w:rPr>
            </w:pPr>
          </w:p>
        </w:tc>
        <w:tc>
          <w:tcPr>
            <w:tcW w:w="698" w:type="pct"/>
            <w:vMerge w:val="continue"/>
            <w:tcBorders>
              <w:tl2br w:val="nil"/>
              <w:tr2bl w:val="nil"/>
            </w:tcBorders>
            <w:vAlign w:val="center"/>
          </w:tcPr>
          <w:p w14:paraId="7ADD4702">
            <w:pPr>
              <w:pStyle w:val="27"/>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ascii="Calibri" w:hAnsi="Calibri" w:eastAsia="宋体" w:cs="Times New Roman"/>
                <w:color w:val="auto"/>
                <w:kern w:val="2"/>
                <w:sz w:val="21"/>
                <w:szCs w:val="20"/>
                <w:lang w:val="en-US" w:eastAsia="zh-CN" w:bidi="ar-SA"/>
              </w:rPr>
            </w:pPr>
          </w:p>
        </w:tc>
        <w:tc>
          <w:tcPr>
            <w:tcW w:w="755" w:type="pct"/>
            <w:tcBorders>
              <w:tl2br w:val="nil"/>
              <w:tr2bl w:val="nil"/>
            </w:tcBorders>
            <w:shd w:val="clear" w:color="auto" w:fill="auto"/>
            <w:vAlign w:val="center"/>
          </w:tcPr>
          <w:p w14:paraId="7BACB4D7">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锂电池</w:t>
            </w:r>
          </w:p>
        </w:tc>
        <w:tc>
          <w:tcPr>
            <w:tcW w:w="1294" w:type="pct"/>
            <w:vMerge w:val="continue"/>
            <w:tcBorders>
              <w:tl2br w:val="nil"/>
              <w:tr2bl w:val="nil"/>
            </w:tcBorders>
            <w:vAlign w:val="center"/>
          </w:tcPr>
          <w:p w14:paraId="428AEEE4">
            <w:pPr>
              <w:pStyle w:val="40"/>
              <w:keepNext w:val="0"/>
              <w:keepLines w:val="0"/>
              <w:suppressLineNumbers w:val="0"/>
              <w:spacing w:before="33" w:beforeAutospacing="0" w:after="33" w:afterAutospacing="0"/>
              <w:rPr>
                <w:rFonts w:hint="default"/>
                <w:bCs/>
              </w:rPr>
            </w:pPr>
          </w:p>
        </w:tc>
        <w:tc>
          <w:tcPr>
            <w:tcW w:w="1697" w:type="pct"/>
            <w:vMerge w:val="continue"/>
            <w:tcBorders>
              <w:tl2br w:val="nil"/>
              <w:tr2bl w:val="nil"/>
            </w:tcBorders>
            <w:vAlign w:val="center"/>
          </w:tcPr>
          <w:p w14:paraId="7F53BAD2">
            <w:pPr>
              <w:pStyle w:val="40"/>
              <w:keepNext w:val="0"/>
              <w:keepLines w:val="0"/>
              <w:suppressLineNumbers w:val="0"/>
              <w:spacing w:before="33" w:beforeAutospacing="0" w:after="33" w:afterAutospacing="0"/>
              <w:rPr>
                <w:rFonts w:hint="default"/>
                <w:bCs/>
              </w:rPr>
            </w:pPr>
          </w:p>
        </w:tc>
      </w:tr>
      <w:tr w14:paraId="0260E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3" w:type="pct"/>
            <w:vMerge w:val="continue"/>
            <w:tcBorders>
              <w:tl2br w:val="nil"/>
              <w:tr2bl w:val="nil"/>
            </w:tcBorders>
            <w:vAlign w:val="center"/>
          </w:tcPr>
          <w:p w14:paraId="74308AEA">
            <w:pPr>
              <w:pStyle w:val="40"/>
              <w:keepNext w:val="0"/>
              <w:keepLines w:val="0"/>
              <w:suppressLineNumbers w:val="0"/>
              <w:spacing w:before="33" w:beforeAutospacing="0" w:after="33" w:afterAutospacing="0"/>
              <w:rPr>
                <w:rFonts w:hint="default"/>
                <w:bCs/>
              </w:rPr>
            </w:pPr>
          </w:p>
        </w:tc>
        <w:tc>
          <w:tcPr>
            <w:tcW w:w="698" w:type="pct"/>
            <w:tcBorders>
              <w:tl2br w:val="nil"/>
              <w:tr2bl w:val="nil"/>
            </w:tcBorders>
            <w:vAlign w:val="center"/>
          </w:tcPr>
          <w:p w14:paraId="762B4702">
            <w:pPr>
              <w:pStyle w:val="27"/>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ascii="Calibri" w:hAnsi="Calibri" w:eastAsia="宋体" w:cs="Times New Roman"/>
                <w:color w:val="auto"/>
                <w:kern w:val="2"/>
                <w:sz w:val="21"/>
                <w:szCs w:val="20"/>
                <w:lang w:val="en-US" w:eastAsia="zh-CN" w:bidi="ar-SA"/>
              </w:rPr>
            </w:pPr>
            <w:r>
              <w:rPr>
                <w:rFonts w:hint="eastAsia" w:ascii="Calibri" w:hAnsi="Calibri" w:cs="Times New Roman"/>
                <w:color w:val="auto"/>
                <w:kern w:val="2"/>
                <w:sz w:val="21"/>
                <w:szCs w:val="20"/>
                <w:lang w:val="en-US" w:eastAsia="zh-CN" w:bidi="ar-SA"/>
              </w:rPr>
              <w:t>破碎</w:t>
            </w:r>
          </w:p>
        </w:tc>
        <w:tc>
          <w:tcPr>
            <w:tcW w:w="755" w:type="pct"/>
            <w:tcBorders>
              <w:tl2br w:val="nil"/>
              <w:tr2bl w:val="nil"/>
            </w:tcBorders>
            <w:shd w:val="clear" w:color="auto" w:fill="auto"/>
            <w:vAlign w:val="center"/>
          </w:tcPr>
          <w:p w14:paraId="1B023BA8">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废滤网刀片</w:t>
            </w:r>
          </w:p>
        </w:tc>
        <w:tc>
          <w:tcPr>
            <w:tcW w:w="1294" w:type="pct"/>
            <w:vMerge w:val="continue"/>
            <w:tcBorders>
              <w:tl2br w:val="nil"/>
              <w:tr2bl w:val="nil"/>
            </w:tcBorders>
            <w:vAlign w:val="center"/>
          </w:tcPr>
          <w:p w14:paraId="171AD76E">
            <w:pPr>
              <w:pStyle w:val="40"/>
              <w:keepNext w:val="0"/>
              <w:keepLines w:val="0"/>
              <w:suppressLineNumbers w:val="0"/>
              <w:spacing w:before="33" w:beforeAutospacing="0" w:after="33" w:afterAutospacing="0"/>
              <w:rPr>
                <w:rFonts w:hint="default"/>
                <w:bCs/>
              </w:rPr>
            </w:pPr>
          </w:p>
        </w:tc>
        <w:tc>
          <w:tcPr>
            <w:tcW w:w="1697" w:type="pct"/>
            <w:vMerge w:val="continue"/>
            <w:tcBorders>
              <w:tl2br w:val="nil"/>
              <w:tr2bl w:val="nil"/>
            </w:tcBorders>
            <w:vAlign w:val="center"/>
          </w:tcPr>
          <w:p w14:paraId="060C2D52">
            <w:pPr>
              <w:pStyle w:val="40"/>
              <w:keepNext w:val="0"/>
              <w:keepLines w:val="0"/>
              <w:suppressLineNumbers w:val="0"/>
              <w:spacing w:before="33" w:beforeAutospacing="0" w:after="33" w:afterAutospacing="0"/>
              <w:rPr>
                <w:rFonts w:hint="default"/>
                <w:bCs/>
              </w:rPr>
            </w:pPr>
          </w:p>
        </w:tc>
      </w:tr>
      <w:tr w14:paraId="025CC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3" w:type="pct"/>
            <w:vMerge w:val="continue"/>
            <w:tcBorders>
              <w:tl2br w:val="nil"/>
              <w:tr2bl w:val="nil"/>
            </w:tcBorders>
            <w:vAlign w:val="center"/>
          </w:tcPr>
          <w:p w14:paraId="48EEBFAC">
            <w:pPr>
              <w:pStyle w:val="40"/>
              <w:keepNext w:val="0"/>
              <w:keepLines w:val="0"/>
              <w:suppressLineNumbers w:val="0"/>
              <w:spacing w:before="33" w:beforeAutospacing="0" w:after="33" w:afterAutospacing="0"/>
              <w:rPr>
                <w:rFonts w:hint="default"/>
                <w:bCs/>
              </w:rPr>
            </w:pPr>
          </w:p>
        </w:tc>
        <w:tc>
          <w:tcPr>
            <w:tcW w:w="698" w:type="pct"/>
            <w:vMerge w:val="restart"/>
            <w:tcBorders>
              <w:tl2br w:val="nil"/>
              <w:tr2bl w:val="nil"/>
            </w:tcBorders>
            <w:vAlign w:val="center"/>
          </w:tcPr>
          <w:p w14:paraId="7AE96954">
            <w:pPr>
              <w:pStyle w:val="27"/>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color w:val="auto"/>
                <w:lang w:val="en-US" w:eastAsia="zh-CN"/>
              </w:rPr>
            </w:pPr>
            <w:r>
              <w:rPr>
                <w:rFonts w:hint="eastAsia"/>
                <w:color w:val="auto"/>
                <w:lang w:val="en-US" w:eastAsia="zh-CN"/>
              </w:rPr>
              <w:t>废气治理</w:t>
            </w:r>
          </w:p>
        </w:tc>
        <w:tc>
          <w:tcPr>
            <w:tcW w:w="755" w:type="pct"/>
            <w:tcBorders>
              <w:tl2br w:val="nil"/>
              <w:tr2bl w:val="nil"/>
            </w:tcBorders>
            <w:shd w:val="clear" w:color="auto" w:fill="auto"/>
            <w:vAlign w:val="center"/>
          </w:tcPr>
          <w:p w14:paraId="2C5B0004">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除尘灰</w:t>
            </w:r>
          </w:p>
        </w:tc>
        <w:tc>
          <w:tcPr>
            <w:tcW w:w="1294" w:type="pct"/>
            <w:vMerge w:val="continue"/>
            <w:tcBorders>
              <w:tl2br w:val="nil"/>
              <w:tr2bl w:val="nil"/>
            </w:tcBorders>
            <w:vAlign w:val="center"/>
          </w:tcPr>
          <w:p w14:paraId="59122406">
            <w:pPr>
              <w:pStyle w:val="40"/>
              <w:keepNext w:val="0"/>
              <w:keepLines w:val="0"/>
              <w:suppressLineNumbers w:val="0"/>
              <w:spacing w:before="33" w:beforeAutospacing="0" w:after="33" w:afterAutospacing="0"/>
              <w:rPr>
                <w:rFonts w:hint="default"/>
                <w:bCs/>
              </w:rPr>
            </w:pPr>
          </w:p>
        </w:tc>
        <w:tc>
          <w:tcPr>
            <w:tcW w:w="1697" w:type="pct"/>
            <w:vMerge w:val="continue"/>
            <w:tcBorders>
              <w:tl2br w:val="nil"/>
              <w:tr2bl w:val="nil"/>
            </w:tcBorders>
            <w:vAlign w:val="center"/>
          </w:tcPr>
          <w:p w14:paraId="504B5636">
            <w:pPr>
              <w:pStyle w:val="40"/>
              <w:keepNext w:val="0"/>
              <w:keepLines w:val="0"/>
              <w:suppressLineNumbers w:val="0"/>
              <w:spacing w:before="33" w:beforeAutospacing="0" w:after="33" w:afterAutospacing="0"/>
              <w:rPr>
                <w:rFonts w:hint="default"/>
                <w:bCs/>
              </w:rPr>
            </w:pPr>
          </w:p>
        </w:tc>
      </w:tr>
      <w:tr w14:paraId="0F748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3" w:type="pct"/>
            <w:vMerge w:val="continue"/>
            <w:tcBorders>
              <w:tl2br w:val="nil"/>
              <w:tr2bl w:val="nil"/>
            </w:tcBorders>
            <w:vAlign w:val="center"/>
          </w:tcPr>
          <w:p w14:paraId="480C955B">
            <w:pPr>
              <w:pStyle w:val="40"/>
              <w:keepNext w:val="0"/>
              <w:keepLines w:val="0"/>
              <w:suppressLineNumbers w:val="0"/>
              <w:spacing w:before="33" w:beforeAutospacing="0" w:after="33" w:afterAutospacing="0"/>
              <w:rPr>
                <w:rFonts w:hint="default"/>
                <w:bCs/>
              </w:rPr>
            </w:pPr>
          </w:p>
        </w:tc>
        <w:tc>
          <w:tcPr>
            <w:tcW w:w="698" w:type="pct"/>
            <w:vMerge w:val="continue"/>
            <w:tcBorders>
              <w:tl2br w:val="nil"/>
              <w:tr2bl w:val="nil"/>
            </w:tcBorders>
            <w:vAlign w:val="center"/>
          </w:tcPr>
          <w:p w14:paraId="23D4576A">
            <w:pPr>
              <w:pStyle w:val="27"/>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eastAsia"/>
                <w:color w:val="auto"/>
                <w:lang w:val="en-US" w:eastAsia="zh-CN"/>
              </w:rPr>
            </w:pPr>
          </w:p>
        </w:tc>
        <w:tc>
          <w:tcPr>
            <w:tcW w:w="755" w:type="pct"/>
            <w:tcBorders>
              <w:tl2br w:val="nil"/>
              <w:tr2bl w:val="nil"/>
            </w:tcBorders>
            <w:shd w:val="clear" w:color="auto" w:fill="auto"/>
            <w:vAlign w:val="center"/>
          </w:tcPr>
          <w:p w14:paraId="3F1F7AF4">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废布袋</w:t>
            </w:r>
          </w:p>
        </w:tc>
        <w:tc>
          <w:tcPr>
            <w:tcW w:w="1294" w:type="pct"/>
            <w:vMerge w:val="continue"/>
            <w:tcBorders>
              <w:tl2br w:val="nil"/>
              <w:tr2bl w:val="nil"/>
            </w:tcBorders>
            <w:vAlign w:val="center"/>
          </w:tcPr>
          <w:p w14:paraId="7BF1F1DA">
            <w:pPr>
              <w:pStyle w:val="40"/>
              <w:keepNext w:val="0"/>
              <w:keepLines w:val="0"/>
              <w:suppressLineNumbers w:val="0"/>
              <w:spacing w:before="33" w:beforeAutospacing="0" w:after="33" w:afterAutospacing="0"/>
              <w:rPr>
                <w:rFonts w:hint="default"/>
                <w:bCs/>
              </w:rPr>
            </w:pPr>
          </w:p>
        </w:tc>
        <w:tc>
          <w:tcPr>
            <w:tcW w:w="1697" w:type="pct"/>
            <w:vMerge w:val="continue"/>
            <w:tcBorders>
              <w:tl2br w:val="nil"/>
              <w:tr2bl w:val="nil"/>
            </w:tcBorders>
            <w:vAlign w:val="center"/>
          </w:tcPr>
          <w:p w14:paraId="4FF6A1AC">
            <w:pPr>
              <w:pStyle w:val="40"/>
              <w:keepNext w:val="0"/>
              <w:keepLines w:val="0"/>
              <w:suppressLineNumbers w:val="0"/>
              <w:spacing w:before="33" w:beforeAutospacing="0" w:after="33" w:afterAutospacing="0"/>
              <w:rPr>
                <w:rFonts w:hint="default"/>
                <w:bCs/>
              </w:rPr>
            </w:pPr>
          </w:p>
        </w:tc>
      </w:tr>
      <w:tr w14:paraId="1878C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3" w:type="pct"/>
            <w:vMerge w:val="continue"/>
            <w:tcBorders>
              <w:tl2br w:val="nil"/>
              <w:tr2bl w:val="nil"/>
            </w:tcBorders>
            <w:vAlign w:val="center"/>
          </w:tcPr>
          <w:p w14:paraId="732A8793">
            <w:pPr>
              <w:pStyle w:val="40"/>
              <w:keepNext w:val="0"/>
              <w:keepLines w:val="0"/>
              <w:suppressLineNumbers w:val="0"/>
              <w:spacing w:before="33" w:beforeAutospacing="0" w:after="33" w:afterAutospacing="0"/>
              <w:rPr>
                <w:rFonts w:hint="default"/>
                <w:bCs/>
              </w:rPr>
            </w:pPr>
          </w:p>
        </w:tc>
        <w:tc>
          <w:tcPr>
            <w:tcW w:w="698" w:type="pct"/>
            <w:tcBorders>
              <w:tl2br w:val="nil"/>
              <w:tr2bl w:val="nil"/>
            </w:tcBorders>
            <w:vAlign w:val="center"/>
          </w:tcPr>
          <w:p w14:paraId="46A881BB">
            <w:pPr>
              <w:pStyle w:val="27"/>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color w:val="auto"/>
                <w:lang w:val="en-US" w:eastAsia="zh-CN"/>
              </w:rPr>
            </w:pPr>
            <w:r>
              <w:rPr>
                <w:rFonts w:hint="eastAsia"/>
                <w:color w:val="auto"/>
                <w:lang w:val="en-US" w:eastAsia="zh-CN"/>
              </w:rPr>
              <w:t>废水处理</w:t>
            </w:r>
          </w:p>
        </w:tc>
        <w:tc>
          <w:tcPr>
            <w:tcW w:w="755" w:type="pct"/>
            <w:tcBorders>
              <w:tl2br w:val="nil"/>
              <w:tr2bl w:val="nil"/>
            </w:tcBorders>
            <w:shd w:val="clear" w:color="auto" w:fill="auto"/>
            <w:vAlign w:val="center"/>
          </w:tcPr>
          <w:p w14:paraId="1CEEB1CB">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污泥</w:t>
            </w:r>
          </w:p>
        </w:tc>
        <w:tc>
          <w:tcPr>
            <w:tcW w:w="1294" w:type="pct"/>
            <w:tcBorders>
              <w:tl2br w:val="nil"/>
              <w:tr2bl w:val="nil"/>
            </w:tcBorders>
            <w:vAlign w:val="center"/>
          </w:tcPr>
          <w:p w14:paraId="2CA46952">
            <w:pPr>
              <w:pStyle w:val="40"/>
              <w:keepNext w:val="0"/>
              <w:keepLines w:val="0"/>
              <w:suppressLineNumbers w:val="0"/>
              <w:spacing w:before="33" w:beforeAutospacing="0" w:after="33" w:afterAutospacing="0"/>
              <w:rPr>
                <w:rFonts w:hint="default"/>
                <w:bCs/>
              </w:rPr>
            </w:pPr>
            <w:r>
              <w:rPr>
                <w:rFonts w:hint="default"/>
                <w:color w:val="auto"/>
                <w:lang w:val="en-US" w:eastAsia="zh-CN"/>
              </w:rPr>
              <w:t>委托污泥处置单位进行处理</w:t>
            </w:r>
          </w:p>
        </w:tc>
        <w:tc>
          <w:tcPr>
            <w:tcW w:w="1697" w:type="pct"/>
            <w:vMerge w:val="continue"/>
            <w:tcBorders>
              <w:tl2br w:val="nil"/>
              <w:tr2bl w:val="nil"/>
            </w:tcBorders>
            <w:vAlign w:val="center"/>
          </w:tcPr>
          <w:p w14:paraId="74571C6B">
            <w:pPr>
              <w:pStyle w:val="40"/>
              <w:keepNext w:val="0"/>
              <w:keepLines w:val="0"/>
              <w:suppressLineNumbers w:val="0"/>
              <w:spacing w:before="33" w:beforeAutospacing="0" w:after="33" w:afterAutospacing="0"/>
              <w:rPr>
                <w:rFonts w:hint="default"/>
                <w:bCs/>
              </w:rPr>
            </w:pPr>
          </w:p>
        </w:tc>
      </w:tr>
      <w:tr w14:paraId="20B6D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3" w:type="pct"/>
            <w:vMerge w:val="continue"/>
            <w:tcBorders>
              <w:tl2br w:val="nil"/>
              <w:tr2bl w:val="nil"/>
            </w:tcBorders>
            <w:vAlign w:val="center"/>
          </w:tcPr>
          <w:p w14:paraId="70EA27AF">
            <w:pPr>
              <w:pStyle w:val="40"/>
              <w:keepNext w:val="0"/>
              <w:keepLines w:val="0"/>
              <w:suppressLineNumbers w:val="0"/>
              <w:spacing w:before="33" w:beforeAutospacing="0" w:after="33" w:afterAutospacing="0"/>
              <w:rPr>
                <w:rFonts w:hint="default"/>
                <w:bCs/>
              </w:rPr>
            </w:pPr>
          </w:p>
        </w:tc>
        <w:tc>
          <w:tcPr>
            <w:tcW w:w="698" w:type="pct"/>
            <w:vMerge w:val="restart"/>
            <w:tcBorders>
              <w:tl2br w:val="nil"/>
              <w:tr2bl w:val="nil"/>
            </w:tcBorders>
            <w:vAlign w:val="center"/>
          </w:tcPr>
          <w:p w14:paraId="187D2698">
            <w:pPr>
              <w:pStyle w:val="27"/>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color w:val="auto"/>
                <w:lang w:val="en-US" w:eastAsia="zh-CN"/>
              </w:rPr>
            </w:pPr>
            <w:r>
              <w:rPr>
                <w:rFonts w:hint="eastAsia"/>
                <w:color w:val="auto"/>
                <w:lang w:val="en-US" w:eastAsia="zh-CN"/>
              </w:rPr>
              <w:t>拆解</w:t>
            </w:r>
          </w:p>
        </w:tc>
        <w:tc>
          <w:tcPr>
            <w:tcW w:w="755" w:type="pct"/>
            <w:tcBorders>
              <w:tl2br w:val="nil"/>
              <w:tr2bl w:val="nil"/>
            </w:tcBorders>
            <w:shd w:val="clear" w:color="auto" w:fill="auto"/>
            <w:vAlign w:val="center"/>
          </w:tcPr>
          <w:p w14:paraId="2ADECEFD">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废铅蓄电池</w:t>
            </w:r>
          </w:p>
        </w:tc>
        <w:tc>
          <w:tcPr>
            <w:tcW w:w="1294" w:type="pct"/>
            <w:vMerge w:val="restart"/>
            <w:tcBorders>
              <w:tl2br w:val="nil"/>
              <w:tr2bl w:val="nil"/>
            </w:tcBorders>
            <w:vAlign w:val="center"/>
          </w:tcPr>
          <w:p w14:paraId="27279579">
            <w:pPr>
              <w:pStyle w:val="40"/>
              <w:keepNext w:val="0"/>
              <w:keepLines w:val="0"/>
              <w:suppressLineNumbers w:val="0"/>
              <w:spacing w:before="33" w:beforeAutospacing="0" w:after="33" w:afterAutospacing="0"/>
              <w:rPr>
                <w:rFonts w:hint="default"/>
                <w:bCs/>
              </w:rPr>
            </w:pPr>
            <w:r>
              <w:rPr>
                <w:rFonts w:hint="eastAsia"/>
                <w:color w:val="auto"/>
                <w:lang w:val="en-US" w:eastAsia="zh-CN"/>
              </w:rPr>
              <w:t>危废间暂存后定期委托有资质单位处置</w:t>
            </w:r>
          </w:p>
        </w:tc>
        <w:tc>
          <w:tcPr>
            <w:tcW w:w="1697" w:type="pct"/>
            <w:vMerge w:val="continue"/>
            <w:tcBorders>
              <w:tl2br w:val="nil"/>
              <w:tr2bl w:val="nil"/>
            </w:tcBorders>
            <w:vAlign w:val="center"/>
          </w:tcPr>
          <w:p w14:paraId="19301C22">
            <w:pPr>
              <w:pStyle w:val="40"/>
              <w:keepNext w:val="0"/>
              <w:keepLines w:val="0"/>
              <w:suppressLineNumbers w:val="0"/>
              <w:spacing w:before="33" w:beforeAutospacing="0" w:after="33" w:afterAutospacing="0"/>
              <w:rPr>
                <w:rFonts w:hint="default"/>
                <w:bCs/>
              </w:rPr>
            </w:pPr>
          </w:p>
        </w:tc>
      </w:tr>
      <w:tr w14:paraId="756E7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3" w:type="pct"/>
            <w:vMerge w:val="continue"/>
            <w:tcBorders>
              <w:tl2br w:val="nil"/>
              <w:tr2bl w:val="nil"/>
            </w:tcBorders>
            <w:vAlign w:val="center"/>
          </w:tcPr>
          <w:p w14:paraId="3903E201">
            <w:pPr>
              <w:pStyle w:val="40"/>
              <w:keepNext w:val="0"/>
              <w:keepLines w:val="0"/>
              <w:suppressLineNumbers w:val="0"/>
              <w:spacing w:before="33" w:beforeAutospacing="0" w:after="33" w:afterAutospacing="0"/>
              <w:rPr>
                <w:rFonts w:hint="default"/>
                <w:bCs/>
              </w:rPr>
            </w:pPr>
          </w:p>
        </w:tc>
        <w:tc>
          <w:tcPr>
            <w:tcW w:w="698" w:type="pct"/>
            <w:vMerge w:val="continue"/>
            <w:tcBorders>
              <w:tl2br w:val="nil"/>
              <w:tr2bl w:val="nil"/>
            </w:tcBorders>
            <w:vAlign w:val="center"/>
          </w:tcPr>
          <w:p w14:paraId="3014A3A8">
            <w:pPr>
              <w:pStyle w:val="27"/>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eastAsia"/>
                <w:color w:val="auto"/>
                <w:lang w:val="en-US" w:eastAsia="zh-CN"/>
              </w:rPr>
            </w:pPr>
          </w:p>
        </w:tc>
        <w:tc>
          <w:tcPr>
            <w:tcW w:w="755" w:type="pct"/>
            <w:tcBorders>
              <w:tl2br w:val="nil"/>
              <w:tr2bl w:val="nil"/>
            </w:tcBorders>
            <w:shd w:val="clear" w:color="auto" w:fill="auto"/>
            <w:vAlign w:val="center"/>
          </w:tcPr>
          <w:p w14:paraId="443D348E">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eastAsia="宋体" w:cs="Times New Roman"/>
                <w:color w:val="auto"/>
                <w:lang w:val="en-US" w:eastAsia="zh-CN"/>
              </w:rPr>
              <w:t>废</w:t>
            </w:r>
            <w:r>
              <w:rPr>
                <w:rFonts w:hint="eastAsia" w:ascii="Times New Roman" w:hAnsi="Times New Roman" w:eastAsia="宋体" w:cs="Times New Roman"/>
                <w:color w:val="auto"/>
                <w:lang w:val="en-US" w:eastAsia="zh-CN"/>
              </w:rPr>
              <w:t>电路板、废电子元器件</w:t>
            </w:r>
          </w:p>
        </w:tc>
        <w:tc>
          <w:tcPr>
            <w:tcW w:w="1294" w:type="pct"/>
            <w:vMerge w:val="continue"/>
            <w:tcBorders>
              <w:tl2br w:val="nil"/>
              <w:tr2bl w:val="nil"/>
            </w:tcBorders>
            <w:vAlign w:val="center"/>
          </w:tcPr>
          <w:p w14:paraId="0DC27EFC">
            <w:pPr>
              <w:pStyle w:val="40"/>
              <w:keepNext w:val="0"/>
              <w:keepLines w:val="0"/>
              <w:suppressLineNumbers w:val="0"/>
              <w:spacing w:before="33" w:beforeAutospacing="0" w:after="33" w:afterAutospacing="0"/>
              <w:rPr>
                <w:rFonts w:hint="default"/>
                <w:bCs/>
              </w:rPr>
            </w:pPr>
          </w:p>
        </w:tc>
        <w:tc>
          <w:tcPr>
            <w:tcW w:w="1697" w:type="pct"/>
            <w:vMerge w:val="continue"/>
            <w:tcBorders>
              <w:tl2br w:val="nil"/>
              <w:tr2bl w:val="nil"/>
            </w:tcBorders>
            <w:vAlign w:val="center"/>
          </w:tcPr>
          <w:p w14:paraId="679CED5C">
            <w:pPr>
              <w:pStyle w:val="40"/>
              <w:keepNext w:val="0"/>
              <w:keepLines w:val="0"/>
              <w:suppressLineNumbers w:val="0"/>
              <w:spacing w:before="33" w:beforeAutospacing="0" w:after="33" w:afterAutospacing="0"/>
              <w:rPr>
                <w:rFonts w:hint="default"/>
                <w:bCs/>
              </w:rPr>
            </w:pPr>
          </w:p>
        </w:tc>
      </w:tr>
      <w:tr w14:paraId="482F8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3" w:type="pct"/>
            <w:vMerge w:val="continue"/>
            <w:tcBorders>
              <w:tl2br w:val="nil"/>
              <w:tr2bl w:val="nil"/>
            </w:tcBorders>
            <w:vAlign w:val="center"/>
          </w:tcPr>
          <w:p w14:paraId="72A094B1">
            <w:pPr>
              <w:pStyle w:val="40"/>
              <w:keepNext w:val="0"/>
              <w:keepLines w:val="0"/>
              <w:suppressLineNumbers w:val="0"/>
              <w:spacing w:before="33" w:beforeAutospacing="0" w:after="33" w:afterAutospacing="0"/>
              <w:rPr>
                <w:rFonts w:hint="default"/>
                <w:bCs/>
              </w:rPr>
            </w:pPr>
          </w:p>
        </w:tc>
        <w:tc>
          <w:tcPr>
            <w:tcW w:w="698" w:type="pct"/>
            <w:vMerge w:val="continue"/>
            <w:tcBorders>
              <w:tl2br w:val="nil"/>
              <w:tr2bl w:val="nil"/>
            </w:tcBorders>
            <w:vAlign w:val="center"/>
          </w:tcPr>
          <w:p w14:paraId="1484F870">
            <w:pPr>
              <w:pStyle w:val="27"/>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eastAsia"/>
                <w:color w:val="auto"/>
                <w:lang w:val="en-US" w:eastAsia="zh-CN"/>
              </w:rPr>
            </w:pPr>
          </w:p>
        </w:tc>
        <w:tc>
          <w:tcPr>
            <w:tcW w:w="755" w:type="pct"/>
            <w:tcBorders>
              <w:tl2br w:val="nil"/>
              <w:tr2bl w:val="nil"/>
            </w:tcBorders>
            <w:shd w:val="clear" w:color="auto" w:fill="auto"/>
            <w:vAlign w:val="center"/>
          </w:tcPr>
          <w:p w14:paraId="25B408C5">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eastAsia="宋体" w:cs="Times New Roman"/>
                <w:color w:val="auto"/>
                <w:lang w:val="en-US" w:eastAsia="zh-CN"/>
              </w:rPr>
              <w:t>废液压油</w:t>
            </w:r>
          </w:p>
        </w:tc>
        <w:tc>
          <w:tcPr>
            <w:tcW w:w="1294" w:type="pct"/>
            <w:vMerge w:val="continue"/>
            <w:tcBorders>
              <w:tl2br w:val="nil"/>
              <w:tr2bl w:val="nil"/>
            </w:tcBorders>
            <w:vAlign w:val="center"/>
          </w:tcPr>
          <w:p w14:paraId="77BBDB32">
            <w:pPr>
              <w:pStyle w:val="40"/>
              <w:keepNext w:val="0"/>
              <w:keepLines w:val="0"/>
              <w:suppressLineNumbers w:val="0"/>
              <w:spacing w:before="33" w:beforeAutospacing="0" w:after="33" w:afterAutospacing="0"/>
              <w:rPr>
                <w:rFonts w:hint="default"/>
                <w:bCs/>
              </w:rPr>
            </w:pPr>
          </w:p>
        </w:tc>
        <w:tc>
          <w:tcPr>
            <w:tcW w:w="1697" w:type="pct"/>
            <w:vMerge w:val="continue"/>
            <w:tcBorders>
              <w:tl2br w:val="nil"/>
              <w:tr2bl w:val="nil"/>
            </w:tcBorders>
            <w:vAlign w:val="center"/>
          </w:tcPr>
          <w:p w14:paraId="10E5E997">
            <w:pPr>
              <w:pStyle w:val="40"/>
              <w:keepNext w:val="0"/>
              <w:keepLines w:val="0"/>
              <w:suppressLineNumbers w:val="0"/>
              <w:spacing w:before="33" w:beforeAutospacing="0" w:after="33" w:afterAutospacing="0"/>
              <w:rPr>
                <w:rFonts w:hint="default"/>
                <w:bCs/>
              </w:rPr>
            </w:pPr>
          </w:p>
        </w:tc>
      </w:tr>
      <w:tr w14:paraId="3423D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3" w:type="pct"/>
            <w:vMerge w:val="continue"/>
            <w:tcBorders>
              <w:tl2br w:val="nil"/>
              <w:tr2bl w:val="nil"/>
            </w:tcBorders>
            <w:vAlign w:val="center"/>
          </w:tcPr>
          <w:p w14:paraId="0573C02B">
            <w:pPr>
              <w:pStyle w:val="40"/>
              <w:keepNext w:val="0"/>
              <w:keepLines w:val="0"/>
              <w:suppressLineNumbers w:val="0"/>
              <w:spacing w:before="33" w:beforeAutospacing="0" w:after="33" w:afterAutospacing="0"/>
              <w:rPr>
                <w:rFonts w:hint="default"/>
                <w:bCs/>
              </w:rPr>
            </w:pPr>
          </w:p>
        </w:tc>
        <w:tc>
          <w:tcPr>
            <w:tcW w:w="698" w:type="pct"/>
            <w:vMerge w:val="restart"/>
            <w:tcBorders>
              <w:tl2br w:val="nil"/>
              <w:tr2bl w:val="nil"/>
            </w:tcBorders>
            <w:vAlign w:val="center"/>
          </w:tcPr>
          <w:p w14:paraId="6671186B">
            <w:pPr>
              <w:pStyle w:val="27"/>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color w:val="auto"/>
                <w:lang w:val="en-US" w:eastAsia="zh-CN"/>
              </w:rPr>
            </w:pPr>
            <w:r>
              <w:rPr>
                <w:rFonts w:hint="eastAsia"/>
                <w:color w:val="auto"/>
                <w:lang w:val="en-US" w:eastAsia="zh-CN"/>
              </w:rPr>
              <w:t>维护保养</w:t>
            </w:r>
          </w:p>
        </w:tc>
        <w:tc>
          <w:tcPr>
            <w:tcW w:w="755" w:type="pct"/>
            <w:tcBorders>
              <w:tl2br w:val="nil"/>
              <w:tr2bl w:val="nil"/>
            </w:tcBorders>
            <w:shd w:val="clear" w:color="auto" w:fill="auto"/>
            <w:vAlign w:val="center"/>
          </w:tcPr>
          <w:p w14:paraId="2A266A59">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eastAsia="宋体" w:cs="Times New Roman"/>
                <w:color w:val="auto"/>
                <w:lang w:val="en-US" w:eastAsia="zh-CN"/>
              </w:rPr>
              <w:t>废润滑油</w:t>
            </w:r>
          </w:p>
        </w:tc>
        <w:tc>
          <w:tcPr>
            <w:tcW w:w="1294" w:type="pct"/>
            <w:vMerge w:val="continue"/>
            <w:tcBorders>
              <w:tl2br w:val="nil"/>
              <w:tr2bl w:val="nil"/>
            </w:tcBorders>
            <w:vAlign w:val="center"/>
          </w:tcPr>
          <w:p w14:paraId="637B1DC0">
            <w:pPr>
              <w:pStyle w:val="40"/>
              <w:keepNext w:val="0"/>
              <w:keepLines w:val="0"/>
              <w:suppressLineNumbers w:val="0"/>
              <w:spacing w:before="33" w:beforeAutospacing="0" w:after="33" w:afterAutospacing="0"/>
              <w:rPr>
                <w:rFonts w:hint="default"/>
                <w:bCs/>
              </w:rPr>
            </w:pPr>
          </w:p>
        </w:tc>
        <w:tc>
          <w:tcPr>
            <w:tcW w:w="1697" w:type="pct"/>
            <w:vMerge w:val="continue"/>
            <w:tcBorders>
              <w:tl2br w:val="nil"/>
              <w:tr2bl w:val="nil"/>
            </w:tcBorders>
            <w:vAlign w:val="center"/>
          </w:tcPr>
          <w:p w14:paraId="1E9E8F73">
            <w:pPr>
              <w:pStyle w:val="40"/>
              <w:keepNext w:val="0"/>
              <w:keepLines w:val="0"/>
              <w:suppressLineNumbers w:val="0"/>
              <w:spacing w:before="33" w:beforeAutospacing="0" w:after="33" w:afterAutospacing="0"/>
              <w:rPr>
                <w:rFonts w:hint="default"/>
                <w:bCs/>
              </w:rPr>
            </w:pPr>
          </w:p>
        </w:tc>
      </w:tr>
      <w:tr w14:paraId="2BE33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3" w:type="pct"/>
            <w:vMerge w:val="continue"/>
            <w:tcBorders>
              <w:tl2br w:val="nil"/>
              <w:tr2bl w:val="nil"/>
            </w:tcBorders>
            <w:vAlign w:val="center"/>
          </w:tcPr>
          <w:p w14:paraId="4EDB40B7">
            <w:pPr>
              <w:pStyle w:val="40"/>
              <w:keepNext w:val="0"/>
              <w:keepLines w:val="0"/>
              <w:suppressLineNumbers w:val="0"/>
              <w:spacing w:before="33" w:beforeAutospacing="0" w:after="33" w:afterAutospacing="0"/>
              <w:rPr>
                <w:rFonts w:hint="default"/>
                <w:bCs/>
              </w:rPr>
            </w:pPr>
          </w:p>
        </w:tc>
        <w:tc>
          <w:tcPr>
            <w:tcW w:w="698" w:type="pct"/>
            <w:vMerge w:val="continue"/>
            <w:tcBorders>
              <w:tl2br w:val="nil"/>
              <w:tr2bl w:val="nil"/>
            </w:tcBorders>
            <w:vAlign w:val="center"/>
          </w:tcPr>
          <w:p w14:paraId="20CEBADB">
            <w:pPr>
              <w:pStyle w:val="27"/>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eastAsia"/>
                <w:color w:val="auto"/>
                <w:lang w:val="en-US" w:eastAsia="zh-CN"/>
              </w:rPr>
            </w:pPr>
          </w:p>
        </w:tc>
        <w:tc>
          <w:tcPr>
            <w:tcW w:w="755" w:type="pct"/>
            <w:tcBorders>
              <w:tl2br w:val="nil"/>
              <w:tr2bl w:val="nil"/>
            </w:tcBorders>
            <w:shd w:val="clear" w:color="auto" w:fill="auto"/>
            <w:vAlign w:val="center"/>
          </w:tcPr>
          <w:p w14:paraId="733F3495">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eastAsia="宋体" w:cs="Times New Roman"/>
                <w:color w:val="auto"/>
                <w:lang w:val="en-US" w:eastAsia="zh-CN"/>
              </w:rPr>
              <w:t>废润滑油桶</w:t>
            </w:r>
          </w:p>
        </w:tc>
        <w:tc>
          <w:tcPr>
            <w:tcW w:w="1294" w:type="pct"/>
            <w:vMerge w:val="continue"/>
            <w:tcBorders>
              <w:tl2br w:val="nil"/>
              <w:tr2bl w:val="nil"/>
            </w:tcBorders>
            <w:vAlign w:val="center"/>
          </w:tcPr>
          <w:p w14:paraId="2A64B070">
            <w:pPr>
              <w:pStyle w:val="40"/>
              <w:keepNext w:val="0"/>
              <w:keepLines w:val="0"/>
              <w:suppressLineNumbers w:val="0"/>
              <w:spacing w:before="33" w:beforeAutospacing="0" w:after="33" w:afterAutospacing="0"/>
              <w:rPr>
                <w:rFonts w:hint="default"/>
                <w:bCs/>
              </w:rPr>
            </w:pPr>
          </w:p>
        </w:tc>
        <w:tc>
          <w:tcPr>
            <w:tcW w:w="1697" w:type="pct"/>
            <w:vMerge w:val="continue"/>
            <w:tcBorders>
              <w:tl2br w:val="nil"/>
              <w:tr2bl w:val="nil"/>
            </w:tcBorders>
            <w:vAlign w:val="center"/>
          </w:tcPr>
          <w:p w14:paraId="3F54199E">
            <w:pPr>
              <w:pStyle w:val="40"/>
              <w:keepNext w:val="0"/>
              <w:keepLines w:val="0"/>
              <w:suppressLineNumbers w:val="0"/>
              <w:spacing w:before="33" w:beforeAutospacing="0" w:after="33" w:afterAutospacing="0"/>
              <w:rPr>
                <w:rFonts w:hint="default"/>
                <w:bCs/>
              </w:rPr>
            </w:pPr>
          </w:p>
        </w:tc>
      </w:tr>
      <w:tr w14:paraId="16D9D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3" w:type="pct"/>
            <w:vMerge w:val="continue"/>
            <w:tcBorders>
              <w:tl2br w:val="nil"/>
              <w:tr2bl w:val="nil"/>
            </w:tcBorders>
            <w:vAlign w:val="center"/>
          </w:tcPr>
          <w:p w14:paraId="10B99772">
            <w:pPr>
              <w:pStyle w:val="40"/>
              <w:keepNext w:val="0"/>
              <w:keepLines w:val="0"/>
              <w:suppressLineNumbers w:val="0"/>
              <w:spacing w:before="33" w:beforeAutospacing="0" w:after="33" w:afterAutospacing="0"/>
              <w:rPr>
                <w:rFonts w:hint="default"/>
                <w:bCs/>
              </w:rPr>
            </w:pPr>
          </w:p>
        </w:tc>
        <w:tc>
          <w:tcPr>
            <w:tcW w:w="698" w:type="pct"/>
            <w:vMerge w:val="continue"/>
            <w:tcBorders>
              <w:tl2br w:val="nil"/>
              <w:tr2bl w:val="nil"/>
            </w:tcBorders>
            <w:vAlign w:val="center"/>
          </w:tcPr>
          <w:p w14:paraId="0B92A99C">
            <w:pPr>
              <w:pStyle w:val="27"/>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eastAsia"/>
                <w:color w:val="auto"/>
                <w:lang w:val="en-US" w:eastAsia="zh-CN"/>
              </w:rPr>
            </w:pPr>
          </w:p>
        </w:tc>
        <w:tc>
          <w:tcPr>
            <w:tcW w:w="755" w:type="pct"/>
            <w:tcBorders>
              <w:tl2br w:val="nil"/>
              <w:tr2bl w:val="nil"/>
            </w:tcBorders>
            <w:shd w:val="clear" w:color="auto" w:fill="auto"/>
            <w:vAlign w:val="center"/>
          </w:tcPr>
          <w:p w14:paraId="6145FB22">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eastAsia="宋体" w:cs="Times New Roman"/>
                <w:color w:val="auto"/>
                <w:lang w:val="en-US" w:eastAsia="zh-CN"/>
              </w:rPr>
              <w:t>废含油抹布手套</w:t>
            </w:r>
          </w:p>
        </w:tc>
        <w:tc>
          <w:tcPr>
            <w:tcW w:w="1294" w:type="pct"/>
            <w:vMerge w:val="continue"/>
            <w:tcBorders>
              <w:tl2br w:val="nil"/>
              <w:tr2bl w:val="nil"/>
            </w:tcBorders>
            <w:vAlign w:val="center"/>
          </w:tcPr>
          <w:p w14:paraId="79C9623E">
            <w:pPr>
              <w:pStyle w:val="40"/>
              <w:keepNext w:val="0"/>
              <w:keepLines w:val="0"/>
              <w:suppressLineNumbers w:val="0"/>
              <w:spacing w:before="33" w:beforeAutospacing="0" w:after="33" w:afterAutospacing="0"/>
              <w:rPr>
                <w:rFonts w:hint="default"/>
                <w:bCs/>
              </w:rPr>
            </w:pPr>
          </w:p>
        </w:tc>
        <w:tc>
          <w:tcPr>
            <w:tcW w:w="1697" w:type="pct"/>
            <w:vMerge w:val="continue"/>
            <w:tcBorders>
              <w:tl2br w:val="nil"/>
              <w:tr2bl w:val="nil"/>
            </w:tcBorders>
            <w:vAlign w:val="center"/>
          </w:tcPr>
          <w:p w14:paraId="527B2B9C">
            <w:pPr>
              <w:pStyle w:val="40"/>
              <w:keepNext w:val="0"/>
              <w:keepLines w:val="0"/>
              <w:suppressLineNumbers w:val="0"/>
              <w:spacing w:before="33" w:beforeAutospacing="0" w:after="33" w:afterAutospacing="0"/>
              <w:rPr>
                <w:rFonts w:hint="default"/>
                <w:bCs/>
              </w:rPr>
            </w:pPr>
          </w:p>
        </w:tc>
      </w:tr>
      <w:tr w14:paraId="1DBD2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3" w:type="pct"/>
            <w:vMerge w:val="continue"/>
            <w:tcBorders>
              <w:tl2br w:val="nil"/>
              <w:tr2bl w:val="nil"/>
            </w:tcBorders>
            <w:vAlign w:val="center"/>
          </w:tcPr>
          <w:p w14:paraId="08CAB315">
            <w:pPr>
              <w:pStyle w:val="40"/>
              <w:keepNext w:val="0"/>
              <w:keepLines w:val="0"/>
              <w:suppressLineNumbers w:val="0"/>
              <w:spacing w:before="33" w:beforeAutospacing="0" w:after="33" w:afterAutospacing="0"/>
              <w:rPr>
                <w:rFonts w:hint="default"/>
                <w:bCs/>
              </w:rPr>
            </w:pPr>
          </w:p>
        </w:tc>
        <w:tc>
          <w:tcPr>
            <w:tcW w:w="698" w:type="pct"/>
            <w:tcBorders>
              <w:tl2br w:val="nil"/>
              <w:tr2bl w:val="nil"/>
            </w:tcBorders>
            <w:vAlign w:val="center"/>
          </w:tcPr>
          <w:p w14:paraId="473D7B5D">
            <w:pPr>
              <w:pStyle w:val="27"/>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color w:val="auto"/>
                <w:lang w:val="en-US" w:eastAsia="zh-CN"/>
              </w:rPr>
            </w:pPr>
            <w:r>
              <w:rPr>
                <w:rFonts w:hint="eastAsia"/>
                <w:color w:val="auto"/>
                <w:lang w:val="en-US" w:eastAsia="zh-CN"/>
              </w:rPr>
              <w:t>拆解</w:t>
            </w:r>
          </w:p>
        </w:tc>
        <w:tc>
          <w:tcPr>
            <w:tcW w:w="755" w:type="pct"/>
            <w:tcBorders>
              <w:tl2br w:val="nil"/>
              <w:tr2bl w:val="nil"/>
            </w:tcBorders>
            <w:shd w:val="clear" w:color="auto" w:fill="auto"/>
            <w:vAlign w:val="center"/>
          </w:tcPr>
          <w:p w14:paraId="7D9677C5">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lang w:val="en-US" w:eastAsia="zh-CN"/>
              </w:rPr>
              <w:t>废电解液中和废物</w:t>
            </w:r>
          </w:p>
        </w:tc>
        <w:tc>
          <w:tcPr>
            <w:tcW w:w="1294" w:type="pct"/>
            <w:vMerge w:val="continue"/>
            <w:tcBorders>
              <w:tl2br w:val="nil"/>
              <w:tr2bl w:val="nil"/>
            </w:tcBorders>
            <w:vAlign w:val="center"/>
          </w:tcPr>
          <w:p w14:paraId="57E75FB1">
            <w:pPr>
              <w:pStyle w:val="40"/>
              <w:keepNext w:val="0"/>
              <w:keepLines w:val="0"/>
              <w:suppressLineNumbers w:val="0"/>
              <w:spacing w:before="33" w:beforeAutospacing="0" w:after="33" w:afterAutospacing="0"/>
              <w:rPr>
                <w:rFonts w:hint="default"/>
                <w:bCs/>
              </w:rPr>
            </w:pPr>
          </w:p>
        </w:tc>
        <w:tc>
          <w:tcPr>
            <w:tcW w:w="1697" w:type="pct"/>
            <w:vMerge w:val="continue"/>
            <w:tcBorders>
              <w:tl2br w:val="nil"/>
              <w:tr2bl w:val="nil"/>
            </w:tcBorders>
            <w:vAlign w:val="center"/>
          </w:tcPr>
          <w:p w14:paraId="7758D416">
            <w:pPr>
              <w:pStyle w:val="40"/>
              <w:keepNext w:val="0"/>
              <w:keepLines w:val="0"/>
              <w:suppressLineNumbers w:val="0"/>
              <w:spacing w:before="33" w:beforeAutospacing="0" w:after="33" w:afterAutospacing="0"/>
              <w:rPr>
                <w:rFonts w:hint="default"/>
                <w:bCs/>
              </w:rPr>
            </w:pPr>
          </w:p>
        </w:tc>
      </w:tr>
      <w:tr w14:paraId="404CB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3" w:type="pct"/>
            <w:tcBorders>
              <w:tl2br w:val="nil"/>
              <w:tr2bl w:val="nil"/>
            </w:tcBorders>
            <w:vAlign w:val="center"/>
          </w:tcPr>
          <w:p w14:paraId="05EC581A">
            <w:pPr>
              <w:pStyle w:val="40"/>
              <w:keepNext w:val="0"/>
              <w:keepLines w:val="0"/>
              <w:suppressLineNumbers w:val="0"/>
              <w:spacing w:before="33" w:beforeAutospacing="0" w:after="33" w:afterAutospacing="0"/>
              <w:rPr>
                <w:rFonts w:hint="default"/>
                <w:bCs/>
              </w:rPr>
            </w:pPr>
            <w:r>
              <w:rPr>
                <w:rFonts w:hint="eastAsia"/>
                <w:bCs/>
              </w:rPr>
              <w:t>声环境</w:t>
            </w:r>
          </w:p>
        </w:tc>
        <w:tc>
          <w:tcPr>
            <w:tcW w:w="698" w:type="pct"/>
            <w:tcBorders>
              <w:tl2br w:val="nil"/>
              <w:tr2bl w:val="nil"/>
            </w:tcBorders>
            <w:vAlign w:val="center"/>
          </w:tcPr>
          <w:p w14:paraId="2F4953CC">
            <w:pPr>
              <w:pStyle w:val="40"/>
              <w:keepNext w:val="0"/>
              <w:keepLines w:val="0"/>
              <w:suppressLineNumbers w:val="0"/>
              <w:spacing w:before="33" w:beforeAutospacing="0" w:after="33" w:afterAutospacing="0"/>
              <w:rPr>
                <w:rFonts w:hint="default"/>
                <w:bCs/>
              </w:rPr>
            </w:pPr>
            <w:r>
              <w:rPr>
                <w:rFonts w:hint="eastAsia"/>
                <w:bCs/>
              </w:rPr>
              <w:t>/</w:t>
            </w:r>
          </w:p>
        </w:tc>
        <w:tc>
          <w:tcPr>
            <w:tcW w:w="755" w:type="pct"/>
            <w:tcBorders>
              <w:tl2br w:val="nil"/>
              <w:tr2bl w:val="nil"/>
            </w:tcBorders>
            <w:vAlign w:val="center"/>
          </w:tcPr>
          <w:p w14:paraId="79E7AEFC">
            <w:pPr>
              <w:pStyle w:val="40"/>
              <w:keepNext w:val="0"/>
              <w:keepLines w:val="0"/>
              <w:suppressLineNumbers w:val="0"/>
              <w:spacing w:before="33" w:beforeAutospacing="0" w:after="33" w:afterAutospacing="0"/>
              <w:rPr>
                <w:rFonts w:hint="default"/>
                <w:bCs/>
              </w:rPr>
            </w:pPr>
            <w:r>
              <w:rPr>
                <w:rFonts w:hint="eastAsia"/>
                <w:bCs/>
              </w:rPr>
              <w:t>Leq</w:t>
            </w:r>
          </w:p>
        </w:tc>
        <w:tc>
          <w:tcPr>
            <w:tcW w:w="1294" w:type="pct"/>
            <w:tcBorders>
              <w:tl2br w:val="nil"/>
              <w:tr2bl w:val="nil"/>
            </w:tcBorders>
            <w:vAlign w:val="center"/>
          </w:tcPr>
          <w:p w14:paraId="6CEE188F">
            <w:pPr>
              <w:pStyle w:val="40"/>
              <w:keepNext w:val="0"/>
              <w:keepLines w:val="0"/>
              <w:suppressLineNumbers w:val="0"/>
              <w:spacing w:before="33" w:beforeAutospacing="0" w:after="33" w:afterAutospacing="0"/>
              <w:rPr>
                <w:rFonts w:hint="default"/>
                <w:bCs/>
              </w:rPr>
            </w:pPr>
            <w:r>
              <w:rPr>
                <w:rFonts w:hint="eastAsia"/>
                <w:bCs/>
              </w:rPr>
              <w:t>设备合理选型（低噪设备）、合理空间布局、基础减振、加强日常维护、厂房隔声等</w:t>
            </w:r>
          </w:p>
        </w:tc>
        <w:tc>
          <w:tcPr>
            <w:tcW w:w="1697" w:type="pct"/>
            <w:tcBorders>
              <w:tl2br w:val="nil"/>
              <w:tr2bl w:val="nil"/>
            </w:tcBorders>
            <w:vAlign w:val="center"/>
          </w:tcPr>
          <w:p w14:paraId="32B6588A">
            <w:pPr>
              <w:pStyle w:val="40"/>
              <w:keepNext w:val="0"/>
              <w:keepLines w:val="0"/>
              <w:suppressLineNumbers w:val="0"/>
              <w:spacing w:before="33" w:beforeAutospacing="0" w:after="33" w:afterAutospacing="0"/>
              <w:rPr>
                <w:rFonts w:hint="default"/>
                <w:bCs/>
              </w:rPr>
            </w:pPr>
            <w:r>
              <w:rPr>
                <w:rFonts w:hint="eastAsia"/>
                <w:bCs/>
              </w:rPr>
              <w:t>《工业企业厂界环境噪声排放标准》GB12348-2008中3类</w:t>
            </w:r>
            <w:r>
              <w:rPr>
                <w:rFonts w:hint="eastAsia"/>
                <w:bCs/>
                <w:lang w:eastAsia="zh-CN"/>
              </w:rPr>
              <w:t>、</w:t>
            </w:r>
            <w:r>
              <w:rPr>
                <w:rFonts w:hint="eastAsia"/>
                <w:bCs/>
                <w:lang w:val="en-US" w:eastAsia="zh-CN"/>
              </w:rPr>
              <w:t>4类</w:t>
            </w:r>
            <w:r>
              <w:rPr>
                <w:rFonts w:hint="eastAsia"/>
                <w:bCs/>
              </w:rPr>
              <w:t>标准</w:t>
            </w:r>
          </w:p>
        </w:tc>
      </w:tr>
      <w:tr w14:paraId="525DB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3" w:type="pct"/>
            <w:tcBorders>
              <w:tl2br w:val="nil"/>
              <w:tr2bl w:val="nil"/>
            </w:tcBorders>
            <w:vAlign w:val="center"/>
          </w:tcPr>
          <w:p w14:paraId="359A7050">
            <w:pPr>
              <w:pStyle w:val="40"/>
              <w:keepNext w:val="0"/>
              <w:keepLines w:val="0"/>
              <w:suppressLineNumbers w:val="0"/>
              <w:spacing w:before="33" w:beforeAutospacing="0" w:after="33" w:afterAutospacing="0"/>
              <w:rPr>
                <w:rFonts w:hint="default"/>
                <w:bCs/>
              </w:rPr>
            </w:pPr>
            <w:r>
              <w:rPr>
                <w:rFonts w:hint="eastAsia"/>
                <w:bCs/>
              </w:rPr>
              <w:t>电磁辐射</w:t>
            </w:r>
          </w:p>
        </w:tc>
        <w:tc>
          <w:tcPr>
            <w:tcW w:w="698" w:type="pct"/>
            <w:tcBorders>
              <w:tl2br w:val="nil"/>
              <w:tr2bl w:val="nil"/>
            </w:tcBorders>
            <w:vAlign w:val="center"/>
          </w:tcPr>
          <w:p w14:paraId="41923B44">
            <w:pPr>
              <w:pStyle w:val="40"/>
              <w:keepNext w:val="0"/>
              <w:keepLines w:val="0"/>
              <w:suppressLineNumbers w:val="0"/>
              <w:spacing w:before="33" w:beforeAutospacing="0" w:after="33" w:afterAutospacing="0"/>
              <w:rPr>
                <w:rFonts w:hint="default"/>
                <w:bCs/>
              </w:rPr>
            </w:pPr>
            <w:r>
              <w:rPr>
                <w:rFonts w:hint="eastAsia"/>
                <w:bCs/>
              </w:rPr>
              <w:t>/</w:t>
            </w:r>
          </w:p>
        </w:tc>
        <w:tc>
          <w:tcPr>
            <w:tcW w:w="755" w:type="pct"/>
            <w:tcBorders>
              <w:tl2br w:val="nil"/>
              <w:tr2bl w:val="nil"/>
            </w:tcBorders>
            <w:vAlign w:val="center"/>
          </w:tcPr>
          <w:p w14:paraId="770A7211">
            <w:pPr>
              <w:pStyle w:val="40"/>
              <w:keepNext w:val="0"/>
              <w:keepLines w:val="0"/>
              <w:suppressLineNumbers w:val="0"/>
              <w:spacing w:before="33" w:beforeAutospacing="0" w:after="33" w:afterAutospacing="0"/>
              <w:rPr>
                <w:rFonts w:hint="default"/>
                <w:bCs/>
              </w:rPr>
            </w:pPr>
            <w:r>
              <w:rPr>
                <w:rFonts w:hint="eastAsia"/>
                <w:bCs/>
              </w:rPr>
              <w:t>/</w:t>
            </w:r>
          </w:p>
        </w:tc>
        <w:tc>
          <w:tcPr>
            <w:tcW w:w="1294" w:type="pct"/>
            <w:tcBorders>
              <w:tl2br w:val="nil"/>
              <w:tr2bl w:val="nil"/>
            </w:tcBorders>
            <w:vAlign w:val="center"/>
          </w:tcPr>
          <w:p w14:paraId="7210AE84">
            <w:pPr>
              <w:pStyle w:val="40"/>
              <w:keepNext w:val="0"/>
              <w:keepLines w:val="0"/>
              <w:suppressLineNumbers w:val="0"/>
              <w:spacing w:before="33" w:beforeAutospacing="0" w:after="33" w:afterAutospacing="0"/>
              <w:rPr>
                <w:rFonts w:hint="default"/>
                <w:bCs/>
              </w:rPr>
            </w:pPr>
            <w:r>
              <w:rPr>
                <w:rFonts w:hint="eastAsia"/>
                <w:bCs/>
              </w:rPr>
              <w:t>/</w:t>
            </w:r>
          </w:p>
        </w:tc>
        <w:tc>
          <w:tcPr>
            <w:tcW w:w="1697" w:type="pct"/>
            <w:tcBorders>
              <w:tl2br w:val="nil"/>
              <w:tr2bl w:val="nil"/>
            </w:tcBorders>
            <w:vAlign w:val="center"/>
          </w:tcPr>
          <w:p w14:paraId="7BF49190">
            <w:pPr>
              <w:pStyle w:val="40"/>
              <w:keepNext w:val="0"/>
              <w:keepLines w:val="0"/>
              <w:suppressLineNumbers w:val="0"/>
              <w:spacing w:before="33" w:beforeAutospacing="0" w:after="33" w:afterAutospacing="0"/>
              <w:rPr>
                <w:rFonts w:hint="default"/>
                <w:bCs/>
              </w:rPr>
            </w:pPr>
            <w:r>
              <w:rPr>
                <w:rFonts w:hint="eastAsia"/>
                <w:bCs/>
              </w:rPr>
              <w:t>/</w:t>
            </w:r>
          </w:p>
        </w:tc>
      </w:tr>
      <w:tr w14:paraId="451CD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3" w:type="pct"/>
            <w:tcBorders>
              <w:tl2br w:val="nil"/>
              <w:tr2bl w:val="nil"/>
            </w:tcBorders>
            <w:vAlign w:val="center"/>
          </w:tcPr>
          <w:p w14:paraId="33A16DBB">
            <w:pPr>
              <w:pStyle w:val="40"/>
              <w:keepNext w:val="0"/>
              <w:keepLines w:val="0"/>
              <w:suppressLineNumbers w:val="0"/>
              <w:spacing w:before="33" w:beforeAutospacing="0" w:after="33" w:afterAutospacing="0"/>
              <w:rPr>
                <w:rFonts w:hint="default"/>
                <w:bCs/>
              </w:rPr>
            </w:pPr>
            <w:r>
              <w:rPr>
                <w:rFonts w:hint="eastAsia"/>
                <w:bCs/>
              </w:rPr>
              <w:t>土壤及地下水污染防治措施</w:t>
            </w:r>
          </w:p>
        </w:tc>
        <w:tc>
          <w:tcPr>
            <w:tcW w:w="4446" w:type="pct"/>
            <w:gridSpan w:val="4"/>
            <w:tcBorders>
              <w:tl2br w:val="nil"/>
              <w:tr2bl w:val="nil"/>
            </w:tcBorders>
            <w:vAlign w:val="center"/>
          </w:tcPr>
          <w:p w14:paraId="74A05EC3">
            <w:pPr>
              <w:pStyle w:val="40"/>
              <w:keepNext w:val="0"/>
              <w:keepLines w:val="0"/>
              <w:suppressLineNumbers w:val="0"/>
              <w:spacing w:before="33" w:beforeAutospacing="0" w:after="33" w:afterAutospacing="0"/>
              <w:rPr>
                <w:rFonts w:hint="default"/>
              </w:rPr>
            </w:pPr>
            <w:r>
              <w:rPr>
                <w:rFonts w:hint="eastAsia"/>
                <w:lang w:val="en-US" w:eastAsia="zh-CN"/>
              </w:rPr>
              <w:t>项目</w:t>
            </w:r>
            <w:r>
              <w:rPr>
                <w:rFonts w:hint="eastAsia"/>
                <w:color w:val="auto"/>
                <w:lang w:val="en-US" w:eastAsia="zh-CN"/>
              </w:rPr>
              <w:t>拆解区、危废暂存间、絮凝沉淀池进行重点防渗</w:t>
            </w:r>
            <w:r>
              <w:rPr>
                <w:rFonts w:hint="eastAsia"/>
                <w:color w:val="auto"/>
                <w:highlight w:val="none"/>
                <w:lang w:val="en-US" w:eastAsia="zh-CN"/>
              </w:rPr>
              <w:t>；暂存车间（除危废暂存间外）所在区域、</w:t>
            </w:r>
            <w:r>
              <w:rPr>
                <w:rFonts w:hint="eastAsia"/>
                <w:color w:val="auto"/>
                <w:lang w:val="en-US" w:eastAsia="zh-CN"/>
              </w:rPr>
              <w:t>拆解车间其他区域</w:t>
            </w:r>
            <w:r>
              <w:rPr>
                <w:rFonts w:hint="eastAsia"/>
                <w:color w:val="auto"/>
                <w:highlight w:val="none"/>
                <w:lang w:val="en-US" w:eastAsia="zh-CN"/>
              </w:rPr>
              <w:t>一般防渗</w:t>
            </w:r>
            <w:r>
              <w:rPr>
                <w:rFonts w:hint="eastAsia"/>
                <w:color w:val="auto"/>
                <w:lang w:val="en-US" w:eastAsia="zh-CN"/>
              </w:rPr>
              <w:t>。</w:t>
            </w:r>
          </w:p>
        </w:tc>
      </w:tr>
      <w:tr w14:paraId="078BF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31" w:hRule="atLeast"/>
          <w:jc w:val="center"/>
        </w:trPr>
        <w:tc>
          <w:tcPr>
            <w:tcW w:w="553" w:type="pct"/>
            <w:tcBorders>
              <w:tl2br w:val="nil"/>
              <w:tr2bl w:val="nil"/>
            </w:tcBorders>
            <w:vAlign w:val="center"/>
          </w:tcPr>
          <w:p w14:paraId="0A0F7B68">
            <w:pPr>
              <w:pStyle w:val="40"/>
              <w:keepNext w:val="0"/>
              <w:keepLines w:val="0"/>
              <w:suppressLineNumbers w:val="0"/>
              <w:spacing w:before="33" w:beforeAutospacing="0" w:after="33" w:afterAutospacing="0"/>
              <w:rPr>
                <w:rFonts w:hint="default"/>
                <w:bCs/>
              </w:rPr>
            </w:pPr>
            <w:r>
              <w:rPr>
                <w:rFonts w:hint="eastAsia"/>
                <w:bCs/>
              </w:rPr>
              <w:t>生态保护措施</w:t>
            </w:r>
          </w:p>
        </w:tc>
        <w:tc>
          <w:tcPr>
            <w:tcW w:w="4446" w:type="pct"/>
            <w:gridSpan w:val="4"/>
            <w:tcBorders>
              <w:tl2br w:val="nil"/>
              <w:tr2bl w:val="nil"/>
            </w:tcBorders>
            <w:vAlign w:val="center"/>
          </w:tcPr>
          <w:p w14:paraId="331222E7">
            <w:pPr>
              <w:pStyle w:val="40"/>
              <w:keepNext w:val="0"/>
              <w:keepLines w:val="0"/>
              <w:suppressLineNumbers w:val="0"/>
              <w:spacing w:before="33" w:beforeAutospacing="0" w:after="33" w:afterAutospacing="0"/>
              <w:rPr>
                <w:rFonts w:hint="default"/>
                <w:bCs/>
              </w:rPr>
            </w:pPr>
            <w:r>
              <w:rPr>
                <w:rFonts w:hint="eastAsia"/>
                <w:bCs/>
              </w:rPr>
              <w:t>不涉及</w:t>
            </w:r>
          </w:p>
        </w:tc>
      </w:tr>
      <w:tr w14:paraId="67723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53" w:type="pct"/>
            <w:tcBorders>
              <w:tl2br w:val="nil"/>
              <w:tr2bl w:val="nil"/>
            </w:tcBorders>
            <w:vAlign w:val="center"/>
          </w:tcPr>
          <w:p w14:paraId="16CA102F">
            <w:pPr>
              <w:pStyle w:val="40"/>
              <w:keepNext w:val="0"/>
              <w:keepLines w:val="0"/>
              <w:suppressLineNumbers w:val="0"/>
              <w:spacing w:before="33" w:beforeAutospacing="0" w:after="33" w:afterAutospacing="0"/>
              <w:rPr>
                <w:rFonts w:hint="default"/>
              </w:rPr>
            </w:pPr>
            <w:r>
              <w:rPr>
                <w:rFonts w:hint="eastAsia"/>
              </w:rPr>
              <w:t>环境风险防范措施</w:t>
            </w:r>
          </w:p>
        </w:tc>
        <w:tc>
          <w:tcPr>
            <w:tcW w:w="4446" w:type="pct"/>
            <w:gridSpan w:val="4"/>
            <w:tcBorders>
              <w:tl2br w:val="nil"/>
              <w:tr2bl w:val="nil"/>
            </w:tcBorders>
            <w:vAlign w:val="center"/>
          </w:tcPr>
          <w:p w14:paraId="32C8302C">
            <w:pPr>
              <w:pStyle w:val="40"/>
              <w:keepNext w:val="0"/>
              <w:keepLines w:val="0"/>
              <w:suppressLineNumbers w:val="0"/>
              <w:spacing w:before="33" w:beforeAutospacing="0" w:after="33" w:afterAutospacing="0"/>
              <w:rPr>
                <w:rFonts w:hint="default" w:eastAsia="宋体"/>
                <w:lang w:val="en-US" w:eastAsia="zh-CN"/>
              </w:rPr>
            </w:pPr>
            <w:r>
              <w:rPr>
                <w:rFonts w:hint="eastAsia"/>
              </w:rPr>
              <w:t>储备应急物资，加强生产管理，</w:t>
            </w:r>
            <w:r>
              <w:rPr>
                <w:rFonts w:hint="default"/>
              </w:rPr>
              <w:t>制定完善消防安全管理制度，明确消防职责</w:t>
            </w:r>
            <w:r>
              <w:rPr>
                <w:rFonts w:hint="eastAsia"/>
                <w:lang w:eastAsia="zh-CN"/>
              </w:rPr>
              <w:t>；</w:t>
            </w:r>
            <w:r>
              <w:rPr>
                <w:rFonts w:hint="eastAsia"/>
                <w:lang w:val="en-US" w:eastAsia="zh-CN"/>
              </w:rPr>
              <w:t>制定应急预案；开展应急培训及应急演练；</w:t>
            </w:r>
            <w:r>
              <w:rPr>
                <w:rFonts w:hint="eastAsia"/>
              </w:rPr>
              <w:t>危废间规范化建设</w:t>
            </w:r>
            <w:r>
              <w:rPr>
                <w:rFonts w:hint="eastAsia"/>
                <w:lang w:eastAsia="zh-CN"/>
              </w:rPr>
              <w:t>；</w:t>
            </w:r>
            <w:r>
              <w:rPr>
                <w:rFonts w:hint="eastAsia"/>
                <w:lang w:val="en-US" w:eastAsia="zh-CN"/>
              </w:rPr>
              <w:t>分区防渗，设置导流沟、</w:t>
            </w:r>
            <w:r>
              <w:rPr>
                <w:rFonts w:hint="eastAsia" w:eastAsia="宋体" w:cs="Times New Roman"/>
                <w:b w:val="0"/>
                <w:bCs w:val="0"/>
                <w:color w:val="auto"/>
                <w:u w:val="none"/>
                <w:lang w:val="en-US" w:eastAsia="zh-CN"/>
              </w:rPr>
              <w:t>收集池</w:t>
            </w:r>
          </w:p>
        </w:tc>
      </w:tr>
      <w:tr w14:paraId="3F5BA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2" w:hRule="atLeast"/>
          <w:jc w:val="center"/>
        </w:trPr>
        <w:tc>
          <w:tcPr>
            <w:tcW w:w="553" w:type="pct"/>
            <w:tcBorders>
              <w:tl2br w:val="nil"/>
              <w:tr2bl w:val="nil"/>
            </w:tcBorders>
            <w:vAlign w:val="center"/>
          </w:tcPr>
          <w:p w14:paraId="490C3087">
            <w:pPr>
              <w:pStyle w:val="40"/>
              <w:keepNext w:val="0"/>
              <w:keepLines w:val="0"/>
              <w:suppressLineNumbers w:val="0"/>
              <w:spacing w:before="33" w:beforeAutospacing="0" w:after="33" w:afterAutospacing="0"/>
              <w:rPr>
                <w:rFonts w:hint="default"/>
                <w:bCs/>
              </w:rPr>
            </w:pPr>
            <w:r>
              <w:rPr>
                <w:rFonts w:hint="eastAsia"/>
                <w:bCs/>
              </w:rPr>
              <w:t>其他环境管理要求</w:t>
            </w:r>
          </w:p>
        </w:tc>
        <w:tc>
          <w:tcPr>
            <w:tcW w:w="4446" w:type="pct"/>
            <w:gridSpan w:val="4"/>
            <w:tcBorders>
              <w:tl2br w:val="nil"/>
              <w:tr2bl w:val="nil"/>
            </w:tcBorders>
            <w:vAlign w:val="center"/>
          </w:tcPr>
          <w:p w14:paraId="62016F20">
            <w:pPr>
              <w:keepNext w:val="0"/>
              <w:keepLines w:val="0"/>
              <w:numPr>
                <w:ilvl w:val="0"/>
                <w:numId w:val="12"/>
              </w:numPr>
              <w:suppressLineNumbers w:val="0"/>
              <w:spacing w:before="0" w:beforeAutospacing="0" w:after="0" w:afterAutospacing="0" w:line="240" w:lineRule="auto"/>
              <w:ind w:left="0" w:right="0" w:firstLine="0" w:firstLineChars="0"/>
              <w:rPr>
                <w:rFonts w:hint="default" w:ascii="宋体" w:hAnsi="宋体" w:cs="宋体"/>
                <w:sz w:val="21"/>
                <w:szCs w:val="21"/>
              </w:rPr>
            </w:pPr>
            <w:r>
              <w:rPr>
                <w:rFonts w:hint="default" w:ascii="宋体" w:hAnsi="宋体" w:cs="宋体"/>
                <w:sz w:val="21"/>
                <w:szCs w:val="21"/>
              </w:rPr>
              <w:t>企业应严格落实环保</w:t>
            </w:r>
            <w:r>
              <w:rPr>
                <w:rFonts w:hint="eastAsia" w:ascii="宋体" w:hAnsi="宋体" w:cs="宋体"/>
                <w:sz w:val="21"/>
                <w:szCs w:val="21"/>
                <w:lang w:eastAsia="zh-CN"/>
              </w:rPr>
              <w:t>“</w:t>
            </w:r>
            <w:r>
              <w:rPr>
                <w:rFonts w:hint="default" w:ascii="宋体" w:hAnsi="宋体" w:cs="宋体"/>
                <w:sz w:val="21"/>
                <w:szCs w:val="21"/>
              </w:rPr>
              <w:t>三同时</w:t>
            </w:r>
            <w:r>
              <w:rPr>
                <w:rFonts w:hint="eastAsia" w:ascii="宋体" w:hAnsi="宋体" w:cs="宋体"/>
                <w:sz w:val="21"/>
                <w:szCs w:val="21"/>
                <w:lang w:eastAsia="zh-CN"/>
              </w:rPr>
              <w:t>”</w:t>
            </w:r>
            <w:r>
              <w:rPr>
                <w:rFonts w:hint="default" w:ascii="宋体" w:hAnsi="宋体" w:cs="宋体"/>
                <w:sz w:val="21"/>
                <w:szCs w:val="21"/>
              </w:rPr>
              <w:t>制度；</w:t>
            </w:r>
          </w:p>
          <w:p w14:paraId="11F47FAD">
            <w:pPr>
              <w:keepNext w:val="0"/>
              <w:keepLines w:val="0"/>
              <w:numPr>
                <w:ilvl w:val="0"/>
                <w:numId w:val="12"/>
              </w:numPr>
              <w:suppressLineNumbers w:val="0"/>
              <w:spacing w:before="0" w:beforeAutospacing="0" w:after="0" w:afterAutospacing="0" w:line="240" w:lineRule="auto"/>
              <w:ind w:left="0" w:right="0" w:firstLine="0" w:firstLineChars="0"/>
              <w:rPr>
                <w:rFonts w:hint="default" w:ascii="宋体" w:hAnsi="宋体" w:cs="宋体"/>
                <w:sz w:val="21"/>
                <w:szCs w:val="21"/>
              </w:rPr>
            </w:pPr>
            <w:r>
              <w:rPr>
                <w:rFonts w:hint="default" w:ascii="宋体" w:hAnsi="宋体" w:cs="宋体"/>
                <w:sz w:val="21"/>
                <w:szCs w:val="21"/>
              </w:rPr>
              <w:t>企业项目建设性质、规模、地点、生产工艺、环保措施等有重大变动时，建设单位应及时另行报批，必要时重新进行环境影响评价；</w:t>
            </w:r>
          </w:p>
          <w:p w14:paraId="28FDFEE5">
            <w:pPr>
              <w:keepNext w:val="0"/>
              <w:keepLines w:val="0"/>
              <w:numPr>
                <w:ilvl w:val="0"/>
                <w:numId w:val="12"/>
              </w:numPr>
              <w:suppressLineNumbers w:val="0"/>
              <w:spacing w:before="0" w:beforeAutospacing="0" w:after="0" w:afterAutospacing="0" w:line="240" w:lineRule="auto"/>
              <w:ind w:left="0" w:right="0" w:firstLine="0" w:firstLineChars="0"/>
              <w:rPr>
                <w:rFonts w:hint="default" w:ascii="宋体" w:hAnsi="宋体" w:cs="宋体"/>
                <w:sz w:val="21"/>
                <w:szCs w:val="21"/>
              </w:rPr>
            </w:pPr>
            <w:r>
              <w:rPr>
                <w:rFonts w:hint="default" w:ascii="宋体" w:hAnsi="宋体" w:cs="宋体"/>
                <w:sz w:val="21"/>
                <w:szCs w:val="21"/>
              </w:rPr>
              <w:t>企业应在本项目投入生产前根据《排污许可管理办法</w:t>
            </w:r>
            <w:r>
              <w:rPr>
                <w:rFonts w:hint="eastAsia" w:ascii="宋体" w:hAnsi="宋体" w:cs="宋体"/>
                <w:sz w:val="21"/>
                <w:szCs w:val="21"/>
                <w:lang w:eastAsia="zh-CN"/>
              </w:rPr>
              <w:t>（</w:t>
            </w:r>
            <w:r>
              <w:rPr>
                <w:rFonts w:hint="default" w:ascii="宋体" w:hAnsi="宋体" w:cs="宋体"/>
                <w:sz w:val="21"/>
                <w:szCs w:val="21"/>
              </w:rPr>
              <w:t>试行</w:t>
            </w:r>
            <w:r>
              <w:rPr>
                <w:rFonts w:hint="eastAsia" w:ascii="宋体" w:hAnsi="宋体" w:cs="宋体"/>
                <w:sz w:val="21"/>
                <w:szCs w:val="21"/>
                <w:lang w:eastAsia="zh-CN"/>
              </w:rPr>
              <w:t>）</w:t>
            </w:r>
            <w:r>
              <w:rPr>
                <w:rFonts w:hint="default" w:ascii="宋体" w:hAnsi="宋体" w:cs="宋体"/>
                <w:sz w:val="21"/>
                <w:szCs w:val="21"/>
              </w:rPr>
              <w:t>》</w:t>
            </w:r>
            <w:r>
              <w:rPr>
                <w:rFonts w:hint="eastAsia" w:ascii="宋体" w:hAnsi="宋体" w:cs="宋体"/>
                <w:sz w:val="21"/>
                <w:szCs w:val="21"/>
                <w:lang w:eastAsia="zh-CN"/>
              </w:rPr>
              <w:t>（</w:t>
            </w:r>
            <w:r>
              <w:rPr>
                <w:rFonts w:hint="default" w:ascii="宋体" w:hAnsi="宋体" w:cs="宋体"/>
                <w:sz w:val="21"/>
                <w:szCs w:val="21"/>
              </w:rPr>
              <w:t>环境保护部令第48号</w:t>
            </w:r>
            <w:r>
              <w:rPr>
                <w:rFonts w:hint="eastAsia" w:ascii="宋体" w:hAnsi="宋体" w:cs="宋体"/>
                <w:sz w:val="21"/>
                <w:szCs w:val="21"/>
                <w:lang w:eastAsia="zh-CN"/>
              </w:rPr>
              <w:t>）</w:t>
            </w:r>
            <w:r>
              <w:rPr>
                <w:rFonts w:hint="default" w:ascii="宋体" w:hAnsi="宋体" w:cs="宋体"/>
                <w:sz w:val="21"/>
                <w:szCs w:val="21"/>
              </w:rPr>
              <w:t>和《排污许可管理条例》等要求办理或更新排污许可证。</w:t>
            </w:r>
          </w:p>
          <w:p w14:paraId="25D786A8">
            <w:pPr>
              <w:keepNext w:val="0"/>
              <w:keepLines w:val="0"/>
              <w:suppressLineNumbers w:val="0"/>
              <w:spacing w:before="0" w:beforeAutospacing="0" w:after="0" w:afterAutospacing="0" w:line="240" w:lineRule="auto"/>
              <w:ind w:left="0" w:right="0" w:firstLine="0" w:firstLineChars="0"/>
              <w:rPr>
                <w:rFonts w:hint="default" w:ascii="宋体" w:hAnsi="宋体" w:cs="宋体"/>
                <w:sz w:val="21"/>
                <w:szCs w:val="21"/>
              </w:rPr>
            </w:pPr>
          </w:p>
          <w:p w14:paraId="1592DB2E">
            <w:pPr>
              <w:pStyle w:val="12"/>
              <w:keepNext w:val="0"/>
              <w:keepLines w:val="0"/>
              <w:suppressLineNumbers w:val="0"/>
              <w:spacing w:before="0" w:beforeAutospacing="0" w:after="0" w:afterAutospacing="0"/>
              <w:ind w:right="0"/>
              <w:rPr>
                <w:rFonts w:hint="default" w:ascii="宋体" w:hAnsi="宋体" w:cs="宋体"/>
                <w:sz w:val="21"/>
                <w:szCs w:val="21"/>
              </w:rPr>
            </w:pPr>
          </w:p>
          <w:p w14:paraId="42EA7FA1">
            <w:pPr>
              <w:keepNext w:val="0"/>
              <w:keepLines w:val="0"/>
              <w:suppressLineNumbers w:val="0"/>
              <w:spacing w:before="0" w:beforeAutospacing="0" w:after="0" w:afterAutospacing="0"/>
              <w:ind w:left="0" w:right="0"/>
              <w:rPr>
                <w:rFonts w:hint="default" w:ascii="宋体" w:hAnsi="宋体" w:cs="宋体"/>
                <w:sz w:val="21"/>
                <w:szCs w:val="21"/>
              </w:rPr>
            </w:pPr>
          </w:p>
          <w:p w14:paraId="5634AD47">
            <w:pPr>
              <w:pStyle w:val="12"/>
              <w:keepNext w:val="0"/>
              <w:keepLines w:val="0"/>
              <w:suppressLineNumbers w:val="0"/>
              <w:spacing w:before="0" w:beforeAutospacing="0" w:after="0" w:afterAutospacing="0"/>
              <w:ind w:right="0"/>
              <w:rPr>
                <w:rFonts w:hint="default" w:ascii="宋体" w:hAnsi="宋体" w:cs="宋体"/>
                <w:sz w:val="21"/>
                <w:szCs w:val="21"/>
              </w:rPr>
            </w:pPr>
          </w:p>
          <w:p w14:paraId="1ECC7933">
            <w:pPr>
              <w:keepNext w:val="0"/>
              <w:keepLines w:val="0"/>
              <w:suppressLineNumbers w:val="0"/>
              <w:spacing w:before="0" w:beforeAutospacing="0" w:after="0" w:afterAutospacing="0"/>
              <w:ind w:left="0" w:right="0"/>
              <w:rPr>
                <w:rFonts w:hint="default" w:ascii="宋体" w:hAnsi="宋体" w:cs="宋体"/>
                <w:sz w:val="21"/>
                <w:szCs w:val="21"/>
              </w:rPr>
            </w:pPr>
          </w:p>
          <w:p w14:paraId="21705A40">
            <w:pPr>
              <w:pStyle w:val="12"/>
              <w:keepNext w:val="0"/>
              <w:keepLines w:val="0"/>
              <w:suppressLineNumbers w:val="0"/>
              <w:spacing w:before="0" w:beforeAutospacing="0" w:after="0" w:afterAutospacing="0"/>
              <w:ind w:right="0"/>
              <w:rPr>
                <w:rFonts w:hint="default" w:ascii="宋体" w:hAnsi="宋体" w:cs="宋体"/>
                <w:sz w:val="21"/>
                <w:szCs w:val="21"/>
              </w:rPr>
            </w:pPr>
          </w:p>
          <w:p w14:paraId="3C36A550">
            <w:pPr>
              <w:keepNext w:val="0"/>
              <w:keepLines w:val="0"/>
              <w:suppressLineNumbers w:val="0"/>
              <w:spacing w:before="0" w:beforeAutospacing="0" w:after="0" w:afterAutospacing="0"/>
              <w:ind w:left="0" w:right="0"/>
              <w:rPr>
                <w:rFonts w:hint="default" w:ascii="宋体" w:hAnsi="宋体" w:cs="宋体"/>
                <w:sz w:val="21"/>
                <w:szCs w:val="21"/>
              </w:rPr>
            </w:pPr>
          </w:p>
          <w:p w14:paraId="6E89D919">
            <w:pPr>
              <w:pStyle w:val="12"/>
              <w:keepNext w:val="0"/>
              <w:keepLines w:val="0"/>
              <w:suppressLineNumbers w:val="0"/>
              <w:spacing w:before="0" w:beforeAutospacing="0" w:after="0" w:afterAutospacing="0"/>
              <w:ind w:right="0"/>
              <w:rPr>
                <w:rFonts w:hint="default" w:ascii="宋体" w:hAnsi="宋体" w:cs="宋体"/>
                <w:sz w:val="21"/>
                <w:szCs w:val="21"/>
              </w:rPr>
            </w:pPr>
          </w:p>
          <w:p w14:paraId="499DDF7D">
            <w:pPr>
              <w:keepNext w:val="0"/>
              <w:keepLines w:val="0"/>
              <w:suppressLineNumbers w:val="0"/>
              <w:spacing w:before="0" w:beforeAutospacing="0" w:after="0" w:afterAutospacing="0"/>
              <w:ind w:left="0" w:right="0"/>
              <w:rPr>
                <w:rFonts w:hint="default" w:ascii="宋体" w:hAnsi="宋体" w:cs="宋体"/>
                <w:sz w:val="21"/>
                <w:szCs w:val="21"/>
              </w:rPr>
            </w:pPr>
          </w:p>
          <w:p w14:paraId="0B90C913">
            <w:pPr>
              <w:pStyle w:val="12"/>
              <w:keepNext w:val="0"/>
              <w:keepLines w:val="0"/>
              <w:suppressLineNumbers w:val="0"/>
              <w:spacing w:before="0" w:beforeAutospacing="0" w:after="0" w:afterAutospacing="0"/>
              <w:ind w:right="0"/>
              <w:rPr>
                <w:rFonts w:hint="default" w:ascii="宋体" w:hAnsi="宋体" w:cs="宋体"/>
                <w:sz w:val="21"/>
                <w:szCs w:val="21"/>
              </w:rPr>
            </w:pPr>
          </w:p>
          <w:p w14:paraId="18010FEC">
            <w:pPr>
              <w:keepNext w:val="0"/>
              <w:keepLines w:val="0"/>
              <w:suppressLineNumbers w:val="0"/>
              <w:spacing w:before="0" w:beforeAutospacing="0" w:after="0" w:afterAutospacing="0"/>
              <w:ind w:left="0" w:right="0"/>
              <w:rPr>
                <w:rFonts w:hint="default" w:ascii="宋体" w:hAnsi="宋体" w:cs="宋体"/>
                <w:sz w:val="21"/>
                <w:szCs w:val="21"/>
              </w:rPr>
            </w:pPr>
          </w:p>
          <w:p w14:paraId="0BDFFFEC">
            <w:pPr>
              <w:pStyle w:val="12"/>
              <w:keepNext w:val="0"/>
              <w:keepLines w:val="0"/>
              <w:suppressLineNumbers w:val="0"/>
              <w:spacing w:before="0" w:beforeAutospacing="0" w:after="0" w:afterAutospacing="0"/>
              <w:ind w:right="0"/>
              <w:rPr>
                <w:rFonts w:hint="default" w:ascii="宋体" w:hAnsi="宋体" w:cs="宋体"/>
                <w:sz w:val="21"/>
                <w:szCs w:val="21"/>
              </w:rPr>
            </w:pPr>
          </w:p>
          <w:p w14:paraId="4B6722F1">
            <w:pPr>
              <w:keepNext w:val="0"/>
              <w:keepLines w:val="0"/>
              <w:suppressLineNumbers w:val="0"/>
              <w:spacing w:before="0" w:beforeAutospacing="0" w:after="0" w:afterAutospacing="0"/>
              <w:ind w:left="0" w:right="0"/>
              <w:rPr>
                <w:rFonts w:hint="default" w:ascii="宋体" w:hAnsi="宋体" w:cs="宋体"/>
                <w:sz w:val="21"/>
                <w:szCs w:val="21"/>
              </w:rPr>
            </w:pPr>
          </w:p>
          <w:p w14:paraId="2AB32B11">
            <w:pPr>
              <w:pStyle w:val="12"/>
              <w:keepNext w:val="0"/>
              <w:keepLines w:val="0"/>
              <w:suppressLineNumbers w:val="0"/>
              <w:spacing w:before="0" w:beforeAutospacing="0" w:after="0" w:afterAutospacing="0"/>
              <w:ind w:right="0"/>
              <w:rPr>
                <w:rFonts w:hint="default" w:ascii="宋体" w:hAnsi="宋体" w:cs="宋体"/>
                <w:sz w:val="21"/>
                <w:szCs w:val="21"/>
              </w:rPr>
            </w:pPr>
          </w:p>
          <w:p w14:paraId="5B7232EA">
            <w:pPr>
              <w:keepNext w:val="0"/>
              <w:keepLines w:val="0"/>
              <w:suppressLineNumbers w:val="0"/>
              <w:spacing w:before="0" w:beforeAutospacing="0" w:after="0" w:afterAutospacing="0"/>
              <w:ind w:left="0" w:right="0"/>
              <w:rPr>
                <w:rFonts w:hint="default" w:ascii="宋体" w:hAnsi="宋体" w:cs="宋体"/>
                <w:sz w:val="21"/>
                <w:szCs w:val="21"/>
              </w:rPr>
            </w:pPr>
          </w:p>
          <w:p w14:paraId="6307ED09">
            <w:pPr>
              <w:pStyle w:val="12"/>
              <w:keepNext w:val="0"/>
              <w:keepLines w:val="0"/>
              <w:suppressLineNumbers w:val="0"/>
              <w:spacing w:before="0" w:beforeAutospacing="0" w:after="0" w:afterAutospacing="0"/>
              <w:ind w:right="0"/>
              <w:rPr>
                <w:rFonts w:hint="default" w:ascii="宋体" w:hAnsi="宋体" w:cs="宋体"/>
                <w:sz w:val="21"/>
                <w:szCs w:val="21"/>
              </w:rPr>
            </w:pPr>
          </w:p>
          <w:p w14:paraId="4BB7AAE8">
            <w:pPr>
              <w:keepNext w:val="0"/>
              <w:keepLines w:val="0"/>
              <w:suppressLineNumbers w:val="0"/>
              <w:spacing w:before="0" w:beforeAutospacing="0" w:after="0" w:afterAutospacing="0"/>
              <w:ind w:left="0" w:right="0"/>
              <w:rPr>
                <w:rFonts w:hint="default" w:ascii="宋体" w:hAnsi="宋体" w:cs="宋体"/>
                <w:sz w:val="21"/>
                <w:szCs w:val="21"/>
              </w:rPr>
            </w:pPr>
          </w:p>
          <w:p w14:paraId="1B141361">
            <w:pPr>
              <w:pStyle w:val="12"/>
              <w:keepNext w:val="0"/>
              <w:keepLines w:val="0"/>
              <w:suppressLineNumbers w:val="0"/>
              <w:spacing w:before="0" w:beforeAutospacing="0" w:after="0" w:afterAutospacing="0"/>
              <w:ind w:right="0"/>
              <w:rPr>
                <w:rFonts w:hint="default" w:ascii="宋体" w:hAnsi="宋体" w:cs="宋体"/>
                <w:sz w:val="21"/>
                <w:szCs w:val="21"/>
              </w:rPr>
            </w:pPr>
          </w:p>
          <w:p w14:paraId="0B77AAB4">
            <w:pPr>
              <w:keepNext w:val="0"/>
              <w:keepLines w:val="0"/>
              <w:suppressLineNumbers w:val="0"/>
              <w:spacing w:before="0" w:beforeAutospacing="0" w:after="0" w:afterAutospacing="0"/>
              <w:ind w:left="0" w:right="0"/>
              <w:rPr>
                <w:rFonts w:hint="default" w:ascii="宋体" w:hAnsi="宋体" w:cs="宋体"/>
                <w:sz w:val="21"/>
                <w:szCs w:val="21"/>
              </w:rPr>
            </w:pPr>
          </w:p>
          <w:p w14:paraId="5368DCC7">
            <w:pPr>
              <w:pStyle w:val="12"/>
              <w:keepNext w:val="0"/>
              <w:keepLines w:val="0"/>
              <w:suppressLineNumbers w:val="0"/>
              <w:spacing w:before="0" w:beforeAutospacing="0" w:after="0" w:afterAutospacing="0"/>
              <w:ind w:right="0"/>
              <w:rPr>
                <w:rFonts w:hint="default" w:ascii="宋体" w:hAnsi="宋体" w:cs="宋体"/>
                <w:sz w:val="21"/>
                <w:szCs w:val="21"/>
              </w:rPr>
            </w:pPr>
          </w:p>
          <w:p w14:paraId="1CA7C10E">
            <w:pPr>
              <w:keepNext w:val="0"/>
              <w:keepLines w:val="0"/>
              <w:suppressLineNumbers w:val="0"/>
              <w:spacing w:before="0" w:beforeAutospacing="0" w:after="0" w:afterAutospacing="0"/>
              <w:ind w:left="0" w:right="0"/>
              <w:rPr>
                <w:rFonts w:hint="default" w:ascii="宋体" w:hAnsi="宋体" w:cs="宋体"/>
                <w:sz w:val="21"/>
                <w:szCs w:val="21"/>
              </w:rPr>
            </w:pPr>
          </w:p>
          <w:p w14:paraId="6618DBCB">
            <w:pPr>
              <w:pStyle w:val="12"/>
              <w:keepNext w:val="0"/>
              <w:keepLines w:val="0"/>
              <w:suppressLineNumbers w:val="0"/>
              <w:spacing w:before="0" w:beforeAutospacing="0" w:after="0" w:afterAutospacing="0"/>
              <w:ind w:right="0"/>
              <w:rPr>
                <w:rFonts w:hint="default" w:ascii="宋体" w:hAnsi="宋体" w:cs="宋体"/>
                <w:sz w:val="21"/>
                <w:szCs w:val="21"/>
              </w:rPr>
            </w:pPr>
          </w:p>
          <w:p w14:paraId="0434FD8C">
            <w:pPr>
              <w:keepNext w:val="0"/>
              <w:keepLines w:val="0"/>
              <w:suppressLineNumbers w:val="0"/>
              <w:spacing w:before="0" w:beforeAutospacing="0" w:after="0" w:afterAutospacing="0"/>
              <w:ind w:left="0" w:right="0"/>
              <w:rPr>
                <w:rFonts w:hint="default" w:ascii="宋体" w:hAnsi="宋体" w:cs="宋体"/>
                <w:sz w:val="21"/>
                <w:szCs w:val="21"/>
              </w:rPr>
            </w:pPr>
          </w:p>
          <w:p w14:paraId="651E910C">
            <w:pPr>
              <w:pStyle w:val="12"/>
              <w:keepNext w:val="0"/>
              <w:keepLines w:val="0"/>
              <w:suppressLineNumbers w:val="0"/>
              <w:spacing w:before="0" w:beforeAutospacing="0" w:after="0" w:afterAutospacing="0"/>
              <w:ind w:right="0"/>
              <w:rPr>
                <w:rFonts w:hint="default" w:ascii="宋体" w:hAnsi="宋体" w:cs="宋体"/>
                <w:sz w:val="21"/>
                <w:szCs w:val="21"/>
              </w:rPr>
            </w:pPr>
          </w:p>
          <w:p w14:paraId="70072761">
            <w:pPr>
              <w:keepNext w:val="0"/>
              <w:keepLines w:val="0"/>
              <w:suppressLineNumbers w:val="0"/>
              <w:spacing w:before="0" w:beforeAutospacing="0" w:after="0" w:afterAutospacing="0"/>
              <w:ind w:left="0" w:right="0"/>
              <w:rPr>
                <w:rFonts w:hint="default"/>
              </w:rPr>
            </w:pPr>
          </w:p>
        </w:tc>
      </w:tr>
    </w:tbl>
    <w:p w14:paraId="466FD23F">
      <w:pPr>
        <w:ind w:firstLine="480"/>
        <w:rPr>
          <w:color w:val="auto"/>
          <w:highlight w:val="none"/>
        </w:rPr>
      </w:pPr>
      <w:r>
        <w:rPr>
          <w:color w:val="auto"/>
          <w:highlight w:val="none"/>
        </w:rPr>
        <w:br w:type="page"/>
      </w:r>
    </w:p>
    <w:p w14:paraId="74E59037">
      <w:pPr>
        <w:pStyle w:val="2"/>
        <w:ind w:firstLine="643"/>
        <w:rPr>
          <w:b w:val="0"/>
          <w:bCs w:val="0"/>
          <w:color w:val="auto"/>
          <w:highlight w:val="none"/>
        </w:rPr>
      </w:pPr>
      <w:bookmarkStart w:id="11" w:name="_Toc22200"/>
      <w:r>
        <w:rPr>
          <w:rFonts w:hint="eastAsia"/>
          <w:color w:val="auto"/>
          <w:highlight w:val="none"/>
        </w:rPr>
        <w:t>六</w:t>
      </w:r>
      <w:r>
        <w:rPr>
          <w:color w:val="auto"/>
          <w:highlight w:val="none"/>
        </w:rPr>
        <w:t>、</w:t>
      </w:r>
      <w:r>
        <w:rPr>
          <w:rFonts w:hint="eastAsia"/>
          <w:color w:val="auto"/>
          <w:highlight w:val="none"/>
        </w:rPr>
        <w:t>结论</w:t>
      </w:r>
      <w:r>
        <w:rPr>
          <w:color w:val="auto"/>
          <w:highlight w:val="none"/>
        </w:rPr>
        <w:t>与建议</w:t>
      </w:r>
      <w:bookmarkEnd w:id="11"/>
    </w:p>
    <w:tbl>
      <w:tblPr>
        <w:tblStyle w:val="19"/>
        <w:tblW w:w="0" w:type="auto"/>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9047"/>
      </w:tblGrid>
      <w:tr w14:paraId="2198FA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9477" w:hRule="atLeast"/>
        </w:trPr>
        <w:tc>
          <w:tcPr>
            <w:tcW w:w="9047" w:type="dxa"/>
          </w:tcPr>
          <w:p w14:paraId="31D75B01">
            <w:pPr>
              <w:keepNext w:val="0"/>
              <w:keepLines w:val="0"/>
              <w:suppressLineNumbers w:val="0"/>
              <w:bidi w:val="0"/>
              <w:spacing w:before="0" w:beforeAutospacing="0" w:after="0" w:afterAutospacing="0"/>
              <w:ind w:left="0" w:right="0"/>
              <w:rPr>
                <w:rFonts w:hint="default"/>
                <w:color w:val="auto"/>
              </w:rPr>
            </w:pPr>
            <w:r>
              <w:rPr>
                <w:rFonts w:hint="eastAsia"/>
                <w:color w:val="auto"/>
                <w:lang w:eastAsia="zh-CN"/>
              </w:rPr>
              <w:t>淮南市奇锐再生资源有限公司</w:t>
            </w:r>
            <w:r>
              <w:rPr>
                <w:rFonts w:hint="eastAsia"/>
                <w:color w:val="auto"/>
                <w:highlight w:val="none"/>
                <w:lang w:eastAsia="zh-CN"/>
              </w:rPr>
              <w:t>谢家集经济开发区新能源拆解基地项目</w:t>
            </w:r>
            <w:r>
              <w:rPr>
                <w:rFonts w:hint="eastAsia"/>
                <w:color w:val="auto"/>
              </w:rPr>
              <w:t>符合国家产业政策、当地规划以及相关法律法规要求。建设单位需认真落实本报告提出的各项污染防治措施，切实做到</w:t>
            </w:r>
            <w:r>
              <w:rPr>
                <w:rFonts w:hint="eastAsia"/>
                <w:color w:val="auto"/>
                <w:lang w:eastAsia="zh-CN"/>
              </w:rPr>
              <w:t>“</w:t>
            </w:r>
            <w:r>
              <w:rPr>
                <w:rFonts w:hint="eastAsia"/>
                <w:color w:val="auto"/>
              </w:rPr>
              <w:t>三同时</w:t>
            </w:r>
            <w:r>
              <w:rPr>
                <w:rFonts w:hint="eastAsia"/>
                <w:color w:val="auto"/>
                <w:lang w:eastAsia="zh-CN"/>
              </w:rPr>
              <w:t>”</w:t>
            </w:r>
            <w:r>
              <w:rPr>
                <w:rFonts w:hint="eastAsia"/>
                <w:color w:val="auto"/>
              </w:rPr>
              <w:t>，加强环境管理，做好环境污染防治工作，项目营运过程中各污染物均能达标排放，可满足当地环境质量要求，对区域环境造成影响较小。</w:t>
            </w:r>
          </w:p>
          <w:p w14:paraId="4AC883DD">
            <w:pPr>
              <w:keepNext w:val="0"/>
              <w:keepLines w:val="0"/>
              <w:suppressLineNumbers w:val="0"/>
              <w:bidi w:val="0"/>
              <w:spacing w:before="0" w:beforeAutospacing="0" w:after="0" w:afterAutospacing="0"/>
              <w:ind w:left="0" w:right="0"/>
              <w:rPr>
                <w:rFonts w:hint="default"/>
                <w:color w:val="auto"/>
              </w:rPr>
            </w:pPr>
            <w:r>
              <w:rPr>
                <w:rFonts w:hint="eastAsia"/>
                <w:color w:val="auto"/>
              </w:rPr>
              <w:t>因此，从环境影响角度看，本项目是可行的</w:t>
            </w:r>
            <w:commentRangeStart w:id="44"/>
            <w:commentRangeStart w:id="45"/>
            <w:r>
              <w:rPr>
                <w:rFonts w:hint="eastAsia"/>
                <w:color w:val="auto"/>
              </w:rPr>
              <w:t>。</w:t>
            </w:r>
            <w:commentRangeEnd w:id="44"/>
            <w:r>
              <w:rPr>
                <w:rFonts w:hint="default"/>
              </w:rPr>
              <w:commentReference w:id="44"/>
            </w:r>
            <w:commentRangeEnd w:id="45"/>
            <w:r>
              <w:rPr>
                <w:rFonts w:hint="default"/>
              </w:rPr>
              <w:commentReference w:id="45"/>
            </w:r>
          </w:p>
          <w:p w14:paraId="41E529D5">
            <w:pPr>
              <w:keepNext w:val="0"/>
              <w:keepLines w:val="0"/>
              <w:suppressLineNumbers w:val="0"/>
              <w:spacing w:before="0" w:beforeAutospacing="0" w:after="0" w:afterAutospacing="0"/>
              <w:ind w:left="0" w:right="0" w:firstLine="480"/>
              <w:rPr>
                <w:rFonts w:hint="default"/>
                <w:color w:val="auto"/>
                <w:highlight w:val="none"/>
              </w:rPr>
            </w:pPr>
          </w:p>
          <w:p w14:paraId="594D54F1">
            <w:pPr>
              <w:keepNext w:val="0"/>
              <w:keepLines w:val="0"/>
              <w:suppressLineNumbers w:val="0"/>
              <w:spacing w:before="0" w:beforeAutospacing="0" w:after="0" w:afterAutospacing="0"/>
              <w:ind w:left="0" w:right="0" w:firstLine="480"/>
              <w:rPr>
                <w:rFonts w:hint="default"/>
                <w:color w:val="auto"/>
                <w:highlight w:val="none"/>
              </w:rPr>
            </w:pPr>
          </w:p>
          <w:p w14:paraId="7102D4A6">
            <w:pPr>
              <w:keepNext w:val="0"/>
              <w:keepLines w:val="0"/>
              <w:suppressLineNumbers w:val="0"/>
              <w:spacing w:before="0" w:beforeAutospacing="0" w:after="0" w:afterAutospacing="0"/>
              <w:ind w:left="0" w:right="0" w:firstLine="480"/>
              <w:rPr>
                <w:rFonts w:hint="default"/>
                <w:color w:val="auto"/>
                <w:highlight w:val="none"/>
              </w:rPr>
            </w:pPr>
          </w:p>
          <w:p w14:paraId="7C650E10">
            <w:pPr>
              <w:keepNext w:val="0"/>
              <w:keepLines w:val="0"/>
              <w:suppressLineNumbers w:val="0"/>
              <w:spacing w:before="0" w:beforeAutospacing="0" w:after="0" w:afterAutospacing="0"/>
              <w:ind w:left="0" w:right="0" w:firstLine="480"/>
              <w:rPr>
                <w:rFonts w:hint="default"/>
                <w:color w:val="auto"/>
                <w:highlight w:val="none"/>
              </w:rPr>
            </w:pPr>
          </w:p>
          <w:p w14:paraId="51EB24DC">
            <w:pPr>
              <w:keepNext w:val="0"/>
              <w:keepLines w:val="0"/>
              <w:suppressLineNumbers w:val="0"/>
              <w:spacing w:before="0" w:beforeAutospacing="0" w:after="0" w:afterAutospacing="0"/>
              <w:ind w:left="0" w:right="0" w:firstLine="480"/>
              <w:rPr>
                <w:rFonts w:hint="default"/>
                <w:color w:val="auto"/>
                <w:highlight w:val="none"/>
              </w:rPr>
            </w:pPr>
          </w:p>
          <w:p w14:paraId="6D8FE3C5">
            <w:pPr>
              <w:keepNext w:val="0"/>
              <w:keepLines w:val="0"/>
              <w:suppressLineNumbers w:val="0"/>
              <w:spacing w:before="0" w:beforeAutospacing="0" w:after="0" w:afterAutospacing="0"/>
              <w:ind w:left="0" w:right="0" w:firstLine="480"/>
              <w:rPr>
                <w:rFonts w:hint="default"/>
                <w:color w:val="auto"/>
                <w:highlight w:val="none"/>
              </w:rPr>
            </w:pPr>
          </w:p>
          <w:p w14:paraId="352632EF">
            <w:pPr>
              <w:keepNext w:val="0"/>
              <w:keepLines w:val="0"/>
              <w:suppressLineNumbers w:val="0"/>
              <w:spacing w:before="0" w:beforeAutospacing="0" w:after="0" w:afterAutospacing="0"/>
              <w:ind w:left="0" w:right="0" w:firstLine="480"/>
              <w:rPr>
                <w:rFonts w:hint="default"/>
                <w:color w:val="auto"/>
                <w:highlight w:val="none"/>
              </w:rPr>
            </w:pPr>
          </w:p>
          <w:p w14:paraId="26A4B4B4">
            <w:pPr>
              <w:keepNext w:val="0"/>
              <w:keepLines w:val="0"/>
              <w:suppressLineNumbers w:val="0"/>
              <w:spacing w:before="0" w:beforeAutospacing="0" w:after="0" w:afterAutospacing="0"/>
              <w:ind w:left="0" w:right="0" w:firstLine="480"/>
              <w:rPr>
                <w:rFonts w:hint="default"/>
                <w:color w:val="auto"/>
                <w:highlight w:val="none"/>
              </w:rPr>
            </w:pPr>
          </w:p>
          <w:p w14:paraId="6D80F3D7">
            <w:pPr>
              <w:keepNext w:val="0"/>
              <w:keepLines w:val="0"/>
              <w:suppressLineNumbers w:val="0"/>
              <w:spacing w:before="0" w:beforeAutospacing="0" w:after="0" w:afterAutospacing="0"/>
              <w:ind w:left="0" w:right="0" w:firstLine="480"/>
              <w:rPr>
                <w:rFonts w:hint="default"/>
                <w:color w:val="auto"/>
                <w:highlight w:val="none"/>
              </w:rPr>
            </w:pPr>
          </w:p>
          <w:p w14:paraId="60FFC6E2">
            <w:pPr>
              <w:keepNext w:val="0"/>
              <w:keepLines w:val="0"/>
              <w:suppressLineNumbers w:val="0"/>
              <w:spacing w:before="0" w:beforeAutospacing="0" w:after="0" w:afterAutospacing="0"/>
              <w:ind w:left="0" w:right="0" w:firstLine="480"/>
              <w:rPr>
                <w:rFonts w:hint="default"/>
                <w:color w:val="auto"/>
                <w:highlight w:val="none"/>
              </w:rPr>
            </w:pPr>
          </w:p>
          <w:p w14:paraId="05008822">
            <w:pPr>
              <w:keepNext w:val="0"/>
              <w:keepLines w:val="0"/>
              <w:suppressLineNumbers w:val="0"/>
              <w:spacing w:before="0" w:beforeAutospacing="0" w:after="0" w:afterAutospacing="0"/>
              <w:ind w:left="0" w:right="0" w:firstLine="480"/>
              <w:rPr>
                <w:rFonts w:hint="default"/>
                <w:color w:val="auto"/>
                <w:highlight w:val="none"/>
              </w:rPr>
            </w:pPr>
          </w:p>
          <w:p w14:paraId="02AD34B8">
            <w:pPr>
              <w:keepNext w:val="0"/>
              <w:keepLines w:val="0"/>
              <w:suppressLineNumbers w:val="0"/>
              <w:spacing w:before="0" w:beforeAutospacing="0" w:after="0" w:afterAutospacing="0"/>
              <w:ind w:left="0" w:right="0" w:firstLine="480"/>
              <w:rPr>
                <w:rFonts w:hint="default"/>
                <w:color w:val="auto"/>
                <w:highlight w:val="none"/>
              </w:rPr>
            </w:pPr>
          </w:p>
          <w:p w14:paraId="6EFA9B5B">
            <w:pPr>
              <w:keepNext w:val="0"/>
              <w:keepLines w:val="0"/>
              <w:suppressLineNumbers w:val="0"/>
              <w:spacing w:before="0" w:beforeAutospacing="0" w:after="0" w:afterAutospacing="0"/>
              <w:ind w:left="0" w:right="0" w:firstLine="480"/>
              <w:rPr>
                <w:rFonts w:hint="default"/>
                <w:color w:val="auto"/>
                <w:highlight w:val="none"/>
              </w:rPr>
            </w:pPr>
          </w:p>
          <w:p w14:paraId="3146F0E5">
            <w:pPr>
              <w:keepNext w:val="0"/>
              <w:keepLines w:val="0"/>
              <w:suppressLineNumbers w:val="0"/>
              <w:spacing w:before="0" w:beforeAutospacing="0" w:after="0" w:afterAutospacing="0"/>
              <w:ind w:left="0" w:right="0" w:firstLine="480"/>
              <w:rPr>
                <w:rFonts w:hint="default"/>
                <w:color w:val="auto"/>
                <w:highlight w:val="none"/>
              </w:rPr>
            </w:pPr>
          </w:p>
          <w:p w14:paraId="522AFE34">
            <w:pPr>
              <w:keepNext w:val="0"/>
              <w:keepLines w:val="0"/>
              <w:suppressLineNumbers w:val="0"/>
              <w:spacing w:before="0" w:beforeAutospacing="0" w:after="0" w:afterAutospacing="0"/>
              <w:ind w:left="0" w:right="0" w:firstLine="480"/>
              <w:rPr>
                <w:rFonts w:hint="default"/>
                <w:color w:val="auto"/>
                <w:highlight w:val="none"/>
              </w:rPr>
            </w:pPr>
          </w:p>
          <w:p w14:paraId="552F5C95">
            <w:pPr>
              <w:keepNext w:val="0"/>
              <w:keepLines w:val="0"/>
              <w:suppressLineNumbers w:val="0"/>
              <w:spacing w:before="0" w:beforeAutospacing="0" w:after="0" w:afterAutospacing="0"/>
              <w:ind w:left="0" w:right="0" w:firstLine="480"/>
              <w:rPr>
                <w:rFonts w:hint="default"/>
                <w:color w:val="auto"/>
                <w:highlight w:val="none"/>
              </w:rPr>
            </w:pPr>
          </w:p>
          <w:p w14:paraId="069BF62C">
            <w:pPr>
              <w:keepNext w:val="0"/>
              <w:keepLines w:val="0"/>
              <w:suppressLineNumbers w:val="0"/>
              <w:spacing w:before="0" w:beforeAutospacing="0" w:after="0" w:afterAutospacing="0"/>
              <w:ind w:left="0" w:right="0" w:firstLine="480"/>
              <w:rPr>
                <w:rFonts w:hint="default"/>
                <w:color w:val="auto"/>
                <w:highlight w:val="none"/>
              </w:rPr>
            </w:pPr>
          </w:p>
          <w:p w14:paraId="2A1D4F2A">
            <w:pPr>
              <w:keepNext w:val="0"/>
              <w:keepLines w:val="0"/>
              <w:suppressLineNumbers w:val="0"/>
              <w:spacing w:before="0" w:beforeAutospacing="0" w:after="0" w:afterAutospacing="0"/>
              <w:ind w:left="0" w:right="0" w:firstLine="480"/>
              <w:rPr>
                <w:rFonts w:hint="default"/>
                <w:color w:val="auto"/>
                <w:highlight w:val="none"/>
              </w:rPr>
            </w:pPr>
          </w:p>
          <w:p w14:paraId="1528AE28">
            <w:pPr>
              <w:keepNext w:val="0"/>
              <w:keepLines w:val="0"/>
              <w:suppressLineNumbers w:val="0"/>
              <w:spacing w:before="0" w:beforeAutospacing="0" w:after="0" w:afterAutospacing="0"/>
              <w:ind w:left="0" w:right="0" w:firstLine="480"/>
              <w:rPr>
                <w:rFonts w:hint="default"/>
                <w:color w:val="auto"/>
                <w:highlight w:val="none"/>
              </w:rPr>
            </w:pPr>
          </w:p>
          <w:p w14:paraId="578BFDE9">
            <w:pPr>
              <w:keepNext w:val="0"/>
              <w:keepLines w:val="0"/>
              <w:suppressLineNumbers w:val="0"/>
              <w:spacing w:before="0" w:beforeAutospacing="0" w:after="0" w:afterAutospacing="0"/>
              <w:ind w:left="0" w:right="0" w:firstLine="480"/>
              <w:rPr>
                <w:rFonts w:hint="default"/>
                <w:color w:val="auto"/>
                <w:highlight w:val="none"/>
              </w:rPr>
            </w:pPr>
          </w:p>
          <w:p w14:paraId="016DE6FB">
            <w:pPr>
              <w:keepNext w:val="0"/>
              <w:keepLines w:val="0"/>
              <w:suppressLineNumbers w:val="0"/>
              <w:spacing w:before="0" w:beforeAutospacing="0" w:after="0" w:afterAutospacing="0"/>
              <w:ind w:left="0" w:right="0" w:firstLine="480"/>
              <w:rPr>
                <w:rFonts w:hint="default"/>
                <w:color w:val="auto"/>
                <w:highlight w:val="none"/>
              </w:rPr>
            </w:pPr>
          </w:p>
          <w:p w14:paraId="250C37BF">
            <w:pPr>
              <w:keepNext w:val="0"/>
              <w:keepLines w:val="0"/>
              <w:suppressLineNumbers w:val="0"/>
              <w:spacing w:before="0" w:beforeAutospacing="0" w:after="0" w:afterAutospacing="0"/>
              <w:ind w:left="0" w:right="0" w:firstLine="480"/>
              <w:rPr>
                <w:rFonts w:hint="default"/>
                <w:color w:val="auto"/>
                <w:highlight w:val="none"/>
              </w:rPr>
            </w:pPr>
          </w:p>
          <w:p w14:paraId="0152D759">
            <w:pPr>
              <w:keepNext w:val="0"/>
              <w:keepLines w:val="0"/>
              <w:suppressLineNumbers w:val="0"/>
              <w:spacing w:before="0" w:beforeAutospacing="0" w:after="0" w:afterAutospacing="0"/>
              <w:ind w:left="0" w:right="0" w:firstLine="480"/>
              <w:rPr>
                <w:rFonts w:hint="default"/>
                <w:color w:val="auto"/>
                <w:highlight w:val="none"/>
              </w:rPr>
            </w:pPr>
          </w:p>
          <w:p w14:paraId="50AADD65">
            <w:pPr>
              <w:keepNext w:val="0"/>
              <w:keepLines w:val="0"/>
              <w:suppressLineNumbers w:val="0"/>
              <w:spacing w:before="0" w:beforeAutospacing="0" w:after="0" w:afterAutospacing="0"/>
              <w:ind w:left="0" w:right="0" w:firstLine="480"/>
              <w:rPr>
                <w:rFonts w:hint="default"/>
                <w:color w:val="auto"/>
                <w:highlight w:val="none"/>
              </w:rPr>
            </w:pPr>
          </w:p>
          <w:p w14:paraId="128019B0">
            <w:pPr>
              <w:keepNext w:val="0"/>
              <w:keepLines w:val="0"/>
              <w:suppressLineNumbers w:val="0"/>
              <w:spacing w:before="0" w:beforeAutospacing="0" w:after="0" w:afterAutospacing="0"/>
              <w:ind w:left="0" w:right="0" w:firstLine="0" w:firstLineChars="0"/>
              <w:rPr>
                <w:rFonts w:hint="default"/>
                <w:color w:val="auto"/>
                <w:highlight w:val="none"/>
              </w:rPr>
            </w:pPr>
          </w:p>
        </w:tc>
      </w:tr>
    </w:tbl>
    <w:p w14:paraId="45EF765E">
      <w:pPr>
        <w:ind w:firstLine="760"/>
        <w:rPr>
          <w:rFonts w:ascii="微软雅黑" w:eastAsia="微软雅黑"/>
          <w:color w:val="auto"/>
          <w:sz w:val="38"/>
          <w:highlight w:val="none"/>
        </w:rPr>
        <w:sectPr>
          <w:pgSz w:w="11905" w:h="16838"/>
          <w:pgMar w:top="1440" w:right="1800" w:bottom="1440" w:left="1800" w:header="850" w:footer="850" w:gutter="0"/>
          <w:pgBorders>
            <w:top w:val="none" w:sz="0" w:space="0"/>
            <w:left w:val="none" w:sz="0" w:space="0"/>
            <w:bottom w:val="none" w:sz="0" w:space="0"/>
            <w:right w:val="none" w:sz="0" w:space="0"/>
          </w:pgBorders>
          <w:cols w:space="0" w:num="1"/>
          <w:rtlGutter w:val="0"/>
          <w:docGrid w:linePitch="336" w:charSpace="0"/>
        </w:sectPr>
      </w:pPr>
    </w:p>
    <w:p w14:paraId="2DD481F1">
      <w:pPr>
        <w:pStyle w:val="18"/>
        <w:keepNext w:val="0"/>
        <w:keepLines w:val="0"/>
        <w:pageBreakBefore w:val="0"/>
        <w:widowControl/>
        <w:kinsoku/>
        <w:wordWrap/>
        <w:overflowPunct/>
        <w:topLinePunct w:val="0"/>
        <w:autoSpaceDE/>
        <w:autoSpaceDN/>
        <w:bidi w:val="0"/>
        <w:adjustRightInd w:val="0"/>
        <w:snapToGrid w:val="0"/>
        <w:spacing w:before="0" w:beforeAutospacing="0" w:after="0" w:afterAutospacing="0"/>
        <w:ind w:left="0" w:leftChars="0" w:firstLine="0" w:firstLineChars="0"/>
        <w:textAlignment w:val="auto"/>
        <w:outlineLvl w:val="0"/>
        <w:rPr>
          <w:rFonts w:ascii="黑体" w:hAnsi="黑体" w:eastAsia="黑体"/>
          <w:snapToGrid w:val="0"/>
          <w:color w:val="auto"/>
          <w:sz w:val="32"/>
          <w:szCs w:val="32"/>
        </w:rPr>
      </w:pPr>
      <w:bookmarkStart w:id="12" w:name="_Toc68109908"/>
      <w:bookmarkStart w:id="13" w:name="_Toc3436"/>
      <w:r>
        <w:rPr>
          <w:rFonts w:hint="eastAsia" w:ascii="黑体" w:hAnsi="黑体" w:eastAsia="黑体"/>
          <w:snapToGrid w:val="0"/>
          <w:color w:val="auto"/>
          <w:sz w:val="32"/>
          <w:szCs w:val="32"/>
        </w:rPr>
        <w:t>附表</w:t>
      </w:r>
      <w:bookmarkEnd w:id="12"/>
      <w:bookmarkEnd w:id="13"/>
    </w:p>
    <w:p w14:paraId="0C453D35">
      <w:pPr>
        <w:pStyle w:val="2"/>
        <w:bidi w:val="0"/>
        <w:rPr>
          <w:color w:val="auto"/>
          <w:sz w:val="36"/>
          <w:szCs w:val="36"/>
        </w:rPr>
      </w:pPr>
      <w:bookmarkStart w:id="14" w:name="_Toc29242"/>
      <w:r>
        <w:rPr>
          <w:rFonts w:hint="eastAsia"/>
          <w:color w:val="auto"/>
          <w:sz w:val="36"/>
          <w:szCs w:val="36"/>
        </w:rPr>
        <w:t>建设项目污染物排放量汇总表</w:t>
      </w:r>
      <w:bookmarkEnd w:id="14"/>
    </w:p>
    <w:tbl>
      <w:tblPr>
        <w:tblStyle w:val="19"/>
        <w:tblW w:w="5429" w:type="pct"/>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
      <w:tblGrid>
        <w:gridCol w:w="841"/>
        <w:gridCol w:w="2147"/>
        <w:gridCol w:w="1750"/>
        <w:gridCol w:w="1283"/>
        <w:gridCol w:w="1713"/>
        <w:gridCol w:w="1569"/>
        <w:gridCol w:w="1773"/>
        <w:gridCol w:w="1858"/>
        <w:gridCol w:w="1215"/>
      </w:tblGrid>
      <w:tr w14:paraId="4310124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tcBorders>
              <w:top w:val="single" w:color="000000" w:sz="8" w:space="0"/>
              <w:left w:val="single" w:color="000000" w:sz="8" w:space="0"/>
              <w:bottom w:val="single" w:color="000000" w:sz="8" w:space="0"/>
              <w:right w:val="single" w:color="000000" w:sz="8" w:space="0"/>
              <w:tl2br w:val="single" w:color="000000" w:sz="2" w:space="0"/>
            </w:tcBorders>
            <w:vAlign w:val="center"/>
          </w:tcPr>
          <w:p w14:paraId="3C5B6E81">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jc w:val="right"/>
              <w:textAlignment w:val="bottom"/>
              <w:rPr>
                <w:rFonts w:hint="default"/>
                <w:b/>
                <w:bCs/>
              </w:rPr>
            </w:pPr>
            <w:r>
              <w:rPr>
                <w:rFonts w:hint="default"/>
                <w:b/>
                <w:bCs/>
              </w:rPr>
              <w:t>项目</w:t>
            </w:r>
          </w:p>
          <w:p w14:paraId="7D9B948A">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jc w:val="left"/>
              <w:textAlignment w:val="bottom"/>
              <w:rPr>
                <w:rFonts w:hint="default"/>
                <w:b/>
                <w:bCs/>
              </w:rPr>
            </w:pPr>
            <w:r>
              <w:rPr>
                <w:rFonts w:hint="default"/>
                <w:b/>
                <w:bCs/>
              </w:rPr>
              <w:t>分类</w:t>
            </w:r>
          </w:p>
        </w:tc>
        <w:tc>
          <w:tcPr>
            <w:tcW w:w="758" w:type="pct"/>
            <w:tcBorders>
              <w:top w:val="single" w:color="000000" w:sz="8" w:space="0"/>
              <w:left w:val="single" w:color="000000" w:sz="8" w:space="0"/>
              <w:bottom w:val="single" w:color="000000" w:sz="4" w:space="0"/>
              <w:right w:val="single" w:color="000000" w:sz="4" w:space="0"/>
            </w:tcBorders>
            <w:vAlign w:val="center"/>
          </w:tcPr>
          <w:p w14:paraId="761984DF">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b/>
                <w:bCs/>
              </w:rPr>
            </w:pPr>
            <w:r>
              <w:rPr>
                <w:rFonts w:hint="default"/>
                <w:b/>
                <w:bCs/>
              </w:rPr>
              <w:t>污染物名称</w:t>
            </w:r>
          </w:p>
        </w:tc>
        <w:tc>
          <w:tcPr>
            <w:tcW w:w="618" w:type="pct"/>
            <w:tcBorders>
              <w:top w:val="single" w:color="000000" w:sz="8" w:space="0"/>
              <w:left w:val="single" w:color="000000" w:sz="4" w:space="0"/>
              <w:bottom w:val="single" w:color="000000" w:sz="4" w:space="0"/>
              <w:right w:val="single" w:color="000000" w:sz="4" w:space="0"/>
            </w:tcBorders>
            <w:vAlign w:val="center"/>
          </w:tcPr>
          <w:p w14:paraId="1EC211EC">
            <w:pPr>
              <w:pStyle w:val="61"/>
              <w:keepNext w:val="0"/>
              <w:keepLines w:val="0"/>
              <w:suppressLineNumbers w:val="0"/>
              <w:bidi w:val="0"/>
              <w:spacing w:before="0" w:beforeAutospacing="0" w:after="0" w:afterAutospacing="0"/>
              <w:ind w:left="0" w:right="0"/>
              <w:rPr>
                <w:rFonts w:hint="default"/>
                <w:b/>
                <w:bCs/>
                <w:color w:val="000000" w:themeColor="text1"/>
                <w14:textFill>
                  <w14:solidFill>
                    <w14:schemeClr w14:val="tx1"/>
                  </w14:solidFill>
                </w14:textFill>
              </w:rPr>
            </w:pPr>
            <w:r>
              <w:rPr>
                <w:rFonts w:hint="default"/>
                <w:b/>
                <w:bCs/>
                <w:color w:val="000000" w:themeColor="text1"/>
                <w14:textFill>
                  <w14:solidFill>
                    <w14:schemeClr w14:val="tx1"/>
                  </w14:solidFill>
                </w14:textFill>
              </w:rPr>
              <w:t>现有工程</w:t>
            </w:r>
          </w:p>
          <w:p w14:paraId="440B467A">
            <w:pPr>
              <w:pStyle w:val="61"/>
              <w:keepNext w:val="0"/>
              <w:keepLines w:val="0"/>
              <w:suppressLineNumbers w:val="0"/>
              <w:bidi w:val="0"/>
              <w:spacing w:before="0" w:beforeAutospacing="0" w:after="0" w:afterAutospacing="0"/>
              <w:ind w:left="0" w:right="0" w:firstLine="0" w:firstLineChars="0"/>
              <w:rPr>
                <w:rFonts w:hint="default"/>
                <w:b/>
                <w:bCs/>
              </w:rPr>
            </w:pPr>
            <w:r>
              <w:rPr>
                <w:rFonts w:hint="default"/>
                <w:b/>
                <w:bCs/>
                <w:color w:val="000000" w:themeColor="text1"/>
                <w14:textFill>
                  <w14:solidFill>
                    <w14:schemeClr w14:val="tx1"/>
                  </w14:solidFill>
                </w14:textFill>
              </w:rPr>
              <w:t>排放量（固体废物产生量</w:t>
            </w:r>
            <w:r>
              <w:rPr>
                <w:rFonts w:hint="eastAsia"/>
                <w:b/>
                <w:bCs/>
                <w:color w:val="000000" w:themeColor="text1"/>
                <w:lang w:eastAsia="zh-CN"/>
                <w14:textFill>
                  <w14:solidFill>
                    <w14:schemeClr w14:val="tx1"/>
                  </w14:solidFill>
                </w14:textFill>
              </w:rPr>
              <w:t>，</w:t>
            </w:r>
            <w:r>
              <w:rPr>
                <w:rFonts w:hint="eastAsia"/>
                <w:b/>
                <w:bCs/>
                <w:color w:val="000000" w:themeColor="text1"/>
                <w:lang w:val="en-US" w:eastAsia="zh-CN"/>
                <w14:textFill>
                  <w14:solidFill>
                    <w14:schemeClr w14:val="tx1"/>
                  </w14:solidFill>
                </w14:textFill>
              </w:rPr>
              <w:t>t/a</w:t>
            </w:r>
            <w:r>
              <w:rPr>
                <w:rFonts w:hint="default"/>
                <w:b/>
                <w:bCs/>
                <w:color w:val="000000" w:themeColor="text1"/>
                <w14:textFill>
                  <w14:solidFill>
                    <w14:schemeClr w14:val="tx1"/>
                  </w14:solidFill>
                </w14:textFill>
              </w:rPr>
              <w:t>）</w:t>
            </w:r>
            <w:r>
              <w:rPr>
                <w:rFonts w:hint="default"/>
                <w:b/>
                <w:bCs/>
                <w:color w:val="000000" w:themeColor="text1"/>
                <w14:textFill>
                  <w14:solidFill>
                    <w14:schemeClr w14:val="tx1"/>
                  </w14:solidFill>
                </w14:textFill>
              </w:rPr>
              <w:fldChar w:fldCharType="begin"/>
            </w:r>
            <w:r>
              <w:rPr>
                <w:rFonts w:hint="default"/>
                <w:b/>
                <w:bCs/>
                <w:color w:val="000000" w:themeColor="text1"/>
                <w14:textFill>
                  <w14:solidFill>
                    <w14:schemeClr w14:val="tx1"/>
                  </w14:solidFill>
                </w14:textFill>
              </w:rPr>
              <w:instrText xml:space="preserve"> = 1 \* GB3 \* MERGEFORMAT </w:instrText>
            </w:r>
            <w:r>
              <w:rPr>
                <w:rFonts w:hint="default"/>
                <w:b/>
                <w:bCs/>
                <w:color w:val="000000" w:themeColor="text1"/>
                <w14:textFill>
                  <w14:solidFill>
                    <w14:schemeClr w14:val="tx1"/>
                  </w14:solidFill>
                </w14:textFill>
              </w:rPr>
              <w:fldChar w:fldCharType="separate"/>
            </w:r>
            <w:r>
              <w:rPr>
                <w:rFonts w:hint="default"/>
                <w:b/>
                <w:bCs/>
                <w:color w:val="000000" w:themeColor="text1"/>
                <w14:textFill>
                  <w14:solidFill>
                    <w14:schemeClr w14:val="tx1"/>
                  </w14:solidFill>
                </w14:textFill>
              </w:rPr>
              <w:t>①</w:t>
            </w:r>
            <w:r>
              <w:rPr>
                <w:rFonts w:hint="default"/>
                <w:b/>
                <w:bCs/>
                <w:color w:val="000000" w:themeColor="text1"/>
                <w14:textFill>
                  <w14:solidFill>
                    <w14:schemeClr w14:val="tx1"/>
                  </w14:solidFill>
                </w14:textFill>
              </w:rPr>
              <w:fldChar w:fldCharType="end"/>
            </w:r>
          </w:p>
        </w:tc>
        <w:tc>
          <w:tcPr>
            <w:tcW w:w="453" w:type="pct"/>
            <w:tcBorders>
              <w:top w:val="single" w:color="000000" w:sz="8" w:space="0"/>
              <w:left w:val="single" w:color="000000" w:sz="4" w:space="0"/>
              <w:bottom w:val="single" w:color="000000" w:sz="4" w:space="0"/>
              <w:right w:val="single" w:color="000000" w:sz="4" w:space="0"/>
            </w:tcBorders>
            <w:vAlign w:val="center"/>
          </w:tcPr>
          <w:p w14:paraId="58FA8450">
            <w:pPr>
              <w:pStyle w:val="61"/>
              <w:keepNext w:val="0"/>
              <w:keepLines w:val="0"/>
              <w:suppressLineNumbers w:val="0"/>
              <w:bidi w:val="0"/>
              <w:spacing w:before="0" w:beforeAutospacing="0" w:after="0" w:afterAutospacing="0"/>
              <w:ind w:left="0" w:right="0"/>
              <w:rPr>
                <w:rFonts w:hint="default"/>
                <w:b/>
                <w:bCs/>
                <w:color w:val="000000" w:themeColor="text1"/>
                <w14:textFill>
                  <w14:solidFill>
                    <w14:schemeClr w14:val="tx1"/>
                  </w14:solidFill>
                </w14:textFill>
              </w:rPr>
            </w:pPr>
            <w:r>
              <w:rPr>
                <w:rFonts w:hint="default"/>
                <w:b/>
                <w:bCs/>
                <w:color w:val="000000" w:themeColor="text1"/>
                <w14:textFill>
                  <w14:solidFill>
                    <w14:schemeClr w14:val="tx1"/>
                  </w14:solidFill>
                </w14:textFill>
              </w:rPr>
              <w:t>现有工程</w:t>
            </w:r>
          </w:p>
          <w:p w14:paraId="17C1AB3B">
            <w:pPr>
              <w:pStyle w:val="61"/>
              <w:keepNext w:val="0"/>
              <w:keepLines w:val="0"/>
              <w:suppressLineNumbers w:val="0"/>
              <w:bidi w:val="0"/>
              <w:spacing w:before="0" w:beforeAutospacing="0" w:after="0" w:afterAutospacing="0"/>
              <w:ind w:left="0" w:right="0"/>
              <w:rPr>
                <w:rFonts w:hint="default"/>
                <w:b/>
                <w:bCs/>
                <w:color w:val="000000" w:themeColor="text1"/>
                <w14:textFill>
                  <w14:solidFill>
                    <w14:schemeClr w14:val="tx1"/>
                  </w14:solidFill>
                </w14:textFill>
              </w:rPr>
            </w:pPr>
            <w:r>
              <w:rPr>
                <w:rFonts w:hint="default"/>
                <w:b/>
                <w:bCs/>
                <w:color w:val="000000" w:themeColor="text1"/>
                <w14:textFill>
                  <w14:solidFill>
                    <w14:schemeClr w14:val="tx1"/>
                  </w14:solidFill>
                </w14:textFill>
              </w:rPr>
              <w:t>许可排放量</w:t>
            </w:r>
          </w:p>
          <w:p w14:paraId="7328C44F">
            <w:pPr>
              <w:pStyle w:val="61"/>
              <w:keepNext w:val="0"/>
              <w:keepLines w:val="0"/>
              <w:suppressLineNumbers w:val="0"/>
              <w:bidi w:val="0"/>
              <w:spacing w:before="0" w:beforeAutospacing="0" w:after="0" w:afterAutospacing="0"/>
              <w:ind w:left="0" w:right="0" w:firstLine="0" w:firstLineChars="0"/>
              <w:rPr>
                <w:rFonts w:hint="default"/>
                <w:b/>
                <w:bCs/>
              </w:rPr>
            </w:pPr>
            <w:r>
              <w:rPr>
                <w:rFonts w:hint="eastAsia"/>
                <w:b/>
                <w:bCs/>
                <w:color w:val="000000" w:themeColor="text1"/>
                <w:lang w:eastAsia="zh-CN"/>
                <w14:textFill>
                  <w14:solidFill>
                    <w14:schemeClr w14:val="tx1"/>
                  </w14:solidFill>
                </w14:textFill>
              </w:rPr>
              <w:t>(</w:t>
            </w:r>
            <w:r>
              <w:rPr>
                <w:rFonts w:hint="eastAsia"/>
                <w:b/>
                <w:bCs/>
                <w:color w:val="000000" w:themeColor="text1"/>
                <w:lang w:val="en-US" w:eastAsia="zh-CN"/>
                <w14:textFill>
                  <w14:solidFill>
                    <w14:schemeClr w14:val="tx1"/>
                  </w14:solidFill>
                </w14:textFill>
              </w:rPr>
              <w:t>t/a)</w:t>
            </w:r>
            <w:r>
              <w:rPr>
                <w:rFonts w:hint="default"/>
                <w:b/>
                <w:bCs/>
                <w:color w:val="000000" w:themeColor="text1"/>
                <w14:textFill>
                  <w14:solidFill>
                    <w14:schemeClr w14:val="tx1"/>
                  </w14:solidFill>
                </w14:textFill>
              </w:rPr>
              <w:fldChar w:fldCharType="begin"/>
            </w:r>
            <w:r>
              <w:rPr>
                <w:rFonts w:hint="default"/>
                <w:b/>
                <w:bCs/>
                <w:color w:val="000000" w:themeColor="text1"/>
                <w14:textFill>
                  <w14:solidFill>
                    <w14:schemeClr w14:val="tx1"/>
                  </w14:solidFill>
                </w14:textFill>
              </w:rPr>
              <w:instrText xml:space="preserve"> = 2 \* GB3 \* MERGEFORMAT </w:instrText>
            </w:r>
            <w:r>
              <w:rPr>
                <w:rFonts w:hint="default"/>
                <w:b/>
                <w:bCs/>
                <w:color w:val="000000" w:themeColor="text1"/>
                <w14:textFill>
                  <w14:solidFill>
                    <w14:schemeClr w14:val="tx1"/>
                  </w14:solidFill>
                </w14:textFill>
              </w:rPr>
              <w:fldChar w:fldCharType="separate"/>
            </w:r>
            <w:r>
              <w:rPr>
                <w:rFonts w:hint="default"/>
                <w:b/>
                <w:bCs/>
                <w:color w:val="000000" w:themeColor="text1"/>
                <w14:textFill>
                  <w14:solidFill>
                    <w14:schemeClr w14:val="tx1"/>
                  </w14:solidFill>
                </w14:textFill>
              </w:rPr>
              <w:t>②</w:t>
            </w:r>
            <w:r>
              <w:rPr>
                <w:rFonts w:hint="default"/>
                <w:b/>
                <w:bCs/>
                <w:color w:val="000000" w:themeColor="text1"/>
                <w14:textFill>
                  <w14:solidFill>
                    <w14:schemeClr w14:val="tx1"/>
                  </w14:solidFill>
                </w14:textFill>
              </w:rPr>
              <w:fldChar w:fldCharType="end"/>
            </w:r>
          </w:p>
        </w:tc>
        <w:tc>
          <w:tcPr>
            <w:tcW w:w="605" w:type="pct"/>
            <w:tcBorders>
              <w:top w:val="single" w:color="000000" w:sz="8" w:space="0"/>
              <w:left w:val="single" w:color="000000" w:sz="4" w:space="0"/>
              <w:bottom w:val="single" w:color="000000" w:sz="4" w:space="0"/>
              <w:right w:val="single" w:color="000000" w:sz="4" w:space="0"/>
            </w:tcBorders>
            <w:vAlign w:val="center"/>
          </w:tcPr>
          <w:p w14:paraId="262B4D5D">
            <w:pPr>
              <w:pStyle w:val="61"/>
              <w:keepNext w:val="0"/>
              <w:keepLines w:val="0"/>
              <w:suppressLineNumbers w:val="0"/>
              <w:bidi w:val="0"/>
              <w:spacing w:before="0" w:beforeAutospacing="0" w:after="0" w:afterAutospacing="0"/>
              <w:ind w:left="0" w:right="0"/>
              <w:rPr>
                <w:rFonts w:hint="default"/>
                <w:b/>
                <w:bCs/>
                <w:color w:val="000000" w:themeColor="text1"/>
                <w14:textFill>
                  <w14:solidFill>
                    <w14:schemeClr w14:val="tx1"/>
                  </w14:solidFill>
                </w14:textFill>
              </w:rPr>
            </w:pPr>
            <w:r>
              <w:rPr>
                <w:rFonts w:hint="default"/>
                <w:b/>
                <w:bCs/>
                <w:color w:val="000000" w:themeColor="text1"/>
                <w14:textFill>
                  <w14:solidFill>
                    <w14:schemeClr w14:val="tx1"/>
                  </w14:solidFill>
                </w14:textFill>
              </w:rPr>
              <w:t>在建工程</w:t>
            </w:r>
          </w:p>
          <w:p w14:paraId="38613467">
            <w:pPr>
              <w:pStyle w:val="61"/>
              <w:keepNext w:val="0"/>
              <w:keepLines w:val="0"/>
              <w:suppressLineNumbers w:val="0"/>
              <w:bidi w:val="0"/>
              <w:spacing w:before="0" w:beforeAutospacing="0" w:after="0" w:afterAutospacing="0"/>
              <w:ind w:left="0" w:right="0" w:firstLine="0" w:firstLineChars="0"/>
              <w:rPr>
                <w:rFonts w:hint="default"/>
                <w:b/>
                <w:bCs/>
              </w:rPr>
            </w:pPr>
            <w:r>
              <w:rPr>
                <w:rFonts w:hint="default"/>
                <w:b/>
                <w:bCs/>
                <w:color w:val="000000" w:themeColor="text1"/>
                <w14:textFill>
                  <w14:solidFill>
                    <w14:schemeClr w14:val="tx1"/>
                  </w14:solidFill>
                </w14:textFill>
              </w:rPr>
              <w:t>排放量（固体废物产生量</w:t>
            </w:r>
            <w:r>
              <w:rPr>
                <w:rFonts w:hint="eastAsia"/>
                <w:b/>
                <w:bCs/>
                <w:color w:val="000000" w:themeColor="text1"/>
                <w:lang w:eastAsia="zh-CN"/>
                <w14:textFill>
                  <w14:solidFill>
                    <w14:schemeClr w14:val="tx1"/>
                  </w14:solidFill>
                </w14:textFill>
              </w:rPr>
              <w:t>，</w:t>
            </w:r>
            <w:r>
              <w:rPr>
                <w:rFonts w:hint="eastAsia"/>
                <w:b/>
                <w:bCs/>
                <w:color w:val="000000" w:themeColor="text1"/>
                <w:lang w:val="en-US" w:eastAsia="zh-CN"/>
                <w14:textFill>
                  <w14:solidFill>
                    <w14:schemeClr w14:val="tx1"/>
                  </w14:solidFill>
                </w14:textFill>
              </w:rPr>
              <w:t>t/a</w:t>
            </w:r>
            <w:r>
              <w:rPr>
                <w:rFonts w:hint="default"/>
                <w:b/>
                <w:bCs/>
                <w:color w:val="000000" w:themeColor="text1"/>
                <w14:textFill>
                  <w14:solidFill>
                    <w14:schemeClr w14:val="tx1"/>
                  </w14:solidFill>
                </w14:textFill>
              </w:rPr>
              <w:t>）</w:t>
            </w:r>
            <w:r>
              <w:rPr>
                <w:rFonts w:hint="default"/>
                <w:b/>
                <w:bCs/>
                <w:color w:val="000000" w:themeColor="text1"/>
                <w14:textFill>
                  <w14:solidFill>
                    <w14:schemeClr w14:val="tx1"/>
                  </w14:solidFill>
                </w14:textFill>
              </w:rPr>
              <w:fldChar w:fldCharType="begin"/>
            </w:r>
            <w:r>
              <w:rPr>
                <w:rFonts w:hint="default"/>
                <w:b/>
                <w:bCs/>
                <w:color w:val="000000" w:themeColor="text1"/>
                <w14:textFill>
                  <w14:solidFill>
                    <w14:schemeClr w14:val="tx1"/>
                  </w14:solidFill>
                </w14:textFill>
              </w:rPr>
              <w:instrText xml:space="preserve"> = 3 \* GB3 \* MERGEFORMAT </w:instrText>
            </w:r>
            <w:r>
              <w:rPr>
                <w:rFonts w:hint="default"/>
                <w:b/>
                <w:bCs/>
                <w:color w:val="000000" w:themeColor="text1"/>
                <w14:textFill>
                  <w14:solidFill>
                    <w14:schemeClr w14:val="tx1"/>
                  </w14:solidFill>
                </w14:textFill>
              </w:rPr>
              <w:fldChar w:fldCharType="separate"/>
            </w:r>
            <w:r>
              <w:rPr>
                <w:rFonts w:hint="default"/>
                <w:b/>
                <w:bCs/>
                <w:color w:val="000000" w:themeColor="text1"/>
                <w14:textFill>
                  <w14:solidFill>
                    <w14:schemeClr w14:val="tx1"/>
                  </w14:solidFill>
                </w14:textFill>
              </w:rPr>
              <w:t>③</w:t>
            </w:r>
            <w:r>
              <w:rPr>
                <w:rFonts w:hint="default"/>
                <w:b/>
                <w:bCs/>
                <w:color w:val="000000" w:themeColor="text1"/>
                <w14:textFill>
                  <w14:solidFill>
                    <w14:schemeClr w14:val="tx1"/>
                  </w14:solidFill>
                </w14:textFill>
              </w:rPr>
              <w:fldChar w:fldCharType="end"/>
            </w:r>
          </w:p>
        </w:tc>
        <w:tc>
          <w:tcPr>
            <w:tcW w:w="554" w:type="pct"/>
            <w:tcBorders>
              <w:top w:val="single" w:color="000000" w:sz="8" w:space="0"/>
              <w:left w:val="single" w:color="000000" w:sz="4" w:space="0"/>
              <w:bottom w:val="single" w:color="000000" w:sz="4" w:space="0"/>
              <w:right w:val="single" w:color="000000" w:sz="4" w:space="0"/>
            </w:tcBorders>
            <w:vAlign w:val="center"/>
          </w:tcPr>
          <w:p w14:paraId="4B939B2D">
            <w:pPr>
              <w:pStyle w:val="61"/>
              <w:keepNext w:val="0"/>
              <w:keepLines w:val="0"/>
              <w:suppressLineNumbers w:val="0"/>
              <w:bidi w:val="0"/>
              <w:spacing w:before="0" w:beforeAutospacing="0" w:after="0" w:afterAutospacing="0"/>
              <w:ind w:left="0" w:right="0"/>
              <w:rPr>
                <w:rFonts w:hint="default"/>
                <w:b/>
                <w:bCs/>
                <w:color w:val="000000" w:themeColor="text1"/>
                <w14:textFill>
                  <w14:solidFill>
                    <w14:schemeClr w14:val="tx1"/>
                  </w14:solidFill>
                </w14:textFill>
              </w:rPr>
            </w:pPr>
            <w:r>
              <w:rPr>
                <w:rFonts w:hint="default"/>
                <w:b/>
                <w:bCs/>
                <w:color w:val="000000" w:themeColor="text1"/>
                <w14:textFill>
                  <w14:solidFill>
                    <w14:schemeClr w14:val="tx1"/>
                  </w14:solidFill>
                </w14:textFill>
              </w:rPr>
              <w:t>本项目</w:t>
            </w:r>
          </w:p>
          <w:p w14:paraId="58D1BC91">
            <w:pPr>
              <w:pStyle w:val="61"/>
              <w:keepNext w:val="0"/>
              <w:keepLines w:val="0"/>
              <w:suppressLineNumbers w:val="0"/>
              <w:bidi w:val="0"/>
              <w:spacing w:before="0" w:beforeAutospacing="0" w:after="0" w:afterAutospacing="0"/>
              <w:ind w:left="0" w:right="0" w:firstLine="0" w:firstLineChars="0"/>
              <w:rPr>
                <w:rFonts w:hint="default"/>
                <w:b/>
                <w:bCs/>
              </w:rPr>
            </w:pPr>
            <w:r>
              <w:rPr>
                <w:rFonts w:hint="default"/>
                <w:b/>
                <w:bCs/>
                <w:color w:val="000000" w:themeColor="text1"/>
                <w14:textFill>
                  <w14:solidFill>
                    <w14:schemeClr w14:val="tx1"/>
                  </w14:solidFill>
                </w14:textFill>
              </w:rPr>
              <w:t>排放量（固体废物产生量</w:t>
            </w:r>
            <w:r>
              <w:rPr>
                <w:rFonts w:hint="eastAsia"/>
                <w:b/>
                <w:bCs/>
                <w:color w:val="000000" w:themeColor="text1"/>
                <w:lang w:eastAsia="zh-CN"/>
                <w14:textFill>
                  <w14:solidFill>
                    <w14:schemeClr w14:val="tx1"/>
                  </w14:solidFill>
                </w14:textFill>
              </w:rPr>
              <w:t>，</w:t>
            </w:r>
            <w:r>
              <w:rPr>
                <w:rFonts w:hint="eastAsia"/>
                <w:b/>
                <w:bCs/>
                <w:color w:val="000000" w:themeColor="text1"/>
                <w:lang w:val="en-US" w:eastAsia="zh-CN"/>
                <w14:textFill>
                  <w14:solidFill>
                    <w14:schemeClr w14:val="tx1"/>
                  </w14:solidFill>
                </w14:textFill>
              </w:rPr>
              <w:t>t/a</w:t>
            </w:r>
            <w:r>
              <w:rPr>
                <w:rFonts w:hint="default"/>
                <w:b/>
                <w:bCs/>
                <w:color w:val="000000" w:themeColor="text1"/>
                <w14:textFill>
                  <w14:solidFill>
                    <w14:schemeClr w14:val="tx1"/>
                  </w14:solidFill>
                </w14:textFill>
              </w:rPr>
              <w:t>）</w:t>
            </w:r>
            <w:r>
              <w:rPr>
                <w:rFonts w:hint="default"/>
                <w:b/>
                <w:bCs/>
                <w:color w:val="000000" w:themeColor="text1"/>
                <w14:textFill>
                  <w14:solidFill>
                    <w14:schemeClr w14:val="tx1"/>
                  </w14:solidFill>
                </w14:textFill>
              </w:rPr>
              <w:fldChar w:fldCharType="begin"/>
            </w:r>
            <w:r>
              <w:rPr>
                <w:rFonts w:hint="default"/>
                <w:b/>
                <w:bCs/>
                <w:color w:val="000000" w:themeColor="text1"/>
                <w14:textFill>
                  <w14:solidFill>
                    <w14:schemeClr w14:val="tx1"/>
                  </w14:solidFill>
                </w14:textFill>
              </w:rPr>
              <w:instrText xml:space="preserve"> = 4 \* GB3 \* MERGEFORMAT </w:instrText>
            </w:r>
            <w:r>
              <w:rPr>
                <w:rFonts w:hint="default"/>
                <w:b/>
                <w:bCs/>
                <w:color w:val="000000" w:themeColor="text1"/>
                <w14:textFill>
                  <w14:solidFill>
                    <w14:schemeClr w14:val="tx1"/>
                  </w14:solidFill>
                </w14:textFill>
              </w:rPr>
              <w:fldChar w:fldCharType="separate"/>
            </w:r>
            <w:r>
              <w:rPr>
                <w:rFonts w:hint="default"/>
                <w:b/>
                <w:bCs/>
                <w:color w:val="000000" w:themeColor="text1"/>
                <w14:textFill>
                  <w14:solidFill>
                    <w14:schemeClr w14:val="tx1"/>
                  </w14:solidFill>
                </w14:textFill>
              </w:rPr>
              <w:t>④</w:t>
            </w:r>
            <w:r>
              <w:rPr>
                <w:rFonts w:hint="default"/>
                <w:b/>
                <w:bCs/>
                <w:color w:val="000000" w:themeColor="text1"/>
                <w14:textFill>
                  <w14:solidFill>
                    <w14:schemeClr w14:val="tx1"/>
                  </w14:solidFill>
                </w14:textFill>
              </w:rPr>
              <w:fldChar w:fldCharType="end"/>
            </w:r>
          </w:p>
        </w:tc>
        <w:tc>
          <w:tcPr>
            <w:tcW w:w="626" w:type="pct"/>
            <w:tcBorders>
              <w:top w:val="single" w:color="000000" w:sz="8" w:space="0"/>
              <w:left w:val="single" w:color="000000" w:sz="4" w:space="0"/>
              <w:bottom w:val="single" w:color="000000" w:sz="4" w:space="0"/>
              <w:right w:val="single" w:color="000000" w:sz="4" w:space="0"/>
            </w:tcBorders>
            <w:vAlign w:val="center"/>
          </w:tcPr>
          <w:p w14:paraId="2DC8845B">
            <w:pPr>
              <w:pStyle w:val="61"/>
              <w:keepNext w:val="0"/>
              <w:keepLines w:val="0"/>
              <w:suppressLineNumbers w:val="0"/>
              <w:bidi w:val="0"/>
              <w:spacing w:before="0" w:beforeAutospacing="0" w:after="0" w:afterAutospacing="0"/>
              <w:ind w:left="0" w:right="0"/>
              <w:rPr>
                <w:rFonts w:hint="default"/>
                <w:b/>
                <w:bCs/>
                <w:color w:val="000000" w:themeColor="text1"/>
                <w14:textFill>
                  <w14:solidFill>
                    <w14:schemeClr w14:val="tx1"/>
                  </w14:solidFill>
                </w14:textFill>
              </w:rPr>
            </w:pPr>
            <w:r>
              <w:rPr>
                <w:rFonts w:hint="default"/>
                <w:b/>
                <w:bCs/>
                <w:color w:val="000000" w:themeColor="text1"/>
                <w14:textFill>
                  <w14:solidFill>
                    <w14:schemeClr w14:val="tx1"/>
                  </w14:solidFill>
                </w14:textFill>
              </w:rPr>
              <w:t>以新带老削减量</w:t>
            </w:r>
          </w:p>
          <w:p w14:paraId="18730CE6">
            <w:pPr>
              <w:pStyle w:val="61"/>
              <w:keepNext w:val="0"/>
              <w:keepLines w:val="0"/>
              <w:suppressLineNumbers w:val="0"/>
              <w:bidi w:val="0"/>
              <w:spacing w:before="0" w:beforeAutospacing="0" w:after="0" w:afterAutospacing="0"/>
              <w:ind w:left="0" w:right="0" w:firstLine="0" w:firstLineChars="0"/>
              <w:rPr>
                <w:rFonts w:hint="default"/>
                <w:b/>
                <w:bCs/>
              </w:rPr>
            </w:pPr>
            <w:r>
              <w:rPr>
                <w:rFonts w:hint="default"/>
                <w:b/>
                <w:bCs/>
                <w:color w:val="000000" w:themeColor="text1"/>
                <w14:textFill>
                  <w14:solidFill>
                    <w14:schemeClr w14:val="tx1"/>
                  </w14:solidFill>
                </w14:textFill>
              </w:rPr>
              <w:t>（新建项目不填</w:t>
            </w:r>
            <w:r>
              <w:rPr>
                <w:rFonts w:hint="eastAsia"/>
                <w:b/>
                <w:bCs/>
                <w:color w:val="000000" w:themeColor="text1"/>
                <w:lang w:eastAsia="zh-CN"/>
                <w14:textFill>
                  <w14:solidFill>
                    <w14:schemeClr w14:val="tx1"/>
                  </w14:solidFill>
                </w14:textFill>
              </w:rPr>
              <w:t>，</w:t>
            </w:r>
            <w:r>
              <w:rPr>
                <w:rFonts w:hint="eastAsia"/>
                <w:b/>
                <w:bCs/>
                <w:color w:val="000000" w:themeColor="text1"/>
                <w:lang w:val="en-US" w:eastAsia="zh-CN"/>
                <w14:textFill>
                  <w14:solidFill>
                    <w14:schemeClr w14:val="tx1"/>
                  </w14:solidFill>
                </w14:textFill>
              </w:rPr>
              <w:t>t/a</w:t>
            </w:r>
            <w:r>
              <w:rPr>
                <w:rFonts w:hint="default"/>
                <w:b/>
                <w:bCs/>
                <w:color w:val="000000" w:themeColor="text1"/>
                <w14:textFill>
                  <w14:solidFill>
                    <w14:schemeClr w14:val="tx1"/>
                  </w14:solidFill>
                </w14:textFill>
              </w:rPr>
              <w:t>）</w:t>
            </w:r>
            <w:r>
              <w:rPr>
                <w:rFonts w:hint="default"/>
                <w:b/>
                <w:bCs/>
                <w:color w:val="000000" w:themeColor="text1"/>
                <w14:textFill>
                  <w14:solidFill>
                    <w14:schemeClr w14:val="tx1"/>
                  </w14:solidFill>
                </w14:textFill>
              </w:rPr>
              <w:fldChar w:fldCharType="begin"/>
            </w:r>
            <w:r>
              <w:rPr>
                <w:rFonts w:hint="default"/>
                <w:b/>
                <w:bCs/>
                <w:color w:val="000000" w:themeColor="text1"/>
                <w14:textFill>
                  <w14:solidFill>
                    <w14:schemeClr w14:val="tx1"/>
                  </w14:solidFill>
                </w14:textFill>
              </w:rPr>
              <w:instrText xml:space="preserve"> = 5 \* GB3 \* MERGEFORMAT </w:instrText>
            </w:r>
            <w:r>
              <w:rPr>
                <w:rFonts w:hint="default"/>
                <w:b/>
                <w:bCs/>
                <w:color w:val="000000" w:themeColor="text1"/>
                <w14:textFill>
                  <w14:solidFill>
                    <w14:schemeClr w14:val="tx1"/>
                  </w14:solidFill>
                </w14:textFill>
              </w:rPr>
              <w:fldChar w:fldCharType="separate"/>
            </w:r>
            <w:r>
              <w:rPr>
                <w:rFonts w:hint="default"/>
                <w:b/>
                <w:bCs/>
                <w:color w:val="000000" w:themeColor="text1"/>
                <w14:textFill>
                  <w14:solidFill>
                    <w14:schemeClr w14:val="tx1"/>
                  </w14:solidFill>
                </w14:textFill>
              </w:rPr>
              <w:t>⑤</w:t>
            </w:r>
            <w:r>
              <w:rPr>
                <w:rFonts w:hint="default"/>
                <w:b/>
                <w:bCs/>
                <w:color w:val="000000" w:themeColor="text1"/>
                <w14:textFill>
                  <w14:solidFill>
                    <w14:schemeClr w14:val="tx1"/>
                  </w14:solidFill>
                </w14:textFill>
              </w:rPr>
              <w:fldChar w:fldCharType="end"/>
            </w:r>
          </w:p>
        </w:tc>
        <w:tc>
          <w:tcPr>
            <w:tcW w:w="656" w:type="pct"/>
            <w:tcBorders>
              <w:top w:val="single" w:color="000000" w:sz="8" w:space="0"/>
              <w:left w:val="single" w:color="000000" w:sz="4" w:space="0"/>
              <w:bottom w:val="single" w:color="000000" w:sz="4" w:space="0"/>
              <w:right w:val="single" w:color="000000" w:sz="4" w:space="0"/>
            </w:tcBorders>
            <w:vAlign w:val="center"/>
          </w:tcPr>
          <w:p w14:paraId="1C36704D">
            <w:pPr>
              <w:pStyle w:val="61"/>
              <w:keepNext w:val="0"/>
              <w:keepLines w:val="0"/>
              <w:suppressLineNumbers w:val="0"/>
              <w:bidi w:val="0"/>
              <w:spacing w:before="0" w:beforeAutospacing="0" w:after="0" w:afterAutospacing="0"/>
              <w:ind w:left="0" w:right="0"/>
              <w:rPr>
                <w:rFonts w:hint="default"/>
                <w:b/>
                <w:bCs/>
                <w:color w:val="000000" w:themeColor="text1"/>
                <w14:textFill>
                  <w14:solidFill>
                    <w14:schemeClr w14:val="tx1"/>
                  </w14:solidFill>
                </w14:textFill>
              </w:rPr>
            </w:pPr>
            <w:r>
              <w:rPr>
                <w:rFonts w:hint="default"/>
                <w:b/>
                <w:bCs/>
                <w:color w:val="000000" w:themeColor="text1"/>
                <w14:textFill>
                  <w14:solidFill>
                    <w14:schemeClr w14:val="tx1"/>
                  </w14:solidFill>
                </w14:textFill>
              </w:rPr>
              <w:t>本项目建成后</w:t>
            </w:r>
          </w:p>
          <w:p w14:paraId="65ECD21C">
            <w:pPr>
              <w:pStyle w:val="61"/>
              <w:keepNext w:val="0"/>
              <w:keepLines w:val="0"/>
              <w:suppressLineNumbers w:val="0"/>
              <w:bidi w:val="0"/>
              <w:spacing w:before="0" w:beforeAutospacing="0" w:after="0" w:afterAutospacing="0"/>
              <w:ind w:left="0" w:right="0" w:firstLine="0" w:firstLineChars="0"/>
              <w:rPr>
                <w:rFonts w:hint="default"/>
                <w:b/>
                <w:bCs/>
              </w:rPr>
            </w:pPr>
            <w:r>
              <w:rPr>
                <w:rFonts w:hint="default"/>
                <w:b/>
                <w:bCs/>
                <w:color w:val="000000" w:themeColor="text1"/>
                <w14:textFill>
                  <w14:solidFill>
                    <w14:schemeClr w14:val="tx1"/>
                  </w14:solidFill>
                </w14:textFill>
              </w:rPr>
              <w:t>全厂排放量（固体废物产生量</w:t>
            </w:r>
            <w:r>
              <w:rPr>
                <w:rFonts w:hint="eastAsia"/>
                <w:b/>
                <w:bCs/>
                <w:color w:val="000000" w:themeColor="text1"/>
                <w:lang w:eastAsia="zh-CN"/>
                <w14:textFill>
                  <w14:solidFill>
                    <w14:schemeClr w14:val="tx1"/>
                  </w14:solidFill>
                </w14:textFill>
              </w:rPr>
              <w:t>，</w:t>
            </w:r>
            <w:r>
              <w:rPr>
                <w:rFonts w:hint="eastAsia"/>
                <w:b/>
                <w:bCs/>
                <w:color w:val="000000" w:themeColor="text1"/>
                <w:lang w:val="en-US" w:eastAsia="zh-CN"/>
                <w14:textFill>
                  <w14:solidFill>
                    <w14:schemeClr w14:val="tx1"/>
                  </w14:solidFill>
                </w14:textFill>
              </w:rPr>
              <w:t>t/a</w:t>
            </w:r>
            <w:r>
              <w:rPr>
                <w:rFonts w:hint="default"/>
                <w:b/>
                <w:bCs/>
                <w:color w:val="000000" w:themeColor="text1"/>
                <w14:textFill>
                  <w14:solidFill>
                    <w14:schemeClr w14:val="tx1"/>
                  </w14:solidFill>
                </w14:textFill>
              </w:rPr>
              <w:t>）</w:t>
            </w:r>
            <w:r>
              <w:rPr>
                <w:rFonts w:hint="default"/>
                <w:b/>
                <w:bCs/>
                <w:color w:val="000000" w:themeColor="text1"/>
                <w14:textFill>
                  <w14:solidFill>
                    <w14:schemeClr w14:val="tx1"/>
                  </w14:solidFill>
                </w14:textFill>
              </w:rPr>
              <w:fldChar w:fldCharType="begin"/>
            </w:r>
            <w:r>
              <w:rPr>
                <w:rFonts w:hint="default"/>
                <w:b/>
                <w:bCs/>
                <w:color w:val="000000" w:themeColor="text1"/>
                <w14:textFill>
                  <w14:solidFill>
                    <w14:schemeClr w14:val="tx1"/>
                  </w14:solidFill>
                </w14:textFill>
              </w:rPr>
              <w:instrText xml:space="preserve"> = 6 \* GB3 \* MERGEFORMAT </w:instrText>
            </w:r>
            <w:r>
              <w:rPr>
                <w:rFonts w:hint="default"/>
                <w:b/>
                <w:bCs/>
                <w:color w:val="000000" w:themeColor="text1"/>
                <w14:textFill>
                  <w14:solidFill>
                    <w14:schemeClr w14:val="tx1"/>
                  </w14:solidFill>
                </w14:textFill>
              </w:rPr>
              <w:fldChar w:fldCharType="separate"/>
            </w:r>
            <w:r>
              <w:rPr>
                <w:rFonts w:hint="default"/>
                <w:b/>
                <w:bCs/>
                <w:color w:val="000000" w:themeColor="text1"/>
                <w14:textFill>
                  <w14:solidFill>
                    <w14:schemeClr w14:val="tx1"/>
                  </w14:solidFill>
                </w14:textFill>
              </w:rPr>
              <w:t>⑥</w:t>
            </w:r>
            <w:r>
              <w:rPr>
                <w:rFonts w:hint="default"/>
                <w:b/>
                <w:bCs/>
                <w:color w:val="000000" w:themeColor="text1"/>
                <w14:textFill>
                  <w14:solidFill>
                    <w14:schemeClr w14:val="tx1"/>
                  </w14:solidFill>
                </w14:textFill>
              </w:rPr>
              <w:fldChar w:fldCharType="end"/>
            </w:r>
          </w:p>
        </w:tc>
        <w:tc>
          <w:tcPr>
            <w:tcW w:w="429" w:type="pct"/>
            <w:tcBorders>
              <w:top w:val="single" w:color="000000" w:sz="8" w:space="0"/>
              <w:left w:val="single" w:color="000000" w:sz="4" w:space="0"/>
              <w:bottom w:val="single" w:color="000000" w:sz="4" w:space="0"/>
              <w:right w:val="single" w:color="000000" w:sz="8" w:space="0"/>
            </w:tcBorders>
            <w:vAlign w:val="center"/>
          </w:tcPr>
          <w:p w14:paraId="26BD7FCF">
            <w:pPr>
              <w:pStyle w:val="61"/>
              <w:keepNext w:val="0"/>
              <w:keepLines w:val="0"/>
              <w:suppressLineNumbers w:val="0"/>
              <w:bidi w:val="0"/>
              <w:spacing w:before="0" w:beforeAutospacing="0" w:after="0" w:afterAutospacing="0"/>
              <w:ind w:left="0" w:right="0"/>
              <w:rPr>
                <w:rFonts w:hint="eastAsia" w:eastAsia="宋体"/>
                <w:b/>
                <w:bCs/>
                <w:color w:val="000000" w:themeColor="text1"/>
                <w:lang w:eastAsia="zh-CN"/>
                <w14:textFill>
                  <w14:solidFill>
                    <w14:schemeClr w14:val="tx1"/>
                  </w14:solidFill>
                </w14:textFill>
              </w:rPr>
            </w:pPr>
            <w:r>
              <w:rPr>
                <w:rFonts w:hint="default"/>
                <w:b/>
                <w:bCs/>
                <w:color w:val="000000" w:themeColor="text1"/>
                <w14:textFill>
                  <w14:solidFill>
                    <w14:schemeClr w14:val="tx1"/>
                  </w14:solidFill>
                </w14:textFill>
              </w:rPr>
              <w:t>变化量</w:t>
            </w:r>
            <w:r>
              <w:rPr>
                <w:rFonts w:hint="eastAsia"/>
                <w:b/>
                <w:bCs/>
                <w:color w:val="000000" w:themeColor="text1"/>
                <w:lang w:eastAsia="zh-CN"/>
                <w14:textFill>
                  <w14:solidFill>
                    <w14:schemeClr w14:val="tx1"/>
                  </w14:solidFill>
                </w14:textFill>
              </w:rPr>
              <w:t>（</w:t>
            </w:r>
            <w:r>
              <w:rPr>
                <w:rFonts w:hint="eastAsia"/>
                <w:b/>
                <w:bCs/>
                <w:color w:val="000000" w:themeColor="text1"/>
                <w:lang w:val="en-US" w:eastAsia="zh-CN"/>
                <w14:textFill>
                  <w14:solidFill>
                    <w14:schemeClr w14:val="tx1"/>
                  </w14:solidFill>
                </w14:textFill>
              </w:rPr>
              <w:t>t/a</w:t>
            </w:r>
            <w:r>
              <w:rPr>
                <w:rFonts w:hint="eastAsia"/>
                <w:b/>
                <w:bCs/>
                <w:color w:val="000000" w:themeColor="text1"/>
                <w:lang w:eastAsia="zh-CN"/>
                <w14:textFill>
                  <w14:solidFill>
                    <w14:schemeClr w14:val="tx1"/>
                  </w14:solidFill>
                </w14:textFill>
              </w:rPr>
              <w:t>）</w:t>
            </w:r>
          </w:p>
          <w:p w14:paraId="1480E671">
            <w:pPr>
              <w:pStyle w:val="61"/>
              <w:keepNext w:val="0"/>
              <w:keepLines w:val="0"/>
              <w:suppressLineNumbers w:val="0"/>
              <w:bidi w:val="0"/>
              <w:spacing w:before="0" w:beforeAutospacing="0" w:after="0" w:afterAutospacing="0"/>
              <w:ind w:left="0" w:right="0" w:firstLine="0" w:firstLineChars="0"/>
              <w:rPr>
                <w:rFonts w:hint="default"/>
                <w:b/>
                <w:bCs/>
              </w:rPr>
            </w:pPr>
            <w:r>
              <w:rPr>
                <w:rFonts w:hint="default"/>
                <w:b/>
                <w:bCs/>
                <w:color w:val="000000" w:themeColor="text1"/>
                <w14:textFill>
                  <w14:solidFill>
                    <w14:schemeClr w14:val="tx1"/>
                  </w14:solidFill>
                </w14:textFill>
              </w:rPr>
              <w:fldChar w:fldCharType="begin"/>
            </w:r>
            <w:r>
              <w:rPr>
                <w:rFonts w:hint="default"/>
                <w:b/>
                <w:bCs/>
                <w:color w:val="000000" w:themeColor="text1"/>
                <w14:textFill>
                  <w14:solidFill>
                    <w14:schemeClr w14:val="tx1"/>
                  </w14:solidFill>
                </w14:textFill>
              </w:rPr>
              <w:instrText xml:space="preserve"> = 7 \* GB3 \* MERGEFORMAT </w:instrText>
            </w:r>
            <w:r>
              <w:rPr>
                <w:rFonts w:hint="default"/>
                <w:b/>
                <w:bCs/>
                <w:color w:val="000000" w:themeColor="text1"/>
                <w14:textFill>
                  <w14:solidFill>
                    <w14:schemeClr w14:val="tx1"/>
                  </w14:solidFill>
                </w14:textFill>
              </w:rPr>
              <w:fldChar w:fldCharType="separate"/>
            </w:r>
            <w:r>
              <w:rPr>
                <w:rFonts w:hint="default"/>
                <w:b/>
                <w:bCs/>
                <w:color w:val="000000" w:themeColor="text1"/>
                <w14:textFill>
                  <w14:solidFill>
                    <w14:schemeClr w14:val="tx1"/>
                  </w14:solidFill>
                </w14:textFill>
              </w:rPr>
              <w:t>⑦</w:t>
            </w:r>
            <w:r>
              <w:rPr>
                <w:rFonts w:hint="default"/>
                <w:b/>
                <w:bCs/>
                <w:color w:val="000000" w:themeColor="text1"/>
                <w14:textFill>
                  <w14:solidFill>
                    <w14:schemeClr w14:val="tx1"/>
                  </w14:solidFill>
                </w14:textFill>
              </w:rPr>
              <w:fldChar w:fldCharType="end"/>
            </w:r>
          </w:p>
        </w:tc>
      </w:tr>
      <w:tr w14:paraId="23D3BE1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restart"/>
            <w:tcBorders>
              <w:left w:val="single" w:color="000000" w:sz="8" w:space="0"/>
              <w:right w:val="single" w:color="000000" w:sz="4" w:space="0"/>
            </w:tcBorders>
            <w:vAlign w:val="center"/>
          </w:tcPr>
          <w:p w14:paraId="5D16F6A2">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rPr>
            </w:pPr>
            <w:r>
              <w:rPr>
                <w:rFonts w:hint="eastAsia"/>
              </w:rPr>
              <w:t>废气</w:t>
            </w:r>
          </w:p>
        </w:tc>
        <w:tc>
          <w:tcPr>
            <w:tcW w:w="758" w:type="pct"/>
            <w:tcBorders>
              <w:top w:val="single" w:color="000000" w:sz="4" w:space="0"/>
              <w:left w:val="single" w:color="000000" w:sz="4" w:space="0"/>
              <w:bottom w:val="single" w:color="000000" w:sz="4" w:space="0"/>
              <w:right w:val="single" w:color="000000" w:sz="4" w:space="0"/>
            </w:tcBorders>
            <w:vAlign w:val="center"/>
          </w:tcPr>
          <w:p w14:paraId="36B77A39">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default" w:ascii="Times New Roman" w:hAnsi="Times New Roman" w:eastAsia="宋体" w:cs="Times New Roman"/>
                <w:color w:val="auto"/>
                <w:spacing w:val="-2"/>
                <w:kern w:val="2"/>
                <w:sz w:val="21"/>
                <w:szCs w:val="18"/>
                <w:lang w:val="en-US" w:eastAsia="zh-CN" w:bidi="ar-SA"/>
              </w:rPr>
            </w:pPr>
            <w:r>
              <w:rPr>
                <w:rFonts w:hint="eastAsia" w:cs="Times New Roman"/>
                <w:color w:val="auto"/>
                <w:spacing w:val="-2"/>
                <w:kern w:val="2"/>
                <w:sz w:val="21"/>
                <w:szCs w:val="18"/>
                <w:lang w:val="en-US" w:eastAsia="zh-CN" w:bidi="ar-SA"/>
              </w:rPr>
              <w:t>颗粒物</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DD1568">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default" w:ascii="Times New Roman" w:hAnsi="Times New Roman" w:eastAsia="宋体" w:cs="Times New Roman"/>
                <w:color w:val="auto"/>
                <w:spacing w:val="-2"/>
                <w:kern w:val="2"/>
                <w:sz w:val="21"/>
                <w:szCs w:val="18"/>
                <w:highlight w:val="none"/>
                <w:lang w:val="en-US" w:eastAsia="zh-CN" w:bidi="ar-SA"/>
              </w:rPr>
            </w:pPr>
            <w:r>
              <w:rPr>
                <w:rFonts w:hint="eastAsia" w:cs="Times New Roman"/>
                <w:color w:val="auto"/>
                <w:spacing w:val="-2"/>
                <w:kern w:val="2"/>
                <w:sz w:val="21"/>
                <w:szCs w:val="18"/>
                <w:highlight w:val="none"/>
                <w:lang w:val="en-US" w:eastAsia="zh-CN" w:bidi="ar-SA"/>
              </w:rPr>
              <w:t>/</w:t>
            </w:r>
          </w:p>
        </w:tc>
        <w:tc>
          <w:tcPr>
            <w:tcW w:w="453" w:type="pct"/>
            <w:tcBorders>
              <w:top w:val="single" w:color="000000" w:sz="4" w:space="0"/>
              <w:left w:val="single" w:color="000000" w:sz="4" w:space="0"/>
              <w:bottom w:val="single" w:color="000000" w:sz="4" w:space="0"/>
              <w:right w:val="single" w:color="000000" w:sz="4" w:space="0"/>
            </w:tcBorders>
            <w:vAlign w:val="center"/>
          </w:tcPr>
          <w:p w14:paraId="28D430F1">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color w:val="auto"/>
                <w:highlight w:val="none"/>
                <w:lang w:val="en-US" w:eastAsia="zh-CN"/>
              </w:rPr>
            </w:pPr>
            <w:r>
              <w:rPr>
                <w:rFonts w:hint="eastAsia"/>
                <w:color w:val="auto"/>
                <w:highlight w:val="none"/>
                <w:lang w:val="en-US" w:eastAsia="zh-CN"/>
              </w:rPr>
              <w:t>/</w:t>
            </w:r>
          </w:p>
        </w:tc>
        <w:tc>
          <w:tcPr>
            <w:tcW w:w="605" w:type="pct"/>
            <w:tcBorders>
              <w:top w:val="single" w:color="000000" w:sz="4" w:space="0"/>
              <w:left w:val="single" w:color="000000" w:sz="4" w:space="0"/>
              <w:bottom w:val="single" w:color="000000" w:sz="4" w:space="0"/>
              <w:right w:val="single" w:color="000000" w:sz="4" w:space="0"/>
            </w:tcBorders>
            <w:vAlign w:val="center"/>
          </w:tcPr>
          <w:p w14:paraId="7945CCF0">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color w:val="auto"/>
                <w:highlight w:val="none"/>
                <w:lang w:val="en-US" w:eastAsia="zh-CN"/>
              </w:rPr>
            </w:pPr>
            <w:r>
              <w:rPr>
                <w:rFonts w:hint="eastAsia"/>
                <w:color w:val="auto"/>
                <w:highlight w:val="none"/>
                <w:lang w:val="en-US" w:eastAsia="zh-CN"/>
              </w:rPr>
              <w:t>/</w:t>
            </w:r>
          </w:p>
        </w:tc>
        <w:tc>
          <w:tcPr>
            <w:tcW w:w="554" w:type="pct"/>
            <w:tcBorders>
              <w:top w:val="single" w:color="000000" w:sz="4" w:space="0"/>
              <w:left w:val="single" w:color="000000" w:sz="4" w:space="0"/>
              <w:bottom w:val="single" w:color="000000" w:sz="4" w:space="0"/>
              <w:right w:val="single" w:color="000000" w:sz="4" w:space="0"/>
            </w:tcBorders>
            <w:vAlign w:val="center"/>
          </w:tcPr>
          <w:p w14:paraId="7E20C474">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color w:val="auto"/>
                <w:highlight w:val="none"/>
                <w:lang w:val="en-US" w:eastAsia="zh-CN"/>
              </w:rPr>
            </w:pPr>
            <w:r>
              <w:rPr>
                <w:rFonts w:hint="eastAsia"/>
                <w:color w:val="auto"/>
                <w:highlight w:val="none"/>
                <w:lang w:val="en-US" w:eastAsia="zh-CN"/>
              </w:rPr>
              <w:t>0.012</w:t>
            </w:r>
          </w:p>
        </w:tc>
        <w:tc>
          <w:tcPr>
            <w:tcW w:w="626" w:type="pct"/>
            <w:tcBorders>
              <w:top w:val="single" w:color="000000" w:sz="4" w:space="0"/>
              <w:left w:val="single" w:color="000000" w:sz="4" w:space="0"/>
              <w:bottom w:val="single" w:color="000000" w:sz="4" w:space="0"/>
              <w:right w:val="single" w:color="000000" w:sz="4" w:space="0"/>
            </w:tcBorders>
            <w:vAlign w:val="center"/>
          </w:tcPr>
          <w:p w14:paraId="1D2102CD">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color w:val="auto"/>
                <w:highlight w:val="none"/>
                <w:lang w:val="en-US" w:eastAsia="zh-CN"/>
              </w:rPr>
            </w:pPr>
            <w:r>
              <w:rPr>
                <w:rFonts w:hint="eastAsia"/>
                <w:color w:val="auto"/>
                <w:highlight w:val="none"/>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0A71B">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default" w:ascii="Times New Roman" w:hAnsi="Times New Roman" w:eastAsia="宋体" w:cs="Times New Roman"/>
                <w:color w:val="auto"/>
                <w:spacing w:val="-2"/>
                <w:kern w:val="2"/>
                <w:sz w:val="21"/>
                <w:szCs w:val="18"/>
                <w:highlight w:val="none"/>
                <w:lang w:val="en-US" w:eastAsia="zh-CN" w:bidi="ar-SA"/>
              </w:rPr>
            </w:pPr>
            <w:r>
              <w:rPr>
                <w:rFonts w:hint="eastAsia" w:cs="Times New Roman"/>
                <w:color w:val="auto"/>
                <w:spacing w:val="-2"/>
                <w:kern w:val="2"/>
                <w:sz w:val="21"/>
                <w:szCs w:val="18"/>
                <w:highlight w:val="none"/>
                <w:lang w:val="en-US" w:eastAsia="zh-CN" w:bidi="ar-SA"/>
              </w:rPr>
              <w:t>0.012</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25393D02">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default" w:ascii="Times New Roman" w:hAnsi="Times New Roman" w:eastAsia="宋体" w:cs="Times New Roman"/>
                <w:color w:val="auto"/>
                <w:spacing w:val="-2"/>
                <w:kern w:val="2"/>
                <w:sz w:val="21"/>
                <w:szCs w:val="18"/>
                <w:highlight w:val="none"/>
                <w:lang w:val="en-US" w:eastAsia="zh-CN" w:bidi="ar-SA"/>
              </w:rPr>
            </w:pPr>
            <w:r>
              <w:rPr>
                <w:rFonts w:hint="eastAsia" w:cs="Times New Roman"/>
                <w:color w:val="auto"/>
                <w:spacing w:val="-2"/>
                <w:kern w:val="2"/>
                <w:sz w:val="21"/>
                <w:szCs w:val="18"/>
                <w:highlight w:val="none"/>
                <w:lang w:val="en-US" w:eastAsia="zh-CN" w:bidi="ar-SA"/>
              </w:rPr>
              <w:t>+0.012</w:t>
            </w:r>
          </w:p>
        </w:tc>
      </w:tr>
      <w:tr w14:paraId="3B99852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continue"/>
            <w:tcBorders>
              <w:left w:val="single" w:color="000000" w:sz="8" w:space="0"/>
              <w:right w:val="single" w:color="000000" w:sz="4" w:space="0"/>
            </w:tcBorders>
            <w:vAlign w:val="center"/>
          </w:tcPr>
          <w:p w14:paraId="6E79B2E2">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rPr>
            </w:pPr>
          </w:p>
        </w:tc>
        <w:tc>
          <w:tcPr>
            <w:tcW w:w="758" w:type="pct"/>
            <w:tcBorders>
              <w:top w:val="single" w:color="000000" w:sz="4" w:space="0"/>
              <w:left w:val="single" w:color="000000" w:sz="4" w:space="0"/>
              <w:bottom w:val="single" w:color="000000" w:sz="4" w:space="0"/>
              <w:right w:val="single" w:color="000000" w:sz="4" w:space="0"/>
            </w:tcBorders>
            <w:vAlign w:val="center"/>
          </w:tcPr>
          <w:p w14:paraId="5FC9FDF0">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default"/>
                <w:color w:val="auto"/>
                <w:lang w:val="en-US" w:eastAsia="zh-CN"/>
              </w:rPr>
            </w:pPr>
            <w:r>
              <w:rPr>
                <w:rFonts w:hint="eastAsia"/>
                <w:color w:val="auto"/>
                <w:lang w:val="en-US" w:eastAsia="zh-CN"/>
              </w:rPr>
              <w:t>臭气浓度</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318999">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color w:val="auto"/>
                <w:highlight w:val="none"/>
                <w:lang w:val="en-US" w:eastAsia="zh-CN"/>
              </w:rPr>
            </w:pPr>
            <w:r>
              <w:rPr>
                <w:rFonts w:hint="eastAsia"/>
                <w:color w:val="auto"/>
                <w:highlight w:val="none"/>
                <w:lang w:val="en-US" w:eastAsia="zh-CN"/>
              </w:rPr>
              <w:t>/</w:t>
            </w:r>
          </w:p>
        </w:tc>
        <w:tc>
          <w:tcPr>
            <w:tcW w:w="453" w:type="pct"/>
            <w:tcBorders>
              <w:top w:val="single" w:color="000000" w:sz="4" w:space="0"/>
              <w:left w:val="single" w:color="000000" w:sz="4" w:space="0"/>
              <w:bottom w:val="single" w:color="000000" w:sz="4" w:space="0"/>
              <w:right w:val="single" w:color="000000" w:sz="4" w:space="0"/>
            </w:tcBorders>
            <w:vAlign w:val="center"/>
          </w:tcPr>
          <w:p w14:paraId="121DAF17">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color w:val="auto"/>
                <w:highlight w:val="none"/>
                <w:lang w:val="en-US" w:eastAsia="zh-CN"/>
              </w:rPr>
            </w:pPr>
            <w:r>
              <w:rPr>
                <w:rFonts w:hint="eastAsia"/>
                <w:color w:val="auto"/>
                <w:highlight w:val="none"/>
                <w:lang w:val="en-US" w:eastAsia="zh-CN"/>
              </w:rPr>
              <w:t>/</w:t>
            </w:r>
          </w:p>
        </w:tc>
        <w:tc>
          <w:tcPr>
            <w:tcW w:w="605" w:type="pct"/>
            <w:tcBorders>
              <w:top w:val="single" w:color="000000" w:sz="4" w:space="0"/>
              <w:left w:val="single" w:color="000000" w:sz="4" w:space="0"/>
              <w:bottom w:val="single" w:color="000000" w:sz="4" w:space="0"/>
              <w:right w:val="single" w:color="000000" w:sz="4" w:space="0"/>
            </w:tcBorders>
            <w:vAlign w:val="center"/>
          </w:tcPr>
          <w:p w14:paraId="55DFFFC6">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color w:val="auto"/>
                <w:highlight w:val="none"/>
                <w:lang w:val="en-US" w:eastAsia="zh-CN"/>
              </w:rPr>
            </w:pPr>
            <w:r>
              <w:rPr>
                <w:rFonts w:hint="eastAsia"/>
                <w:color w:val="auto"/>
                <w:highlight w:val="none"/>
                <w:lang w:val="en-US" w:eastAsia="zh-CN"/>
              </w:rPr>
              <w:t>/</w:t>
            </w:r>
          </w:p>
        </w:tc>
        <w:tc>
          <w:tcPr>
            <w:tcW w:w="554" w:type="pct"/>
            <w:tcBorders>
              <w:top w:val="single" w:color="000000" w:sz="4" w:space="0"/>
              <w:left w:val="single" w:color="000000" w:sz="4" w:space="0"/>
              <w:bottom w:val="single" w:color="000000" w:sz="4" w:space="0"/>
              <w:right w:val="single" w:color="000000" w:sz="4" w:space="0"/>
            </w:tcBorders>
            <w:vAlign w:val="center"/>
          </w:tcPr>
          <w:p w14:paraId="18C46492">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color w:val="auto"/>
                <w:highlight w:val="none"/>
                <w:lang w:val="en-US" w:eastAsia="zh-CN"/>
              </w:rPr>
            </w:pPr>
            <w:r>
              <w:rPr>
                <w:rFonts w:hint="eastAsia"/>
                <w:color w:val="auto"/>
                <w:highlight w:val="none"/>
                <w:lang w:val="en-US" w:eastAsia="zh-CN"/>
              </w:rPr>
              <w:t>少量</w:t>
            </w:r>
          </w:p>
        </w:tc>
        <w:tc>
          <w:tcPr>
            <w:tcW w:w="626" w:type="pct"/>
            <w:tcBorders>
              <w:top w:val="single" w:color="000000" w:sz="4" w:space="0"/>
              <w:left w:val="single" w:color="000000" w:sz="4" w:space="0"/>
              <w:bottom w:val="single" w:color="000000" w:sz="4" w:space="0"/>
              <w:right w:val="single" w:color="000000" w:sz="4" w:space="0"/>
            </w:tcBorders>
            <w:vAlign w:val="center"/>
          </w:tcPr>
          <w:p w14:paraId="536B0C5A">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color w:val="auto"/>
                <w:highlight w:val="none"/>
                <w:lang w:val="en-US" w:eastAsia="zh-CN"/>
              </w:rPr>
            </w:pPr>
            <w:r>
              <w:rPr>
                <w:rFonts w:hint="eastAsia"/>
                <w:color w:val="auto"/>
                <w:highlight w:val="none"/>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9B0370">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color w:val="auto"/>
                <w:highlight w:val="none"/>
                <w:lang w:val="en-US" w:eastAsia="zh-CN"/>
              </w:rPr>
            </w:pPr>
            <w:r>
              <w:rPr>
                <w:rFonts w:hint="eastAsia"/>
                <w:color w:val="auto"/>
                <w:highlight w:val="none"/>
                <w:lang w:val="en-US" w:eastAsia="zh-CN"/>
              </w:rPr>
              <w:t>少量</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5363C463">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color w:val="auto"/>
                <w:highlight w:val="none"/>
                <w:lang w:val="en-US" w:eastAsia="zh-CN"/>
              </w:rPr>
            </w:pPr>
            <w:r>
              <w:rPr>
                <w:rFonts w:hint="eastAsia"/>
                <w:color w:val="auto"/>
                <w:highlight w:val="none"/>
                <w:lang w:val="en-US" w:eastAsia="zh-CN"/>
              </w:rPr>
              <w:t>少量</w:t>
            </w:r>
          </w:p>
        </w:tc>
      </w:tr>
      <w:tr w14:paraId="0632385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restart"/>
            <w:tcBorders>
              <w:top w:val="single" w:color="000000" w:sz="8" w:space="0"/>
              <w:left w:val="single" w:color="000000" w:sz="8" w:space="0"/>
              <w:right w:val="single" w:color="000000" w:sz="4" w:space="0"/>
            </w:tcBorders>
            <w:vAlign w:val="center"/>
          </w:tcPr>
          <w:p w14:paraId="6953A1A4">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rPr>
            </w:pPr>
            <w:r>
              <w:rPr>
                <w:rFonts w:hint="eastAsia"/>
              </w:rPr>
              <w:t>废水</w:t>
            </w:r>
          </w:p>
        </w:tc>
        <w:tc>
          <w:tcPr>
            <w:tcW w:w="758" w:type="pct"/>
            <w:tcBorders>
              <w:top w:val="single" w:color="000000" w:sz="4" w:space="0"/>
              <w:left w:val="single" w:color="000000" w:sz="4" w:space="0"/>
              <w:bottom w:val="single" w:color="000000" w:sz="4" w:space="0"/>
              <w:right w:val="single" w:color="000000" w:sz="4" w:space="0"/>
            </w:tcBorders>
            <w:vAlign w:val="center"/>
          </w:tcPr>
          <w:p w14:paraId="4E2CD3B4">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color w:val="auto"/>
                <w:lang w:val="en-US" w:eastAsia="zh-CN"/>
              </w:rPr>
            </w:pPr>
            <w:r>
              <w:rPr>
                <w:rFonts w:hint="eastAsia"/>
                <w:color w:val="auto"/>
                <w:lang w:val="en-US" w:eastAsia="zh-CN"/>
              </w:rPr>
              <w:t>水量</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E9CBBA">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default" w:ascii="Times New Roman" w:hAnsi="Times New Roman" w:eastAsia="宋体" w:cs="Times New Roman"/>
                <w:color w:val="auto"/>
                <w:spacing w:val="-2"/>
                <w:kern w:val="2"/>
                <w:sz w:val="21"/>
                <w:szCs w:val="18"/>
                <w:lang w:val="en-US" w:eastAsia="zh-CN" w:bidi="ar-SA"/>
              </w:rPr>
            </w:pPr>
            <w:r>
              <w:rPr>
                <w:rFonts w:hint="eastAsia"/>
                <w:color w:val="auto"/>
                <w:lang w:val="en-US" w:eastAsia="zh-CN"/>
              </w:rPr>
              <w:t>/</w:t>
            </w:r>
          </w:p>
        </w:tc>
        <w:tc>
          <w:tcPr>
            <w:tcW w:w="453" w:type="pct"/>
            <w:tcBorders>
              <w:top w:val="single" w:color="000000" w:sz="4" w:space="0"/>
              <w:left w:val="single" w:color="000000" w:sz="4" w:space="0"/>
              <w:bottom w:val="single" w:color="000000" w:sz="4" w:space="0"/>
              <w:right w:val="single" w:color="000000" w:sz="4" w:space="0"/>
            </w:tcBorders>
            <w:vAlign w:val="center"/>
          </w:tcPr>
          <w:p w14:paraId="7632C6D4">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color w:val="auto"/>
                <w:lang w:val="en-US" w:eastAsia="zh-CN"/>
              </w:rPr>
            </w:pPr>
            <w:r>
              <w:rPr>
                <w:rFonts w:hint="eastAsia"/>
                <w:color w:val="auto"/>
                <w:lang w:val="en-US" w:eastAsia="zh-CN"/>
              </w:rPr>
              <w:t>/</w:t>
            </w:r>
          </w:p>
        </w:tc>
        <w:tc>
          <w:tcPr>
            <w:tcW w:w="605" w:type="pct"/>
            <w:tcBorders>
              <w:top w:val="single" w:color="000000" w:sz="4" w:space="0"/>
              <w:left w:val="single" w:color="000000" w:sz="4" w:space="0"/>
              <w:bottom w:val="single" w:color="000000" w:sz="4" w:space="0"/>
              <w:right w:val="single" w:color="000000" w:sz="4" w:space="0"/>
            </w:tcBorders>
            <w:vAlign w:val="center"/>
          </w:tcPr>
          <w:p w14:paraId="669EBFF2">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color w:val="auto"/>
                <w:lang w:val="en-US" w:eastAsia="zh-CN"/>
              </w:rPr>
            </w:pPr>
            <w:r>
              <w:rPr>
                <w:rFonts w:hint="eastAsia"/>
                <w:color w:val="auto"/>
                <w:lang w:val="en-US" w:eastAsia="zh-CN"/>
              </w:rPr>
              <w:t>/</w:t>
            </w:r>
          </w:p>
        </w:tc>
        <w:tc>
          <w:tcPr>
            <w:tcW w:w="554" w:type="pct"/>
            <w:tcBorders>
              <w:top w:val="single" w:color="000000" w:sz="4" w:space="0"/>
              <w:left w:val="single" w:color="000000" w:sz="4" w:space="0"/>
              <w:bottom w:val="single" w:color="000000" w:sz="4" w:space="0"/>
              <w:right w:val="single" w:color="000000" w:sz="4" w:space="0"/>
            </w:tcBorders>
            <w:vAlign w:val="center"/>
          </w:tcPr>
          <w:p w14:paraId="7681AF4A">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color w:val="auto"/>
                <w:lang w:val="en-US" w:eastAsia="zh-CN"/>
              </w:rPr>
            </w:pPr>
            <w:r>
              <w:rPr>
                <w:rFonts w:hint="eastAsia"/>
                <w:color w:val="auto"/>
                <w:lang w:val="en-US" w:eastAsia="zh-CN"/>
              </w:rPr>
              <w:t>646</w:t>
            </w:r>
          </w:p>
        </w:tc>
        <w:tc>
          <w:tcPr>
            <w:tcW w:w="626" w:type="pct"/>
            <w:tcBorders>
              <w:top w:val="single" w:color="000000" w:sz="4" w:space="0"/>
              <w:left w:val="single" w:color="000000" w:sz="4" w:space="0"/>
              <w:bottom w:val="single" w:color="000000" w:sz="4" w:space="0"/>
              <w:right w:val="single" w:color="000000" w:sz="4" w:space="0"/>
            </w:tcBorders>
            <w:vAlign w:val="center"/>
          </w:tcPr>
          <w:p w14:paraId="01DA4122">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color w:val="auto"/>
                <w:lang w:val="en-US" w:eastAsia="zh-CN"/>
              </w:rPr>
            </w:pPr>
            <w:r>
              <w:rPr>
                <w:rFonts w:hint="eastAsia"/>
                <w:color w:val="auto"/>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D5653">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default" w:ascii="Times New Roman" w:hAnsi="Times New Roman" w:eastAsia="宋体" w:cs="Times New Roman"/>
                <w:color w:val="auto"/>
                <w:spacing w:val="-2"/>
                <w:kern w:val="2"/>
                <w:sz w:val="21"/>
                <w:szCs w:val="18"/>
                <w:lang w:val="en-US" w:eastAsia="zh-CN" w:bidi="ar-SA"/>
              </w:rPr>
            </w:pPr>
            <w:r>
              <w:rPr>
                <w:rFonts w:hint="eastAsia"/>
                <w:color w:val="auto"/>
                <w:lang w:val="en-US" w:eastAsia="zh-CN"/>
              </w:rPr>
              <w:t>658</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22C6BDF6">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default" w:ascii="Times New Roman" w:hAnsi="Times New Roman" w:eastAsia="宋体" w:cs="Times New Roman"/>
                <w:color w:val="auto"/>
                <w:spacing w:val="-2"/>
                <w:kern w:val="2"/>
                <w:sz w:val="21"/>
                <w:szCs w:val="18"/>
                <w:lang w:val="en-US" w:eastAsia="zh-CN" w:bidi="ar-SA"/>
              </w:rPr>
            </w:pPr>
            <w:r>
              <w:rPr>
                <w:rFonts w:hint="eastAsia"/>
                <w:color w:val="auto"/>
                <w:lang w:val="en-US" w:eastAsia="zh-CN"/>
              </w:rPr>
              <w:t>+658</w:t>
            </w:r>
          </w:p>
        </w:tc>
      </w:tr>
      <w:tr w14:paraId="44A5146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continue"/>
            <w:tcBorders>
              <w:left w:val="single" w:color="000000" w:sz="8" w:space="0"/>
              <w:right w:val="single" w:color="000000" w:sz="4" w:space="0"/>
            </w:tcBorders>
            <w:vAlign w:val="center"/>
          </w:tcPr>
          <w:p w14:paraId="4C89E6F8">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rPr>
            </w:pPr>
          </w:p>
        </w:tc>
        <w:tc>
          <w:tcPr>
            <w:tcW w:w="758" w:type="pct"/>
            <w:tcBorders>
              <w:top w:val="single" w:color="000000" w:sz="4" w:space="0"/>
              <w:left w:val="single" w:color="000000" w:sz="4" w:space="0"/>
              <w:bottom w:val="single" w:color="000000" w:sz="4" w:space="0"/>
              <w:right w:val="single" w:color="000000" w:sz="4" w:space="0"/>
            </w:tcBorders>
            <w:vAlign w:val="center"/>
          </w:tcPr>
          <w:p w14:paraId="44AC8FCB">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Times New Roman" w:hAnsi="Times New Roman" w:eastAsia="宋体" w:cs="Times New Roman"/>
                <w:spacing w:val="-2"/>
                <w:kern w:val="2"/>
                <w:sz w:val="21"/>
                <w:szCs w:val="18"/>
                <w:lang w:val="en-US" w:eastAsia="zh-CN" w:bidi="ar-SA"/>
              </w:rPr>
            </w:pPr>
            <w:r>
              <w:rPr>
                <w:rFonts w:hint="eastAsia"/>
              </w:rPr>
              <w:t>COD</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D4DE03">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default" w:ascii="Times New Roman" w:hAnsi="Times New Roman" w:eastAsia="宋体" w:cs="Times New Roman"/>
                <w:spacing w:val="-2"/>
                <w:kern w:val="2"/>
                <w:sz w:val="21"/>
                <w:szCs w:val="18"/>
                <w:lang w:val="en-US" w:eastAsia="zh-CN" w:bidi="ar-SA"/>
              </w:rPr>
            </w:pPr>
            <w:r>
              <w:rPr>
                <w:rFonts w:hint="eastAsia"/>
                <w:lang w:val="en-US" w:eastAsia="zh-CN"/>
              </w:rPr>
              <w:t>/</w:t>
            </w:r>
          </w:p>
        </w:tc>
        <w:tc>
          <w:tcPr>
            <w:tcW w:w="453" w:type="pct"/>
            <w:tcBorders>
              <w:top w:val="single" w:color="000000" w:sz="4" w:space="0"/>
              <w:left w:val="single" w:color="000000" w:sz="4" w:space="0"/>
              <w:bottom w:val="single" w:color="000000" w:sz="4" w:space="0"/>
              <w:right w:val="single" w:color="000000" w:sz="4" w:space="0"/>
            </w:tcBorders>
            <w:vAlign w:val="center"/>
          </w:tcPr>
          <w:p w14:paraId="53A8F71E">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Times New Roman" w:hAnsi="Times New Roman" w:eastAsia="宋体" w:cs="Times New Roman"/>
                <w:spacing w:val="-2"/>
                <w:kern w:val="2"/>
                <w:sz w:val="21"/>
                <w:szCs w:val="18"/>
                <w:lang w:val="en-US" w:eastAsia="zh-CN" w:bidi="ar-SA"/>
              </w:rPr>
            </w:pPr>
            <w:r>
              <w:rPr>
                <w:rFonts w:hint="eastAsia"/>
                <w:lang w:val="en-US" w:eastAsia="zh-CN"/>
              </w:rPr>
              <w:t>/</w:t>
            </w:r>
          </w:p>
        </w:tc>
        <w:tc>
          <w:tcPr>
            <w:tcW w:w="605" w:type="pct"/>
            <w:tcBorders>
              <w:top w:val="single" w:color="000000" w:sz="4" w:space="0"/>
              <w:left w:val="single" w:color="000000" w:sz="4" w:space="0"/>
              <w:bottom w:val="single" w:color="000000" w:sz="4" w:space="0"/>
              <w:right w:val="single" w:color="000000" w:sz="4" w:space="0"/>
            </w:tcBorders>
            <w:vAlign w:val="center"/>
          </w:tcPr>
          <w:p w14:paraId="7C53633C">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Times New Roman" w:hAnsi="Times New Roman" w:eastAsia="宋体" w:cs="Times New Roman"/>
                <w:spacing w:val="-2"/>
                <w:kern w:val="2"/>
                <w:sz w:val="21"/>
                <w:szCs w:val="18"/>
                <w:lang w:val="en-US" w:eastAsia="zh-CN" w:bidi="ar-SA"/>
              </w:rPr>
            </w:pPr>
            <w:r>
              <w:rPr>
                <w:rFonts w:hint="eastAsia"/>
                <w:lang w:val="en-US" w:eastAsia="zh-CN"/>
              </w:rPr>
              <w:t>/</w:t>
            </w:r>
          </w:p>
        </w:tc>
        <w:tc>
          <w:tcPr>
            <w:tcW w:w="554" w:type="pct"/>
            <w:tcBorders>
              <w:top w:val="single" w:color="000000" w:sz="4" w:space="0"/>
              <w:left w:val="single" w:color="000000" w:sz="4" w:space="0"/>
              <w:bottom w:val="single" w:color="000000" w:sz="4" w:space="0"/>
              <w:right w:val="single" w:color="000000" w:sz="4" w:space="0"/>
            </w:tcBorders>
            <w:vAlign w:val="center"/>
          </w:tcPr>
          <w:p w14:paraId="2E92688E">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spacing w:val="-2"/>
                <w:kern w:val="2"/>
                <w:sz w:val="21"/>
                <w:szCs w:val="18"/>
                <w:lang w:val="en-US" w:eastAsia="zh-CN" w:bidi="ar-SA"/>
              </w:rPr>
            </w:pPr>
            <w:r>
              <w:rPr>
                <w:rFonts w:hint="eastAsia"/>
                <w:color w:val="0000FF"/>
                <w:lang w:val="en-US" w:eastAsia="zh-CN"/>
              </w:rPr>
              <w:t>0.0791</w:t>
            </w:r>
          </w:p>
        </w:tc>
        <w:tc>
          <w:tcPr>
            <w:tcW w:w="626" w:type="pct"/>
            <w:tcBorders>
              <w:top w:val="single" w:color="000000" w:sz="4" w:space="0"/>
              <w:left w:val="single" w:color="000000" w:sz="4" w:space="0"/>
              <w:bottom w:val="single" w:color="000000" w:sz="4" w:space="0"/>
              <w:right w:val="single" w:color="000000" w:sz="4" w:space="0"/>
            </w:tcBorders>
            <w:vAlign w:val="center"/>
          </w:tcPr>
          <w:p w14:paraId="55B7D137">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lang w:val="en-US" w:eastAsia="zh-CN"/>
              </w:rPr>
            </w:pPr>
            <w:r>
              <w:rPr>
                <w:rFonts w:hint="eastAsia"/>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3BB57B">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color w:val="0000FF"/>
                <w:lang w:val="en-US" w:eastAsia="zh-CN"/>
              </w:rPr>
              <w:t>0.0791</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505B040B">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color w:val="0000FF"/>
                <w:lang w:val="en-US" w:eastAsia="zh-CN"/>
              </w:rPr>
              <w:t>+0.0791</w:t>
            </w:r>
          </w:p>
        </w:tc>
      </w:tr>
      <w:tr w14:paraId="0AE0EFF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continue"/>
            <w:tcBorders>
              <w:left w:val="single" w:color="000000" w:sz="8" w:space="0"/>
              <w:right w:val="single" w:color="000000" w:sz="4" w:space="0"/>
            </w:tcBorders>
            <w:vAlign w:val="center"/>
          </w:tcPr>
          <w:p w14:paraId="2A166AB2">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rPr>
            </w:pPr>
          </w:p>
        </w:tc>
        <w:tc>
          <w:tcPr>
            <w:tcW w:w="758" w:type="pct"/>
            <w:tcBorders>
              <w:top w:val="single" w:color="000000" w:sz="4" w:space="0"/>
              <w:left w:val="single" w:color="000000" w:sz="4" w:space="0"/>
              <w:bottom w:val="single" w:color="000000" w:sz="4" w:space="0"/>
              <w:right w:val="single" w:color="000000" w:sz="4" w:space="0"/>
            </w:tcBorders>
            <w:vAlign w:val="center"/>
          </w:tcPr>
          <w:p w14:paraId="11207F97">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Times New Roman" w:hAnsi="Times New Roman" w:eastAsia="宋体" w:cs="Times New Roman"/>
                <w:spacing w:val="-2"/>
                <w:kern w:val="2"/>
                <w:sz w:val="21"/>
                <w:szCs w:val="18"/>
                <w:lang w:val="en-US" w:eastAsia="zh-CN" w:bidi="ar-SA"/>
              </w:rPr>
            </w:pPr>
            <w:r>
              <w:rPr>
                <w:rFonts w:hint="eastAsia"/>
              </w:rPr>
              <w:t>BOD</w:t>
            </w:r>
            <w:r>
              <w:rPr>
                <w:rFonts w:hint="eastAsia"/>
                <w:vertAlign w:val="subscript"/>
              </w:rPr>
              <w:t>5</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E1FCAF">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default" w:ascii="Times New Roman" w:hAnsi="Times New Roman" w:eastAsia="宋体" w:cs="Times New Roman"/>
                <w:spacing w:val="-2"/>
                <w:kern w:val="2"/>
                <w:sz w:val="21"/>
                <w:szCs w:val="18"/>
                <w:lang w:val="en-US" w:eastAsia="zh-CN" w:bidi="ar-SA"/>
              </w:rPr>
            </w:pPr>
            <w:r>
              <w:rPr>
                <w:rFonts w:hint="eastAsia"/>
                <w:lang w:val="en-US" w:eastAsia="zh-CN"/>
              </w:rPr>
              <w:t>/</w:t>
            </w:r>
          </w:p>
        </w:tc>
        <w:tc>
          <w:tcPr>
            <w:tcW w:w="453" w:type="pct"/>
            <w:tcBorders>
              <w:top w:val="single" w:color="000000" w:sz="4" w:space="0"/>
              <w:left w:val="single" w:color="000000" w:sz="4" w:space="0"/>
              <w:bottom w:val="single" w:color="000000" w:sz="4" w:space="0"/>
              <w:right w:val="single" w:color="000000" w:sz="4" w:space="0"/>
            </w:tcBorders>
            <w:vAlign w:val="center"/>
          </w:tcPr>
          <w:p w14:paraId="0013E33B">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Times New Roman" w:hAnsi="Times New Roman" w:eastAsia="宋体" w:cs="Times New Roman"/>
                <w:spacing w:val="-2"/>
                <w:kern w:val="2"/>
                <w:sz w:val="21"/>
                <w:szCs w:val="18"/>
                <w:lang w:val="en-US" w:eastAsia="zh-CN" w:bidi="ar-SA"/>
              </w:rPr>
            </w:pPr>
            <w:r>
              <w:rPr>
                <w:rFonts w:hint="eastAsia"/>
                <w:lang w:val="en-US" w:eastAsia="zh-CN"/>
              </w:rPr>
              <w:t>/</w:t>
            </w:r>
          </w:p>
        </w:tc>
        <w:tc>
          <w:tcPr>
            <w:tcW w:w="605" w:type="pct"/>
            <w:tcBorders>
              <w:top w:val="single" w:color="000000" w:sz="4" w:space="0"/>
              <w:left w:val="single" w:color="000000" w:sz="4" w:space="0"/>
              <w:bottom w:val="single" w:color="000000" w:sz="4" w:space="0"/>
              <w:right w:val="single" w:color="000000" w:sz="4" w:space="0"/>
            </w:tcBorders>
            <w:vAlign w:val="center"/>
          </w:tcPr>
          <w:p w14:paraId="0FED08B8">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Times New Roman" w:hAnsi="Times New Roman" w:eastAsia="宋体" w:cs="Times New Roman"/>
                <w:spacing w:val="-2"/>
                <w:kern w:val="2"/>
                <w:sz w:val="21"/>
                <w:szCs w:val="18"/>
                <w:lang w:val="en-US" w:eastAsia="zh-CN" w:bidi="ar-SA"/>
              </w:rPr>
            </w:pPr>
            <w:r>
              <w:rPr>
                <w:rFonts w:hint="eastAsia"/>
                <w:lang w:val="en-US" w:eastAsia="zh-CN"/>
              </w:rPr>
              <w:t>/</w:t>
            </w:r>
          </w:p>
        </w:tc>
        <w:tc>
          <w:tcPr>
            <w:tcW w:w="554" w:type="pct"/>
            <w:tcBorders>
              <w:top w:val="single" w:color="000000" w:sz="4" w:space="0"/>
              <w:left w:val="single" w:color="000000" w:sz="4" w:space="0"/>
              <w:bottom w:val="single" w:color="000000" w:sz="4" w:space="0"/>
              <w:right w:val="single" w:color="000000" w:sz="4" w:space="0"/>
            </w:tcBorders>
            <w:vAlign w:val="center"/>
          </w:tcPr>
          <w:p w14:paraId="26C0176E">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spacing w:val="-2"/>
                <w:kern w:val="2"/>
                <w:sz w:val="21"/>
                <w:szCs w:val="18"/>
                <w:lang w:val="en-US" w:eastAsia="zh-CN" w:bidi="ar-SA"/>
              </w:rPr>
            </w:pPr>
            <w:r>
              <w:rPr>
                <w:rFonts w:hint="eastAsia"/>
                <w:color w:val="0000FF"/>
                <w:lang w:val="en-US" w:eastAsia="zh-CN"/>
              </w:rPr>
              <w:t>0.0413</w:t>
            </w:r>
          </w:p>
        </w:tc>
        <w:tc>
          <w:tcPr>
            <w:tcW w:w="626" w:type="pct"/>
            <w:tcBorders>
              <w:top w:val="single" w:color="000000" w:sz="4" w:space="0"/>
              <w:left w:val="single" w:color="000000" w:sz="4" w:space="0"/>
              <w:bottom w:val="single" w:color="000000" w:sz="4" w:space="0"/>
              <w:right w:val="single" w:color="000000" w:sz="4" w:space="0"/>
            </w:tcBorders>
            <w:vAlign w:val="center"/>
          </w:tcPr>
          <w:p w14:paraId="28B98CD4">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lang w:val="en-US" w:eastAsia="zh-CN"/>
              </w:rPr>
            </w:pPr>
            <w:r>
              <w:rPr>
                <w:rFonts w:hint="eastAsia"/>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F86141">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color w:val="0000FF"/>
                <w:lang w:val="en-US" w:eastAsia="zh-CN"/>
              </w:rPr>
              <w:t>0.0413</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11092237">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color w:val="0000FF"/>
                <w:lang w:val="en-US" w:eastAsia="zh-CN"/>
              </w:rPr>
              <w:t>+0.0413</w:t>
            </w:r>
          </w:p>
        </w:tc>
      </w:tr>
      <w:tr w14:paraId="2005507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continue"/>
            <w:tcBorders>
              <w:left w:val="single" w:color="000000" w:sz="8" w:space="0"/>
              <w:right w:val="single" w:color="000000" w:sz="4" w:space="0"/>
            </w:tcBorders>
            <w:vAlign w:val="center"/>
          </w:tcPr>
          <w:p w14:paraId="40640889">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rPr>
            </w:pPr>
          </w:p>
        </w:tc>
        <w:tc>
          <w:tcPr>
            <w:tcW w:w="758" w:type="pct"/>
            <w:tcBorders>
              <w:top w:val="single" w:color="000000" w:sz="4" w:space="0"/>
              <w:left w:val="single" w:color="000000" w:sz="4" w:space="0"/>
              <w:bottom w:val="single" w:color="000000" w:sz="4" w:space="0"/>
              <w:right w:val="single" w:color="000000" w:sz="4" w:space="0"/>
            </w:tcBorders>
            <w:vAlign w:val="center"/>
          </w:tcPr>
          <w:p w14:paraId="7C5E94E7">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Times New Roman" w:hAnsi="Times New Roman" w:eastAsia="宋体" w:cs="Times New Roman"/>
                <w:spacing w:val="-2"/>
                <w:kern w:val="2"/>
                <w:sz w:val="21"/>
                <w:szCs w:val="18"/>
                <w:lang w:val="en-US" w:eastAsia="zh-CN" w:bidi="ar-SA"/>
              </w:rPr>
            </w:pPr>
            <w:r>
              <w:rPr>
                <w:rFonts w:hint="eastAsia"/>
              </w:rPr>
              <w:t>氨氮</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7C69E">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default" w:ascii="Times New Roman" w:hAnsi="Times New Roman" w:eastAsia="宋体" w:cs="Times New Roman"/>
                <w:spacing w:val="-2"/>
                <w:kern w:val="2"/>
                <w:sz w:val="21"/>
                <w:szCs w:val="18"/>
                <w:lang w:val="en-US" w:eastAsia="zh-CN" w:bidi="ar-SA"/>
              </w:rPr>
            </w:pPr>
            <w:r>
              <w:rPr>
                <w:rFonts w:hint="eastAsia"/>
                <w:lang w:val="en-US" w:eastAsia="zh-CN"/>
              </w:rPr>
              <w:t>/</w:t>
            </w:r>
          </w:p>
        </w:tc>
        <w:tc>
          <w:tcPr>
            <w:tcW w:w="453" w:type="pct"/>
            <w:tcBorders>
              <w:top w:val="single" w:color="000000" w:sz="4" w:space="0"/>
              <w:left w:val="single" w:color="000000" w:sz="4" w:space="0"/>
              <w:bottom w:val="single" w:color="000000" w:sz="4" w:space="0"/>
              <w:right w:val="single" w:color="000000" w:sz="4" w:space="0"/>
            </w:tcBorders>
            <w:vAlign w:val="center"/>
          </w:tcPr>
          <w:p w14:paraId="631A5B47">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Times New Roman" w:hAnsi="Times New Roman" w:eastAsia="宋体" w:cs="Times New Roman"/>
                <w:spacing w:val="-2"/>
                <w:kern w:val="2"/>
                <w:sz w:val="21"/>
                <w:szCs w:val="18"/>
                <w:lang w:val="en-US" w:eastAsia="zh-CN" w:bidi="ar-SA"/>
              </w:rPr>
            </w:pPr>
            <w:r>
              <w:rPr>
                <w:rFonts w:hint="eastAsia"/>
                <w:lang w:val="en-US" w:eastAsia="zh-CN"/>
              </w:rPr>
              <w:t>/</w:t>
            </w:r>
          </w:p>
        </w:tc>
        <w:tc>
          <w:tcPr>
            <w:tcW w:w="605" w:type="pct"/>
            <w:tcBorders>
              <w:top w:val="single" w:color="000000" w:sz="4" w:space="0"/>
              <w:left w:val="single" w:color="000000" w:sz="4" w:space="0"/>
              <w:bottom w:val="single" w:color="000000" w:sz="4" w:space="0"/>
              <w:right w:val="single" w:color="000000" w:sz="4" w:space="0"/>
            </w:tcBorders>
            <w:vAlign w:val="center"/>
          </w:tcPr>
          <w:p w14:paraId="401070A2">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Times New Roman" w:hAnsi="Times New Roman" w:eastAsia="宋体" w:cs="Times New Roman"/>
                <w:spacing w:val="-2"/>
                <w:kern w:val="2"/>
                <w:sz w:val="21"/>
                <w:szCs w:val="18"/>
                <w:lang w:val="en-US" w:eastAsia="zh-CN" w:bidi="ar-SA"/>
              </w:rPr>
            </w:pPr>
            <w:r>
              <w:rPr>
                <w:rFonts w:hint="eastAsia"/>
                <w:lang w:val="en-US" w:eastAsia="zh-CN"/>
              </w:rPr>
              <w:t>/</w:t>
            </w:r>
          </w:p>
        </w:tc>
        <w:tc>
          <w:tcPr>
            <w:tcW w:w="554" w:type="pct"/>
            <w:tcBorders>
              <w:top w:val="single" w:color="000000" w:sz="4" w:space="0"/>
              <w:left w:val="single" w:color="000000" w:sz="4" w:space="0"/>
              <w:bottom w:val="single" w:color="000000" w:sz="4" w:space="0"/>
              <w:right w:val="single" w:color="000000" w:sz="4" w:space="0"/>
            </w:tcBorders>
            <w:vAlign w:val="center"/>
          </w:tcPr>
          <w:p w14:paraId="3BD2E558">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spacing w:val="-2"/>
                <w:kern w:val="2"/>
                <w:sz w:val="21"/>
                <w:szCs w:val="18"/>
                <w:lang w:val="en-US" w:eastAsia="zh-CN" w:bidi="ar-SA"/>
              </w:rPr>
            </w:pPr>
            <w:r>
              <w:rPr>
                <w:rFonts w:hint="eastAsia"/>
                <w:color w:val="0000FF"/>
                <w:lang w:val="en-US" w:eastAsia="zh-CN"/>
              </w:rPr>
              <w:t>0.0099</w:t>
            </w:r>
          </w:p>
        </w:tc>
        <w:tc>
          <w:tcPr>
            <w:tcW w:w="626" w:type="pct"/>
            <w:tcBorders>
              <w:top w:val="single" w:color="000000" w:sz="4" w:space="0"/>
              <w:left w:val="single" w:color="000000" w:sz="4" w:space="0"/>
              <w:bottom w:val="single" w:color="000000" w:sz="4" w:space="0"/>
              <w:right w:val="single" w:color="000000" w:sz="4" w:space="0"/>
            </w:tcBorders>
            <w:vAlign w:val="center"/>
          </w:tcPr>
          <w:p w14:paraId="72FBB098">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lang w:val="en-US" w:eastAsia="zh-CN"/>
              </w:rPr>
            </w:pPr>
            <w:r>
              <w:rPr>
                <w:rFonts w:hint="eastAsia"/>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B14F92">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color w:val="0000FF"/>
                <w:lang w:val="en-US" w:eastAsia="zh-CN"/>
              </w:rPr>
              <w:t>0.0099</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3F8FF006">
            <w:pPr>
              <w:pStyle w:val="61"/>
              <w:keepNext w:val="0"/>
              <w:keepLines w:val="0"/>
              <w:suppressLineNumbers w:val="0"/>
              <w:bidi w:val="0"/>
              <w:spacing w:before="0" w:beforeAutospacing="0" w:after="0" w:afterAutospacing="0"/>
              <w:ind w:left="0" w:right="0" w:firstLine="0" w:firstLineChars="0"/>
              <w:rPr>
                <w:rFonts w:hint="eastAsia" w:ascii="Times New Roman" w:hAnsi="Times New Roman" w:eastAsia="宋体" w:cs="Times New Roman"/>
                <w:color w:val="auto"/>
                <w:kern w:val="2"/>
                <w:sz w:val="21"/>
                <w:szCs w:val="24"/>
                <w:lang w:val="en-US" w:eastAsia="zh-CN" w:bidi="ar-SA"/>
              </w:rPr>
            </w:pPr>
            <w:r>
              <w:rPr>
                <w:rFonts w:hint="eastAsia"/>
                <w:color w:val="0000FF"/>
                <w:lang w:val="en-US" w:eastAsia="zh-CN"/>
              </w:rPr>
              <w:t>+0.0099</w:t>
            </w:r>
          </w:p>
        </w:tc>
      </w:tr>
      <w:tr w14:paraId="0D58E12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continue"/>
            <w:tcBorders>
              <w:left w:val="single" w:color="000000" w:sz="8" w:space="0"/>
              <w:right w:val="single" w:color="000000" w:sz="4" w:space="0"/>
            </w:tcBorders>
            <w:vAlign w:val="center"/>
          </w:tcPr>
          <w:p w14:paraId="66C7D4AE">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rPr>
            </w:pPr>
          </w:p>
        </w:tc>
        <w:tc>
          <w:tcPr>
            <w:tcW w:w="758" w:type="pct"/>
            <w:tcBorders>
              <w:top w:val="single" w:color="000000" w:sz="4" w:space="0"/>
              <w:left w:val="single" w:color="000000" w:sz="4" w:space="0"/>
              <w:bottom w:val="single" w:color="000000" w:sz="4" w:space="0"/>
              <w:right w:val="single" w:color="000000" w:sz="4" w:space="0"/>
            </w:tcBorders>
            <w:vAlign w:val="center"/>
          </w:tcPr>
          <w:p w14:paraId="56196CA2">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Times New Roman" w:hAnsi="Times New Roman" w:eastAsia="宋体" w:cs="Times New Roman"/>
                <w:spacing w:val="-2"/>
                <w:kern w:val="2"/>
                <w:sz w:val="21"/>
                <w:szCs w:val="18"/>
                <w:lang w:val="en-US" w:eastAsia="zh-CN" w:bidi="ar-SA"/>
              </w:rPr>
            </w:pPr>
            <w:r>
              <w:rPr>
                <w:rFonts w:hint="eastAsia"/>
              </w:rPr>
              <w:t>SS</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7F23F7">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default" w:ascii="Times New Roman" w:hAnsi="Times New Roman" w:eastAsia="宋体" w:cs="Times New Roman"/>
                <w:spacing w:val="-2"/>
                <w:kern w:val="2"/>
                <w:sz w:val="21"/>
                <w:szCs w:val="18"/>
                <w:lang w:val="en-US" w:eastAsia="zh-CN" w:bidi="ar-SA"/>
              </w:rPr>
            </w:pPr>
            <w:r>
              <w:rPr>
                <w:rFonts w:hint="eastAsia"/>
                <w:lang w:val="en-US" w:eastAsia="zh-CN"/>
              </w:rPr>
              <w:t>/</w:t>
            </w:r>
          </w:p>
        </w:tc>
        <w:tc>
          <w:tcPr>
            <w:tcW w:w="453" w:type="pct"/>
            <w:tcBorders>
              <w:top w:val="single" w:color="000000" w:sz="4" w:space="0"/>
              <w:left w:val="single" w:color="000000" w:sz="4" w:space="0"/>
              <w:bottom w:val="single" w:color="000000" w:sz="4" w:space="0"/>
              <w:right w:val="single" w:color="000000" w:sz="4" w:space="0"/>
            </w:tcBorders>
            <w:vAlign w:val="center"/>
          </w:tcPr>
          <w:p w14:paraId="76F67BD9">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Times New Roman" w:hAnsi="Times New Roman" w:eastAsia="宋体" w:cs="Times New Roman"/>
                <w:spacing w:val="-2"/>
                <w:kern w:val="2"/>
                <w:sz w:val="21"/>
                <w:szCs w:val="18"/>
                <w:lang w:val="en-US" w:eastAsia="zh-CN" w:bidi="ar-SA"/>
              </w:rPr>
            </w:pPr>
            <w:r>
              <w:rPr>
                <w:rFonts w:hint="eastAsia"/>
                <w:lang w:val="en-US" w:eastAsia="zh-CN"/>
              </w:rPr>
              <w:t>/</w:t>
            </w:r>
          </w:p>
        </w:tc>
        <w:tc>
          <w:tcPr>
            <w:tcW w:w="605" w:type="pct"/>
            <w:tcBorders>
              <w:top w:val="single" w:color="000000" w:sz="4" w:space="0"/>
              <w:left w:val="single" w:color="000000" w:sz="4" w:space="0"/>
              <w:bottom w:val="single" w:color="000000" w:sz="4" w:space="0"/>
              <w:right w:val="single" w:color="000000" w:sz="4" w:space="0"/>
            </w:tcBorders>
            <w:vAlign w:val="center"/>
          </w:tcPr>
          <w:p w14:paraId="2F8B3762">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Times New Roman" w:hAnsi="Times New Roman" w:eastAsia="宋体" w:cs="Times New Roman"/>
                <w:spacing w:val="-2"/>
                <w:kern w:val="2"/>
                <w:sz w:val="21"/>
                <w:szCs w:val="18"/>
                <w:lang w:val="en-US" w:eastAsia="zh-CN" w:bidi="ar-SA"/>
              </w:rPr>
            </w:pPr>
            <w:r>
              <w:rPr>
                <w:rFonts w:hint="eastAsia"/>
                <w:lang w:val="en-US" w:eastAsia="zh-CN"/>
              </w:rPr>
              <w:t>/</w:t>
            </w:r>
          </w:p>
        </w:tc>
        <w:tc>
          <w:tcPr>
            <w:tcW w:w="554" w:type="pct"/>
            <w:tcBorders>
              <w:top w:val="single" w:color="000000" w:sz="4" w:space="0"/>
              <w:left w:val="single" w:color="000000" w:sz="4" w:space="0"/>
              <w:bottom w:val="single" w:color="000000" w:sz="4" w:space="0"/>
              <w:right w:val="single" w:color="000000" w:sz="4" w:space="0"/>
            </w:tcBorders>
            <w:vAlign w:val="center"/>
          </w:tcPr>
          <w:p w14:paraId="728E6FBF">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spacing w:val="-2"/>
                <w:kern w:val="2"/>
                <w:sz w:val="21"/>
                <w:szCs w:val="18"/>
                <w:lang w:val="en-US" w:eastAsia="zh-CN" w:bidi="ar-SA"/>
              </w:rPr>
            </w:pPr>
            <w:r>
              <w:rPr>
                <w:rFonts w:hint="eastAsia"/>
                <w:color w:val="0000FF"/>
                <w:lang w:val="en-US" w:eastAsia="zh-CN"/>
              </w:rPr>
              <w:t>0.0517</w:t>
            </w:r>
          </w:p>
        </w:tc>
        <w:tc>
          <w:tcPr>
            <w:tcW w:w="626" w:type="pct"/>
            <w:tcBorders>
              <w:top w:val="single" w:color="000000" w:sz="4" w:space="0"/>
              <w:left w:val="single" w:color="000000" w:sz="4" w:space="0"/>
              <w:bottom w:val="single" w:color="000000" w:sz="4" w:space="0"/>
              <w:right w:val="single" w:color="000000" w:sz="4" w:space="0"/>
            </w:tcBorders>
            <w:vAlign w:val="center"/>
          </w:tcPr>
          <w:p w14:paraId="7B48525C">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lang w:val="en-US" w:eastAsia="zh-CN"/>
              </w:rPr>
            </w:pPr>
            <w:r>
              <w:rPr>
                <w:rFonts w:hint="eastAsia"/>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75A874">
            <w:pPr>
              <w:pStyle w:val="61"/>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color w:val="auto"/>
                <w:kern w:val="2"/>
                <w:sz w:val="21"/>
                <w:szCs w:val="24"/>
                <w:lang w:val="en-US" w:eastAsia="zh-CN" w:bidi="ar-SA"/>
              </w:rPr>
            </w:pPr>
            <w:r>
              <w:rPr>
                <w:rFonts w:hint="eastAsia"/>
                <w:color w:val="0000FF"/>
                <w:lang w:val="en-US" w:eastAsia="zh-CN"/>
              </w:rPr>
              <w:t>0.0517</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6E86CDE4">
            <w:pPr>
              <w:pStyle w:val="61"/>
              <w:keepNext w:val="0"/>
              <w:keepLines w:val="0"/>
              <w:suppressLineNumbers w:val="0"/>
              <w:bidi w:val="0"/>
              <w:spacing w:before="0" w:beforeAutospacing="0" w:after="0" w:afterAutospacing="0"/>
              <w:ind w:left="0" w:right="0" w:firstLine="0" w:firstLineChars="0"/>
              <w:rPr>
                <w:rFonts w:hint="eastAsia" w:ascii="Times New Roman" w:hAnsi="Times New Roman" w:eastAsia="宋体" w:cs="Times New Roman"/>
                <w:color w:val="auto"/>
                <w:kern w:val="2"/>
                <w:sz w:val="21"/>
                <w:szCs w:val="24"/>
                <w:lang w:val="en-US" w:eastAsia="zh-CN" w:bidi="ar-SA"/>
              </w:rPr>
            </w:pPr>
            <w:r>
              <w:rPr>
                <w:rFonts w:hint="eastAsia"/>
                <w:color w:val="0000FF"/>
                <w:lang w:val="en-US" w:eastAsia="zh-CN"/>
              </w:rPr>
              <w:t>+0.0517</w:t>
            </w:r>
          </w:p>
        </w:tc>
      </w:tr>
      <w:tr w14:paraId="275A8A0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continue"/>
            <w:tcBorders>
              <w:left w:val="single" w:color="000000" w:sz="8" w:space="0"/>
              <w:right w:val="single" w:color="000000" w:sz="4" w:space="0"/>
            </w:tcBorders>
            <w:vAlign w:val="center"/>
          </w:tcPr>
          <w:p w14:paraId="3DCAE015">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rPr>
            </w:pPr>
          </w:p>
        </w:tc>
        <w:tc>
          <w:tcPr>
            <w:tcW w:w="758" w:type="pct"/>
            <w:tcBorders>
              <w:top w:val="single" w:color="000000" w:sz="4" w:space="0"/>
              <w:left w:val="single" w:color="000000" w:sz="4" w:space="0"/>
              <w:bottom w:val="single" w:color="000000" w:sz="4" w:space="0"/>
              <w:right w:val="single" w:color="000000" w:sz="4" w:space="0"/>
            </w:tcBorders>
            <w:vAlign w:val="center"/>
          </w:tcPr>
          <w:p w14:paraId="22E33241">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default" w:eastAsia="宋体"/>
                <w:lang w:val="en-US" w:eastAsia="zh-CN"/>
              </w:rPr>
            </w:pPr>
            <w:r>
              <w:rPr>
                <w:rFonts w:hint="eastAsia"/>
                <w:lang w:val="en-US" w:eastAsia="zh-CN"/>
              </w:rPr>
              <w:t>TN</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604CE5">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p>
        </w:tc>
        <w:tc>
          <w:tcPr>
            <w:tcW w:w="453" w:type="pct"/>
            <w:tcBorders>
              <w:top w:val="single" w:color="000000" w:sz="4" w:space="0"/>
              <w:left w:val="single" w:color="000000" w:sz="4" w:space="0"/>
              <w:bottom w:val="single" w:color="000000" w:sz="4" w:space="0"/>
              <w:right w:val="single" w:color="000000" w:sz="4" w:space="0"/>
            </w:tcBorders>
            <w:vAlign w:val="center"/>
          </w:tcPr>
          <w:p w14:paraId="271EA49F">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p>
        </w:tc>
        <w:tc>
          <w:tcPr>
            <w:tcW w:w="605" w:type="pct"/>
            <w:tcBorders>
              <w:top w:val="single" w:color="000000" w:sz="4" w:space="0"/>
              <w:left w:val="single" w:color="000000" w:sz="4" w:space="0"/>
              <w:bottom w:val="single" w:color="000000" w:sz="4" w:space="0"/>
              <w:right w:val="single" w:color="000000" w:sz="4" w:space="0"/>
            </w:tcBorders>
            <w:vAlign w:val="center"/>
          </w:tcPr>
          <w:p w14:paraId="3F08D193">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p>
        </w:tc>
        <w:tc>
          <w:tcPr>
            <w:tcW w:w="554" w:type="pct"/>
            <w:tcBorders>
              <w:top w:val="single" w:color="000000" w:sz="4" w:space="0"/>
              <w:left w:val="single" w:color="000000" w:sz="4" w:space="0"/>
              <w:bottom w:val="single" w:color="000000" w:sz="4" w:space="0"/>
              <w:right w:val="single" w:color="000000" w:sz="4" w:space="0"/>
            </w:tcBorders>
            <w:vAlign w:val="center"/>
          </w:tcPr>
          <w:p w14:paraId="7CF07433">
            <w:pPr>
              <w:pStyle w:val="61"/>
              <w:keepNext w:val="0"/>
              <w:keepLines w:val="0"/>
              <w:suppressLineNumbers w:val="0"/>
              <w:bidi w:val="0"/>
              <w:spacing w:before="0" w:beforeAutospacing="0" w:after="0" w:afterAutospacing="0"/>
              <w:ind w:left="0" w:right="0" w:firstLine="0" w:firstLineChars="0"/>
              <w:rPr>
                <w:rFonts w:hint="eastAsia"/>
                <w:color w:val="auto"/>
                <w:lang w:val="en-US" w:eastAsia="zh-CN"/>
              </w:rPr>
            </w:pPr>
            <w:r>
              <w:rPr>
                <w:rFonts w:hint="eastAsia"/>
                <w:color w:val="0000FF"/>
                <w:lang w:val="en-US" w:eastAsia="zh-CN"/>
              </w:rPr>
              <w:t>0.0157</w:t>
            </w:r>
          </w:p>
        </w:tc>
        <w:tc>
          <w:tcPr>
            <w:tcW w:w="626" w:type="pct"/>
            <w:tcBorders>
              <w:top w:val="single" w:color="000000" w:sz="4" w:space="0"/>
              <w:left w:val="single" w:color="000000" w:sz="4" w:space="0"/>
              <w:bottom w:val="single" w:color="000000" w:sz="4" w:space="0"/>
              <w:right w:val="single" w:color="000000" w:sz="4" w:space="0"/>
            </w:tcBorders>
            <w:vAlign w:val="center"/>
          </w:tcPr>
          <w:p w14:paraId="6A2E9516">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lang w:val="en-US" w:eastAsia="zh-CN"/>
              </w:rPr>
            </w:pP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E5F350">
            <w:pPr>
              <w:pStyle w:val="61"/>
              <w:keepNext w:val="0"/>
              <w:keepLines w:val="0"/>
              <w:suppressLineNumbers w:val="0"/>
              <w:bidi w:val="0"/>
              <w:spacing w:before="0" w:beforeAutospacing="0" w:after="0" w:afterAutospacing="0"/>
              <w:ind w:left="0" w:right="0" w:firstLine="0" w:firstLineChars="0"/>
              <w:rPr>
                <w:rFonts w:hint="eastAsia"/>
                <w:color w:val="auto"/>
                <w:lang w:val="en-US" w:eastAsia="zh-CN"/>
              </w:rPr>
            </w:pPr>
            <w:r>
              <w:rPr>
                <w:rFonts w:hint="eastAsia"/>
                <w:color w:val="0000FF"/>
                <w:lang w:val="en-US" w:eastAsia="zh-CN"/>
              </w:rPr>
              <w:t>0.0157</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7ED90C6B">
            <w:pPr>
              <w:pStyle w:val="61"/>
              <w:keepNext w:val="0"/>
              <w:keepLines w:val="0"/>
              <w:suppressLineNumbers w:val="0"/>
              <w:bidi w:val="0"/>
              <w:spacing w:before="0" w:beforeAutospacing="0" w:after="0" w:afterAutospacing="0"/>
              <w:ind w:left="0" w:right="0" w:firstLine="0" w:firstLineChars="0"/>
              <w:rPr>
                <w:rFonts w:hint="eastAsia"/>
                <w:color w:val="auto"/>
                <w:lang w:val="en-US" w:eastAsia="zh-CN"/>
              </w:rPr>
            </w:pPr>
            <w:r>
              <w:rPr>
                <w:rFonts w:hint="eastAsia"/>
                <w:color w:val="0000FF"/>
                <w:lang w:val="en-US" w:eastAsia="zh-CN"/>
              </w:rPr>
              <w:t>+0.0157</w:t>
            </w:r>
          </w:p>
        </w:tc>
      </w:tr>
      <w:tr w14:paraId="5093B20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continue"/>
            <w:tcBorders>
              <w:left w:val="single" w:color="000000" w:sz="8" w:space="0"/>
              <w:bottom w:val="single" w:color="000000" w:sz="8" w:space="0"/>
              <w:right w:val="single" w:color="000000" w:sz="4" w:space="0"/>
            </w:tcBorders>
            <w:vAlign w:val="center"/>
          </w:tcPr>
          <w:p w14:paraId="28BF6BF1">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rPr>
            </w:pPr>
          </w:p>
        </w:tc>
        <w:tc>
          <w:tcPr>
            <w:tcW w:w="758" w:type="pct"/>
            <w:tcBorders>
              <w:top w:val="single" w:color="000000" w:sz="4" w:space="0"/>
              <w:left w:val="single" w:color="000000" w:sz="4" w:space="0"/>
              <w:bottom w:val="single" w:color="000000" w:sz="4" w:space="0"/>
              <w:right w:val="single" w:color="000000" w:sz="4" w:space="0"/>
            </w:tcBorders>
            <w:vAlign w:val="center"/>
          </w:tcPr>
          <w:p w14:paraId="02ADC715">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default" w:eastAsia="宋体"/>
                <w:lang w:val="en-US" w:eastAsia="zh-CN"/>
              </w:rPr>
            </w:pPr>
            <w:r>
              <w:rPr>
                <w:rFonts w:hint="eastAsia"/>
                <w:lang w:val="en-US" w:eastAsia="zh-CN"/>
              </w:rPr>
              <w:t>TP</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A95FA7">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p>
        </w:tc>
        <w:tc>
          <w:tcPr>
            <w:tcW w:w="453" w:type="pct"/>
            <w:tcBorders>
              <w:top w:val="single" w:color="000000" w:sz="4" w:space="0"/>
              <w:left w:val="single" w:color="000000" w:sz="4" w:space="0"/>
              <w:bottom w:val="single" w:color="000000" w:sz="4" w:space="0"/>
              <w:right w:val="single" w:color="000000" w:sz="4" w:space="0"/>
            </w:tcBorders>
            <w:vAlign w:val="center"/>
          </w:tcPr>
          <w:p w14:paraId="4DD5902F">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p>
        </w:tc>
        <w:tc>
          <w:tcPr>
            <w:tcW w:w="605" w:type="pct"/>
            <w:tcBorders>
              <w:top w:val="single" w:color="000000" w:sz="4" w:space="0"/>
              <w:left w:val="single" w:color="000000" w:sz="4" w:space="0"/>
              <w:bottom w:val="single" w:color="000000" w:sz="4" w:space="0"/>
              <w:right w:val="single" w:color="000000" w:sz="4" w:space="0"/>
            </w:tcBorders>
            <w:vAlign w:val="center"/>
          </w:tcPr>
          <w:p w14:paraId="462957C8">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p>
        </w:tc>
        <w:tc>
          <w:tcPr>
            <w:tcW w:w="554" w:type="pct"/>
            <w:tcBorders>
              <w:top w:val="single" w:color="000000" w:sz="4" w:space="0"/>
              <w:left w:val="single" w:color="000000" w:sz="4" w:space="0"/>
              <w:bottom w:val="single" w:color="000000" w:sz="4" w:space="0"/>
              <w:right w:val="single" w:color="000000" w:sz="4" w:space="0"/>
            </w:tcBorders>
            <w:vAlign w:val="center"/>
          </w:tcPr>
          <w:p w14:paraId="5C77FD09">
            <w:pPr>
              <w:pStyle w:val="61"/>
              <w:keepNext w:val="0"/>
              <w:keepLines w:val="0"/>
              <w:suppressLineNumbers w:val="0"/>
              <w:bidi w:val="0"/>
              <w:spacing w:before="0" w:beforeAutospacing="0" w:after="0" w:afterAutospacing="0"/>
              <w:ind w:left="0" w:right="0" w:firstLine="0" w:firstLineChars="0"/>
              <w:rPr>
                <w:rFonts w:hint="eastAsia"/>
                <w:color w:val="auto"/>
                <w:lang w:val="en-US" w:eastAsia="zh-CN"/>
              </w:rPr>
            </w:pPr>
            <w:r>
              <w:rPr>
                <w:rFonts w:hint="eastAsia"/>
                <w:color w:val="0000FF"/>
                <w:lang w:val="en-US" w:eastAsia="zh-CN"/>
              </w:rPr>
              <w:t>0.0014</w:t>
            </w:r>
          </w:p>
        </w:tc>
        <w:tc>
          <w:tcPr>
            <w:tcW w:w="626" w:type="pct"/>
            <w:tcBorders>
              <w:top w:val="single" w:color="000000" w:sz="4" w:space="0"/>
              <w:left w:val="single" w:color="000000" w:sz="4" w:space="0"/>
              <w:bottom w:val="single" w:color="000000" w:sz="4" w:space="0"/>
              <w:right w:val="single" w:color="000000" w:sz="4" w:space="0"/>
            </w:tcBorders>
            <w:vAlign w:val="center"/>
          </w:tcPr>
          <w:p w14:paraId="5C66D03C">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lang w:val="en-US" w:eastAsia="zh-CN"/>
              </w:rPr>
            </w:pP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C802D1">
            <w:pPr>
              <w:pStyle w:val="61"/>
              <w:keepNext w:val="0"/>
              <w:keepLines w:val="0"/>
              <w:suppressLineNumbers w:val="0"/>
              <w:bidi w:val="0"/>
              <w:spacing w:before="0" w:beforeAutospacing="0" w:after="0" w:afterAutospacing="0"/>
              <w:ind w:left="0" w:right="0" w:firstLine="0" w:firstLineChars="0"/>
              <w:rPr>
                <w:rFonts w:hint="eastAsia"/>
                <w:color w:val="auto"/>
                <w:lang w:val="en-US" w:eastAsia="zh-CN"/>
              </w:rPr>
            </w:pPr>
            <w:r>
              <w:rPr>
                <w:rFonts w:hint="eastAsia"/>
                <w:color w:val="0000FF"/>
                <w:lang w:val="en-US" w:eastAsia="zh-CN"/>
              </w:rPr>
              <w:t>0.0014</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4F610BB5">
            <w:pPr>
              <w:pStyle w:val="61"/>
              <w:keepNext w:val="0"/>
              <w:keepLines w:val="0"/>
              <w:suppressLineNumbers w:val="0"/>
              <w:bidi w:val="0"/>
              <w:spacing w:before="0" w:beforeAutospacing="0" w:after="0" w:afterAutospacing="0"/>
              <w:ind w:left="0" w:right="0" w:firstLine="0" w:firstLineChars="0"/>
              <w:rPr>
                <w:rFonts w:hint="eastAsia"/>
                <w:color w:val="auto"/>
                <w:lang w:val="en-US" w:eastAsia="zh-CN"/>
              </w:rPr>
            </w:pPr>
            <w:r>
              <w:rPr>
                <w:rFonts w:hint="eastAsia"/>
                <w:color w:val="0000FF"/>
                <w:lang w:val="en-US" w:eastAsia="zh-CN"/>
              </w:rPr>
              <w:t>+0.0014</w:t>
            </w:r>
          </w:p>
        </w:tc>
      </w:tr>
      <w:tr w14:paraId="0875AA10">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restart"/>
            <w:tcBorders>
              <w:top w:val="single" w:color="000000" w:sz="8" w:space="0"/>
              <w:left w:val="single" w:color="000000" w:sz="8" w:space="0"/>
              <w:right w:val="single" w:color="000000" w:sz="4" w:space="0"/>
            </w:tcBorders>
            <w:vAlign w:val="center"/>
          </w:tcPr>
          <w:p w14:paraId="737C5E16">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rPr>
            </w:pPr>
            <w:r>
              <w:rPr>
                <w:rFonts w:hint="eastAsia"/>
              </w:rPr>
              <w:t>一般工业固体废物</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A18D5D">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生活垃圾</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5348EB">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default" w:ascii="Times New Roman" w:hAnsi="Times New Roman" w:eastAsia="宋体" w:cs="Times New Roman"/>
                <w:spacing w:val="-2"/>
                <w:kern w:val="2"/>
                <w:sz w:val="21"/>
                <w:szCs w:val="18"/>
                <w:lang w:val="en-US" w:eastAsia="zh-CN" w:bidi="ar-SA"/>
              </w:rPr>
            </w:pPr>
            <w:r>
              <w:rPr>
                <w:rFonts w:hint="eastAsia"/>
                <w:lang w:val="en-US" w:eastAsia="zh-CN"/>
              </w:rPr>
              <w:t>/</w:t>
            </w:r>
          </w:p>
        </w:tc>
        <w:tc>
          <w:tcPr>
            <w:tcW w:w="453" w:type="pct"/>
            <w:tcBorders>
              <w:top w:val="single" w:color="000000" w:sz="4" w:space="0"/>
              <w:left w:val="single" w:color="000000" w:sz="4" w:space="0"/>
              <w:bottom w:val="single" w:color="000000" w:sz="4" w:space="0"/>
              <w:right w:val="single" w:color="000000" w:sz="4" w:space="0"/>
            </w:tcBorders>
            <w:vAlign w:val="center"/>
          </w:tcPr>
          <w:p w14:paraId="720775FF">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lang w:val="en-US" w:eastAsia="zh-CN"/>
              </w:rPr>
            </w:pPr>
            <w:r>
              <w:rPr>
                <w:rFonts w:hint="eastAsia"/>
                <w:lang w:val="en-US" w:eastAsia="zh-CN"/>
              </w:rPr>
              <w:t>/</w:t>
            </w:r>
          </w:p>
        </w:tc>
        <w:tc>
          <w:tcPr>
            <w:tcW w:w="605" w:type="pct"/>
            <w:tcBorders>
              <w:top w:val="single" w:color="000000" w:sz="4" w:space="0"/>
              <w:left w:val="single" w:color="000000" w:sz="4" w:space="0"/>
              <w:bottom w:val="single" w:color="000000" w:sz="4" w:space="0"/>
              <w:right w:val="single" w:color="000000" w:sz="4" w:space="0"/>
            </w:tcBorders>
            <w:vAlign w:val="center"/>
          </w:tcPr>
          <w:p w14:paraId="0096A136">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lang w:val="en-US" w:eastAsia="zh-CN"/>
              </w:rPr>
            </w:pPr>
            <w:r>
              <w:rPr>
                <w:rFonts w:hint="eastAsia"/>
                <w:lang w:val="en-US" w:eastAsia="zh-CN"/>
              </w:rPr>
              <w:t>/</w:t>
            </w:r>
          </w:p>
        </w:tc>
        <w:tc>
          <w:tcPr>
            <w:tcW w:w="5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D9E161">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3.0</w:t>
            </w:r>
          </w:p>
        </w:tc>
        <w:tc>
          <w:tcPr>
            <w:tcW w:w="626" w:type="pct"/>
            <w:tcBorders>
              <w:top w:val="single" w:color="000000" w:sz="4" w:space="0"/>
              <w:left w:val="single" w:color="000000" w:sz="4" w:space="0"/>
              <w:bottom w:val="single" w:color="000000" w:sz="4" w:space="0"/>
              <w:right w:val="single" w:color="000000" w:sz="4" w:space="0"/>
            </w:tcBorders>
            <w:vAlign w:val="center"/>
          </w:tcPr>
          <w:p w14:paraId="78C981BB">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lang w:val="en-US" w:eastAsia="zh-CN"/>
              </w:rPr>
            </w:pPr>
            <w:r>
              <w:rPr>
                <w:rFonts w:hint="eastAsia"/>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60865E">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default" w:ascii="Times New Roman" w:hAnsi="Times New Roman" w:eastAsia="宋体" w:cs="Times New Roman"/>
                <w:b w:val="0"/>
                <w:color w:val="auto"/>
                <w:kern w:val="2"/>
                <w:sz w:val="21"/>
                <w:szCs w:val="21"/>
                <w:lang w:val="en-US" w:eastAsia="zh-CN" w:bidi="ar-SA"/>
              </w:rPr>
            </w:pPr>
            <w:r>
              <w:rPr>
                <w:rFonts w:hint="eastAsia"/>
                <w:color w:val="auto"/>
                <w:lang w:val="en-US" w:eastAsia="zh-CN"/>
              </w:rPr>
              <w:t>3.0</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657E1D09">
            <w:pPr>
              <w:pStyle w:val="46"/>
              <w:keepNext w:val="0"/>
              <w:keepLines w:val="0"/>
              <w:pageBreakBefore w:val="0"/>
              <w:widowControl w:val="0"/>
              <w:suppressLineNumbers w:val="0"/>
              <w:kinsoku/>
              <w:wordWrap w:val="0"/>
              <w:overflowPunct/>
              <w:topLinePunct w:val="0"/>
              <w:autoSpaceDE/>
              <w:autoSpaceDN/>
              <w:bidi w:val="0"/>
              <w:adjustRightInd w:val="0"/>
              <w:snapToGrid w:val="0"/>
              <w:spacing w:before="0" w:beforeAutospacing="0" w:after="0" w:afterAutospacing="0"/>
              <w:ind w:left="0" w:leftChars="0" w:right="0" w:rightChars="0" w:firstLine="0" w:firstLineChars="0"/>
              <w:textAlignment w:val="auto"/>
              <w:rPr>
                <w:rFonts w:hint="eastAsia" w:ascii="Times New Roman" w:hAnsi="Times New Roman" w:eastAsia="宋体" w:cs="Times New Roman"/>
                <w:b w:val="0"/>
                <w:color w:val="auto"/>
                <w:kern w:val="2"/>
                <w:sz w:val="21"/>
                <w:szCs w:val="21"/>
                <w:lang w:val="en-US" w:eastAsia="zh-CN" w:bidi="ar-SA"/>
              </w:rPr>
            </w:pPr>
            <w:r>
              <w:rPr>
                <w:rFonts w:hint="eastAsia"/>
                <w:color w:val="auto"/>
                <w:lang w:val="en-US" w:eastAsia="zh-CN"/>
              </w:rPr>
              <w:t>+3.0</w:t>
            </w:r>
          </w:p>
        </w:tc>
      </w:tr>
      <w:tr w14:paraId="6E2D639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27" w:hRule="atLeast"/>
          <w:jc w:val="center"/>
        </w:trPr>
        <w:tc>
          <w:tcPr>
            <w:tcW w:w="297" w:type="pct"/>
            <w:vMerge w:val="continue"/>
            <w:tcBorders>
              <w:left w:val="single" w:color="000000" w:sz="8" w:space="0"/>
              <w:right w:val="single" w:color="000000" w:sz="4" w:space="0"/>
            </w:tcBorders>
            <w:vAlign w:val="center"/>
          </w:tcPr>
          <w:p w14:paraId="09571E1C">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A576B7">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废电机</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9E13E">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Times New Roman" w:hAnsi="Times New Roman" w:eastAsia="宋体" w:cs="Times New Roman"/>
                <w:spacing w:val="-2"/>
                <w:kern w:val="2"/>
                <w:sz w:val="21"/>
                <w:szCs w:val="18"/>
                <w:lang w:val="en-US" w:eastAsia="zh-CN" w:bidi="ar-SA"/>
              </w:rPr>
            </w:pPr>
            <w:r>
              <w:rPr>
                <w:rFonts w:hint="eastAsia"/>
                <w:lang w:val="en-US" w:eastAsia="zh-CN"/>
              </w:rPr>
              <w:t>/</w:t>
            </w:r>
          </w:p>
        </w:tc>
        <w:tc>
          <w:tcPr>
            <w:tcW w:w="453" w:type="pct"/>
            <w:tcBorders>
              <w:top w:val="single" w:color="000000" w:sz="4" w:space="0"/>
              <w:left w:val="single" w:color="000000" w:sz="4" w:space="0"/>
              <w:bottom w:val="single" w:color="000000" w:sz="4" w:space="0"/>
              <w:right w:val="single" w:color="000000" w:sz="4" w:space="0"/>
            </w:tcBorders>
            <w:vAlign w:val="center"/>
          </w:tcPr>
          <w:p w14:paraId="47E61B35">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lang w:val="en-US" w:eastAsia="zh-CN"/>
              </w:rPr>
            </w:pPr>
            <w:r>
              <w:rPr>
                <w:rFonts w:hint="eastAsia"/>
                <w:lang w:val="en-US" w:eastAsia="zh-CN"/>
              </w:rPr>
              <w:t>/</w:t>
            </w:r>
          </w:p>
        </w:tc>
        <w:tc>
          <w:tcPr>
            <w:tcW w:w="605" w:type="pct"/>
            <w:tcBorders>
              <w:top w:val="single" w:color="000000" w:sz="4" w:space="0"/>
              <w:left w:val="single" w:color="000000" w:sz="4" w:space="0"/>
              <w:bottom w:val="single" w:color="000000" w:sz="4" w:space="0"/>
              <w:right w:val="single" w:color="000000" w:sz="4" w:space="0"/>
            </w:tcBorders>
            <w:vAlign w:val="center"/>
          </w:tcPr>
          <w:p w14:paraId="3F9905C8">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lang w:val="en-US" w:eastAsia="zh-CN"/>
              </w:rPr>
            </w:pPr>
            <w:r>
              <w:rPr>
                <w:rFonts w:hint="eastAsia"/>
                <w:lang w:val="en-US" w:eastAsia="zh-CN"/>
              </w:rPr>
              <w:t>/</w:t>
            </w:r>
          </w:p>
        </w:tc>
        <w:tc>
          <w:tcPr>
            <w:tcW w:w="5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367E53">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784</w:t>
            </w:r>
          </w:p>
        </w:tc>
        <w:tc>
          <w:tcPr>
            <w:tcW w:w="626" w:type="pct"/>
            <w:tcBorders>
              <w:top w:val="single" w:color="000000" w:sz="4" w:space="0"/>
              <w:left w:val="single" w:color="000000" w:sz="4" w:space="0"/>
              <w:bottom w:val="single" w:color="000000" w:sz="4" w:space="0"/>
              <w:right w:val="single" w:color="000000" w:sz="4" w:space="0"/>
            </w:tcBorders>
            <w:vAlign w:val="center"/>
          </w:tcPr>
          <w:p w14:paraId="33337AF2">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lang w:val="en-US" w:eastAsia="zh-CN"/>
              </w:rPr>
            </w:pPr>
            <w:r>
              <w:rPr>
                <w:rFonts w:hint="eastAsia"/>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8E9BF3">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784</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122657F8">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+784</w:t>
            </w:r>
          </w:p>
        </w:tc>
      </w:tr>
      <w:tr w14:paraId="1061CA8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continue"/>
            <w:tcBorders>
              <w:left w:val="single" w:color="000000" w:sz="8" w:space="0"/>
              <w:right w:val="single" w:color="000000" w:sz="4" w:space="0"/>
            </w:tcBorders>
            <w:vAlign w:val="center"/>
          </w:tcPr>
          <w:p w14:paraId="19065174">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30CD65">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废钢铁件</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5595E1">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default" w:ascii="Times New Roman" w:hAnsi="Times New Roman" w:eastAsia="宋体" w:cs="Times New Roman"/>
                <w:spacing w:val="-2"/>
                <w:kern w:val="2"/>
                <w:sz w:val="21"/>
                <w:szCs w:val="18"/>
                <w:highlight w:val="none"/>
                <w:lang w:val="en-US" w:eastAsia="zh-CN" w:bidi="ar-SA"/>
              </w:rPr>
            </w:pPr>
            <w:r>
              <w:rPr>
                <w:rFonts w:hint="eastAsia"/>
                <w:highlight w:val="none"/>
                <w:lang w:val="en-US" w:eastAsia="zh-CN"/>
              </w:rPr>
              <w:t>/</w:t>
            </w:r>
          </w:p>
        </w:tc>
        <w:tc>
          <w:tcPr>
            <w:tcW w:w="453" w:type="pct"/>
            <w:tcBorders>
              <w:top w:val="single" w:color="000000" w:sz="4" w:space="0"/>
              <w:left w:val="single" w:color="000000" w:sz="4" w:space="0"/>
              <w:bottom w:val="single" w:color="000000" w:sz="4" w:space="0"/>
              <w:right w:val="single" w:color="000000" w:sz="4" w:space="0"/>
            </w:tcBorders>
            <w:vAlign w:val="center"/>
          </w:tcPr>
          <w:p w14:paraId="1381884D">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highlight w:val="none"/>
                <w:lang w:val="en-US" w:eastAsia="zh-CN"/>
              </w:rPr>
            </w:pPr>
            <w:r>
              <w:rPr>
                <w:rFonts w:hint="eastAsia"/>
                <w:highlight w:val="none"/>
                <w:lang w:val="en-US" w:eastAsia="zh-CN"/>
              </w:rPr>
              <w:t>/</w:t>
            </w:r>
          </w:p>
        </w:tc>
        <w:tc>
          <w:tcPr>
            <w:tcW w:w="605" w:type="pct"/>
            <w:tcBorders>
              <w:top w:val="single" w:color="000000" w:sz="4" w:space="0"/>
              <w:left w:val="single" w:color="000000" w:sz="4" w:space="0"/>
              <w:bottom w:val="single" w:color="000000" w:sz="4" w:space="0"/>
              <w:right w:val="single" w:color="000000" w:sz="4" w:space="0"/>
            </w:tcBorders>
            <w:vAlign w:val="center"/>
          </w:tcPr>
          <w:p w14:paraId="533F6F40">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highlight w:val="none"/>
                <w:lang w:val="en-US" w:eastAsia="zh-CN"/>
              </w:rPr>
            </w:pPr>
            <w:r>
              <w:rPr>
                <w:rFonts w:hint="eastAsia"/>
                <w:highlight w:val="none"/>
                <w:lang w:val="en-US" w:eastAsia="zh-CN"/>
              </w:rPr>
              <w:t>/</w:t>
            </w:r>
          </w:p>
        </w:tc>
        <w:tc>
          <w:tcPr>
            <w:tcW w:w="5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5BB364">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5687</w:t>
            </w:r>
          </w:p>
        </w:tc>
        <w:tc>
          <w:tcPr>
            <w:tcW w:w="626" w:type="pct"/>
            <w:tcBorders>
              <w:top w:val="single" w:color="000000" w:sz="4" w:space="0"/>
              <w:left w:val="single" w:color="000000" w:sz="4" w:space="0"/>
              <w:bottom w:val="single" w:color="000000" w:sz="4" w:space="0"/>
              <w:right w:val="single" w:color="000000" w:sz="4" w:space="0"/>
            </w:tcBorders>
            <w:vAlign w:val="center"/>
          </w:tcPr>
          <w:p w14:paraId="74CCBDAC">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highlight w:val="none"/>
                <w:lang w:val="en-US" w:eastAsia="zh-CN"/>
              </w:rPr>
            </w:pPr>
            <w:r>
              <w:rPr>
                <w:rFonts w:hint="eastAsia"/>
                <w:highlight w:val="none"/>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6CD62D">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5687</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55B8CA1D">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+5687</w:t>
            </w:r>
          </w:p>
        </w:tc>
      </w:tr>
      <w:tr w14:paraId="66BE413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continue"/>
            <w:tcBorders>
              <w:left w:val="single" w:color="000000" w:sz="8" w:space="0"/>
              <w:right w:val="single" w:color="000000" w:sz="4" w:space="0"/>
            </w:tcBorders>
            <w:vAlign w:val="center"/>
          </w:tcPr>
          <w:p w14:paraId="2EBA00F1">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E38AC9">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废轮胎/密封件</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49238B">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Times New Roman" w:hAnsi="Times New Roman" w:eastAsia="宋体" w:cs="Times New Roman"/>
                <w:spacing w:val="-2"/>
                <w:kern w:val="2"/>
                <w:sz w:val="21"/>
                <w:szCs w:val="18"/>
                <w:lang w:val="en-US" w:eastAsia="zh-CN" w:bidi="ar-SA"/>
              </w:rPr>
            </w:pPr>
            <w:r>
              <w:rPr>
                <w:rFonts w:hint="eastAsia"/>
                <w:lang w:val="en-US" w:eastAsia="zh-CN"/>
              </w:rPr>
              <w:t>/</w:t>
            </w:r>
          </w:p>
        </w:tc>
        <w:tc>
          <w:tcPr>
            <w:tcW w:w="4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799B1">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Calibri" w:hAnsi="Calibri" w:eastAsia="宋体" w:cs="Times New Roman"/>
                <w:spacing w:val="-2"/>
                <w:kern w:val="2"/>
                <w:sz w:val="21"/>
                <w:szCs w:val="18"/>
                <w:lang w:val="en-US" w:eastAsia="zh-CN" w:bidi="ar-SA"/>
              </w:rPr>
            </w:pPr>
            <w:r>
              <w:rPr>
                <w:rFonts w:hint="eastAsia"/>
                <w:lang w:val="en-US" w:eastAsia="zh-CN"/>
              </w:rPr>
              <w:t>/</w:t>
            </w:r>
          </w:p>
        </w:tc>
        <w:tc>
          <w:tcPr>
            <w:tcW w:w="6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61B790">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Calibri" w:hAnsi="Calibri" w:eastAsia="宋体" w:cs="Times New Roman"/>
                <w:spacing w:val="-2"/>
                <w:kern w:val="2"/>
                <w:sz w:val="21"/>
                <w:szCs w:val="18"/>
                <w:lang w:val="en-US" w:eastAsia="zh-CN" w:bidi="ar-SA"/>
              </w:rPr>
            </w:pPr>
            <w:r>
              <w:rPr>
                <w:rFonts w:hint="eastAsia"/>
                <w:lang w:val="en-US" w:eastAsia="zh-CN"/>
              </w:rPr>
              <w:t>/</w:t>
            </w:r>
          </w:p>
        </w:tc>
        <w:tc>
          <w:tcPr>
            <w:tcW w:w="5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278020">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626</w:t>
            </w:r>
          </w:p>
        </w:tc>
        <w:tc>
          <w:tcPr>
            <w:tcW w:w="626" w:type="pct"/>
            <w:tcBorders>
              <w:top w:val="single" w:color="000000" w:sz="4" w:space="0"/>
              <w:left w:val="single" w:color="000000" w:sz="4" w:space="0"/>
              <w:bottom w:val="single" w:color="000000" w:sz="4" w:space="0"/>
              <w:right w:val="single" w:color="000000" w:sz="4" w:space="0"/>
            </w:tcBorders>
            <w:vAlign w:val="center"/>
          </w:tcPr>
          <w:p w14:paraId="26AEE2FF">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highlight w:val="none"/>
                <w:lang w:val="en-US" w:eastAsia="zh-CN"/>
              </w:rPr>
            </w:pPr>
            <w:r>
              <w:rPr>
                <w:rFonts w:hint="eastAsia"/>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44D7FA">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626</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291405A1">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+626</w:t>
            </w:r>
          </w:p>
        </w:tc>
      </w:tr>
      <w:tr w14:paraId="66C58560">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continue"/>
            <w:tcBorders>
              <w:left w:val="single" w:color="000000" w:sz="8" w:space="0"/>
              <w:right w:val="single" w:color="000000" w:sz="4" w:space="0"/>
            </w:tcBorders>
            <w:vAlign w:val="center"/>
          </w:tcPr>
          <w:p w14:paraId="709C8B16">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F20B07">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废塑料</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66FC2E">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default"/>
                <w:lang w:val="en-US" w:eastAsia="zh-CN"/>
              </w:rPr>
            </w:pPr>
            <w:r>
              <w:rPr>
                <w:rFonts w:hint="eastAsia"/>
                <w:lang w:val="en-US" w:eastAsia="zh-CN"/>
              </w:rPr>
              <w:t>/</w:t>
            </w:r>
          </w:p>
        </w:tc>
        <w:tc>
          <w:tcPr>
            <w:tcW w:w="4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F60F86">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default"/>
                <w:lang w:val="en-US" w:eastAsia="zh-CN"/>
              </w:rPr>
            </w:pPr>
            <w:r>
              <w:rPr>
                <w:rFonts w:hint="eastAsia"/>
                <w:lang w:val="en-US" w:eastAsia="zh-CN"/>
              </w:rPr>
              <w:t>/</w:t>
            </w:r>
          </w:p>
        </w:tc>
        <w:tc>
          <w:tcPr>
            <w:tcW w:w="6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F99DE2">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default"/>
                <w:lang w:val="en-US" w:eastAsia="zh-CN"/>
              </w:rPr>
            </w:pPr>
            <w:r>
              <w:rPr>
                <w:rFonts w:hint="eastAsia"/>
                <w:lang w:val="en-US" w:eastAsia="zh-CN"/>
              </w:rPr>
              <w:t>/</w:t>
            </w:r>
          </w:p>
        </w:tc>
        <w:tc>
          <w:tcPr>
            <w:tcW w:w="5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92C5A6">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293</w:t>
            </w:r>
          </w:p>
        </w:tc>
        <w:tc>
          <w:tcPr>
            <w:tcW w:w="626" w:type="pct"/>
            <w:tcBorders>
              <w:top w:val="single" w:color="000000" w:sz="4" w:space="0"/>
              <w:left w:val="single" w:color="000000" w:sz="4" w:space="0"/>
              <w:bottom w:val="single" w:color="000000" w:sz="4" w:space="0"/>
              <w:right w:val="single" w:color="000000" w:sz="4" w:space="0"/>
            </w:tcBorders>
            <w:vAlign w:val="center"/>
          </w:tcPr>
          <w:p w14:paraId="448403A9">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default"/>
                <w:lang w:val="en-US" w:eastAsia="zh-CN"/>
              </w:rPr>
            </w:pPr>
            <w:r>
              <w:rPr>
                <w:rFonts w:hint="eastAsia"/>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8931D6">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293</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2B8B81B6">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+293</w:t>
            </w:r>
          </w:p>
        </w:tc>
      </w:tr>
      <w:tr w14:paraId="767FCE6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continue"/>
            <w:tcBorders>
              <w:left w:val="single" w:color="000000" w:sz="8" w:space="0"/>
              <w:right w:val="single" w:color="000000" w:sz="4" w:space="0"/>
            </w:tcBorders>
            <w:vAlign w:val="center"/>
          </w:tcPr>
          <w:p w14:paraId="6341A010">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90479D">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废电线</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B6222B">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Times New Roman" w:hAnsi="Times New Roman" w:eastAsia="宋体" w:cs="Times New Roman"/>
                <w:spacing w:val="-2"/>
                <w:kern w:val="2"/>
                <w:sz w:val="21"/>
                <w:szCs w:val="18"/>
                <w:lang w:val="en-US" w:eastAsia="zh-CN" w:bidi="ar-SA"/>
              </w:rPr>
            </w:pPr>
            <w:r>
              <w:rPr>
                <w:rFonts w:hint="eastAsia"/>
                <w:lang w:val="en-US" w:eastAsia="zh-CN"/>
              </w:rPr>
              <w:t>/</w:t>
            </w:r>
          </w:p>
        </w:tc>
        <w:tc>
          <w:tcPr>
            <w:tcW w:w="4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30C2DA">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Calibri" w:hAnsi="Calibri" w:eastAsia="宋体" w:cs="Times New Roman"/>
                <w:spacing w:val="-2"/>
                <w:kern w:val="2"/>
                <w:sz w:val="21"/>
                <w:szCs w:val="18"/>
                <w:lang w:val="en-US" w:eastAsia="zh-CN" w:bidi="ar-SA"/>
              </w:rPr>
            </w:pPr>
            <w:r>
              <w:rPr>
                <w:rFonts w:hint="eastAsia"/>
                <w:lang w:val="en-US" w:eastAsia="zh-CN"/>
              </w:rPr>
              <w:t>/</w:t>
            </w:r>
          </w:p>
        </w:tc>
        <w:tc>
          <w:tcPr>
            <w:tcW w:w="6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55D42">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Calibri" w:hAnsi="Calibri" w:eastAsia="宋体" w:cs="Times New Roman"/>
                <w:spacing w:val="-2"/>
                <w:kern w:val="2"/>
                <w:sz w:val="21"/>
                <w:szCs w:val="18"/>
                <w:lang w:val="en-US" w:eastAsia="zh-CN" w:bidi="ar-SA"/>
              </w:rPr>
            </w:pPr>
            <w:r>
              <w:rPr>
                <w:rFonts w:hint="eastAsia"/>
                <w:lang w:val="en-US" w:eastAsia="zh-CN"/>
              </w:rPr>
              <w:t>/</w:t>
            </w:r>
          </w:p>
        </w:tc>
        <w:tc>
          <w:tcPr>
            <w:tcW w:w="5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C2914">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100</w:t>
            </w:r>
          </w:p>
        </w:tc>
        <w:tc>
          <w:tcPr>
            <w:tcW w:w="626" w:type="pct"/>
            <w:tcBorders>
              <w:top w:val="single" w:color="000000" w:sz="4" w:space="0"/>
              <w:left w:val="single" w:color="000000" w:sz="4" w:space="0"/>
              <w:bottom w:val="single" w:color="000000" w:sz="4" w:space="0"/>
              <w:right w:val="single" w:color="000000" w:sz="4" w:space="0"/>
            </w:tcBorders>
            <w:vAlign w:val="center"/>
          </w:tcPr>
          <w:p w14:paraId="5BD73A2B">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highlight w:val="none"/>
                <w:lang w:val="en-US" w:eastAsia="zh-CN"/>
              </w:rPr>
            </w:pPr>
            <w:r>
              <w:rPr>
                <w:rFonts w:hint="eastAsia"/>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34940A">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100</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667B5FCC">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+100</w:t>
            </w:r>
          </w:p>
        </w:tc>
      </w:tr>
      <w:tr w14:paraId="79B5E8A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continue"/>
            <w:tcBorders>
              <w:left w:val="single" w:color="000000" w:sz="8" w:space="0"/>
              <w:right w:val="single" w:color="000000" w:sz="4" w:space="0"/>
            </w:tcBorders>
            <w:vAlign w:val="center"/>
          </w:tcPr>
          <w:p w14:paraId="41B06291">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F5CFB1">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废玻璃</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ED6BBF">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Times New Roman" w:hAnsi="Times New Roman" w:eastAsia="宋体" w:cs="Times New Roman"/>
                <w:spacing w:val="-2"/>
                <w:kern w:val="2"/>
                <w:sz w:val="21"/>
                <w:szCs w:val="18"/>
                <w:highlight w:val="none"/>
                <w:lang w:val="en-US" w:eastAsia="zh-CN" w:bidi="ar-SA"/>
              </w:rPr>
            </w:pPr>
            <w:r>
              <w:rPr>
                <w:rFonts w:hint="eastAsia"/>
                <w:highlight w:val="none"/>
                <w:lang w:val="en-US" w:eastAsia="zh-CN"/>
              </w:rPr>
              <w:t>/</w:t>
            </w:r>
          </w:p>
        </w:tc>
        <w:tc>
          <w:tcPr>
            <w:tcW w:w="4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85C102">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Calibri" w:hAnsi="Calibri" w:eastAsia="宋体" w:cs="Times New Roman"/>
                <w:spacing w:val="-2"/>
                <w:kern w:val="2"/>
                <w:sz w:val="21"/>
                <w:szCs w:val="18"/>
                <w:highlight w:val="none"/>
                <w:lang w:val="en-US" w:eastAsia="zh-CN" w:bidi="ar-SA"/>
              </w:rPr>
            </w:pPr>
            <w:r>
              <w:rPr>
                <w:rFonts w:hint="eastAsia"/>
                <w:highlight w:val="none"/>
                <w:lang w:val="en-US" w:eastAsia="zh-CN"/>
              </w:rPr>
              <w:t>/</w:t>
            </w:r>
          </w:p>
        </w:tc>
        <w:tc>
          <w:tcPr>
            <w:tcW w:w="6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09AF0B">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Calibri" w:hAnsi="Calibri" w:eastAsia="宋体" w:cs="Times New Roman"/>
                <w:spacing w:val="-2"/>
                <w:kern w:val="2"/>
                <w:sz w:val="21"/>
                <w:szCs w:val="18"/>
                <w:highlight w:val="none"/>
                <w:lang w:val="en-US" w:eastAsia="zh-CN" w:bidi="ar-SA"/>
              </w:rPr>
            </w:pPr>
            <w:r>
              <w:rPr>
                <w:rFonts w:hint="eastAsia"/>
                <w:highlight w:val="none"/>
                <w:lang w:val="en-US" w:eastAsia="zh-CN"/>
              </w:rPr>
              <w:t>/</w:t>
            </w:r>
          </w:p>
        </w:tc>
        <w:tc>
          <w:tcPr>
            <w:tcW w:w="5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5652D0">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300</w:t>
            </w:r>
          </w:p>
        </w:tc>
        <w:tc>
          <w:tcPr>
            <w:tcW w:w="626" w:type="pct"/>
            <w:tcBorders>
              <w:top w:val="single" w:color="000000" w:sz="4" w:space="0"/>
              <w:left w:val="single" w:color="000000" w:sz="4" w:space="0"/>
              <w:bottom w:val="single" w:color="000000" w:sz="4" w:space="0"/>
              <w:right w:val="single" w:color="000000" w:sz="4" w:space="0"/>
            </w:tcBorders>
            <w:vAlign w:val="center"/>
          </w:tcPr>
          <w:p w14:paraId="13DD0DDA">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highlight w:val="none"/>
                <w:lang w:val="en-US" w:eastAsia="zh-CN"/>
              </w:rPr>
            </w:pPr>
            <w:r>
              <w:rPr>
                <w:rFonts w:hint="eastAsia"/>
                <w:highlight w:val="none"/>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9D12DB">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300</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3B8493F8">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+300</w:t>
            </w:r>
          </w:p>
        </w:tc>
      </w:tr>
      <w:tr w14:paraId="2D756A2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continue"/>
            <w:tcBorders>
              <w:left w:val="single" w:color="000000" w:sz="8" w:space="0"/>
              <w:right w:val="single" w:color="000000" w:sz="4" w:space="0"/>
            </w:tcBorders>
            <w:vAlign w:val="center"/>
          </w:tcPr>
          <w:p w14:paraId="077B8627">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0E3B2D">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废座椅、内饰</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C9176B">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Times New Roman" w:hAnsi="Times New Roman" w:eastAsia="宋体" w:cs="Times New Roman"/>
                <w:spacing w:val="-2"/>
                <w:kern w:val="2"/>
                <w:sz w:val="21"/>
                <w:szCs w:val="18"/>
                <w:lang w:val="en-US" w:eastAsia="zh-CN" w:bidi="ar-SA"/>
              </w:rPr>
            </w:pPr>
            <w:r>
              <w:rPr>
                <w:rFonts w:hint="eastAsia"/>
                <w:lang w:val="en-US" w:eastAsia="zh-CN"/>
              </w:rPr>
              <w:t>/</w:t>
            </w:r>
          </w:p>
        </w:tc>
        <w:tc>
          <w:tcPr>
            <w:tcW w:w="4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546418">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Calibri" w:hAnsi="Calibri" w:eastAsia="宋体" w:cs="Times New Roman"/>
                <w:spacing w:val="-2"/>
                <w:kern w:val="2"/>
                <w:sz w:val="21"/>
                <w:szCs w:val="18"/>
                <w:lang w:val="en-US" w:eastAsia="zh-CN" w:bidi="ar-SA"/>
              </w:rPr>
            </w:pPr>
            <w:r>
              <w:rPr>
                <w:rFonts w:hint="eastAsia"/>
                <w:lang w:val="en-US" w:eastAsia="zh-CN"/>
              </w:rPr>
              <w:t>/</w:t>
            </w:r>
          </w:p>
        </w:tc>
        <w:tc>
          <w:tcPr>
            <w:tcW w:w="6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F5E2D3">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Calibri" w:hAnsi="Calibri" w:eastAsia="宋体" w:cs="Times New Roman"/>
                <w:spacing w:val="-2"/>
                <w:kern w:val="2"/>
                <w:sz w:val="21"/>
                <w:szCs w:val="18"/>
                <w:lang w:val="en-US" w:eastAsia="zh-CN" w:bidi="ar-SA"/>
              </w:rPr>
            </w:pPr>
            <w:r>
              <w:rPr>
                <w:rFonts w:hint="eastAsia"/>
                <w:lang w:val="en-US" w:eastAsia="zh-CN"/>
              </w:rPr>
              <w:t>/</w:t>
            </w:r>
          </w:p>
        </w:tc>
        <w:tc>
          <w:tcPr>
            <w:tcW w:w="5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D1F4F2">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134</w:t>
            </w:r>
          </w:p>
        </w:tc>
        <w:tc>
          <w:tcPr>
            <w:tcW w:w="626" w:type="pct"/>
            <w:tcBorders>
              <w:top w:val="single" w:color="000000" w:sz="4" w:space="0"/>
              <w:left w:val="single" w:color="000000" w:sz="4" w:space="0"/>
              <w:bottom w:val="single" w:color="000000" w:sz="4" w:space="0"/>
              <w:right w:val="single" w:color="000000" w:sz="4" w:space="0"/>
            </w:tcBorders>
            <w:vAlign w:val="center"/>
          </w:tcPr>
          <w:p w14:paraId="3BB610FB">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highlight w:val="none"/>
                <w:lang w:val="en-US" w:eastAsia="zh-CN"/>
              </w:rPr>
            </w:pPr>
            <w:r>
              <w:rPr>
                <w:rFonts w:hint="eastAsia"/>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A6873">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134</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5276891B">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+134</w:t>
            </w:r>
          </w:p>
        </w:tc>
      </w:tr>
      <w:tr w14:paraId="0B6A045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23" w:hRule="atLeast"/>
          <w:jc w:val="center"/>
        </w:trPr>
        <w:tc>
          <w:tcPr>
            <w:tcW w:w="297" w:type="pct"/>
            <w:vMerge w:val="continue"/>
            <w:tcBorders>
              <w:left w:val="single" w:color="000000" w:sz="8" w:space="0"/>
              <w:right w:val="single" w:color="000000" w:sz="4" w:space="0"/>
            </w:tcBorders>
            <w:vAlign w:val="center"/>
          </w:tcPr>
          <w:p w14:paraId="745D800E">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3329C">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锂电池</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9ACEBE">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Times New Roman" w:hAnsi="Times New Roman" w:eastAsia="宋体" w:cs="Times New Roman"/>
                <w:spacing w:val="-2"/>
                <w:kern w:val="2"/>
                <w:sz w:val="21"/>
                <w:szCs w:val="18"/>
                <w:lang w:val="en-US" w:eastAsia="zh-CN" w:bidi="ar-SA"/>
              </w:rPr>
            </w:pPr>
            <w:r>
              <w:rPr>
                <w:rFonts w:hint="eastAsia"/>
                <w:lang w:val="en-US" w:eastAsia="zh-CN"/>
              </w:rPr>
              <w:t>/</w:t>
            </w:r>
          </w:p>
        </w:tc>
        <w:tc>
          <w:tcPr>
            <w:tcW w:w="4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34DFB">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Calibri" w:hAnsi="Calibri" w:eastAsia="宋体" w:cs="Times New Roman"/>
                <w:spacing w:val="-2"/>
                <w:kern w:val="2"/>
                <w:sz w:val="21"/>
                <w:szCs w:val="18"/>
                <w:lang w:val="en-US" w:eastAsia="zh-CN" w:bidi="ar-SA"/>
              </w:rPr>
            </w:pPr>
            <w:r>
              <w:rPr>
                <w:rFonts w:hint="eastAsia"/>
                <w:lang w:val="en-US" w:eastAsia="zh-CN"/>
              </w:rPr>
              <w:t>/</w:t>
            </w:r>
          </w:p>
        </w:tc>
        <w:tc>
          <w:tcPr>
            <w:tcW w:w="6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D3ACBF">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Calibri" w:hAnsi="Calibri" w:eastAsia="宋体" w:cs="Times New Roman"/>
                <w:spacing w:val="-2"/>
                <w:kern w:val="2"/>
                <w:sz w:val="21"/>
                <w:szCs w:val="18"/>
                <w:lang w:val="en-US" w:eastAsia="zh-CN" w:bidi="ar-SA"/>
              </w:rPr>
            </w:pPr>
            <w:r>
              <w:rPr>
                <w:rFonts w:hint="eastAsia"/>
                <w:lang w:val="en-US" w:eastAsia="zh-CN"/>
              </w:rPr>
              <w:t>/</w:t>
            </w:r>
          </w:p>
        </w:tc>
        <w:tc>
          <w:tcPr>
            <w:tcW w:w="5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2D30AD">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80.825</w:t>
            </w:r>
          </w:p>
        </w:tc>
        <w:tc>
          <w:tcPr>
            <w:tcW w:w="626" w:type="pct"/>
            <w:tcBorders>
              <w:top w:val="single" w:color="000000" w:sz="4" w:space="0"/>
              <w:left w:val="single" w:color="000000" w:sz="4" w:space="0"/>
              <w:bottom w:val="single" w:color="000000" w:sz="4" w:space="0"/>
              <w:right w:val="single" w:color="000000" w:sz="4" w:space="0"/>
            </w:tcBorders>
            <w:vAlign w:val="center"/>
          </w:tcPr>
          <w:p w14:paraId="097E3484">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highlight w:val="none"/>
                <w:lang w:val="en-US" w:eastAsia="zh-CN"/>
              </w:rPr>
            </w:pPr>
            <w:r>
              <w:rPr>
                <w:rFonts w:hint="eastAsia"/>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D08B06">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80.825</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2E961F10">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+80.825</w:t>
            </w:r>
          </w:p>
        </w:tc>
      </w:tr>
      <w:tr w14:paraId="221348A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continue"/>
            <w:tcBorders>
              <w:left w:val="single" w:color="000000" w:sz="8" w:space="0"/>
              <w:right w:val="single" w:color="000000" w:sz="4" w:space="0"/>
            </w:tcBorders>
            <w:vAlign w:val="center"/>
          </w:tcPr>
          <w:p w14:paraId="6E8D6031">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77783F">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废滤网刀片</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1E678">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lang w:val="en-US" w:eastAsia="zh-CN"/>
              </w:rPr>
              <w:t>/</w:t>
            </w:r>
          </w:p>
        </w:tc>
        <w:tc>
          <w:tcPr>
            <w:tcW w:w="4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E3B8D2">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lang w:val="en-US" w:eastAsia="zh-CN"/>
              </w:rPr>
              <w:t>/</w:t>
            </w:r>
          </w:p>
        </w:tc>
        <w:tc>
          <w:tcPr>
            <w:tcW w:w="6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4F434B">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lang w:val="en-US" w:eastAsia="zh-CN"/>
              </w:rPr>
              <w:t>/</w:t>
            </w:r>
          </w:p>
        </w:tc>
        <w:tc>
          <w:tcPr>
            <w:tcW w:w="5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04A04">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0.65</w:t>
            </w:r>
          </w:p>
        </w:tc>
        <w:tc>
          <w:tcPr>
            <w:tcW w:w="626" w:type="pct"/>
            <w:tcBorders>
              <w:top w:val="single" w:color="000000" w:sz="4" w:space="0"/>
              <w:left w:val="single" w:color="000000" w:sz="4" w:space="0"/>
              <w:bottom w:val="single" w:color="000000" w:sz="4" w:space="0"/>
              <w:right w:val="single" w:color="000000" w:sz="4" w:space="0"/>
            </w:tcBorders>
            <w:vAlign w:val="center"/>
          </w:tcPr>
          <w:p w14:paraId="463AB6A8">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449429">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0.65</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24C60CE8">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+0.65</w:t>
            </w:r>
          </w:p>
        </w:tc>
      </w:tr>
      <w:tr w14:paraId="5543355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continue"/>
            <w:tcBorders>
              <w:left w:val="single" w:color="000000" w:sz="8" w:space="0"/>
              <w:right w:val="single" w:color="000000" w:sz="4" w:space="0"/>
            </w:tcBorders>
            <w:vAlign w:val="center"/>
          </w:tcPr>
          <w:p w14:paraId="260A622B">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69B7E">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除尘灰</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C2CEC0">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highlight w:val="none"/>
                <w:lang w:val="en-US" w:eastAsia="zh-CN"/>
              </w:rPr>
              <w:t>/</w:t>
            </w:r>
          </w:p>
        </w:tc>
        <w:tc>
          <w:tcPr>
            <w:tcW w:w="4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EC2051">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highlight w:val="none"/>
                <w:lang w:val="en-US" w:eastAsia="zh-CN"/>
              </w:rPr>
              <w:t>/</w:t>
            </w:r>
          </w:p>
        </w:tc>
        <w:tc>
          <w:tcPr>
            <w:tcW w:w="6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C446EB">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highlight w:val="none"/>
                <w:lang w:val="en-US" w:eastAsia="zh-CN"/>
              </w:rPr>
              <w:t>/</w:t>
            </w:r>
          </w:p>
        </w:tc>
        <w:tc>
          <w:tcPr>
            <w:tcW w:w="5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25A230">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0.051</w:t>
            </w:r>
          </w:p>
        </w:tc>
        <w:tc>
          <w:tcPr>
            <w:tcW w:w="626" w:type="pct"/>
            <w:tcBorders>
              <w:top w:val="single" w:color="000000" w:sz="4" w:space="0"/>
              <w:left w:val="single" w:color="000000" w:sz="4" w:space="0"/>
              <w:bottom w:val="single" w:color="000000" w:sz="4" w:space="0"/>
              <w:right w:val="single" w:color="000000" w:sz="4" w:space="0"/>
            </w:tcBorders>
            <w:vAlign w:val="center"/>
          </w:tcPr>
          <w:p w14:paraId="60CA712E">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highlight w:val="none"/>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B5519">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0.051</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7F489DF0">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+0.051</w:t>
            </w:r>
          </w:p>
        </w:tc>
      </w:tr>
      <w:tr w14:paraId="5A26A52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continue"/>
            <w:tcBorders>
              <w:left w:val="single" w:color="000000" w:sz="8" w:space="0"/>
              <w:right w:val="single" w:color="000000" w:sz="4" w:space="0"/>
            </w:tcBorders>
            <w:vAlign w:val="center"/>
          </w:tcPr>
          <w:p w14:paraId="6748DE0E">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F6B5A1">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废布袋</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8127F">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lang w:val="en-US" w:eastAsia="zh-CN"/>
              </w:rPr>
              <w:t>/</w:t>
            </w:r>
          </w:p>
        </w:tc>
        <w:tc>
          <w:tcPr>
            <w:tcW w:w="4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D7D33E">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lang w:val="en-US" w:eastAsia="zh-CN"/>
              </w:rPr>
              <w:t>/</w:t>
            </w:r>
          </w:p>
        </w:tc>
        <w:tc>
          <w:tcPr>
            <w:tcW w:w="60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66D50F">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lang w:val="en-US" w:eastAsia="zh-CN"/>
              </w:rPr>
              <w:t>/</w:t>
            </w:r>
          </w:p>
        </w:tc>
        <w:tc>
          <w:tcPr>
            <w:tcW w:w="5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CA6CE2">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0.5</w:t>
            </w:r>
          </w:p>
        </w:tc>
        <w:tc>
          <w:tcPr>
            <w:tcW w:w="626" w:type="pct"/>
            <w:tcBorders>
              <w:top w:val="single" w:color="000000" w:sz="4" w:space="0"/>
              <w:left w:val="single" w:color="000000" w:sz="4" w:space="0"/>
              <w:bottom w:val="single" w:color="000000" w:sz="4" w:space="0"/>
              <w:right w:val="single" w:color="000000" w:sz="4" w:space="0"/>
            </w:tcBorders>
            <w:vAlign w:val="center"/>
          </w:tcPr>
          <w:p w14:paraId="1D6F00E2">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F23CD5">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0.5</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78F5EEB8">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+0.5</w:t>
            </w:r>
          </w:p>
        </w:tc>
      </w:tr>
      <w:tr w14:paraId="2FF9EEA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continue"/>
            <w:tcBorders>
              <w:left w:val="single" w:color="000000" w:sz="8" w:space="0"/>
              <w:right w:val="single" w:color="000000" w:sz="4" w:space="0"/>
            </w:tcBorders>
            <w:vAlign w:val="center"/>
          </w:tcPr>
          <w:p w14:paraId="6846E0B6">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133756">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污泥</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B52486">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default"/>
                <w:highlight w:val="none"/>
                <w:lang w:val="en-US" w:eastAsia="zh-CN"/>
              </w:rPr>
            </w:pPr>
            <w:r>
              <w:rPr>
                <w:rFonts w:hint="eastAsia"/>
                <w:lang w:val="en-US" w:eastAsia="zh-CN"/>
              </w:rPr>
              <w:t>/</w:t>
            </w:r>
          </w:p>
        </w:tc>
        <w:tc>
          <w:tcPr>
            <w:tcW w:w="453" w:type="pct"/>
            <w:tcBorders>
              <w:top w:val="single" w:color="000000" w:sz="4" w:space="0"/>
              <w:left w:val="single" w:color="000000" w:sz="4" w:space="0"/>
              <w:bottom w:val="single" w:color="000000" w:sz="4" w:space="0"/>
              <w:right w:val="single" w:color="000000" w:sz="4" w:space="0"/>
            </w:tcBorders>
            <w:vAlign w:val="center"/>
          </w:tcPr>
          <w:p w14:paraId="0132C84E">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default"/>
                <w:highlight w:val="none"/>
                <w:lang w:val="en-US" w:eastAsia="zh-CN"/>
              </w:rPr>
            </w:pPr>
            <w:r>
              <w:rPr>
                <w:rFonts w:hint="eastAsia"/>
                <w:lang w:val="en-US" w:eastAsia="zh-CN"/>
              </w:rPr>
              <w:t>/</w:t>
            </w:r>
          </w:p>
        </w:tc>
        <w:tc>
          <w:tcPr>
            <w:tcW w:w="605" w:type="pct"/>
            <w:tcBorders>
              <w:top w:val="single" w:color="000000" w:sz="4" w:space="0"/>
              <w:left w:val="single" w:color="000000" w:sz="4" w:space="0"/>
              <w:bottom w:val="single" w:color="000000" w:sz="4" w:space="0"/>
              <w:right w:val="single" w:color="000000" w:sz="4" w:space="0"/>
            </w:tcBorders>
            <w:vAlign w:val="center"/>
          </w:tcPr>
          <w:p w14:paraId="5E40516A">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default"/>
                <w:highlight w:val="none"/>
                <w:lang w:val="en-US" w:eastAsia="zh-CN"/>
              </w:rPr>
            </w:pPr>
            <w:r>
              <w:rPr>
                <w:rFonts w:hint="eastAsia"/>
                <w:lang w:val="en-US" w:eastAsia="zh-CN"/>
              </w:rPr>
              <w:t>/</w:t>
            </w:r>
          </w:p>
        </w:tc>
        <w:tc>
          <w:tcPr>
            <w:tcW w:w="5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857CEE">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7.325</w:t>
            </w:r>
          </w:p>
        </w:tc>
        <w:tc>
          <w:tcPr>
            <w:tcW w:w="626" w:type="pct"/>
            <w:tcBorders>
              <w:top w:val="single" w:color="000000" w:sz="4" w:space="0"/>
              <w:left w:val="single" w:color="000000" w:sz="4" w:space="0"/>
              <w:bottom w:val="single" w:color="000000" w:sz="4" w:space="0"/>
              <w:right w:val="single" w:color="000000" w:sz="4" w:space="0"/>
            </w:tcBorders>
            <w:vAlign w:val="center"/>
          </w:tcPr>
          <w:p w14:paraId="7CEA46C9">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highlight w:val="none"/>
                <w:lang w:val="en-US" w:eastAsia="zh-CN"/>
              </w:rPr>
            </w:pPr>
            <w:r>
              <w:rPr>
                <w:rFonts w:hint="eastAsia"/>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6C9140">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7.325</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6D09C9D7">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+7.325</w:t>
            </w:r>
          </w:p>
        </w:tc>
      </w:tr>
      <w:tr w14:paraId="28C709A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restart"/>
            <w:tcBorders>
              <w:left w:val="single" w:color="000000" w:sz="8" w:space="0"/>
              <w:right w:val="single" w:color="000000" w:sz="4" w:space="0"/>
            </w:tcBorders>
            <w:vAlign w:val="center"/>
          </w:tcPr>
          <w:p w14:paraId="0BFE14F8">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eastAsia="宋体"/>
                <w:lang w:val="en-US" w:eastAsia="zh-CN"/>
              </w:rPr>
            </w:pPr>
            <w:r>
              <w:rPr>
                <w:rFonts w:hint="eastAsia"/>
                <w:lang w:val="en-US" w:eastAsia="zh-CN"/>
              </w:rPr>
              <w:t>危险废物</w:t>
            </w: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F1CADE">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废铅蓄电池</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C8AE3A">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Times New Roman" w:hAnsi="Times New Roman" w:eastAsia="宋体" w:cs="Times New Roman"/>
                <w:spacing w:val="-2"/>
                <w:kern w:val="2"/>
                <w:sz w:val="21"/>
                <w:szCs w:val="18"/>
                <w:lang w:val="en-US" w:eastAsia="zh-CN" w:bidi="ar-SA"/>
              </w:rPr>
            </w:pPr>
            <w:r>
              <w:rPr>
                <w:rFonts w:hint="eastAsia"/>
                <w:lang w:val="en-US" w:eastAsia="zh-CN"/>
              </w:rPr>
              <w:t>/</w:t>
            </w:r>
          </w:p>
        </w:tc>
        <w:tc>
          <w:tcPr>
            <w:tcW w:w="453" w:type="pct"/>
            <w:tcBorders>
              <w:top w:val="single" w:color="000000" w:sz="4" w:space="0"/>
              <w:left w:val="single" w:color="000000" w:sz="4" w:space="0"/>
              <w:bottom w:val="single" w:color="000000" w:sz="4" w:space="0"/>
              <w:right w:val="single" w:color="000000" w:sz="4" w:space="0"/>
            </w:tcBorders>
            <w:vAlign w:val="center"/>
          </w:tcPr>
          <w:p w14:paraId="0711C886">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lang w:val="en-US" w:eastAsia="zh-CN"/>
              </w:rPr>
              <w:t>/</w:t>
            </w:r>
          </w:p>
        </w:tc>
        <w:tc>
          <w:tcPr>
            <w:tcW w:w="605" w:type="pct"/>
            <w:tcBorders>
              <w:top w:val="single" w:color="000000" w:sz="4" w:space="0"/>
              <w:left w:val="single" w:color="000000" w:sz="4" w:space="0"/>
              <w:bottom w:val="single" w:color="000000" w:sz="4" w:space="0"/>
              <w:right w:val="single" w:color="000000" w:sz="4" w:space="0"/>
            </w:tcBorders>
            <w:vAlign w:val="center"/>
          </w:tcPr>
          <w:p w14:paraId="2ECF6776">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lang w:val="en-US" w:eastAsia="zh-CN"/>
              </w:rPr>
              <w:t>/</w:t>
            </w:r>
          </w:p>
        </w:tc>
        <w:tc>
          <w:tcPr>
            <w:tcW w:w="5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2F9473">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214.72</w:t>
            </w:r>
          </w:p>
        </w:tc>
        <w:tc>
          <w:tcPr>
            <w:tcW w:w="626" w:type="pct"/>
            <w:tcBorders>
              <w:top w:val="single" w:color="000000" w:sz="4" w:space="0"/>
              <w:left w:val="single" w:color="000000" w:sz="4" w:space="0"/>
              <w:bottom w:val="single" w:color="000000" w:sz="4" w:space="0"/>
              <w:right w:val="single" w:color="000000" w:sz="4" w:space="0"/>
            </w:tcBorders>
            <w:vAlign w:val="center"/>
          </w:tcPr>
          <w:p w14:paraId="2D3B7AED">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0F0671">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214.72</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379ADC89">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+214.72</w:t>
            </w:r>
          </w:p>
        </w:tc>
      </w:tr>
      <w:tr w14:paraId="0A6ED8A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continue"/>
            <w:tcBorders>
              <w:left w:val="single" w:color="000000" w:sz="8" w:space="0"/>
              <w:right w:val="single" w:color="000000" w:sz="4" w:space="0"/>
            </w:tcBorders>
            <w:vAlign w:val="center"/>
          </w:tcPr>
          <w:p w14:paraId="161131B4">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lang w:val="en-US" w:eastAsia="zh-CN"/>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656A1">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eastAsia="宋体" w:cs="Times New Roman"/>
                <w:color w:val="auto"/>
                <w:lang w:val="en-US" w:eastAsia="zh-CN"/>
              </w:rPr>
              <w:t>废</w:t>
            </w:r>
            <w:r>
              <w:rPr>
                <w:rFonts w:hint="eastAsia" w:ascii="Times New Roman" w:hAnsi="Times New Roman" w:eastAsia="宋体" w:cs="Times New Roman"/>
                <w:color w:val="auto"/>
                <w:lang w:val="en-US" w:eastAsia="zh-CN"/>
              </w:rPr>
              <w:t>电路板、废电子元器件</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E0D37C">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highlight w:val="none"/>
                <w:lang w:val="en-US" w:eastAsia="zh-CN"/>
              </w:rPr>
              <w:t>/</w:t>
            </w:r>
          </w:p>
        </w:tc>
        <w:tc>
          <w:tcPr>
            <w:tcW w:w="453" w:type="pct"/>
            <w:tcBorders>
              <w:top w:val="single" w:color="000000" w:sz="4" w:space="0"/>
              <w:left w:val="single" w:color="000000" w:sz="4" w:space="0"/>
              <w:bottom w:val="single" w:color="000000" w:sz="4" w:space="0"/>
              <w:right w:val="single" w:color="000000" w:sz="4" w:space="0"/>
            </w:tcBorders>
            <w:vAlign w:val="center"/>
          </w:tcPr>
          <w:p w14:paraId="692E3731">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highlight w:val="none"/>
                <w:lang w:val="en-US" w:eastAsia="zh-CN"/>
              </w:rPr>
              <w:t>/</w:t>
            </w:r>
          </w:p>
        </w:tc>
        <w:tc>
          <w:tcPr>
            <w:tcW w:w="605" w:type="pct"/>
            <w:tcBorders>
              <w:top w:val="single" w:color="000000" w:sz="4" w:space="0"/>
              <w:left w:val="single" w:color="000000" w:sz="4" w:space="0"/>
              <w:bottom w:val="single" w:color="000000" w:sz="4" w:space="0"/>
              <w:right w:val="single" w:color="000000" w:sz="4" w:space="0"/>
            </w:tcBorders>
            <w:vAlign w:val="center"/>
          </w:tcPr>
          <w:p w14:paraId="49621396">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highlight w:val="none"/>
                <w:lang w:val="en-US" w:eastAsia="zh-CN"/>
              </w:rPr>
              <w:t>/</w:t>
            </w:r>
          </w:p>
        </w:tc>
        <w:tc>
          <w:tcPr>
            <w:tcW w:w="5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306091">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203.5</w:t>
            </w:r>
          </w:p>
        </w:tc>
        <w:tc>
          <w:tcPr>
            <w:tcW w:w="626" w:type="pct"/>
            <w:tcBorders>
              <w:top w:val="single" w:color="000000" w:sz="4" w:space="0"/>
              <w:left w:val="single" w:color="000000" w:sz="4" w:space="0"/>
              <w:bottom w:val="single" w:color="000000" w:sz="4" w:space="0"/>
              <w:right w:val="single" w:color="000000" w:sz="4" w:space="0"/>
            </w:tcBorders>
            <w:vAlign w:val="center"/>
          </w:tcPr>
          <w:p w14:paraId="558BBCE7">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highlight w:val="none"/>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0F72C">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203.5</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55B6853E">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+203.5</w:t>
            </w:r>
          </w:p>
        </w:tc>
      </w:tr>
      <w:tr w14:paraId="57A6517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continue"/>
            <w:tcBorders>
              <w:left w:val="single" w:color="000000" w:sz="8" w:space="0"/>
              <w:right w:val="single" w:color="000000" w:sz="4" w:space="0"/>
            </w:tcBorders>
            <w:vAlign w:val="center"/>
          </w:tcPr>
          <w:p w14:paraId="3285EE8E">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lang w:val="en-US" w:eastAsia="zh-CN"/>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FEDF97">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eastAsia="宋体" w:cs="Times New Roman"/>
                <w:color w:val="auto"/>
                <w:lang w:val="en-US" w:eastAsia="zh-CN"/>
              </w:rPr>
              <w:t>废液压油</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BC54B5">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lang w:val="en-US" w:eastAsia="zh-CN"/>
              </w:rPr>
              <w:t>/</w:t>
            </w:r>
          </w:p>
        </w:tc>
        <w:tc>
          <w:tcPr>
            <w:tcW w:w="453" w:type="pct"/>
            <w:tcBorders>
              <w:top w:val="single" w:color="000000" w:sz="4" w:space="0"/>
              <w:left w:val="single" w:color="000000" w:sz="4" w:space="0"/>
              <w:bottom w:val="single" w:color="000000" w:sz="4" w:space="0"/>
              <w:right w:val="single" w:color="000000" w:sz="4" w:space="0"/>
            </w:tcBorders>
            <w:vAlign w:val="center"/>
          </w:tcPr>
          <w:p w14:paraId="37872702">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lang w:val="en-US" w:eastAsia="zh-CN"/>
              </w:rPr>
              <w:t>/</w:t>
            </w:r>
          </w:p>
        </w:tc>
        <w:tc>
          <w:tcPr>
            <w:tcW w:w="605" w:type="pct"/>
            <w:tcBorders>
              <w:top w:val="single" w:color="000000" w:sz="4" w:space="0"/>
              <w:left w:val="single" w:color="000000" w:sz="4" w:space="0"/>
              <w:bottom w:val="single" w:color="000000" w:sz="4" w:space="0"/>
              <w:right w:val="single" w:color="000000" w:sz="4" w:space="0"/>
            </w:tcBorders>
            <w:vAlign w:val="center"/>
          </w:tcPr>
          <w:p w14:paraId="0747D37C">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lang w:val="en-US" w:eastAsia="zh-CN"/>
              </w:rPr>
              <w:t>/</w:t>
            </w:r>
          </w:p>
        </w:tc>
        <w:tc>
          <w:tcPr>
            <w:tcW w:w="5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09919B">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0.5</w:t>
            </w:r>
          </w:p>
        </w:tc>
        <w:tc>
          <w:tcPr>
            <w:tcW w:w="626" w:type="pct"/>
            <w:tcBorders>
              <w:top w:val="single" w:color="000000" w:sz="4" w:space="0"/>
              <w:left w:val="single" w:color="000000" w:sz="4" w:space="0"/>
              <w:bottom w:val="single" w:color="000000" w:sz="4" w:space="0"/>
              <w:right w:val="single" w:color="000000" w:sz="4" w:space="0"/>
            </w:tcBorders>
            <w:vAlign w:val="center"/>
          </w:tcPr>
          <w:p w14:paraId="363EE205">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D5C49">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0.5</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0D36D45E">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+0.5</w:t>
            </w:r>
          </w:p>
        </w:tc>
      </w:tr>
      <w:tr w14:paraId="45B0A5A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continue"/>
            <w:tcBorders>
              <w:left w:val="single" w:color="000000" w:sz="8" w:space="0"/>
              <w:right w:val="single" w:color="000000" w:sz="4" w:space="0"/>
            </w:tcBorders>
            <w:vAlign w:val="center"/>
          </w:tcPr>
          <w:p w14:paraId="6581E54E">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lang w:val="en-US" w:eastAsia="zh-CN"/>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2CF511">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eastAsia="宋体" w:cs="Times New Roman"/>
                <w:color w:val="auto"/>
                <w:lang w:val="en-US" w:eastAsia="zh-CN"/>
              </w:rPr>
              <w:t>废润滑油</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3FFF0">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lang w:val="en-US" w:eastAsia="zh-CN"/>
              </w:rPr>
              <w:t>/</w:t>
            </w:r>
          </w:p>
        </w:tc>
        <w:tc>
          <w:tcPr>
            <w:tcW w:w="453" w:type="pct"/>
            <w:tcBorders>
              <w:top w:val="single" w:color="000000" w:sz="4" w:space="0"/>
              <w:left w:val="single" w:color="000000" w:sz="4" w:space="0"/>
              <w:bottom w:val="single" w:color="000000" w:sz="4" w:space="0"/>
              <w:right w:val="single" w:color="000000" w:sz="4" w:space="0"/>
            </w:tcBorders>
            <w:vAlign w:val="center"/>
          </w:tcPr>
          <w:p w14:paraId="23D7038C">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lang w:val="en-US" w:eastAsia="zh-CN"/>
              </w:rPr>
              <w:t>/</w:t>
            </w:r>
          </w:p>
        </w:tc>
        <w:tc>
          <w:tcPr>
            <w:tcW w:w="605" w:type="pct"/>
            <w:tcBorders>
              <w:top w:val="single" w:color="000000" w:sz="4" w:space="0"/>
              <w:left w:val="single" w:color="000000" w:sz="4" w:space="0"/>
              <w:bottom w:val="single" w:color="000000" w:sz="4" w:space="0"/>
              <w:right w:val="single" w:color="000000" w:sz="4" w:space="0"/>
            </w:tcBorders>
            <w:vAlign w:val="center"/>
          </w:tcPr>
          <w:p w14:paraId="3C343243">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lang w:val="en-US" w:eastAsia="zh-CN"/>
              </w:rPr>
              <w:t>/</w:t>
            </w:r>
          </w:p>
        </w:tc>
        <w:tc>
          <w:tcPr>
            <w:tcW w:w="5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51178E">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0.05</w:t>
            </w:r>
          </w:p>
        </w:tc>
        <w:tc>
          <w:tcPr>
            <w:tcW w:w="626" w:type="pct"/>
            <w:tcBorders>
              <w:top w:val="single" w:color="000000" w:sz="4" w:space="0"/>
              <w:left w:val="single" w:color="000000" w:sz="4" w:space="0"/>
              <w:bottom w:val="single" w:color="000000" w:sz="4" w:space="0"/>
              <w:right w:val="single" w:color="000000" w:sz="4" w:space="0"/>
            </w:tcBorders>
            <w:vAlign w:val="center"/>
          </w:tcPr>
          <w:p w14:paraId="1A8F2698">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9ED812">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0.05</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4E4BD5E2">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+0.05</w:t>
            </w:r>
          </w:p>
        </w:tc>
      </w:tr>
      <w:tr w14:paraId="73AA609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continue"/>
            <w:tcBorders>
              <w:left w:val="single" w:color="000000" w:sz="8" w:space="0"/>
              <w:right w:val="single" w:color="000000" w:sz="4" w:space="0"/>
            </w:tcBorders>
            <w:vAlign w:val="center"/>
          </w:tcPr>
          <w:p w14:paraId="407B7C0E">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lang w:val="en-US" w:eastAsia="zh-CN"/>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DC78CC">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eastAsia="宋体" w:cs="Times New Roman"/>
                <w:color w:val="auto"/>
                <w:lang w:val="en-US" w:eastAsia="zh-CN"/>
              </w:rPr>
              <w:t>废润滑油桶</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A4214">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lang w:val="en-US" w:eastAsia="zh-CN"/>
              </w:rPr>
              <w:t>/</w:t>
            </w:r>
          </w:p>
        </w:tc>
        <w:tc>
          <w:tcPr>
            <w:tcW w:w="453" w:type="pct"/>
            <w:tcBorders>
              <w:top w:val="single" w:color="000000" w:sz="4" w:space="0"/>
              <w:left w:val="single" w:color="000000" w:sz="4" w:space="0"/>
              <w:bottom w:val="single" w:color="000000" w:sz="4" w:space="0"/>
              <w:right w:val="single" w:color="000000" w:sz="4" w:space="0"/>
            </w:tcBorders>
            <w:vAlign w:val="center"/>
          </w:tcPr>
          <w:p w14:paraId="3A303831">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lang w:val="en-US" w:eastAsia="zh-CN"/>
              </w:rPr>
              <w:t>/</w:t>
            </w:r>
          </w:p>
        </w:tc>
        <w:tc>
          <w:tcPr>
            <w:tcW w:w="605" w:type="pct"/>
            <w:tcBorders>
              <w:top w:val="single" w:color="000000" w:sz="4" w:space="0"/>
              <w:left w:val="single" w:color="000000" w:sz="4" w:space="0"/>
              <w:bottom w:val="single" w:color="000000" w:sz="4" w:space="0"/>
              <w:right w:val="single" w:color="000000" w:sz="4" w:space="0"/>
            </w:tcBorders>
            <w:vAlign w:val="center"/>
          </w:tcPr>
          <w:p w14:paraId="3E751DCD">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lang w:val="en-US" w:eastAsia="zh-CN"/>
              </w:rPr>
              <w:t>/</w:t>
            </w:r>
          </w:p>
        </w:tc>
        <w:tc>
          <w:tcPr>
            <w:tcW w:w="5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4FC621">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0.02</w:t>
            </w:r>
          </w:p>
        </w:tc>
        <w:tc>
          <w:tcPr>
            <w:tcW w:w="626" w:type="pct"/>
            <w:tcBorders>
              <w:top w:val="single" w:color="000000" w:sz="4" w:space="0"/>
              <w:left w:val="single" w:color="000000" w:sz="4" w:space="0"/>
              <w:bottom w:val="single" w:color="000000" w:sz="4" w:space="0"/>
              <w:right w:val="single" w:color="000000" w:sz="4" w:space="0"/>
            </w:tcBorders>
            <w:vAlign w:val="center"/>
          </w:tcPr>
          <w:p w14:paraId="18BD3BE5">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891182">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0.02</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3CB62F45">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+0.02</w:t>
            </w:r>
          </w:p>
        </w:tc>
      </w:tr>
      <w:tr w14:paraId="3493ECF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continue"/>
            <w:tcBorders>
              <w:left w:val="single" w:color="000000" w:sz="8" w:space="0"/>
              <w:right w:val="single" w:color="000000" w:sz="4" w:space="0"/>
            </w:tcBorders>
            <w:vAlign w:val="center"/>
          </w:tcPr>
          <w:p w14:paraId="62AB7FFD">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lang w:val="en-US" w:eastAsia="zh-CN"/>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FFA290">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eastAsia="宋体" w:cs="Times New Roman"/>
                <w:color w:val="auto"/>
                <w:lang w:val="en-US" w:eastAsia="zh-CN"/>
              </w:rPr>
              <w:t>废含油抹布手套</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CB25DC">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highlight w:val="none"/>
                <w:lang w:val="en-US" w:eastAsia="zh-CN"/>
              </w:rPr>
              <w:t>/</w:t>
            </w:r>
          </w:p>
        </w:tc>
        <w:tc>
          <w:tcPr>
            <w:tcW w:w="453" w:type="pct"/>
            <w:tcBorders>
              <w:top w:val="single" w:color="000000" w:sz="4" w:space="0"/>
              <w:left w:val="single" w:color="000000" w:sz="4" w:space="0"/>
              <w:bottom w:val="single" w:color="000000" w:sz="4" w:space="0"/>
              <w:right w:val="single" w:color="000000" w:sz="4" w:space="0"/>
            </w:tcBorders>
            <w:vAlign w:val="center"/>
          </w:tcPr>
          <w:p w14:paraId="122A5EED">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highlight w:val="none"/>
                <w:lang w:val="en-US" w:eastAsia="zh-CN"/>
              </w:rPr>
              <w:t>/</w:t>
            </w:r>
          </w:p>
        </w:tc>
        <w:tc>
          <w:tcPr>
            <w:tcW w:w="605" w:type="pct"/>
            <w:tcBorders>
              <w:top w:val="single" w:color="000000" w:sz="4" w:space="0"/>
              <w:left w:val="single" w:color="000000" w:sz="4" w:space="0"/>
              <w:bottom w:val="single" w:color="000000" w:sz="4" w:space="0"/>
              <w:right w:val="single" w:color="000000" w:sz="4" w:space="0"/>
            </w:tcBorders>
            <w:vAlign w:val="center"/>
          </w:tcPr>
          <w:p w14:paraId="035D0F19">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highlight w:val="none"/>
                <w:lang w:val="en-US" w:eastAsia="zh-CN"/>
              </w:rPr>
              <w:t>/</w:t>
            </w:r>
          </w:p>
        </w:tc>
        <w:tc>
          <w:tcPr>
            <w:tcW w:w="5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657DCE">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0.05</w:t>
            </w:r>
          </w:p>
        </w:tc>
        <w:tc>
          <w:tcPr>
            <w:tcW w:w="626" w:type="pct"/>
            <w:tcBorders>
              <w:top w:val="single" w:color="000000" w:sz="4" w:space="0"/>
              <w:left w:val="single" w:color="000000" w:sz="4" w:space="0"/>
              <w:bottom w:val="single" w:color="000000" w:sz="4" w:space="0"/>
              <w:right w:val="single" w:color="000000" w:sz="4" w:space="0"/>
            </w:tcBorders>
            <w:vAlign w:val="center"/>
          </w:tcPr>
          <w:p w14:paraId="1F3A6A8F">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lang w:val="en-US" w:eastAsia="zh-CN"/>
              </w:rPr>
            </w:pPr>
            <w:r>
              <w:rPr>
                <w:rFonts w:hint="eastAsia"/>
                <w:highlight w:val="none"/>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705A3">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0.05</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75B345F6">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+0.05</w:t>
            </w:r>
          </w:p>
        </w:tc>
      </w:tr>
      <w:tr w14:paraId="6038876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 w:hRule="atLeast"/>
          <w:jc w:val="center"/>
        </w:trPr>
        <w:tc>
          <w:tcPr>
            <w:tcW w:w="297" w:type="pct"/>
            <w:vMerge w:val="continue"/>
            <w:tcBorders>
              <w:left w:val="single" w:color="000000" w:sz="8" w:space="0"/>
              <w:right w:val="single" w:color="000000" w:sz="4" w:space="0"/>
            </w:tcBorders>
            <w:vAlign w:val="center"/>
          </w:tcPr>
          <w:p w14:paraId="38C75409">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default"/>
              </w:rPr>
            </w:pPr>
          </w:p>
        </w:tc>
        <w:tc>
          <w:tcPr>
            <w:tcW w:w="7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6C8A0">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color w:val="auto"/>
                <w:kern w:val="2"/>
                <w:sz w:val="21"/>
                <w:szCs w:val="24"/>
                <w:lang w:val="en-US" w:eastAsia="zh-CN" w:bidi="ar-SA"/>
              </w:rPr>
            </w:pPr>
            <w:r>
              <w:rPr>
                <w:rFonts w:hint="eastAsia"/>
                <w:lang w:val="en-US" w:eastAsia="zh-CN"/>
              </w:rPr>
              <w:t>废电解液中和废物</w:t>
            </w:r>
          </w:p>
        </w:tc>
        <w:tc>
          <w:tcPr>
            <w:tcW w:w="6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0C0F30">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ind w:left="24" w:leftChars="10" w:right="24" w:rightChars="10" w:firstLine="0" w:firstLineChars="0"/>
              <w:textAlignment w:val="bottom"/>
              <w:rPr>
                <w:rFonts w:hint="eastAsia" w:ascii="Times New Roman" w:hAnsi="Times New Roman" w:eastAsia="宋体" w:cs="Times New Roman"/>
                <w:spacing w:val="-2"/>
                <w:kern w:val="2"/>
                <w:sz w:val="21"/>
                <w:szCs w:val="18"/>
                <w:lang w:val="en-US" w:eastAsia="zh-CN" w:bidi="ar-SA"/>
              </w:rPr>
            </w:pPr>
            <w:r>
              <w:rPr>
                <w:rFonts w:hint="eastAsia"/>
                <w:lang w:val="en-US" w:eastAsia="zh-CN"/>
              </w:rPr>
              <w:t>/</w:t>
            </w:r>
          </w:p>
        </w:tc>
        <w:tc>
          <w:tcPr>
            <w:tcW w:w="453" w:type="pct"/>
            <w:tcBorders>
              <w:top w:val="single" w:color="000000" w:sz="4" w:space="0"/>
              <w:left w:val="single" w:color="000000" w:sz="4" w:space="0"/>
              <w:bottom w:val="single" w:color="000000" w:sz="4" w:space="0"/>
              <w:right w:val="single" w:color="000000" w:sz="4" w:space="0"/>
            </w:tcBorders>
            <w:vAlign w:val="center"/>
          </w:tcPr>
          <w:p w14:paraId="67EBA83A">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lang w:val="en-US" w:eastAsia="zh-CN"/>
              </w:rPr>
            </w:pPr>
            <w:r>
              <w:rPr>
                <w:rFonts w:hint="eastAsia"/>
                <w:lang w:val="en-US" w:eastAsia="zh-CN"/>
              </w:rPr>
              <w:t>/</w:t>
            </w:r>
          </w:p>
        </w:tc>
        <w:tc>
          <w:tcPr>
            <w:tcW w:w="605" w:type="pct"/>
            <w:tcBorders>
              <w:top w:val="single" w:color="000000" w:sz="4" w:space="0"/>
              <w:left w:val="single" w:color="000000" w:sz="4" w:space="0"/>
              <w:bottom w:val="single" w:color="000000" w:sz="4" w:space="0"/>
              <w:right w:val="single" w:color="000000" w:sz="4" w:space="0"/>
            </w:tcBorders>
            <w:vAlign w:val="center"/>
          </w:tcPr>
          <w:p w14:paraId="51215E8A">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lang w:val="en-US" w:eastAsia="zh-CN"/>
              </w:rPr>
            </w:pPr>
            <w:r>
              <w:rPr>
                <w:rFonts w:hint="eastAsia"/>
                <w:lang w:val="en-US" w:eastAsia="zh-CN"/>
              </w:rPr>
              <w:t>/</w:t>
            </w:r>
          </w:p>
        </w:tc>
        <w:tc>
          <w:tcPr>
            <w:tcW w:w="5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723397">
            <w:pPr>
              <w:pStyle w:val="61"/>
              <w:keepNext w:val="0"/>
              <w:keepLines w:val="0"/>
              <w:suppressLineNumbers w:val="0"/>
              <w:bidi w:val="0"/>
              <w:spacing w:before="0" w:beforeAutospacing="0" w:after="0" w:afterAutospacing="0"/>
              <w:ind w:left="0" w:leftChars="0" w:right="0" w:rightChars="0" w:firstLine="0" w:firstLineChars="0"/>
              <w:rPr>
                <w:rFonts w:hint="default" w:ascii="Times New Roman" w:hAnsi="Times New Roman" w:eastAsia="宋体" w:cs="Times New Roman"/>
                <w:kern w:val="2"/>
                <w:sz w:val="21"/>
                <w:szCs w:val="24"/>
                <w:lang w:val="en-US" w:eastAsia="zh-CN" w:bidi="ar-SA"/>
              </w:rPr>
            </w:pPr>
            <w:r>
              <w:rPr>
                <w:rFonts w:hint="eastAsia"/>
                <w:lang w:val="en-US" w:eastAsia="zh-CN"/>
              </w:rPr>
              <w:t>0.172</w:t>
            </w:r>
          </w:p>
        </w:tc>
        <w:tc>
          <w:tcPr>
            <w:tcW w:w="626" w:type="pct"/>
            <w:tcBorders>
              <w:top w:val="single" w:color="000000" w:sz="4" w:space="0"/>
              <w:left w:val="single" w:color="000000" w:sz="4" w:space="0"/>
              <w:bottom w:val="single" w:color="000000" w:sz="4" w:space="0"/>
              <w:right w:val="single" w:color="000000" w:sz="4" w:space="0"/>
            </w:tcBorders>
            <w:vAlign w:val="center"/>
          </w:tcPr>
          <w:p w14:paraId="5CC1A4F0">
            <w:pPr>
              <w:pStyle w:val="40"/>
              <w:keepNext w:val="0"/>
              <w:keepLines w:val="0"/>
              <w:pageBreakBefore w:val="0"/>
              <w:widowControl w:val="0"/>
              <w:suppressLineNumbers w:val="0"/>
              <w:kinsoku/>
              <w:wordWrap w:val="0"/>
              <w:overflowPunct/>
              <w:topLinePunct w:val="0"/>
              <w:autoSpaceDE/>
              <w:autoSpaceDN/>
              <w:bidi w:val="0"/>
              <w:adjustRightInd w:val="0"/>
              <w:snapToGrid w:val="0"/>
              <w:spacing w:before="0" w:beforeLines="0" w:beforeAutospacing="0" w:after="0" w:afterLines="0" w:afterAutospacing="0"/>
              <w:textAlignment w:val="bottom"/>
              <w:rPr>
                <w:rFonts w:hint="eastAsia"/>
                <w:lang w:val="en-US" w:eastAsia="zh-CN"/>
              </w:rPr>
            </w:pPr>
            <w:r>
              <w:rPr>
                <w:rFonts w:hint="eastAsia"/>
                <w:lang w:val="en-US" w:eastAsia="zh-CN"/>
              </w:rPr>
              <w:t>/</w:t>
            </w:r>
          </w:p>
        </w:tc>
        <w:tc>
          <w:tcPr>
            <w:tcW w:w="65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D6EA8A">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0.172</w:t>
            </w:r>
          </w:p>
        </w:tc>
        <w:tc>
          <w:tcPr>
            <w:tcW w:w="429" w:type="pct"/>
            <w:tcBorders>
              <w:top w:val="single" w:color="000000" w:sz="4" w:space="0"/>
              <w:left w:val="single" w:color="000000" w:sz="4" w:space="0"/>
              <w:bottom w:val="single" w:color="000000" w:sz="4" w:space="0"/>
              <w:right w:val="single" w:color="000000" w:sz="8" w:space="0"/>
            </w:tcBorders>
            <w:shd w:val="clear" w:color="auto" w:fill="auto"/>
            <w:vAlign w:val="center"/>
          </w:tcPr>
          <w:p w14:paraId="168D383D">
            <w:pPr>
              <w:pStyle w:val="61"/>
              <w:keepNext w:val="0"/>
              <w:keepLines w:val="0"/>
              <w:suppressLineNumbers w:val="0"/>
              <w:bidi w:val="0"/>
              <w:spacing w:before="0" w:beforeAutospacing="0" w:after="0" w:afterAutospacing="0"/>
              <w:ind w:left="0" w:leftChars="0" w:right="0" w:rightChars="0" w:firstLine="0" w:firstLineChars="0"/>
              <w:rPr>
                <w:rFonts w:hint="eastAsia" w:ascii="Times New Roman" w:hAnsi="Times New Roman" w:eastAsia="宋体" w:cs="Times New Roman"/>
                <w:kern w:val="2"/>
                <w:sz w:val="21"/>
                <w:szCs w:val="24"/>
                <w:lang w:val="en-US" w:eastAsia="zh-CN" w:bidi="ar-SA"/>
              </w:rPr>
            </w:pPr>
            <w:r>
              <w:rPr>
                <w:rFonts w:hint="eastAsia"/>
                <w:lang w:val="en-US" w:eastAsia="zh-CN"/>
              </w:rPr>
              <w:t>+0.172</w:t>
            </w:r>
          </w:p>
        </w:tc>
      </w:tr>
    </w:tbl>
    <w:p w14:paraId="2554E3CB">
      <w:pPr>
        <w:spacing w:before="70"/>
        <w:ind w:firstLine="420"/>
        <w:rPr>
          <w:color w:val="auto"/>
          <w:sz w:val="21"/>
          <w:szCs w:val="22"/>
          <w:highlight w:val="none"/>
        </w:rPr>
      </w:pPr>
      <w:r>
        <w:rPr>
          <w:rFonts w:hint="eastAsia"/>
          <w:color w:val="auto"/>
          <w:sz w:val="21"/>
          <w:szCs w:val="22"/>
          <w:highlight w:val="none"/>
        </w:rPr>
        <w:t>注：⑥=①+③+④-⑤；⑦=⑥-①</w:t>
      </w:r>
    </w:p>
    <w:p w14:paraId="7DE7EA83">
      <w:pPr>
        <w:rPr>
          <w:b/>
          <w:bCs/>
          <w:color w:val="auto"/>
          <w:sz w:val="10"/>
          <w:szCs w:val="10"/>
          <w:highlight w:val="none"/>
        </w:rPr>
      </w:pPr>
    </w:p>
    <w:sectPr>
      <w:pgSz w:w="16838" w:h="11905" w:orient="landscape"/>
      <w:pgMar w:top="1304" w:right="2126" w:bottom="1304" w:left="1701" w:header="850" w:footer="850" w:gutter="0"/>
      <w:pgBorders>
        <w:top w:val="none" w:sz="0" w:space="0"/>
        <w:left w:val="none" w:sz="0" w:space="0"/>
        <w:bottom w:val="none" w:sz="0" w:space="0"/>
        <w:right w:val="none" w:sz="0" w:space="0"/>
      </w:pgBorders>
      <w:cols w:space="0" w:num="1"/>
      <w:rtlGutter w:val="0"/>
      <w:docGrid w:linePitch="336"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风帆" w:date="2026-06-01T17:15:56Z" w:initials="">
    <w:p w14:paraId="669A8057">
      <w:pPr>
        <w:pStyle w:val="7"/>
        <w:rPr>
          <w:rFonts w:hint="default" w:eastAsia="宋体"/>
          <w:lang w:val="en-US" w:eastAsia="zh-CN"/>
        </w:rPr>
      </w:pPr>
      <w:r>
        <w:rPr>
          <w:rFonts w:hint="eastAsia"/>
          <w:lang w:val="en-US" w:eastAsia="zh-CN"/>
        </w:rPr>
        <w:t>太小了，图例看不清，放在附图中</w:t>
      </w:r>
    </w:p>
  </w:comment>
  <w:comment w:id="1" w:author="薛凡" w:date="2026-06-05T13:37:04Z" w:initials="">
    <w:p w14:paraId="1CD25E7C">
      <w:pPr>
        <w:pStyle w:val="7"/>
        <w:rPr>
          <w:rFonts w:hint="default" w:eastAsia="宋体"/>
          <w:lang w:val="en-US" w:eastAsia="zh-CN"/>
        </w:rPr>
      </w:pPr>
      <w:r>
        <w:rPr>
          <w:rFonts w:hint="eastAsia"/>
          <w:lang w:val="en-US" w:eastAsia="zh-CN"/>
        </w:rPr>
        <w:t>已删除，规划图附图中有</w:t>
      </w:r>
    </w:p>
  </w:comment>
  <w:comment w:id="2" w:author="风帆" w:date="2026-06-05T08:56:28Z" w:initials="">
    <w:p w14:paraId="5875AE60">
      <w:pPr>
        <w:pStyle w:val="7"/>
        <w:rPr>
          <w:rFonts w:hint="default" w:eastAsia="宋体"/>
          <w:lang w:val="en-US" w:eastAsia="zh-CN"/>
        </w:rPr>
      </w:pPr>
      <w:r>
        <w:rPr>
          <w:rFonts w:hint="eastAsia"/>
          <w:lang w:val="en-US" w:eastAsia="zh-CN"/>
        </w:rPr>
        <w:t>分析这个就行了</w:t>
      </w:r>
    </w:p>
  </w:comment>
  <w:comment w:id="3" w:author="薛凡" w:date="2026-06-05T13:37:44Z" w:initials="">
    <w:p w14:paraId="68DC9C30">
      <w:pPr>
        <w:pStyle w:val="7"/>
        <w:rPr>
          <w:rFonts w:hint="default" w:eastAsia="宋体"/>
          <w:lang w:val="en-US" w:eastAsia="zh-CN"/>
        </w:rPr>
      </w:pPr>
      <w:r>
        <w:rPr>
          <w:rFonts w:hint="eastAsia"/>
          <w:lang w:val="en-US" w:eastAsia="zh-CN"/>
        </w:rPr>
        <w:t>老版本已删除</w:t>
      </w:r>
    </w:p>
  </w:comment>
  <w:comment w:id="4" w:author="风帆" w:date="2026-06-05T09:00:17Z" w:initials="">
    <w:p w14:paraId="5A60C8B1">
      <w:pPr>
        <w:pStyle w:val="7"/>
        <w:rPr>
          <w:rFonts w:hint="default" w:eastAsia="宋体"/>
          <w:lang w:val="en-US" w:eastAsia="zh-CN"/>
        </w:rPr>
      </w:pPr>
      <w:r>
        <w:rPr>
          <w:rFonts w:hint="eastAsia"/>
          <w:lang w:val="en-US" w:eastAsia="zh-CN"/>
        </w:rPr>
        <w:t>VOC</w:t>
      </w:r>
    </w:p>
  </w:comment>
  <w:comment w:id="5" w:author="薛凡" w:date="2026-06-05T13:38:05Z" w:initials="">
    <w:p w14:paraId="5D7AF16F">
      <w:pPr>
        <w:pStyle w:val="7"/>
        <w:rPr>
          <w:rFonts w:hint="eastAsia" w:eastAsia="宋体"/>
          <w:lang w:val="en-US" w:eastAsia="zh-CN"/>
        </w:rPr>
      </w:pPr>
      <w:r>
        <w:rPr>
          <w:rFonts w:hint="eastAsia"/>
          <w:lang w:val="en-US" w:eastAsia="zh-CN"/>
        </w:rPr>
        <w:t>已更改</w:t>
      </w:r>
    </w:p>
  </w:comment>
  <w:comment w:id="6" w:author="风帆" w:date="2026-06-05T09:08:06Z" w:initials="">
    <w:p w14:paraId="6285BA16">
      <w:pPr>
        <w:pStyle w:val="7"/>
        <w:rPr>
          <w:rFonts w:hint="default" w:eastAsia="宋体"/>
          <w:lang w:val="en-US" w:eastAsia="zh-CN"/>
        </w:rPr>
      </w:pPr>
      <w:r>
        <w:rPr>
          <w:rFonts w:hint="eastAsia"/>
          <w:lang w:val="en-US" w:eastAsia="zh-CN"/>
        </w:rPr>
        <w:t>这个文件及往后的都删掉，分析的太多了，没必要</w:t>
      </w:r>
    </w:p>
  </w:comment>
  <w:comment w:id="7" w:author="薛凡" w:date="2026-06-05T13:38:44Z" w:initials="">
    <w:p w14:paraId="795C0CF9">
      <w:pPr>
        <w:pStyle w:val="7"/>
        <w:rPr>
          <w:rFonts w:hint="default" w:eastAsia="宋体"/>
          <w:lang w:val="en-US" w:eastAsia="zh-CN"/>
        </w:rPr>
      </w:pPr>
      <w:r>
        <w:rPr>
          <w:rFonts w:hint="eastAsia"/>
          <w:lang w:val="en-US" w:eastAsia="zh-CN"/>
        </w:rPr>
        <w:t>已删除之后的分析文件</w:t>
      </w:r>
    </w:p>
  </w:comment>
  <w:comment w:id="8" w:author="风帆" w:date="2026-06-05T09:16:54Z" w:initials="">
    <w:p w14:paraId="3BDE160B">
      <w:pPr>
        <w:pStyle w:val="7"/>
        <w:rPr>
          <w:rFonts w:hint="default" w:eastAsia="宋体"/>
          <w:lang w:val="en-US" w:eastAsia="zh-CN"/>
        </w:rPr>
      </w:pPr>
      <w:r>
        <w:rPr>
          <w:rFonts w:hint="eastAsia"/>
          <w:lang w:val="en-US" w:eastAsia="zh-CN"/>
        </w:rPr>
        <w:t>设置10万辆的依据是什么？有调研数据吗？要说明设置依据。</w:t>
      </w:r>
    </w:p>
  </w:comment>
  <w:comment w:id="9" w:author="薛凡" w:date="2026-06-05T14:18:37Z" w:initials="">
    <w:p w14:paraId="5C4FEE7B">
      <w:pPr>
        <w:pStyle w:val="7"/>
        <w:rPr>
          <w:rFonts w:hint="eastAsia" w:eastAsia="宋体"/>
          <w:lang w:val="en-US" w:eastAsia="zh-CN"/>
        </w:rPr>
      </w:pPr>
      <w:r>
        <w:rPr>
          <w:rFonts w:hint="eastAsia"/>
          <w:lang w:val="en-US" w:eastAsia="zh-CN"/>
        </w:rPr>
        <w:t>已补充</w:t>
      </w:r>
    </w:p>
  </w:comment>
  <w:comment w:id="10" w:author="风帆" w:date="2026-06-05T09:33:44Z" w:initials="">
    <w:p w14:paraId="75A8BB22">
      <w:pPr>
        <w:pStyle w:val="7"/>
        <w:rPr>
          <w:rFonts w:hint="default" w:eastAsia="宋体"/>
          <w:lang w:val="en-US" w:eastAsia="zh-CN"/>
        </w:rPr>
      </w:pPr>
      <w:r>
        <w:rPr>
          <w:rFonts w:hint="eastAsia"/>
          <w:lang w:val="en-US" w:eastAsia="zh-CN"/>
        </w:rPr>
        <w:t>还要说明淮南市现在有没有现有的电动自行车拆解企业，规模如何</w:t>
      </w:r>
    </w:p>
  </w:comment>
  <w:comment w:id="11" w:author="薛凡" w:date="2026-06-05T14:18:58Z" w:initials="">
    <w:p w14:paraId="296C8B5E">
      <w:pPr>
        <w:pStyle w:val="7"/>
        <w:rPr>
          <w:rFonts w:hint="default" w:eastAsia="宋体"/>
          <w:lang w:val="en-US" w:eastAsia="zh-CN"/>
        </w:rPr>
      </w:pPr>
      <w:r>
        <w:rPr>
          <w:rFonts w:hint="eastAsia"/>
          <w:lang w:val="en-US" w:eastAsia="zh-CN"/>
        </w:rPr>
        <w:t>已补充说明</w:t>
      </w:r>
    </w:p>
  </w:comment>
  <w:comment w:id="12" w:author="风帆" w:date="2026-06-05T09:39:41Z" w:initials="">
    <w:p w14:paraId="0178C94C">
      <w:pPr>
        <w:pStyle w:val="7"/>
        <w:rPr>
          <w:rFonts w:hint="default" w:eastAsia="宋体"/>
          <w:lang w:val="en-US" w:eastAsia="zh-CN"/>
        </w:rPr>
      </w:pPr>
      <w:r>
        <w:rPr>
          <w:rFonts w:hint="eastAsia"/>
          <w:lang w:val="en-US" w:eastAsia="zh-CN"/>
        </w:rPr>
        <w:t>危废库偏小了，一年400多吨危废，每月转移一次，也有33吨，危废间特别是电池储存区还要隔开，40平方不够。</w:t>
      </w:r>
    </w:p>
  </w:comment>
  <w:comment w:id="13" w:author="薛凡" w:date="2026-06-05T14:30:23Z" w:initials="">
    <w:p w14:paraId="7AEC7074">
      <w:pPr>
        <w:pStyle w:val="7"/>
        <w:rPr>
          <w:rFonts w:hint="default" w:eastAsia="宋体"/>
          <w:lang w:val="en-US" w:eastAsia="zh-CN"/>
        </w:rPr>
      </w:pPr>
      <w:r>
        <w:rPr>
          <w:rFonts w:hint="eastAsia"/>
          <w:lang w:val="en-US" w:eastAsia="zh-CN"/>
        </w:rPr>
        <w:t>项目产生的危废主要为废铅蓄电池及废电子元器件，参照</w:t>
      </w:r>
      <w:r>
        <w:rPr>
          <w:rFonts w:hint="eastAsia" w:ascii="Times New Roman" w:hAnsi="Times New Roman" w:eastAsia="宋体" w:cs="Times New Roman"/>
          <w:b w:val="0"/>
          <w:color w:val="auto"/>
          <w:kern w:val="2"/>
          <w:sz w:val="21"/>
          <w:szCs w:val="21"/>
          <w:lang w:val="en-US" w:eastAsia="zh-CN" w:bidi="ar-SA"/>
        </w:rPr>
        <w:t>《废铅酸蓄电池处理污染控制技术规范》（HJ519-2020）</w:t>
      </w:r>
      <w:r>
        <w:rPr>
          <w:rFonts w:hint="eastAsia" w:cs="Times New Roman"/>
          <w:b w:val="0"/>
          <w:color w:val="auto"/>
          <w:kern w:val="2"/>
          <w:sz w:val="21"/>
          <w:szCs w:val="21"/>
          <w:lang w:val="en-US" w:eastAsia="zh-CN" w:bidi="ar-SA"/>
        </w:rPr>
        <w:t>中废铅蓄电池最大暂存量不超过3t，设独立分区10平方米，可以满足要求见表2-4蓝色字体，废电子元器件日产生量为0.58t，本次调整暂存区面积为30平方米，可以满足暂存要求，剩余危废年产生量较小，余20㎡可以满足要求，危废间暂存明细表中已按照暂存周期及最大暂存量进行分析，调整后60㎡可以要求，已补充危废间分区明细图</w:t>
      </w:r>
    </w:p>
  </w:comment>
  <w:comment w:id="14" w:author="风帆" w:date="2026-06-05T09:23:16Z" w:initials="">
    <w:p w14:paraId="7C5A69A8">
      <w:pPr>
        <w:pStyle w:val="7"/>
        <w:rPr>
          <w:rFonts w:hint="default" w:eastAsia="宋体"/>
          <w:lang w:val="en-US" w:eastAsia="zh-CN"/>
        </w:rPr>
      </w:pPr>
      <w:r>
        <w:rPr>
          <w:rFonts w:hint="eastAsia"/>
          <w:lang w:val="en-US" w:eastAsia="zh-CN"/>
        </w:rPr>
        <w:t>无组织排放不行。</w:t>
      </w:r>
    </w:p>
  </w:comment>
  <w:comment w:id="15" w:author="薛凡" w:date="2026-06-05T14:41:19Z" w:initials="">
    <w:p w14:paraId="677B053A">
      <w:pPr>
        <w:pStyle w:val="7"/>
        <w:rPr>
          <w:rFonts w:hint="eastAsia" w:eastAsia="宋体"/>
          <w:lang w:val="en-US" w:eastAsia="zh-CN"/>
        </w:rPr>
      </w:pPr>
      <w:r>
        <w:rPr>
          <w:rFonts w:hint="eastAsia"/>
          <w:lang w:val="en-US" w:eastAsia="zh-CN"/>
        </w:rPr>
        <w:t>已修改</w:t>
      </w:r>
    </w:p>
  </w:comment>
  <w:comment w:id="16" w:author="风帆" w:date="2026-06-05T09:24:16Z" w:initials="">
    <w:p w14:paraId="7C37614D">
      <w:pPr>
        <w:pStyle w:val="7"/>
        <w:rPr>
          <w:rFonts w:hint="default" w:eastAsia="宋体"/>
          <w:lang w:val="en-US" w:eastAsia="zh-CN"/>
        </w:rPr>
      </w:pPr>
      <w:r>
        <w:rPr>
          <w:rFonts w:hint="eastAsia"/>
          <w:lang w:val="en-US" w:eastAsia="zh-CN"/>
        </w:rPr>
        <w:t>明确一般固废暂存间、危废暂存间规模</w:t>
      </w:r>
    </w:p>
  </w:comment>
  <w:comment w:id="17" w:author="风帆" w:date="2026-06-05T09:38:01Z" w:initials="">
    <w:p w14:paraId="636CBD37">
      <w:pPr>
        <w:pStyle w:val="7"/>
        <w:rPr>
          <w:rFonts w:hint="default" w:eastAsia="宋体"/>
          <w:lang w:val="en-US" w:eastAsia="zh-CN"/>
        </w:rPr>
      </w:pPr>
      <w:r>
        <w:rPr>
          <w:rFonts w:hint="eastAsia"/>
          <w:lang w:val="en-US" w:eastAsia="zh-CN"/>
        </w:rPr>
        <w:t>与</w:t>
      </w:r>
      <w:r>
        <w:t>表</w:t>
      </w:r>
      <w:r>
        <w:rPr>
          <w:rFonts w:hint="eastAsia"/>
        </w:rPr>
        <w:t>2-</w:t>
      </w:r>
      <w:r>
        <w:rPr>
          <w:rFonts w:hint="eastAsia"/>
          <w:lang w:val="en-US" w:eastAsia="zh-CN"/>
        </w:rPr>
        <w:t>5中的最大暂存量不一致</w:t>
      </w:r>
    </w:p>
  </w:comment>
  <w:comment w:id="18" w:author="薛凡" w:date="2026-06-05T15:03:00Z" w:initials="">
    <w:p w14:paraId="192DCDC3">
      <w:pPr>
        <w:pStyle w:val="7"/>
        <w:rPr>
          <w:rFonts w:hint="default" w:eastAsia="宋体"/>
          <w:lang w:val="en-US" w:eastAsia="zh-CN"/>
        </w:rPr>
      </w:pPr>
      <w:r>
        <w:rPr>
          <w:rFonts w:hint="eastAsia"/>
          <w:lang w:val="en-US" w:eastAsia="zh-CN"/>
        </w:rPr>
        <w:t>已修改表2-5</w:t>
      </w:r>
    </w:p>
  </w:comment>
  <w:comment w:id="19" w:author="风帆" w:date="2026-06-05T09:50:33Z" w:initials="">
    <w:p w14:paraId="45B2F239">
      <w:pPr>
        <w:pStyle w:val="7"/>
        <w:rPr>
          <w:rFonts w:hint="default" w:eastAsia="宋体"/>
          <w:lang w:val="en-US" w:eastAsia="zh-CN"/>
        </w:rPr>
      </w:pPr>
      <w:r>
        <w:rPr>
          <w:rFonts w:hint="eastAsia"/>
          <w:lang w:val="en-US" w:eastAsia="zh-CN"/>
        </w:rPr>
        <w:t>具备排放条件，为什么不让企业排？</w:t>
      </w:r>
    </w:p>
  </w:comment>
  <w:comment w:id="20" w:author="薛凡" w:date="2026-06-05T15:06:06Z" w:initials="">
    <w:p w14:paraId="51A70563">
      <w:pPr>
        <w:pStyle w:val="7"/>
        <w:rPr>
          <w:rFonts w:hint="default" w:eastAsia="宋体"/>
          <w:lang w:val="en-US" w:eastAsia="zh-CN"/>
        </w:rPr>
      </w:pPr>
      <w:r>
        <w:rPr>
          <w:rFonts w:hint="eastAsia"/>
          <w:lang w:val="en-US" w:eastAsia="zh-CN"/>
        </w:rPr>
        <w:t>谢家集这边只有生活污水管网，并且已和企业核实，企业设置絮凝沉淀池对破碎水处理后回用</w:t>
      </w:r>
    </w:p>
  </w:comment>
  <w:comment w:id="21" w:author="风帆" w:date="2026-06-05T09:52:31Z" w:initials="">
    <w:p w14:paraId="55391EEE">
      <w:pPr>
        <w:pStyle w:val="7"/>
        <w:rPr>
          <w:rFonts w:hint="default" w:eastAsia="宋体"/>
          <w:lang w:val="en-US" w:eastAsia="zh-CN"/>
        </w:rPr>
      </w:pPr>
      <w:r>
        <w:rPr>
          <w:rFonts w:hint="eastAsia"/>
          <w:lang w:val="en-US" w:eastAsia="zh-CN"/>
        </w:rPr>
        <w:t>拆解的电池要考虑破损电池率，破损电池的电池液收集及暂存包装方式。破损电池应单独放置。</w:t>
      </w:r>
    </w:p>
  </w:comment>
  <w:comment w:id="22" w:author="薛凡" w:date="2026-06-05T15:21:59Z" w:initials="">
    <w:p w14:paraId="066BD4B1">
      <w:pPr>
        <w:pStyle w:val="7"/>
        <w:rPr>
          <w:rFonts w:hint="eastAsia" w:eastAsia="宋体"/>
          <w:lang w:val="en-US" w:eastAsia="zh-CN"/>
        </w:rPr>
      </w:pPr>
      <w:r>
        <w:rPr>
          <w:rFonts w:hint="eastAsia"/>
          <w:lang w:val="en-US" w:eastAsia="zh-CN"/>
        </w:rPr>
        <w:t>已补充</w:t>
      </w:r>
    </w:p>
  </w:comment>
  <w:comment w:id="23" w:author="风帆" w:date="2026-06-05T09:54:22Z" w:initials="">
    <w:p w14:paraId="35A56078">
      <w:pPr>
        <w:pStyle w:val="7"/>
        <w:rPr>
          <w:rFonts w:hint="default" w:eastAsia="宋体"/>
          <w:lang w:val="en-US" w:eastAsia="zh-CN"/>
        </w:rPr>
      </w:pPr>
      <w:r>
        <w:rPr>
          <w:rFonts w:hint="eastAsia"/>
          <w:lang w:val="en-US" w:eastAsia="zh-CN"/>
        </w:rPr>
        <w:t>不收集处理？</w:t>
      </w:r>
    </w:p>
  </w:comment>
  <w:comment w:id="24" w:author="薛凡" w:date="2026-06-05T15:23:12Z" w:initials="">
    <w:p w14:paraId="6A1E9572">
      <w:pPr>
        <w:pStyle w:val="7"/>
        <w:rPr>
          <w:rFonts w:hint="eastAsia" w:eastAsia="宋体"/>
          <w:lang w:val="en-US" w:eastAsia="zh-CN"/>
        </w:rPr>
      </w:pPr>
      <w:r>
        <w:rPr>
          <w:rFonts w:hint="eastAsia"/>
          <w:lang w:val="en-US" w:eastAsia="zh-CN"/>
        </w:rPr>
        <w:t>已添加</w:t>
      </w:r>
    </w:p>
  </w:comment>
  <w:comment w:id="25" w:author="风帆" w:date="2026-06-05T09:55:03Z" w:initials="">
    <w:p w14:paraId="4ECBBD2C">
      <w:pPr>
        <w:pStyle w:val="7"/>
        <w:rPr>
          <w:rFonts w:hint="default" w:eastAsia="宋体"/>
          <w:lang w:val="en-US" w:eastAsia="zh-CN"/>
        </w:rPr>
      </w:pPr>
      <w:r>
        <w:rPr>
          <w:rFonts w:hint="eastAsia"/>
          <w:lang w:val="en-US" w:eastAsia="zh-CN"/>
        </w:rPr>
        <w:t>图上金属件有剪切工序，此处没有介绍</w:t>
      </w:r>
    </w:p>
  </w:comment>
  <w:comment w:id="26" w:author="薛凡" w:date="2026-06-05T15:27:09Z" w:initials="">
    <w:p w14:paraId="62E07355">
      <w:pPr>
        <w:pStyle w:val="7"/>
        <w:rPr>
          <w:rFonts w:hint="eastAsia" w:eastAsia="宋体"/>
          <w:lang w:val="en-US" w:eastAsia="zh-CN"/>
        </w:rPr>
      </w:pPr>
      <w:r>
        <w:rPr>
          <w:rFonts w:hint="eastAsia"/>
          <w:lang w:val="en-US" w:eastAsia="zh-CN"/>
        </w:rPr>
        <w:t>已补充</w:t>
      </w:r>
    </w:p>
  </w:comment>
  <w:comment w:id="27" w:author="风帆" w:date="2026-06-05T09:59:43Z" w:initials="">
    <w:p w14:paraId="1AADDB77">
      <w:pPr>
        <w:pStyle w:val="7"/>
        <w:rPr>
          <w:rFonts w:hint="eastAsia"/>
          <w:lang w:val="en-US" w:eastAsia="zh-CN"/>
        </w:rPr>
      </w:pPr>
      <w:r>
        <w:rPr>
          <w:rFonts w:hint="eastAsia"/>
          <w:lang w:val="en-US" w:eastAsia="zh-CN"/>
        </w:rPr>
        <w:t>压块打包的一瞬间，粉尘很大的。不收集处理不行</w:t>
      </w:r>
    </w:p>
    <w:p w14:paraId="4DFE6404">
      <w:pPr>
        <w:pStyle w:val="7"/>
        <w:rPr>
          <w:rFonts w:hint="eastAsia"/>
          <w:lang w:val="en-US" w:eastAsia="zh-CN"/>
        </w:rPr>
      </w:pPr>
    </w:p>
    <w:p w14:paraId="0E7FA036">
      <w:pPr>
        <w:pStyle w:val="7"/>
        <w:rPr>
          <w:rFonts w:hint="default"/>
          <w:lang w:val="en-US" w:eastAsia="zh-CN"/>
        </w:rPr>
      </w:pPr>
      <w:r>
        <w:rPr>
          <w:rFonts w:hint="eastAsia"/>
          <w:lang w:val="en-US" w:eastAsia="zh-CN"/>
        </w:rPr>
        <w:t>按照《排污许可证申请与核发技术规范 废弃资源加工工业》精拆、切割、打包压块的粉尘都是要收集处理，有组织排放的</w:t>
      </w:r>
    </w:p>
  </w:comment>
  <w:comment w:id="28" w:author="薛凡" w:date="2026-06-05T16:14:41Z" w:initials="">
    <w:p w14:paraId="513BC852">
      <w:pPr>
        <w:pStyle w:val="7"/>
        <w:rPr>
          <w:rFonts w:hint="eastAsia" w:eastAsia="宋体"/>
          <w:lang w:val="en-US" w:eastAsia="zh-CN"/>
        </w:rPr>
      </w:pPr>
      <w:r>
        <w:rPr>
          <w:rFonts w:hint="eastAsia"/>
          <w:lang w:val="en-US" w:eastAsia="zh-CN"/>
        </w:rPr>
        <w:t>已修改</w:t>
      </w:r>
    </w:p>
  </w:comment>
  <w:comment w:id="29" w:author="风帆" w:date="2026-06-05T10:05:35Z" w:initials="">
    <w:p w14:paraId="24E2CBC2">
      <w:pPr>
        <w:pStyle w:val="7"/>
        <w:rPr>
          <w:rFonts w:hint="eastAsia"/>
          <w:lang w:val="en-US" w:eastAsia="zh-CN"/>
        </w:rPr>
      </w:pPr>
      <w:r>
        <w:rPr>
          <w:rFonts w:hint="eastAsia"/>
          <w:lang w:val="en-US" w:eastAsia="zh-CN"/>
        </w:rPr>
        <w:t>只是絮凝沉淀，会产生氨和硫化氢？</w:t>
      </w:r>
    </w:p>
    <w:p w14:paraId="5BDDC0F3">
      <w:pPr>
        <w:pStyle w:val="7"/>
        <w:rPr>
          <w:rFonts w:hint="default"/>
          <w:lang w:val="en-US" w:eastAsia="zh-CN"/>
        </w:rPr>
      </w:pPr>
      <w:r>
        <w:rPr>
          <w:rFonts w:hint="eastAsia"/>
          <w:lang w:val="en-US" w:eastAsia="zh-CN"/>
        </w:rPr>
        <w:t>考虑臭气浓度即可</w:t>
      </w:r>
    </w:p>
  </w:comment>
  <w:comment w:id="30" w:author="薛凡" w:date="2026-06-05T16:14:49Z" w:initials="">
    <w:p w14:paraId="4AD3838B">
      <w:pPr>
        <w:pStyle w:val="7"/>
        <w:rPr>
          <w:rFonts w:hint="default" w:eastAsia="宋体"/>
          <w:lang w:val="en-US" w:eastAsia="zh-CN"/>
        </w:rPr>
      </w:pPr>
      <w:r>
        <w:rPr>
          <w:rFonts w:hint="eastAsia"/>
          <w:lang w:val="en-US" w:eastAsia="zh-CN"/>
        </w:rPr>
        <w:t>已删除</w:t>
      </w:r>
    </w:p>
  </w:comment>
  <w:comment w:id="31" w:author="风帆" w:date="2026-06-05T09:09:19Z" w:initials="">
    <w:p w14:paraId="66A7B749">
      <w:pPr>
        <w:pStyle w:val="7"/>
        <w:rPr>
          <w:rFonts w:hint="default" w:eastAsia="宋体"/>
          <w:lang w:val="en-US" w:eastAsia="zh-CN"/>
        </w:rPr>
      </w:pPr>
      <w:r>
        <w:rPr>
          <w:rFonts w:hint="eastAsia"/>
          <w:lang w:val="en-US" w:eastAsia="zh-CN"/>
        </w:rPr>
        <w:t>明确</w:t>
      </w:r>
      <w:r>
        <w:rPr>
          <w:rFonts w:hint="eastAsia"/>
          <w:color w:val="auto"/>
          <w:lang w:val="en-US" w:eastAsia="zh-CN"/>
        </w:rPr>
        <w:t>淮南市祥瑞木业有限责任公司环保手续履行情况。结合厂房原有用途，分析有无环境污染遗留问题。</w:t>
      </w:r>
    </w:p>
  </w:comment>
  <w:comment w:id="32" w:author="薛凡" w:date="2026-06-07T16:09:50Z" w:initials="">
    <w:p w14:paraId="30B16E8B">
      <w:pPr>
        <w:pStyle w:val="7"/>
        <w:rPr>
          <w:rFonts w:hint="default" w:eastAsia="宋体"/>
          <w:lang w:val="en-US" w:eastAsia="zh-CN"/>
        </w:rPr>
      </w:pPr>
      <w:r>
        <w:rPr>
          <w:rFonts w:hint="eastAsia"/>
          <w:lang w:val="en-US" w:eastAsia="zh-CN"/>
        </w:rPr>
        <w:t>原公司未开展环评，原来一直为仓库已补充</w:t>
      </w:r>
    </w:p>
  </w:comment>
  <w:comment w:id="33" w:author="风帆" w:date="2026-06-05T10:13:52Z" w:initials="">
    <w:p w14:paraId="48203C29">
      <w:pPr>
        <w:pStyle w:val="7"/>
        <w:rPr>
          <w:rFonts w:hint="default" w:eastAsia="宋体"/>
          <w:lang w:val="en-US" w:eastAsia="zh-CN"/>
        </w:rPr>
      </w:pPr>
      <w:r>
        <w:rPr>
          <w:rFonts w:hint="eastAsia"/>
          <w:lang w:val="en-US" w:eastAsia="zh-CN"/>
        </w:rPr>
        <w:t>更新为2025数据</w:t>
      </w:r>
    </w:p>
  </w:comment>
  <w:comment w:id="34" w:author="薛凡" w:date="2026-06-05T16:15:52Z" w:initials="">
    <w:p w14:paraId="6C66D48E">
      <w:pPr>
        <w:pStyle w:val="7"/>
        <w:rPr>
          <w:rFonts w:hint="default" w:eastAsia="宋体"/>
          <w:lang w:val="en-US" w:eastAsia="zh-CN"/>
        </w:rPr>
      </w:pPr>
      <w:r>
        <w:rPr>
          <w:rFonts w:hint="eastAsia"/>
          <w:lang w:val="en-US" w:eastAsia="zh-CN"/>
        </w:rPr>
        <w:t>2025数据暂未发布</w:t>
      </w:r>
    </w:p>
  </w:comment>
  <w:comment w:id="35" w:author="风帆" w:date="2026-06-05T10:18:02Z" w:initials="">
    <w:p w14:paraId="47E43F5A">
      <w:pPr>
        <w:pStyle w:val="7"/>
        <w:rPr>
          <w:rFonts w:hint="default" w:eastAsia="宋体"/>
          <w:lang w:val="en-US" w:eastAsia="zh-CN"/>
        </w:rPr>
      </w:pPr>
      <w:r>
        <w:rPr>
          <w:rFonts w:hint="eastAsia"/>
          <w:lang w:val="en-US" w:eastAsia="zh-CN"/>
        </w:rPr>
        <w:t>完善排放标准</w:t>
      </w:r>
    </w:p>
  </w:comment>
  <w:comment w:id="36" w:author="风帆" w:date="2026-06-05T10:18:28Z" w:initials="">
    <w:p w14:paraId="26A75DF7">
      <w:pPr>
        <w:pStyle w:val="7"/>
        <w:rPr>
          <w:rFonts w:hint="default" w:eastAsia="宋体"/>
          <w:lang w:val="en-US" w:eastAsia="zh-CN"/>
        </w:rPr>
      </w:pPr>
      <w:r>
        <w:rPr>
          <w:rFonts w:hint="eastAsia"/>
          <w:lang w:val="en-US" w:eastAsia="zh-CN"/>
        </w:rPr>
        <w:t>生活污水要考虑总磷</w:t>
      </w:r>
    </w:p>
  </w:comment>
  <w:comment w:id="37" w:author="风帆" w:date="2026-06-05T09:49:24Z" w:initials="">
    <w:p w14:paraId="06429319">
      <w:pPr>
        <w:pStyle w:val="7"/>
        <w:rPr>
          <w:rFonts w:hint="default" w:eastAsia="宋体"/>
          <w:lang w:val="en-US" w:eastAsia="zh-CN"/>
        </w:rPr>
      </w:pPr>
      <w:r>
        <w:rPr>
          <w:rFonts w:hint="eastAsia"/>
          <w:lang w:val="en-US" w:eastAsia="zh-CN"/>
        </w:rPr>
        <w:t>无组织不行</w:t>
      </w:r>
    </w:p>
  </w:comment>
  <w:comment w:id="38" w:author="薛凡" w:date="2026-06-06T14:40:18Z" w:initials="">
    <w:p w14:paraId="6993BEA3">
      <w:pPr>
        <w:pStyle w:val="7"/>
        <w:rPr>
          <w:rFonts w:hint="default" w:eastAsia="宋体"/>
          <w:lang w:val="en-US" w:eastAsia="zh-CN"/>
        </w:rPr>
      </w:pPr>
      <w:r>
        <w:rPr>
          <w:rFonts w:hint="eastAsia"/>
          <w:lang w:val="en-US" w:eastAsia="zh-CN"/>
        </w:rPr>
        <w:t>已修改为有组织</w:t>
      </w:r>
    </w:p>
  </w:comment>
  <w:comment w:id="39" w:author="风帆" w:date="2026-06-05T10:31:14Z" w:initials="">
    <w:p w14:paraId="1324FA90">
      <w:pPr>
        <w:pStyle w:val="7"/>
        <w:rPr>
          <w:rFonts w:hint="default" w:eastAsia="宋体"/>
          <w:lang w:val="en-US" w:eastAsia="zh-CN"/>
        </w:rPr>
      </w:pPr>
      <w:r>
        <w:rPr>
          <w:rFonts w:hint="eastAsia"/>
          <w:lang w:val="en-US" w:eastAsia="zh-CN"/>
        </w:rPr>
        <w:t>收集处理</w:t>
      </w:r>
    </w:p>
  </w:comment>
  <w:comment w:id="40" w:author="薛凡" w:date="2026-06-06T14:40:57Z" w:initials="">
    <w:p w14:paraId="0CC46951">
      <w:pPr>
        <w:pStyle w:val="7"/>
        <w:rPr>
          <w:rFonts w:hint="default" w:eastAsia="宋体"/>
          <w:lang w:val="en-US" w:eastAsia="zh-CN"/>
        </w:rPr>
      </w:pPr>
      <w:r>
        <w:rPr>
          <w:rFonts w:hint="eastAsia"/>
          <w:lang w:val="en-US" w:eastAsia="zh-CN"/>
        </w:rPr>
        <w:t>已收集处理</w:t>
      </w:r>
    </w:p>
  </w:comment>
  <w:comment w:id="41" w:author="风帆" w:date="2026-06-05T10:31:53Z" w:initials="">
    <w:p w14:paraId="28FECD29">
      <w:pPr>
        <w:pStyle w:val="7"/>
        <w:rPr>
          <w:rFonts w:hint="default" w:eastAsia="宋体"/>
          <w:lang w:val="en-US" w:eastAsia="zh-CN"/>
        </w:rPr>
      </w:pPr>
      <w:r>
        <w:rPr>
          <w:rFonts w:hint="eastAsia"/>
          <w:lang w:val="en-US" w:eastAsia="zh-CN"/>
        </w:rPr>
        <w:t>有铅酸电池，铅怎么不考虑？</w:t>
      </w:r>
    </w:p>
  </w:comment>
  <w:comment w:id="42" w:author="薛凡" w:date="2026-06-06T16:40:03Z" w:initials="">
    <w:p w14:paraId="1933EDE6">
      <w:pPr>
        <w:pStyle w:val="7"/>
        <w:rPr>
          <w:rFonts w:hint="default" w:eastAsia="宋体"/>
          <w:lang w:val="en-US" w:eastAsia="zh-CN"/>
        </w:rPr>
      </w:pPr>
      <w:r>
        <w:rPr>
          <w:rFonts w:hint="eastAsia"/>
          <w:lang w:val="en-US" w:eastAsia="zh-CN"/>
        </w:rPr>
        <w:t>导则中无铅及其化合物，且其无急性毒性</w:t>
      </w:r>
    </w:p>
  </w:comment>
  <w:comment w:id="43" w:author="风帆" w:date="2026-06-05T10:32:19Z" w:initials="">
    <w:p w14:paraId="04587342">
      <w:pPr>
        <w:pStyle w:val="7"/>
        <w:rPr>
          <w:rFonts w:hint="eastAsia"/>
          <w:lang w:val="en-US" w:eastAsia="zh-CN"/>
        </w:rPr>
      </w:pPr>
      <w:r>
        <w:rPr>
          <w:rFonts w:hint="eastAsia"/>
          <w:lang w:val="en-US" w:eastAsia="zh-CN"/>
        </w:rPr>
        <w:t>风险防范措施，要细化，危废库补充平面布置图，要分区的。</w:t>
      </w:r>
    </w:p>
    <w:p w14:paraId="5F4545A3">
      <w:pPr>
        <w:pStyle w:val="7"/>
        <w:rPr>
          <w:rFonts w:hint="default"/>
          <w:lang w:val="en-US" w:eastAsia="zh-CN"/>
        </w:rPr>
      </w:pPr>
      <w:r>
        <w:rPr>
          <w:rFonts w:hint="eastAsia"/>
          <w:lang w:val="en-US" w:eastAsia="zh-CN"/>
        </w:rPr>
        <w:t>废电池、破损电池的风险防范措施必须细化</w:t>
      </w:r>
    </w:p>
  </w:comment>
  <w:comment w:id="44" w:author="风帆" w:date="2026-06-01T16:29:13Z" w:initials="">
    <w:p w14:paraId="3B62BA7F">
      <w:pPr>
        <w:pStyle w:val="7"/>
        <w:rPr>
          <w:rFonts w:hint="default"/>
          <w:lang w:val="en-US" w:eastAsia="zh-CN"/>
        </w:rPr>
      </w:pPr>
      <w:r>
        <w:rPr>
          <w:rFonts w:hint="eastAsia"/>
          <w:lang w:val="en-US" w:eastAsia="zh-CN"/>
        </w:rPr>
        <w:t>规范附图：</w:t>
      </w:r>
    </w:p>
    <w:p w14:paraId="45C5A3DA">
      <w:pPr>
        <w:pStyle w:val="7"/>
        <w:numPr>
          <w:ilvl w:val="0"/>
          <w:numId w:val="1"/>
        </w:numPr>
        <w:rPr>
          <w:rFonts w:hint="eastAsia"/>
          <w:lang w:val="en-US" w:eastAsia="zh-CN"/>
        </w:rPr>
      </w:pPr>
      <w:r>
        <w:rPr>
          <w:rFonts w:hint="eastAsia"/>
          <w:lang w:val="en-US" w:eastAsia="zh-CN"/>
        </w:rPr>
        <w:t>项目不是在园区内吗？三区三线图怎么显示不在城镇开发边界内？在园区也不用附三区三线图</w:t>
      </w:r>
    </w:p>
    <w:p w14:paraId="0ED22EE5">
      <w:pPr>
        <w:pStyle w:val="7"/>
        <w:numPr>
          <w:ilvl w:val="0"/>
          <w:numId w:val="1"/>
        </w:numPr>
        <w:rPr>
          <w:rFonts w:hint="default"/>
          <w:lang w:val="en-US" w:eastAsia="zh-CN"/>
        </w:rPr>
      </w:pPr>
      <w:r>
        <w:rPr>
          <w:rFonts w:hint="eastAsia"/>
          <w:lang w:val="en-US" w:eastAsia="zh-CN"/>
        </w:rPr>
        <w:t>附图不用放生态红线分区管控动态更新的图集了，文本中放生态分区管控图即可。</w:t>
      </w:r>
    </w:p>
    <w:p w14:paraId="62CD31F5">
      <w:pPr>
        <w:pStyle w:val="7"/>
        <w:numPr>
          <w:ilvl w:val="0"/>
          <w:numId w:val="1"/>
        </w:numPr>
        <w:rPr>
          <w:rFonts w:hint="default"/>
          <w:lang w:val="en-US" w:eastAsia="zh-CN"/>
        </w:rPr>
      </w:pPr>
      <w:r>
        <w:rPr>
          <w:rFonts w:hint="eastAsia"/>
          <w:lang w:val="en-US" w:eastAsia="zh-CN"/>
        </w:rPr>
        <w:t>雨污管网图：是每个车间都有废水排放？污水管网图跟雨水管网图应该不会走向一致。</w:t>
      </w:r>
    </w:p>
    <w:p w14:paraId="597D9781">
      <w:pPr>
        <w:pStyle w:val="7"/>
        <w:numPr>
          <w:ilvl w:val="0"/>
          <w:numId w:val="1"/>
        </w:numPr>
        <w:rPr>
          <w:rFonts w:hint="default"/>
          <w:lang w:val="en-US" w:eastAsia="zh-CN"/>
        </w:rPr>
      </w:pPr>
      <w:r>
        <w:rPr>
          <w:rFonts w:hint="eastAsia" w:ascii="Times New Roman" w:hAnsi="Times New Roman" w:eastAsia="宋体-方正超大字符集" w:cs="宋体-方正超大字符集"/>
          <w:color w:val="000000"/>
          <w:kern w:val="2"/>
          <w:sz w:val="24"/>
          <w:szCs w:val="24"/>
          <w:highlight w:val="none"/>
          <w:lang w:val="en-US" w:eastAsia="zh-CN" w:bidi="ar-SA"/>
        </w:rPr>
        <w:t>淮南市国土空间总体规划（2021-2035年）太大了，找找谢家集区的</w:t>
      </w:r>
    </w:p>
    <w:p w14:paraId="35FCC40F">
      <w:pPr>
        <w:pStyle w:val="7"/>
        <w:numPr>
          <w:ilvl w:val="0"/>
          <w:numId w:val="1"/>
        </w:numPr>
        <w:rPr>
          <w:rFonts w:hint="default"/>
          <w:lang w:val="en-US" w:eastAsia="zh-CN"/>
        </w:rPr>
      </w:pPr>
      <w:r>
        <w:rPr>
          <w:rFonts w:hint="eastAsia" w:ascii="Times New Roman" w:hAnsi="Times New Roman" w:eastAsia="宋体-方正超大字符集" w:cs="宋体-方正超大字符集"/>
          <w:color w:val="000000"/>
          <w:kern w:val="2"/>
          <w:sz w:val="24"/>
          <w:szCs w:val="24"/>
          <w:highlight w:val="none"/>
          <w:lang w:val="en-US" w:eastAsia="zh-CN" w:bidi="ar-SA"/>
        </w:rPr>
        <w:t>附图7，项目位置标识对不对？项目位于没有产业规划的区域？</w:t>
      </w:r>
    </w:p>
    <w:p w14:paraId="6B7D0458">
      <w:pPr>
        <w:pStyle w:val="7"/>
        <w:numPr>
          <w:ilvl w:val="0"/>
          <w:numId w:val="1"/>
        </w:numPr>
        <w:rPr>
          <w:rFonts w:hint="default"/>
          <w:lang w:val="en-US" w:eastAsia="zh-CN"/>
        </w:rPr>
      </w:pPr>
      <w:r>
        <w:rPr>
          <w:rFonts w:hint="eastAsia" w:ascii="Times New Roman" w:hAnsi="Times New Roman" w:eastAsia="宋体-方正超大字符集" w:cs="宋体-方正超大字符集"/>
          <w:color w:val="000000"/>
          <w:kern w:val="2"/>
          <w:sz w:val="24"/>
          <w:szCs w:val="24"/>
          <w:highlight w:val="none"/>
          <w:lang w:val="en-US" w:eastAsia="zh-CN" w:bidi="ar-SA"/>
        </w:rPr>
        <w:t>缺少用地规划图</w:t>
      </w:r>
    </w:p>
  </w:comment>
  <w:comment w:id="45" w:author="薛凡" w:date="2026-06-07T10:29:15Z" w:initials="">
    <w:p w14:paraId="22B2090B">
      <w:pPr>
        <w:pStyle w:val="7"/>
        <w:rPr>
          <w:rFonts w:hint="default"/>
          <w:lang w:val="en-US" w:eastAsia="zh-CN"/>
        </w:rPr>
      </w:pPr>
      <w:r>
        <w:rPr>
          <w:rFonts w:hint="eastAsia"/>
          <w:lang w:val="en-US" w:eastAsia="zh-CN"/>
        </w:rPr>
        <w:t>1已删除三区三线图，补充园区用地规划图</w:t>
      </w:r>
    </w:p>
    <w:p w14:paraId="0EE7FB95">
      <w:pPr>
        <w:pStyle w:val="7"/>
        <w:rPr>
          <w:rFonts w:hint="eastAsia"/>
          <w:lang w:val="en-US" w:eastAsia="zh-CN"/>
        </w:rPr>
      </w:pPr>
      <w:r>
        <w:rPr>
          <w:rFonts w:hint="eastAsia"/>
          <w:lang w:val="en-US" w:eastAsia="zh-CN"/>
        </w:rPr>
        <w:t>2已删除，补充生态分区管控图</w:t>
      </w:r>
    </w:p>
    <w:p w14:paraId="63C9960B">
      <w:pPr>
        <w:pStyle w:val="7"/>
        <w:rPr>
          <w:rFonts w:hint="eastAsia"/>
          <w:lang w:val="en-US" w:eastAsia="zh-CN"/>
        </w:rPr>
      </w:pPr>
      <w:r>
        <w:rPr>
          <w:rFonts w:hint="eastAsia"/>
          <w:lang w:val="en-US" w:eastAsia="zh-CN"/>
        </w:rPr>
        <w:t>3园区目前只允许生活污水排放，这边的污水管网仅是生活污水管网，与雨水走向基本一致</w:t>
      </w:r>
    </w:p>
    <w:p w14:paraId="6F8994B6">
      <w:pPr>
        <w:pStyle w:val="7"/>
        <w:rPr>
          <w:rFonts w:hint="eastAsia"/>
          <w:lang w:val="en-US" w:eastAsia="zh-CN"/>
        </w:rPr>
      </w:pPr>
      <w:r>
        <w:rPr>
          <w:rFonts w:hint="eastAsia"/>
          <w:lang w:val="en-US" w:eastAsia="zh-CN"/>
        </w:rPr>
        <w:t>4未找到谢家集区国土扩建总体规划</w:t>
      </w:r>
    </w:p>
    <w:p w14:paraId="21B5F1D8">
      <w:pPr>
        <w:pStyle w:val="7"/>
        <w:rPr>
          <w:rFonts w:hint="default"/>
          <w:lang w:val="en-US" w:eastAsia="zh-CN"/>
        </w:rPr>
      </w:pPr>
      <w:r>
        <w:rPr>
          <w:rFonts w:hint="eastAsia"/>
          <w:lang w:val="en-US" w:eastAsia="zh-CN"/>
        </w:rPr>
        <w:t>5位置已调整</w:t>
      </w:r>
      <w:bookmarkStart w:id="15" w:name="_GoBack"/>
      <w:bookmarkEnd w:id="15"/>
    </w:p>
    <w:p w14:paraId="2F66ECD5">
      <w:pPr>
        <w:pStyle w:val="7"/>
        <w:rPr>
          <w:rFonts w:hint="default"/>
          <w:lang w:val="en-US" w:eastAsia="zh-CN"/>
        </w:rPr>
      </w:pPr>
      <w:r>
        <w:rPr>
          <w:rFonts w:hint="eastAsia"/>
          <w:lang w:val="en-US" w:eastAsia="zh-CN"/>
        </w:rPr>
        <w:t>6已补充用地规划图</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669A8057" w15:done="0"/>
  <w15:commentEx w15:paraId="1CD25E7C" w15:done="0" w15:paraIdParent="669A8057"/>
  <w15:commentEx w15:paraId="5875AE60" w15:done="0"/>
  <w15:commentEx w15:paraId="68DC9C30" w15:done="0" w15:paraIdParent="5875AE60"/>
  <w15:commentEx w15:paraId="5A60C8B1" w15:done="0"/>
  <w15:commentEx w15:paraId="5D7AF16F" w15:done="0" w15:paraIdParent="5A60C8B1"/>
  <w15:commentEx w15:paraId="6285BA16" w15:done="0"/>
  <w15:commentEx w15:paraId="795C0CF9" w15:done="0" w15:paraIdParent="6285BA16"/>
  <w15:commentEx w15:paraId="3BDE160B" w15:done="0"/>
  <w15:commentEx w15:paraId="5C4FEE7B" w15:done="0" w15:paraIdParent="3BDE160B"/>
  <w15:commentEx w15:paraId="75A8BB22" w15:done="0"/>
  <w15:commentEx w15:paraId="296C8B5E" w15:done="0" w15:paraIdParent="75A8BB22"/>
  <w15:commentEx w15:paraId="0178C94C" w15:done="0"/>
  <w15:commentEx w15:paraId="7AEC7074" w15:done="0" w15:paraIdParent="0178C94C"/>
  <w15:commentEx w15:paraId="7C5A69A8" w15:done="0"/>
  <w15:commentEx w15:paraId="677B053A" w15:done="0" w15:paraIdParent="7C5A69A8"/>
  <w15:commentEx w15:paraId="7C37614D" w15:done="0"/>
  <w15:commentEx w15:paraId="636CBD37" w15:done="0"/>
  <w15:commentEx w15:paraId="192DCDC3" w15:done="0" w15:paraIdParent="636CBD37"/>
  <w15:commentEx w15:paraId="45B2F239" w15:done="0"/>
  <w15:commentEx w15:paraId="51A70563" w15:done="0" w15:paraIdParent="45B2F239"/>
  <w15:commentEx w15:paraId="55391EEE" w15:done="0"/>
  <w15:commentEx w15:paraId="066BD4B1" w15:done="0" w15:paraIdParent="55391EEE"/>
  <w15:commentEx w15:paraId="35A56078" w15:done="0"/>
  <w15:commentEx w15:paraId="6A1E9572" w15:done="0" w15:paraIdParent="35A56078"/>
  <w15:commentEx w15:paraId="4ECBBD2C" w15:done="0"/>
  <w15:commentEx w15:paraId="62E07355" w15:done="0" w15:paraIdParent="4ECBBD2C"/>
  <w15:commentEx w15:paraId="0E7FA036" w15:done="0"/>
  <w15:commentEx w15:paraId="513BC852" w15:done="0" w15:paraIdParent="0E7FA036"/>
  <w15:commentEx w15:paraId="5BDDC0F3" w15:done="0"/>
  <w15:commentEx w15:paraId="4AD3838B" w15:done="0" w15:paraIdParent="5BDDC0F3"/>
  <w15:commentEx w15:paraId="66A7B749" w15:done="0"/>
  <w15:commentEx w15:paraId="30B16E8B" w15:done="0" w15:paraIdParent="66A7B749"/>
  <w15:commentEx w15:paraId="48203C29" w15:done="0"/>
  <w15:commentEx w15:paraId="6C66D48E" w15:done="0" w15:paraIdParent="48203C29"/>
  <w15:commentEx w15:paraId="47E43F5A" w15:done="0"/>
  <w15:commentEx w15:paraId="26A75DF7" w15:done="0"/>
  <w15:commentEx w15:paraId="06429319" w15:done="0"/>
  <w15:commentEx w15:paraId="6993BEA3" w15:done="0" w15:paraIdParent="06429319"/>
  <w15:commentEx w15:paraId="1324FA90" w15:done="0"/>
  <w15:commentEx w15:paraId="0CC46951" w15:done="0" w15:paraIdParent="1324FA90"/>
  <w15:commentEx w15:paraId="28FECD29" w15:done="0"/>
  <w15:commentEx w15:paraId="1933EDE6" w15:done="0" w15:paraIdParent="28FECD29"/>
  <w15:commentEx w15:paraId="5F4545A3" w15:done="0"/>
  <w15:commentEx w15:paraId="6B7D0458" w15:done="0"/>
  <w15:commentEx w15:paraId="2F66ECD5" w15:done="0" w15:paraIdParent="6B7D0458"/>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auto"/>
    <w:pitch w:val="default"/>
    <w:sig w:usb0="E0002EFF" w:usb1="C000785B" w:usb2="00000009" w:usb3="00000000" w:csb0="400001FF" w:csb1="FFFF0000"/>
  </w:font>
  <w:font w:name="宋体">
    <w:panose1 w:val="02010600030101010101"/>
    <w:charset w:val="A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auto"/>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方正小标宋_GBK">
    <w:altName w:val="微软雅黑"/>
    <w:panose1 w:val="02000000000000000000"/>
    <w:charset w:val="86"/>
    <w:family w:val="script"/>
    <w:pitch w:val="default"/>
    <w:sig w:usb0="00000000" w:usb1="00000000" w:usb2="00082016" w:usb3="00000000" w:csb0="00040001" w:csb1="0000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 w:name="宋体-方正超大字符集">
    <w:altName w:val="宋体"/>
    <w:panose1 w:val="00000000000000000000"/>
    <w:charset w:val="86"/>
    <w:family w:val="script"/>
    <w:pitch w:val="default"/>
    <w:sig w:usb0="00000000" w:usb1="00000000" w:usb2="00000000" w:usb3="00000000" w:csb0="00040000" w:csb1="00000000"/>
  </w:font>
  <w:font w:name="Cambria Math">
    <w:panose1 w:val="02040503050406030204"/>
    <w:charset w:val="00"/>
    <w:family w:val="auto"/>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2E92D">
    <w:pPr>
      <w:pStyle w:val="13"/>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483DE5">
    <w:pPr>
      <w:pStyle w:val="13"/>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41A1AD">
    <w:pPr>
      <w:pStyle w:val="13"/>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C5D652">
    <w:pPr>
      <w:tabs>
        <w:tab w:val="center" w:pos="4153"/>
        <w:tab w:val="right" w:pos="8306"/>
      </w:tabs>
      <w:ind w:firstLine="36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18"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2CFAECB7">
                          <w:pPr>
                            <w:tabs>
                              <w:tab w:val="center" w:pos="4153"/>
                              <w:tab w:val="right" w:pos="8306"/>
                            </w:tabs>
                            <w:ind w:firstLine="360"/>
                            <w:jc w:val="center"/>
                          </w:pPr>
                          <w:r>
                            <w:fldChar w:fldCharType="begin"/>
                          </w:r>
                          <w:r>
                            <w:instrText xml:space="preserve">PAGE   \* MERGEFORMAT</w:instrText>
                          </w:r>
                          <w:r>
                            <w:fldChar w:fldCharType="separate"/>
                          </w:r>
                          <w:r>
                            <w:rPr>
                              <w:lang w:val="zh-CN"/>
                            </w:rPr>
                            <w:t>46</w:t>
                          </w:r>
                          <w:r>
                            <w:rPr>
                              <w:lang w:val="zh-CN"/>
                            </w:rP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15VxM4BAACpAwAADgAAAGRycy9lMm9Eb2MueG1srVNLbtswEN0XyB0I&#10;7mNJXhSGYDlIYaQoEKQF0h6ApkiLAH/g0JZ8gfYGXXXTfc/lc3RISU6abrLIhpofH+e9Ga1vBqPJ&#10;UQRQzja0WpSUCMtdq+y+od++3l2vKIHIbMu0s6KhJwH0ZnP1bt37Wixd53QrAkEQC3XvG9rF6Oui&#10;AN4Jw2DhvLCYlC4YFtEN+6INrEd0o4tlWb4vehdaHxwXABjdjkk6IYbXADopFRdbxw9G2DiiBqFZ&#10;RErQKQ90k7uVUvD4WUoQkeiGItOYT3wE7V06i82a1fvAfKf41AJ7TQsvOBmmLD56gdqyyMghqP+g&#10;jOLBgZNxwZ0pRiJZEWRRlS+0eeyYF5kLSg3+Ijq8HSx/OH4JRLW4CRUO3jKDIz///HH+9ef8+zup&#10;kkC9hxrrHj1WxuGDG7B4jgMGE+9BBpO+yIhgHuU9XeQVQyQ8XVotV6sSUxxzs4P4xdN1HyB+FM6Q&#10;ZDQ04PyyrOx4D3EsnUvSa9bdKa3zDLX9J4CYY0TkJZhuJyZjx8mKw26Y6O1ce0J2PS5CQy3uPSX6&#10;k0Wd087MRpiN3WwcfFD7Dhutcpfgbw8RW8qdphdGWGSYHJxg5jptW1qR536uevrDN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zql5uc8AAAAFAQAADwAAAAAAAAABACAAAAAiAAAAZHJzL2Rvd25y&#10;ZXYueG1sUEsBAhQAFAAAAAgAh07iQP9eVcTOAQAAqQMAAA4AAAAAAAAAAQAgAAAAHgEAAGRycy9l&#10;Mm9Eb2MueG1sUEsFBgAAAAAGAAYAWQEAAF4FAAAAAA==&#10;">
              <v:fill on="f" focussize="0,0"/>
              <v:stroke on="f"/>
              <v:imagedata o:title=""/>
              <o:lock v:ext="edit" aspectratio="f"/>
              <v:textbox inset="0mm,0mm,0mm,0mm" style="mso-fit-shape-to-text:t;">
                <w:txbxContent>
                  <w:p w14:paraId="2CFAECB7">
                    <w:pPr>
                      <w:tabs>
                        <w:tab w:val="center" w:pos="4153"/>
                        <w:tab w:val="right" w:pos="8306"/>
                      </w:tabs>
                      <w:ind w:firstLine="360"/>
                      <w:jc w:val="center"/>
                    </w:pPr>
                    <w:r>
                      <w:fldChar w:fldCharType="begin"/>
                    </w:r>
                    <w:r>
                      <w:instrText xml:space="preserve">PAGE   \* MERGEFORMAT</w:instrText>
                    </w:r>
                    <w:r>
                      <w:fldChar w:fldCharType="separate"/>
                    </w:r>
                    <w:r>
                      <w:rPr>
                        <w:lang w:val="zh-CN"/>
                      </w:rPr>
                      <w:t>46</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376CFB">
    <w:pPr>
      <w:pBdr>
        <w:bottom w:val="none" w:color="auto" w:sz="0" w:space="1"/>
      </w:pBdr>
      <w:tabs>
        <w:tab w:val="center" w:pos="4213"/>
      </w:tabs>
      <w:ind w:firstLine="400"/>
      <w:jc w:val="center"/>
      <w:rPr>
        <w:sz w:val="20"/>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90371C">
    <w:pPr>
      <w:pStyle w:val="14"/>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04F6EE">
    <w:pPr>
      <w:pStyle w:val="14"/>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7FFC8D">
    <w:pPr>
      <w:pBdr>
        <w:bottom w:val="none" w:color="auto" w:sz="0" w:space="1"/>
      </w:pBdr>
      <w:tabs>
        <w:tab w:val="center" w:pos="4213"/>
      </w:tabs>
      <w:ind w:firstLine="400"/>
      <w:jc w:val="center"/>
      <w:rPr>
        <w:sz w:val="20"/>
        <w:szCs w:val="21"/>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99E17CE"/>
    <w:multiLevelType w:val="singleLevel"/>
    <w:tmpl w:val="A99E17CE"/>
    <w:lvl w:ilvl="0" w:tentative="0">
      <w:start w:val="1"/>
      <w:numFmt w:val="decimal"/>
      <w:suff w:val="nothing"/>
      <w:lvlText w:val="（%1）"/>
      <w:lvlJc w:val="left"/>
    </w:lvl>
  </w:abstractNum>
  <w:abstractNum w:abstractNumId="1">
    <w:nsid w:val="B71BC09E"/>
    <w:multiLevelType w:val="singleLevel"/>
    <w:tmpl w:val="B71BC09E"/>
    <w:lvl w:ilvl="0" w:tentative="0">
      <w:start w:val="1"/>
      <w:numFmt w:val="decimal"/>
      <w:suff w:val="nothing"/>
      <w:lvlText w:val="（%1）"/>
      <w:lvlJc w:val="left"/>
    </w:lvl>
  </w:abstractNum>
  <w:abstractNum w:abstractNumId="2">
    <w:nsid w:val="BA567470"/>
    <w:multiLevelType w:val="singleLevel"/>
    <w:tmpl w:val="BA567470"/>
    <w:lvl w:ilvl="0" w:tentative="0">
      <w:start w:val="2"/>
      <w:numFmt w:val="decimal"/>
      <w:suff w:val="nothing"/>
      <w:lvlText w:val="%1、"/>
      <w:lvlJc w:val="left"/>
    </w:lvl>
  </w:abstractNum>
  <w:abstractNum w:abstractNumId="3">
    <w:nsid w:val="BA7B9C83"/>
    <w:multiLevelType w:val="singleLevel"/>
    <w:tmpl w:val="BA7B9C83"/>
    <w:lvl w:ilvl="0" w:tentative="0">
      <w:start w:val="1"/>
      <w:numFmt w:val="decimal"/>
      <w:suff w:val="nothing"/>
      <w:lvlText w:val="（%1）"/>
      <w:lvlJc w:val="left"/>
    </w:lvl>
  </w:abstractNum>
  <w:abstractNum w:abstractNumId="4">
    <w:nsid w:val="CCAFF00F"/>
    <w:multiLevelType w:val="singleLevel"/>
    <w:tmpl w:val="CCAFF00F"/>
    <w:lvl w:ilvl="0" w:tentative="0">
      <w:start w:val="1"/>
      <w:numFmt w:val="decimal"/>
      <w:suff w:val="nothing"/>
      <w:lvlText w:val="（%1）"/>
      <w:lvlJc w:val="left"/>
    </w:lvl>
  </w:abstractNum>
  <w:abstractNum w:abstractNumId="5">
    <w:nsid w:val="0A8387CB"/>
    <w:multiLevelType w:val="singleLevel"/>
    <w:tmpl w:val="0A8387CB"/>
    <w:lvl w:ilvl="0" w:tentative="0">
      <w:start w:val="6"/>
      <w:numFmt w:val="chineseCounting"/>
      <w:suff w:val="nothing"/>
      <w:lvlText w:val="%1、"/>
      <w:lvlJc w:val="left"/>
      <w:rPr>
        <w:rFonts w:hint="eastAsia"/>
      </w:rPr>
    </w:lvl>
  </w:abstractNum>
  <w:abstractNum w:abstractNumId="6">
    <w:nsid w:val="0AF34A28"/>
    <w:multiLevelType w:val="singleLevel"/>
    <w:tmpl w:val="0AF34A28"/>
    <w:lvl w:ilvl="0" w:tentative="0">
      <w:start w:val="1"/>
      <w:numFmt w:val="chineseCounting"/>
      <w:suff w:val="nothing"/>
      <w:lvlText w:val="%1、"/>
      <w:lvlJc w:val="left"/>
      <w:rPr>
        <w:rFonts w:hint="eastAsia"/>
      </w:rPr>
    </w:lvl>
  </w:abstractNum>
  <w:abstractNum w:abstractNumId="7">
    <w:nsid w:val="1A1F2482"/>
    <w:multiLevelType w:val="singleLevel"/>
    <w:tmpl w:val="1A1F2482"/>
    <w:lvl w:ilvl="0" w:tentative="0">
      <w:start w:val="1"/>
      <w:numFmt w:val="decimal"/>
      <w:suff w:val="nothing"/>
      <w:lvlText w:val="%1、"/>
      <w:lvlJc w:val="left"/>
    </w:lvl>
  </w:abstractNum>
  <w:abstractNum w:abstractNumId="8">
    <w:nsid w:val="1C36D1AB"/>
    <w:multiLevelType w:val="singleLevel"/>
    <w:tmpl w:val="1C36D1AB"/>
    <w:lvl w:ilvl="0" w:tentative="0">
      <w:start w:val="1"/>
      <w:numFmt w:val="decimal"/>
      <w:suff w:val="nothing"/>
      <w:lvlText w:val="（%1）"/>
      <w:lvlJc w:val="left"/>
    </w:lvl>
  </w:abstractNum>
  <w:abstractNum w:abstractNumId="9">
    <w:nsid w:val="3A265A00"/>
    <w:multiLevelType w:val="singleLevel"/>
    <w:tmpl w:val="3A265A00"/>
    <w:lvl w:ilvl="0" w:tentative="0">
      <w:start w:val="6"/>
      <w:numFmt w:val="chineseCounting"/>
      <w:lvlText w:val="(%1)"/>
      <w:lvlJc w:val="left"/>
      <w:pPr>
        <w:tabs>
          <w:tab w:val="left" w:pos="312"/>
        </w:tabs>
      </w:pPr>
      <w:rPr>
        <w:rFonts w:hint="eastAsia"/>
      </w:rPr>
    </w:lvl>
  </w:abstractNum>
  <w:abstractNum w:abstractNumId="10">
    <w:nsid w:val="3D472BD8"/>
    <w:multiLevelType w:val="singleLevel"/>
    <w:tmpl w:val="3D472BD8"/>
    <w:lvl w:ilvl="0" w:tentative="0">
      <w:start w:val="2"/>
      <w:numFmt w:val="decimal"/>
      <w:suff w:val="nothing"/>
      <w:lvlText w:val="%1、"/>
      <w:lvlJc w:val="left"/>
    </w:lvl>
  </w:abstractNum>
  <w:abstractNum w:abstractNumId="11">
    <w:nsid w:val="57548ED9"/>
    <w:multiLevelType w:val="singleLevel"/>
    <w:tmpl w:val="57548ED9"/>
    <w:lvl w:ilvl="0" w:tentative="0">
      <w:start w:val="1"/>
      <w:numFmt w:val="decimal"/>
      <w:suff w:val="nothing"/>
      <w:lvlText w:val="（%1）"/>
      <w:lvlJc w:val="left"/>
    </w:lvl>
  </w:abstractNum>
  <w:num w:numId="1">
    <w:abstractNumId w:val="7"/>
  </w:num>
  <w:num w:numId="2">
    <w:abstractNumId w:val="9"/>
  </w:num>
  <w:num w:numId="3">
    <w:abstractNumId w:val="1"/>
  </w:num>
  <w:num w:numId="4">
    <w:abstractNumId w:val="4"/>
  </w:num>
  <w:num w:numId="5">
    <w:abstractNumId w:val="0"/>
  </w:num>
  <w:num w:numId="6">
    <w:abstractNumId w:val="11"/>
  </w:num>
  <w:num w:numId="7">
    <w:abstractNumId w:val="6"/>
  </w:num>
  <w:num w:numId="8">
    <w:abstractNumId w:val="10"/>
  </w:num>
  <w:num w:numId="9">
    <w:abstractNumId w:val="8"/>
  </w:num>
  <w:num w:numId="10">
    <w:abstractNumId w:val="2"/>
  </w:num>
  <w:num w:numId="11">
    <w:abstractNumId w:val="5"/>
  </w:num>
  <w:num w:numId="12">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风帆">
    <w15:presenceInfo w15:providerId="WPS Office" w15:userId="1216846931"/>
  </w15:person>
  <w15:person w15:author="薛凡">
    <w15:presenceInfo w15:providerId="WPS Office" w15:userId="416607627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hideSpellingErrors/>
  <w:documentProtection w:enforcement="0"/>
  <w:defaultTabStop w:val="420"/>
  <w:drawingGridHorizontalSpacing w:val="240"/>
  <w:drawingGridVerticalSpacing w:val="99999990"/>
  <w:displayHorizontalDrawingGridEvery w:val="1"/>
  <w:displayVerticalDrawingGridEvery w:val="1"/>
  <w:noPunctuationKerning w:val="1"/>
  <w:characterSpacingControl w:val="compressPunctuation"/>
  <w:hdr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FmZWIzNDg2MmIzZjExOTIzMmViNTBmYTMwYTk0ZWYifQ=="/>
    <w:docVar w:name="KSO_WPS_MARK_KEY" w:val="493c082b-01f8-4097-9091-bae3d906114c"/>
  </w:docVars>
  <w:rsids>
    <w:rsidRoot w:val="00172A27"/>
    <w:rsid w:val="000023D7"/>
    <w:rsid w:val="000025FE"/>
    <w:rsid w:val="0000264C"/>
    <w:rsid w:val="0000797B"/>
    <w:rsid w:val="00010072"/>
    <w:rsid w:val="00011738"/>
    <w:rsid w:val="00012F18"/>
    <w:rsid w:val="000139C5"/>
    <w:rsid w:val="0001402D"/>
    <w:rsid w:val="00020650"/>
    <w:rsid w:val="000214C2"/>
    <w:rsid w:val="000216A7"/>
    <w:rsid w:val="00022E63"/>
    <w:rsid w:val="00023CF2"/>
    <w:rsid w:val="00023E8B"/>
    <w:rsid w:val="00025721"/>
    <w:rsid w:val="00026992"/>
    <w:rsid w:val="00032C77"/>
    <w:rsid w:val="000340A4"/>
    <w:rsid w:val="00037C26"/>
    <w:rsid w:val="00041DCB"/>
    <w:rsid w:val="000425C9"/>
    <w:rsid w:val="00043370"/>
    <w:rsid w:val="000438EC"/>
    <w:rsid w:val="00050AF9"/>
    <w:rsid w:val="0005319B"/>
    <w:rsid w:val="000534DD"/>
    <w:rsid w:val="000544C1"/>
    <w:rsid w:val="00055887"/>
    <w:rsid w:val="0006187A"/>
    <w:rsid w:val="00062F7F"/>
    <w:rsid w:val="00070306"/>
    <w:rsid w:val="00082030"/>
    <w:rsid w:val="00090E0C"/>
    <w:rsid w:val="00091E91"/>
    <w:rsid w:val="00094F14"/>
    <w:rsid w:val="00095282"/>
    <w:rsid w:val="00095C48"/>
    <w:rsid w:val="000A1366"/>
    <w:rsid w:val="000A1FFB"/>
    <w:rsid w:val="000A46C1"/>
    <w:rsid w:val="000A4E0D"/>
    <w:rsid w:val="000A5489"/>
    <w:rsid w:val="000A5AAD"/>
    <w:rsid w:val="000A6266"/>
    <w:rsid w:val="000A786F"/>
    <w:rsid w:val="000B1292"/>
    <w:rsid w:val="000B38AA"/>
    <w:rsid w:val="000B4220"/>
    <w:rsid w:val="000B4FE7"/>
    <w:rsid w:val="000B6A74"/>
    <w:rsid w:val="000B6DC1"/>
    <w:rsid w:val="000C38F2"/>
    <w:rsid w:val="000C6D0B"/>
    <w:rsid w:val="000C7570"/>
    <w:rsid w:val="000D15B2"/>
    <w:rsid w:val="000D1716"/>
    <w:rsid w:val="000D17C3"/>
    <w:rsid w:val="000D2332"/>
    <w:rsid w:val="000D3343"/>
    <w:rsid w:val="000D3AED"/>
    <w:rsid w:val="000D4B06"/>
    <w:rsid w:val="000D56C8"/>
    <w:rsid w:val="000E0184"/>
    <w:rsid w:val="000E138F"/>
    <w:rsid w:val="000E4086"/>
    <w:rsid w:val="000E5D15"/>
    <w:rsid w:val="000E744A"/>
    <w:rsid w:val="000E7FEE"/>
    <w:rsid w:val="000F0856"/>
    <w:rsid w:val="000F0F71"/>
    <w:rsid w:val="000F203B"/>
    <w:rsid w:val="000F2900"/>
    <w:rsid w:val="000F34B3"/>
    <w:rsid w:val="000F37B5"/>
    <w:rsid w:val="000F4B11"/>
    <w:rsid w:val="000F6637"/>
    <w:rsid w:val="00102739"/>
    <w:rsid w:val="00102773"/>
    <w:rsid w:val="0010367E"/>
    <w:rsid w:val="001101C8"/>
    <w:rsid w:val="0011200C"/>
    <w:rsid w:val="001147ED"/>
    <w:rsid w:val="00114D05"/>
    <w:rsid w:val="00121E10"/>
    <w:rsid w:val="00122690"/>
    <w:rsid w:val="001240A1"/>
    <w:rsid w:val="001243BA"/>
    <w:rsid w:val="00125E27"/>
    <w:rsid w:val="00126D8D"/>
    <w:rsid w:val="001306B7"/>
    <w:rsid w:val="00136318"/>
    <w:rsid w:val="001373CC"/>
    <w:rsid w:val="001373D6"/>
    <w:rsid w:val="00140092"/>
    <w:rsid w:val="001400C4"/>
    <w:rsid w:val="00140A1E"/>
    <w:rsid w:val="00142DC8"/>
    <w:rsid w:val="00143579"/>
    <w:rsid w:val="00145F1B"/>
    <w:rsid w:val="0014686D"/>
    <w:rsid w:val="00146BB3"/>
    <w:rsid w:val="0014787A"/>
    <w:rsid w:val="00150987"/>
    <w:rsid w:val="001509A1"/>
    <w:rsid w:val="00153107"/>
    <w:rsid w:val="00153961"/>
    <w:rsid w:val="001566EB"/>
    <w:rsid w:val="001578FD"/>
    <w:rsid w:val="001615A4"/>
    <w:rsid w:val="00161AB3"/>
    <w:rsid w:val="0016604E"/>
    <w:rsid w:val="001677A2"/>
    <w:rsid w:val="00167D0F"/>
    <w:rsid w:val="00172A27"/>
    <w:rsid w:val="001731BE"/>
    <w:rsid w:val="001734B5"/>
    <w:rsid w:val="00175708"/>
    <w:rsid w:val="00176DAC"/>
    <w:rsid w:val="00177352"/>
    <w:rsid w:val="001805AA"/>
    <w:rsid w:val="0018216B"/>
    <w:rsid w:val="00184E06"/>
    <w:rsid w:val="0018604C"/>
    <w:rsid w:val="001867E9"/>
    <w:rsid w:val="001870EE"/>
    <w:rsid w:val="0018734A"/>
    <w:rsid w:val="001956DC"/>
    <w:rsid w:val="00195D7F"/>
    <w:rsid w:val="001970D8"/>
    <w:rsid w:val="00197335"/>
    <w:rsid w:val="001A009E"/>
    <w:rsid w:val="001A147B"/>
    <w:rsid w:val="001A1C49"/>
    <w:rsid w:val="001A2583"/>
    <w:rsid w:val="001A29B3"/>
    <w:rsid w:val="001A3A75"/>
    <w:rsid w:val="001A60B6"/>
    <w:rsid w:val="001B429D"/>
    <w:rsid w:val="001B637B"/>
    <w:rsid w:val="001C08DC"/>
    <w:rsid w:val="001C2418"/>
    <w:rsid w:val="001C2B96"/>
    <w:rsid w:val="001D0547"/>
    <w:rsid w:val="001D1917"/>
    <w:rsid w:val="001D2A81"/>
    <w:rsid w:val="001D2EA1"/>
    <w:rsid w:val="001D35B6"/>
    <w:rsid w:val="001D5B68"/>
    <w:rsid w:val="001D632F"/>
    <w:rsid w:val="001E0602"/>
    <w:rsid w:val="001E32DD"/>
    <w:rsid w:val="001E785F"/>
    <w:rsid w:val="001F24A8"/>
    <w:rsid w:val="001F30AD"/>
    <w:rsid w:val="001F419F"/>
    <w:rsid w:val="00200269"/>
    <w:rsid w:val="002037AF"/>
    <w:rsid w:val="0020389A"/>
    <w:rsid w:val="00204EBE"/>
    <w:rsid w:val="002053FD"/>
    <w:rsid w:val="00212F5B"/>
    <w:rsid w:val="00213065"/>
    <w:rsid w:val="00214571"/>
    <w:rsid w:val="00214971"/>
    <w:rsid w:val="0021582A"/>
    <w:rsid w:val="00216DB3"/>
    <w:rsid w:val="00222094"/>
    <w:rsid w:val="00222481"/>
    <w:rsid w:val="0022706F"/>
    <w:rsid w:val="00232CF6"/>
    <w:rsid w:val="00235973"/>
    <w:rsid w:val="00240D71"/>
    <w:rsid w:val="0024282B"/>
    <w:rsid w:val="002459D0"/>
    <w:rsid w:val="00246A81"/>
    <w:rsid w:val="0025132D"/>
    <w:rsid w:val="0025369B"/>
    <w:rsid w:val="00255866"/>
    <w:rsid w:val="00255BA9"/>
    <w:rsid w:val="00256FD8"/>
    <w:rsid w:val="00261269"/>
    <w:rsid w:val="00261A45"/>
    <w:rsid w:val="00262D7E"/>
    <w:rsid w:val="00262E33"/>
    <w:rsid w:val="00263974"/>
    <w:rsid w:val="00266D74"/>
    <w:rsid w:val="00271C1A"/>
    <w:rsid w:val="00274D79"/>
    <w:rsid w:val="00276BB1"/>
    <w:rsid w:val="0027701D"/>
    <w:rsid w:val="0027746B"/>
    <w:rsid w:val="002802A6"/>
    <w:rsid w:val="002857F1"/>
    <w:rsid w:val="0028666E"/>
    <w:rsid w:val="00290335"/>
    <w:rsid w:val="00290B8B"/>
    <w:rsid w:val="0029598B"/>
    <w:rsid w:val="00297AE4"/>
    <w:rsid w:val="002A0E29"/>
    <w:rsid w:val="002A0E4E"/>
    <w:rsid w:val="002A4294"/>
    <w:rsid w:val="002B2BBF"/>
    <w:rsid w:val="002B2DA3"/>
    <w:rsid w:val="002C06FC"/>
    <w:rsid w:val="002C1C21"/>
    <w:rsid w:val="002C2056"/>
    <w:rsid w:val="002C253E"/>
    <w:rsid w:val="002C394B"/>
    <w:rsid w:val="002C5C89"/>
    <w:rsid w:val="002C63C7"/>
    <w:rsid w:val="002D3C92"/>
    <w:rsid w:val="002E1988"/>
    <w:rsid w:val="002E30FB"/>
    <w:rsid w:val="002E382B"/>
    <w:rsid w:val="002E4C6C"/>
    <w:rsid w:val="002E5718"/>
    <w:rsid w:val="002E612F"/>
    <w:rsid w:val="002E6546"/>
    <w:rsid w:val="002F35BC"/>
    <w:rsid w:val="002F5D70"/>
    <w:rsid w:val="00300026"/>
    <w:rsid w:val="0030215C"/>
    <w:rsid w:val="003024E5"/>
    <w:rsid w:val="00304166"/>
    <w:rsid w:val="00305A91"/>
    <w:rsid w:val="003103C5"/>
    <w:rsid w:val="00312C12"/>
    <w:rsid w:val="00316B6D"/>
    <w:rsid w:val="00317314"/>
    <w:rsid w:val="003230A3"/>
    <w:rsid w:val="0032577A"/>
    <w:rsid w:val="0032624B"/>
    <w:rsid w:val="0033052F"/>
    <w:rsid w:val="00332D6B"/>
    <w:rsid w:val="00333A65"/>
    <w:rsid w:val="00336D9F"/>
    <w:rsid w:val="003379CF"/>
    <w:rsid w:val="00337C89"/>
    <w:rsid w:val="003524A5"/>
    <w:rsid w:val="00352745"/>
    <w:rsid w:val="0035303D"/>
    <w:rsid w:val="00354BF0"/>
    <w:rsid w:val="003551AC"/>
    <w:rsid w:val="00356AB9"/>
    <w:rsid w:val="003614FA"/>
    <w:rsid w:val="00365648"/>
    <w:rsid w:val="0037285A"/>
    <w:rsid w:val="00374021"/>
    <w:rsid w:val="00374378"/>
    <w:rsid w:val="00376074"/>
    <w:rsid w:val="00376DCC"/>
    <w:rsid w:val="003823F1"/>
    <w:rsid w:val="00382B2B"/>
    <w:rsid w:val="00383857"/>
    <w:rsid w:val="00385AA1"/>
    <w:rsid w:val="00387252"/>
    <w:rsid w:val="0039092C"/>
    <w:rsid w:val="003915F8"/>
    <w:rsid w:val="003915FA"/>
    <w:rsid w:val="003A24E7"/>
    <w:rsid w:val="003A2A1F"/>
    <w:rsid w:val="003A449D"/>
    <w:rsid w:val="003A5A97"/>
    <w:rsid w:val="003A5F5B"/>
    <w:rsid w:val="003A76CB"/>
    <w:rsid w:val="003B611B"/>
    <w:rsid w:val="003B7C0B"/>
    <w:rsid w:val="003C2FAD"/>
    <w:rsid w:val="003C3CA7"/>
    <w:rsid w:val="003C6144"/>
    <w:rsid w:val="003C78B1"/>
    <w:rsid w:val="003D0D57"/>
    <w:rsid w:val="003D17E2"/>
    <w:rsid w:val="003D1DA7"/>
    <w:rsid w:val="003D2601"/>
    <w:rsid w:val="003D2E93"/>
    <w:rsid w:val="003D46BF"/>
    <w:rsid w:val="003D59D1"/>
    <w:rsid w:val="003D5B1E"/>
    <w:rsid w:val="003D5DAC"/>
    <w:rsid w:val="003D63DD"/>
    <w:rsid w:val="003D6E87"/>
    <w:rsid w:val="003E03F9"/>
    <w:rsid w:val="003E0C48"/>
    <w:rsid w:val="003E2C4D"/>
    <w:rsid w:val="003E62B0"/>
    <w:rsid w:val="003E6E62"/>
    <w:rsid w:val="003F0F59"/>
    <w:rsid w:val="003F2B97"/>
    <w:rsid w:val="003F509B"/>
    <w:rsid w:val="003F61CE"/>
    <w:rsid w:val="00403469"/>
    <w:rsid w:val="00403795"/>
    <w:rsid w:val="0040676C"/>
    <w:rsid w:val="00411B80"/>
    <w:rsid w:val="00416668"/>
    <w:rsid w:val="004179C6"/>
    <w:rsid w:val="004225D5"/>
    <w:rsid w:val="00422F87"/>
    <w:rsid w:val="00425229"/>
    <w:rsid w:val="004263BC"/>
    <w:rsid w:val="00430F9C"/>
    <w:rsid w:val="0043106A"/>
    <w:rsid w:val="00431E13"/>
    <w:rsid w:val="004329D2"/>
    <w:rsid w:val="0043751F"/>
    <w:rsid w:val="00440FF9"/>
    <w:rsid w:val="0044192E"/>
    <w:rsid w:val="00441A0E"/>
    <w:rsid w:val="004457EF"/>
    <w:rsid w:val="004478FD"/>
    <w:rsid w:val="004514DA"/>
    <w:rsid w:val="004514E2"/>
    <w:rsid w:val="00453E71"/>
    <w:rsid w:val="00454EB5"/>
    <w:rsid w:val="00455C2B"/>
    <w:rsid w:val="004565A5"/>
    <w:rsid w:val="00456973"/>
    <w:rsid w:val="00461F46"/>
    <w:rsid w:val="00462B45"/>
    <w:rsid w:val="00464AC0"/>
    <w:rsid w:val="00464B6D"/>
    <w:rsid w:val="00465118"/>
    <w:rsid w:val="00465D0C"/>
    <w:rsid w:val="00466666"/>
    <w:rsid w:val="00471C9A"/>
    <w:rsid w:val="00472F8C"/>
    <w:rsid w:val="0047327C"/>
    <w:rsid w:val="004762FB"/>
    <w:rsid w:val="0047724D"/>
    <w:rsid w:val="0048371C"/>
    <w:rsid w:val="00483ECB"/>
    <w:rsid w:val="00485A00"/>
    <w:rsid w:val="0048768E"/>
    <w:rsid w:val="00487F62"/>
    <w:rsid w:val="00491F6A"/>
    <w:rsid w:val="00492A0F"/>
    <w:rsid w:val="004948F5"/>
    <w:rsid w:val="0049654F"/>
    <w:rsid w:val="004968C4"/>
    <w:rsid w:val="004A0C59"/>
    <w:rsid w:val="004A335C"/>
    <w:rsid w:val="004A33ED"/>
    <w:rsid w:val="004A3AD5"/>
    <w:rsid w:val="004A6C72"/>
    <w:rsid w:val="004A7340"/>
    <w:rsid w:val="004B180E"/>
    <w:rsid w:val="004B72CD"/>
    <w:rsid w:val="004B7BA2"/>
    <w:rsid w:val="004C01F8"/>
    <w:rsid w:val="004C0D84"/>
    <w:rsid w:val="004C0FBA"/>
    <w:rsid w:val="004C2693"/>
    <w:rsid w:val="004C26E3"/>
    <w:rsid w:val="004C27B5"/>
    <w:rsid w:val="004C2BA0"/>
    <w:rsid w:val="004C3928"/>
    <w:rsid w:val="004C467D"/>
    <w:rsid w:val="004C48B1"/>
    <w:rsid w:val="004C546B"/>
    <w:rsid w:val="004C6CCD"/>
    <w:rsid w:val="004D032B"/>
    <w:rsid w:val="004D04BE"/>
    <w:rsid w:val="004D1FCB"/>
    <w:rsid w:val="004D48AA"/>
    <w:rsid w:val="004D54CC"/>
    <w:rsid w:val="004D6C7B"/>
    <w:rsid w:val="004D73FB"/>
    <w:rsid w:val="004D75FB"/>
    <w:rsid w:val="004D7E40"/>
    <w:rsid w:val="004E4193"/>
    <w:rsid w:val="004E4C31"/>
    <w:rsid w:val="004E4CBD"/>
    <w:rsid w:val="004E56BA"/>
    <w:rsid w:val="004E7A46"/>
    <w:rsid w:val="004F2E3D"/>
    <w:rsid w:val="004F4C97"/>
    <w:rsid w:val="004F74E1"/>
    <w:rsid w:val="004F7775"/>
    <w:rsid w:val="005010E0"/>
    <w:rsid w:val="00502724"/>
    <w:rsid w:val="00502852"/>
    <w:rsid w:val="0050311D"/>
    <w:rsid w:val="005062A9"/>
    <w:rsid w:val="00507001"/>
    <w:rsid w:val="005106AE"/>
    <w:rsid w:val="0051088B"/>
    <w:rsid w:val="005112C4"/>
    <w:rsid w:val="005142D5"/>
    <w:rsid w:val="00516185"/>
    <w:rsid w:val="005177AA"/>
    <w:rsid w:val="005204FC"/>
    <w:rsid w:val="00521718"/>
    <w:rsid w:val="005270D6"/>
    <w:rsid w:val="0053045F"/>
    <w:rsid w:val="00531A98"/>
    <w:rsid w:val="00536D4A"/>
    <w:rsid w:val="00537182"/>
    <w:rsid w:val="0053721A"/>
    <w:rsid w:val="00537C29"/>
    <w:rsid w:val="00540D93"/>
    <w:rsid w:val="00543A9D"/>
    <w:rsid w:val="00545C91"/>
    <w:rsid w:val="00551A93"/>
    <w:rsid w:val="00553BC0"/>
    <w:rsid w:val="00554CC4"/>
    <w:rsid w:val="00555254"/>
    <w:rsid w:val="0055574E"/>
    <w:rsid w:val="0055588A"/>
    <w:rsid w:val="00556127"/>
    <w:rsid w:val="00556450"/>
    <w:rsid w:val="00557A40"/>
    <w:rsid w:val="00560449"/>
    <w:rsid w:val="00561C95"/>
    <w:rsid w:val="00561F91"/>
    <w:rsid w:val="0056240B"/>
    <w:rsid w:val="0056342D"/>
    <w:rsid w:val="00564F88"/>
    <w:rsid w:val="00565E70"/>
    <w:rsid w:val="005716DC"/>
    <w:rsid w:val="00571C95"/>
    <w:rsid w:val="00572587"/>
    <w:rsid w:val="00581E0E"/>
    <w:rsid w:val="0058754B"/>
    <w:rsid w:val="005920F3"/>
    <w:rsid w:val="005922A6"/>
    <w:rsid w:val="005925A9"/>
    <w:rsid w:val="00593662"/>
    <w:rsid w:val="00594381"/>
    <w:rsid w:val="00596CDF"/>
    <w:rsid w:val="00597F2B"/>
    <w:rsid w:val="005A0E68"/>
    <w:rsid w:val="005A6A57"/>
    <w:rsid w:val="005A7016"/>
    <w:rsid w:val="005B01B3"/>
    <w:rsid w:val="005B1778"/>
    <w:rsid w:val="005B257E"/>
    <w:rsid w:val="005B2D3A"/>
    <w:rsid w:val="005B3634"/>
    <w:rsid w:val="005B43FB"/>
    <w:rsid w:val="005B65CC"/>
    <w:rsid w:val="005B66F2"/>
    <w:rsid w:val="005C053F"/>
    <w:rsid w:val="005C16EC"/>
    <w:rsid w:val="005C22FB"/>
    <w:rsid w:val="005C2FE2"/>
    <w:rsid w:val="005C3515"/>
    <w:rsid w:val="005C6289"/>
    <w:rsid w:val="005C77F4"/>
    <w:rsid w:val="005D061B"/>
    <w:rsid w:val="005D3736"/>
    <w:rsid w:val="005D46F2"/>
    <w:rsid w:val="005D6579"/>
    <w:rsid w:val="005D6F43"/>
    <w:rsid w:val="005E1D61"/>
    <w:rsid w:val="005E217C"/>
    <w:rsid w:val="005E43D1"/>
    <w:rsid w:val="005E49B2"/>
    <w:rsid w:val="005E4B49"/>
    <w:rsid w:val="005E515C"/>
    <w:rsid w:val="005F0300"/>
    <w:rsid w:val="005F3DA9"/>
    <w:rsid w:val="005F4B29"/>
    <w:rsid w:val="00600739"/>
    <w:rsid w:val="00601B83"/>
    <w:rsid w:val="006027D7"/>
    <w:rsid w:val="00603C3B"/>
    <w:rsid w:val="00610DBC"/>
    <w:rsid w:val="00611C49"/>
    <w:rsid w:val="00611F2C"/>
    <w:rsid w:val="00614B27"/>
    <w:rsid w:val="00615B02"/>
    <w:rsid w:val="00617915"/>
    <w:rsid w:val="00620290"/>
    <w:rsid w:val="0062139F"/>
    <w:rsid w:val="00623513"/>
    <w:rsid w:val="00623ECD"/>
    <w:rsid w:val="006327A9"/>
    <w:rsid w:val="006335E2"/>
    <w:rsid w:val="006369E2"/>
    <w:rsid w:val="00636A79"/>
    <w:rsid w:val="0063762D"/>
    <w:rsid w:val="00640471"/>
    <w:rsid w:val="006422AB"/>
    <w:rsid w:val="006442C5"/>
    <w:rsid w:val="006500CF"/>
    <w:rsid w:val="006525D9"/>
    <w:rsid w:val="006529E8"/>
    <w:rsid w:val="00653FD7"/>
    <w:rsid w:val="00654B6C"/>
    <w:rsid w:val="00654D0D"/>
    <w:rsid w:val="006559F0"/>
    <w:rsid w:val="006569ED"/>
    <w:rsid w:val="006571C4"/>
    <w:rsid w:val="00657760"/>
    <w:rsid w:val="0066018B"/>
    <w:rsid w:val="006610D1"/>
    <w:rsid w:val="00670254"/>
    <w:rsid w:val="0067203F"/>
    <w:rsid w:val="0067307D"/>
    <w:rsid w:val="00673167"/>
    <w:rsid w:val="00674F9D"/>
    <w:rsid w:val="006757B2"/>
    <w:rsid w:val="006766EE"/>
    <w:rsid w:val="00676E10"/>
    <w:rsid w:val="0067780B"/>
    <w:rsid w:val="00677CE3"/>
    <w:rsid w:val="00681255"/>
    <w:rsid w:val="006817DA"/>
    <w:rsid w:val="0068345D"/>
    <w:rsid w:val="00683B53"/>
    <w:rsid w:val="006850C8"/>
    <w:rsid w:val="0068568A"/>
    <w:rsid w:val="0068651F"/>
    <w:rsid w:val="00686F9B"/>
    <w:rsid w:val="00687C19"/>
    <w:rsid w:val="00690A9C"/>
    <w:rsid w:val="00690D07"/>
    <w:rsid w:val="006948F6"/>
    <w:rsid w:val="006A0319"/>
    <w:rsid w:val="006A0417"/>
    <w:rsid w:val="006A3043"/>
    <w:rsid w:val="006A3868"/>
    <w:rsid w:val="006A40E0"/>
    <w:rsid w:val="006A65F9"/>
    <w:rsid w:val="006A6822"/>
    <w:rsid w:val="006A7F56"/>
    <w:rsid w:val="006B35F7"/>
    <w:rsid w:val="006B3EA1"/>
    <w:rsid w:val="006B6A25"/>
    <w:rsid w:val="006C05B5"/>
    <w:rsid w:val="006C292B"/>
    <w:rsid w:val="006C32A6"/>
    <w:rsid w:val="006C71BA"/>
    <w:rsid w:val="006D033B"/>
    <w:rsid w:val="006D044A"/>
    <w:rsid w:val="006D0694"/>
    <w:rsid w:val="006D55DA"/>
    <w:rsid w:val="006D6510"/>
    <w:rsid w:val="006E1181"/>
    <w:rsid w:val="006E13EC"/>
    <w:rsid w:val="006E1F2D"/>
    <w:rsid w:val="006E2B40"/>
    <w:rsid w:val="006E36CE"/>
    <w:rsid w:val="006E469D"/>
    <w:rsid w:val="006E5E3C"/>
    <w:rsid w:val="006E790E"/>
    <w:rsid w:val="006F18D5"/>
    <w:rsid w:val="006F2BBB"/>
    <w:rsid w:val="006F471C"/>
    <w:rsid w:val="006F47F8"/>
    <w:rsid w:val="006F610A"/>
    <w:rsid w:val="006F7B0E"/>
    <w:rsid w:val="00701E21"/>
    <w:rsid w:val="0070201A"/>
    <w:rsid w:val="00702CA3"/>
    <w:rsid w:val="00702FB3"/>
    <w:rsid w:val="00704655"/>
    <w:rsid w:val="00710C93"/>
    <w:rsid w:val="007123A9"/>
    <w:rsid w:val="00714DBF"/>
    <w:rsid w:val="0071543F"/>
    <w:rsid w:val="0072508C"/>
    <w:rsid w:val="007264A4"/>
    <w:rsid w:val="00726FCE"/>
    <w:rsid w:val="007275F4"/>
    <w:rsid w:val="00731224"/>
    <w:rsid w:val="0073329D"/>
    <w:rsid w:val="007346D3"/>
    <w:rsid w:val="007356CB"/>
    <w:rsid w:val="0073652A"/>
    <w:rsid w:val="007368AB"/>
    <w:rsid w:val="00737D46"/>
    <w:rsid w:val="00742B20"/>
    <w:rsid w:val="00743A36"/>
    <w:rsid w:val="00743C95"/>
    <w:rsid w:val="00744EA2"/>
    <w:rsid w:val="007460E0"/>
    <w:rsid w:val="007576B4"/>
    <w:rsid w:val="007577F1"/>
    <w:rsid w:val="0076414A"/>
    <w:rsid w:val="007645C5"/>
    <w:rsid w:val="0076653D"/>
    <w:rsid w:val="007707BB"/>
    <w:rsid w:val="00772050"/>
    <w:rsid w:val="007720AF"/>
    <w:rsid w:val="00775955"/>
    <w:rsid w:val="00776EDE"/>
    <w:rsid w:val="007807AB"/>
    <w:rsid w:val="007813C5"/>
    <w:rsid w:val="00785015"/>
    <w:rsid w:val="007870F7"/>
    <w:rsid w:val="007875C7"/>
    <w:rsid w:val="00787A00"/>
    <w:rsid w:val="00790251"/>
    <w:rsid w:val="007924A1"/>
    <w:rsid w:val="007933D8"/>
    <w:rsid w:val="007949F6"/>
    <w:rsid w:val="007979FD"/>
    <w:rsid w:val="007A12B6"/>
    <w:rsid w:val="007A1732"/>
    <w:rsid w:val="007A3FAC"/>
    <w:rsid w:val="007A3FE9"/>
    <w:rsid w:val="007A77E2"/>
    <w:rsid w:val="007B1FC4"/>
    <w:rsid w:val="007B2766"/>
    <w:rsid w:val="007B5927"/>
    <w:rsid w:val="007B703E"/>
    <w:rsid w:val="007B78B7"/>
    <w:rsid w:val="007B7F6E"/>
    <w:rsid w:val="007C6E46"/>
    <w:rsid w:val="007C7F7D"/>
    <w:rsid w:val="007D10E9"/>
    <w:rsid w:val="007D2F61"/>
    <w:rsid w:val="007D3620"/>
    <w:rsid w:val="007E121F"/>
    <w:rsid w:val="007E5F36"/>
    <w:rsid w:val="007E7ABF"/>
    <w:rsid w:val="007F0605"/>
    <w:rsid w:val="007F0A1D"/>
    <w:rsid w:val="007F35C5"/>
    <w:rsid w:val="007F48ED"/>
    <w:rsid w:val="007F49DE"/>
    <w:rsid w:val="007F5850"/>
    <w:rsid w:val="007F6A70"/>
    <w:rsid w:val="007F7596"/>
    <w:rsid w:val="007F769D"/>
    <w:rsid w:val="007F7993"/>
    <w:rsid w:val="007F7BD9"/>
    <w:rsid w:val="00800106"/>
    <w:rsid w:val="00800B34"/>
    <w:rsid w:val="008015BC"/>
    <w:rsid w:val="008020C1"/>
    <w:rsid w:val="0080667C"/>
    <w:rsid w:val="0081017A"/>
    <w:rsid w:val="00813F43"/>
    <w:rsid w:val="008157DB"/>
    <w:rsid w:val="008210BC"/>
    <w:rsid w:val="0082197B"/>
    <w:rsid w:val="008231F1"/>
    <w:rsid w:val="008233AB"/>
    <w:rsid w:val="00825DA2"/>
    <w:rsid w:val="00827080"/>
    <w:rsid w:val="0082737A"/>
    <w:rsid w:val="00827A8B"/>
    <w:rsid w:val="008316B5"/>
    <w:rsid w:val="008344EC"/>
    <w:rsid w:val="008349D2"/>
    <w:rsid w:val="008368BA"/>
    <w:rsid w:val="00836A73"/>
    <w:rsid w:val="0084023D"/>
    <w:rsid w:val="0084222F"/>
    <w:rsid w:val="00843002"/>
    <w:rsid w:val="00845C6A"/>
    <w:rsid w:val="0085063B"/>
    <w:rsid w:val="00853CF5"/>
    <w:rsid w:val="00853EBB"/>
    <w:rsid w:val="008542A8"/>
    <w:rsid w:val="00854CC4"/>
    <w:rsid w:val="008574C0"/>
    <w:rsid w:val="00860011"/>
    <w:rsid w:val="00861F55"/>
    <w:rsid w:val="0086267A"/>
    <w:rsid w:val="008650FE"/>
    <w:rsid w:val="008660DC"/>
    <w:rsid w:val="0086748B"/>
    <w:rsid w:val="00870827"/>
    <w:rsid w:val="00871D11"/>
    <w:rsid w:val="00872CE7"/>
    <w:rsid w:val="00873561"/>
    <w:rsid w:val="00873FD7"/>
    <w:rsid w:val="00874337"/>
    <w:rsid w:val="00874E1B"/>
    <w:rsid w:val="00874F16"/>
    <w:rsid w:val="00874F52"/>
    <w:rsid w:val="008752C9"/>
    <w:rsid w:val="0087631B"/>
    <w:rsid w:val="0087633C"/>
    <w:rsid w:val="0088007B"/>
    <w:rsid w:val="00880792"/>
    <w:rsid w:val="00880C81"/>
    <w:rsid w:val="00884229"/>
    <w:rsid w:val="00884C41"/>
    <w:rsid w:val="00893677"/>
    <w:rsid w:val="00893D23"/>
    <w:rsid w:val="00893D86"/>
    <w:rsid w:val="00894D29"/>
    <w:rsid w:val="00897A12"/>
    <w:rsid w:val="008A0428"/>
    <w:rsid w:val="008A2039"/>
    <w:rsid w:val="008A3D44"/>
    <w:rsid w:val="008A4B53"/>
    <w:rsid w:val="008A4E96"/>
    <w:rsid w:val="008A6DB2"/>
    <w:rsid w:val="008A7EA1"/>
    <w:rsid w:val="008B336B"/>
    <w:rsid w:val="008B3A76"/>
    <w:rsid w:val="008B4C5A"/>
    <w:rsid w:val="008B536A"/>
    <w:rsid w:val="008D203B"/>
    <w:rsid w:val="008D2895"/>
    <w:rsid w:val="008D5B83"/>
    <w:rsid w:val="008D7068"/>
    <w:rsid w:val="008D712E"/>
    <w:rsid w:val="008D7F90"/>
    <w:rsid w:val="008E21A7"/>
    <w:rsid w:val="008F66E4"/>
    <w:rsid w:val="008F7590"/>
    <w:rsid w:val="0090046A"/>
    <w:rsid w:val="00901248"/>
    <w:rsid w:val="00902201"/>
    <w:rsid w:val="00902C8F"/>
    <w:rsid w:val="009048DE"/>
    <w:rsid w:val="00905152"/>
    <w:rsid w:val="00905E6A"/>
    <w:rsid w:val="00910C9B"/>
    <w:rsid w:val="00911DC2"/>
    <w:rsid w:val="00912794"/>
    <w:rsid w:val="009127A4"/>
    <w:rsid w:val="0091723F"/>
    <w:rsid w:val="009174D5"/>
    <w:rsid w:val="009208A1"/>
    <w:rsid w:val="00922814"/>
    <w:rsid w:val="00925111"/>
    <w:rsid w:val="009274EC"/>
    <w:rsid w:val="00932CC7"/>
    <w:rsid w:val="009358E6"/>
    <w:rsid w:val="009359CC"/>
    <w:rsid w:val="009366F2"/>
    <w:rsid w:val="00941558"/>
    <w:rsid w:val="00946E72"/>
    <w:rsid w:val="00947B36"/>
    <w:rsid w:val="00950D24"/>
    <w:rsid w:val="00953F73"/>
    <w:rsid w:val="00955E50"/>
    <w:rsid w:val="00956665"/>
    <w:rsid w:val="0096185C"/>
    <w:rsid w:val="009623A9"/>
    <w:rsid w:val="00963C3D"/>
    <w:rsid w:val="009663EB"/>
    <w:rsid w:val="00966AE1"/>
    <w:rsid w:val="00967234"/>
    <w:rsid w:val="00967A1D"/>
    <w:rsid w:val="009701FE"/>
    <w:rsid w:val="00970756"/>
    <w:rsid w:val="0097089E"/>
    <w:rsid w:val="00970D3E"/>
    <w:rsid w:val="00971A45"/>
    <w:rsid w:val="00972E41"/>
    <w:rsid w:val="009732E8"/>
    <w:rsid w:val="00976B2C"/>
    <w:rsid w:val="00980C1F"/>
    <w:rsid w:val="00981488"/>
    <w:rsid w:val="009826B0"/>
    <w:rsid w:val="00983799"/>
    <w:rsid w:val="009848B7"/>
    <w:rsid w:val="00985D92"/>
    <w:rsid w:val="00986877"/>
    <w:rsid w:val="00987010"/>
    <w:rsid w:val="00990879"/>
    <w:rsid w:val="009909C2"/>
    <w:rsid w:val="00990F6B"/>
    <w:rsid w:val="00991249"/>
    <w:rsid w:val="00991A95"/>
    <w:rsid w:val="00994B63"/>
    <w:rsid w:val="00995CFE"/>
    <w:rsid w:val="009B26AA"/>
    <w:rsid w:val="009B57E8"/>
    <w:rsid w:val="009B5A66"/>
    <w:rsid w:val="009C2EFC"/>
    <w:rsid w:val="009C3658"/>
    <w:rsid w:val="009C5D8D"/>
    <w:rsid w:val="009D1135"/>
    <w:rsid w:val="009D146F"/>
    <w:rsid w:val="009D4835"/>
    <w:rsid w:val="009D4BE5"/>
    <w:rsid w:val="009D5154"/>
    <w:rsid w:val="009D7B8D"/>
    <w:rsid w:val="009E0CBA"/>
    <w:rsid w:val="009E1556"/>
    <w:rsid w:val="009E2F82"/>
    <w:rsid w:val="009E4486"/>
    <w:rsid w:val="009E4793"/>
    <w:rsid w:val="009E5673"/>
    <w:rsid w:val="009E63D2"/>
    <w:rsid w:val="009E7D05"/>
    <w:rsid w:val="009F0189"/>
    <w:rsid w:val="009F7053"/>
    <w:rsid w:val="00A006BD"/>
    <w:rsid w:val="00A009E4"/>
    <w:rsid w:val="00A05548"/>
    <w:rsid w:val="00A05AAB"/>
    <w:rsid w:val="00A07CAD"/>
    <w:rsid w:val="00A1184F"/>
    <w:rsid w:val="00A1399D"/>
    <w:rsid w:val="00A14247"/>
    <w:rsid w:val="00A148FE"/>
    <w:rsid w:val="00A15A6F"/>
    <w:rsid w:val="00A161C2"/>
    <w:rsid w:val="00A16EC3"/>
    <w:rsid w:val="00A17CD3"/>
    <w:rsid w:val="00A207D5"/>
    <w:rsid w:val="00A228BA"/>
    <w:rsid w:val="00A23130"/>
    <w:rsid w:val="00A2317D"/>
    <w:rsid w:val="00A24BE5"/>
    <w:rsid w:val="00A250EB"/>
    <w:rsid w:val="00A25505"/>
    <w:rsid w:val="00A25679"/>
    <w:rsid w:val="00A263C8"/>
    <w:rsid w:val="00A30423"/>
    <w:rsid w:val="00A32567"/>
    <w:rsid w:val="00A32F2F"/>
    <w:rsid w:val="00A3555A"/>
    <w:rsid w:val="00A358E6"/>
    <w:rsid w:val="00A35EF8"/>
    <w:rsid w:val="00A37A53"/>
    <w:rsid w:val="00A463A4"/>
    <w:rsid w:val="00A46C5C"/>
    <w:rsid w:val="00A476CE"/>
    <w:rsid w:val="00A51352"/>
    <w:rsid w:val="00A53CC8"/>
    <w:rsid w:val="00A56C54"/>
    <w:rsid w:val="00A608A6"/>
    <w:rsid w:val="00A620F9"/>
    <w:rsid w:val="00A6564E"/>
    <w:rsid w:val="00A67AEC"/>
    <w:rsid w:val="00A81810"/>
    <w:rsid w:val="00A84ED4"/>
    <w:rsid w:val="00A87B5E"/>
    <w:rsid w:val="00A934C6"/>
    <w:rsid w:val="00A937AF"/>
    <w:rsid w:val="00A96874"/>
    <w:rsid w:val="00AA45CC"/>
    <w:rsid w:val="00AA52EE"/>
    <w:rsid w:val="00AA53DA"/>
    <w:rsid w:val="00AA58B4"/>
    <w:rsid w:val="00AA6070"/>
    <w:rsid w:val="00AA6B32"/>
    <w:rsid w:val="00AA7BFE"/>
    <w:rsid w:val="00AB2B37"/>
    <w:rsid w:val="00AB3970"/>
    <w:rsid w:val="00AB529A"/>
    <w:rsid w:val="00AB6BE8"/>
    <w:rsid w:val="00AC0783"/>
    <w:rsid w:val="00AC2F28"/>
    <w:rsid w:val="00AC54C5"/>
    <w:rsid w:val="00AC5F16"/>
    <w:rsid w:val="00AC5FFE"/>
    <w:rsid w:val="00AD0FF2"/>
    <w:rsid w:val="00AD325D"/>
    <w:rsid w:val="00AD4198"/>
    <w:rsid w:val="00AD4579"/>
    <w:rsid w:val="00AE0357"/>
    <w:rsid w:val="00AE0B6A"/>
    <w:rsid w:val="00AE69C6"/>
    <w:rsid w:val="00AF3C94"/>
    <w:rsid w:val="00AF4341"/>
    <w:rsid w:val="00AF4E7A"/>
    <w:rsid w:val="00AF5CE5"/>
    <w:rsid w:val="00AF7E67"/>
    <w:rsid w:val="00B02380"/>
    <w:rsid w:val="00B03C42"/>
    <w:rsid w:val="00B0502A"/>
    <w:rsid w:val="00B057F5"/>
    <w:rsid w:val="00B06547"/>
    <w:rsid w:val="00B07399"/>
    <w:rsid w:val="00B07743"/>
    <w:rsid w:val="00B07B63"/>
    <w:rsid w:val="00B103F7"/>
    <w:rsid w:val="00B10DE1"/>
    <w:rsid w:val="00B12681"/>
    <w:rsid w:val="00B126E7"/>
    <w:rsid w:val="00B12F5E"/>
    <w:rsid w:val="00B133A2"/>
    <w:rsid w:val="00B21073"/>
    <w:rsid w:val="00B21B28"/>
    <w:rsid w:val="00B21B8A"/>
    <w:rsid w:val="00B21C08"/>
    <w:rsid w:val="00B22244"/>
    <w:rsid w:val="00B24B65"/>
    <w:rsid w:val="00B25094"/>
    <w:rsid w:val="00B254C0"/>
    <w:rsid w:val="00B30CE4"/>
    <w:rsid w:val="00B3278C"/>
    <w:rsid w:val="00B346E0"/>
    <w:rsid w:val="00B351F6"/>
    <w:rsid w:val="00B41681"/>
    <w:rsid w:val="00B41C2F"/>
    <w:rsid w:val="00B47575"/>
    <w:rsid w:val="00B475CB"/>
    <w:rsid w:val="00B50A98"/>
    <w:rsid w:val="00B513DA"/>
    <w:rsid w:val="00B5476A"/>
    <w:rsid w:val="00B548AC"/>
    <w:rsid w:val="00B54F82"/>
    <w:rsid w:val="00B6046E"/>
    <w:rsid w:val="00B61CE5"/>
    <w:rsid w:val="00B61EDF"/>
    <w:rsid w:val="00B6364D"/>
    <w:rsid w:val="00B66487"/>
    <w:rsid w:val="00B66820"/>
    <w:rsid w:val="00B6790A"/>
    <w:rsid w:val="00B7183D"/>
    <w:rsid w:val="00B73C49"/>
    <w:rsid w:val="00B73DE0"/>
    <w:rsid w:val="00B74704"/>
    <w:rsid w:val="00B74CBE"/>
    <w:rsid w:val="00B76A7C"/>
    <w:rsid w:val="00B805D0"/>
    <w:rsid w:val="00B813CA"/>
    <w:rsid w:val="00B82890"/>
    <w:rsid w:val="00B8583E"/>
    <w:rsid w:val="00B900BE"/>
    <w:rsid w:val="00B92263"/>
    <w:rsid w:val="00B92EBF"/>
    <w:rsid w:val="00B94814"/>
    <w:rsid w:val="00B948D5"/>
    <w:rsid w:val="00B96440"/>
    <w:rsid w:val="00B964B0"/>
    <w:rsid w:val="00B97FE3"/>
    <w:rsid w:val="00BA1E8C"/>
    <w:rsid w:val="00BA26C3"/>
    <w:rsid w:val="00BA2B19"/>
    <w:rsid w:val="00BA3A77"/>
    <w:rsid w:val="00BA5118"/>
    <w:rsid w:val="00BA5BB0"/>
    <w:rsid w:val="00BA7C75"/>
    <w:rsid w:val="00BB0352"/>
    <w:rsid w:val="00BB10BA"/>
    <w:rsid w:val="00BB46DA"/>
    <w:rsid w:val="00BB4960"/>
    <w:rsid w:val="00BB5A0E"/>
    <w:rsid w:val="00BB62E4"/>
    <w:rsid w:val="00BB6E8C"/>
    <w:rsid w:val="00BC14DC"/>
    <w:rsid w:val="00BC7630"/>
    <w:rsid w:val="00BD1A30"/>
    <w:rsid w:val="00BD2189"/>
    <w:rsid w:val="00BD3376"/>
    <w:rsid w:val="00BD7859"/>
    <w:rsid w:val="00BE030D"/>
    <w:rsid w:val="00BE11B3"/>
    <w:rsid w:val="00BE221B"/>
    <w:rsid w:val="00BE3C2D"/>
    <w:rsid w:val="00BE50A9"/>
    <w:rsid w:val="00BE58E8"/>
    <w:rsid w:val="00BE63F3"/>
    <w:rsid w:val="00BF008F"/>
    <w:rsid w:val="00BF0D77"/>
    <w:rsid w:val="00BF26C8"/>
    <w:rsid w:val="00BF2D1B"/>
    <w:rsid w:val="00BF401D"/>
    <w:rsid w:val="00BF460E"/>
    <w:rsid w:val="00BF6B35"/>
    <w:rsid w:val="00C0061D"/>
    <w:rsid w:val="00C01B1B"/>
    <w:rsid w:val="00C02BE5"/>
    <w:rsid w:val="00C0444C"/>
    <w:rsid w:val="00C1148A"/>
    <w:rsid w:val="00C11DA5"/>
    <w:rsid w:val="00C127F5"/>
    <w:rsid w:val="00C12F98"/>
    <w:rsid w:val="00C16768"/>
    <w:rsid w:val="00C25EE2"/>
    <w:rsid w:val="00C27940"/>
    <w:rsid w:val="00C36441"/>
    <w:rsid w:val="00C37DC7"/>
    <w:rsid w:val="00C41AC3"/>
    <w:rsid w:val="00C434A3"/>
    <w:rsid w:val="00C4525E"/>
    <w:rsid w:val="00C50150"/>
    <w:rsid w:val="00C515A7"/>
    <w:rsid w:val="00C53B4D"/>
    <w:rsid w:val="00C57CB7"/>
    <w:rsid w:val="00C57D6F"/>
    <w:rsid w:val="00C60130"/>
    <w:rsid w:val="00C62E46"/>
    <w:rsid w:val="00C6402E"/>
    <w:rsid w:val="00C64552"/>
    <w:rsid w:val="00C6513D"/>
    <w:rsid w:val="00C653D0"/>
    <w:rsid w:val="00C65AA2"/>
    <w:rsid w:val="00C74FC1"/>
    <w:rsid w:val="00C76B6C"/>
    <w:rsid w:val="00C77132"/>
    <w:rsid w:val="00C83C2E"/>
    <w:rsid w:val="00C84114"/>
    <w:rsid w:val="00C8785B"/>
    <w:rsid w:val="00C904E3"/>
    <w:rsid w:val="00C926CA"/>
    <w:rsid w:val="00C95B10"/>
    <w:rsid w:val="00CA0150"/>
    <w:rsid w:val="00CA14C2"/>
    <w:rsid w:val="00CA2FEA"/>
    <w:rsid w:val="00CA4967"/>
    <w:rsid w:val="00CA6556"/>
    <w:rsid w:val="00CB1B0D"/>
    <w:rsid w:val="00CB2464"/>
    <w:rsid w:val="00CB2829"/>
    <w:rsid w:val="00CB332E"/>
    <w:rsid w:val="00CB38AD"/>
    <w:rsid w:val="00CB3D1A"/>
    <w:rsid w:val="00CB6F33"/>
    <w:rsid w:val="00CC0520"/>
    <w:rsid w:val="00CC1180"/>
    <w:rsid w:val="00CC31B6"/>
    <w:rsid w:val="00CC3F5A"/>
    <w:rsid w:val="00CC5EB4"/>
    <w:rsid w:val="00CD0FDC"/>
    <w:rsid w:val="00CD2412"/>
    <w:rsid w:val="00CD2430"/>
    <w:rsid w:val="00CD25AE"/>
    <w:rsid w:val="00CD2956"/>
    <w:rsid w:val="00CD2959"/>
    <w:rsid w:val="00CD4DDA"/>
    <w:rsid w:val="00CD4EA5"/>
    <w:rsid w:val="00CD6EBA"/>
    <w:rsid w:val="00CD713F"/>
    <w:rsid w:val="00CD71FA"/>
    <w:rsid w:val="00CD7A99"/>
    <w:rsid w:val="00CE106B"/>
    <w:rsid w:val="00CE7F4F"/>
    <w:rsid w:val="00CF0DEC"/>
    <w:rsid w:val="00CF2BBE"/>
    <w:rsid w:val="00CF52A8"/>
    <w:rsid w:val="00CF7FBC"/>
    <w:rsid w:val="00D00987"/>
    <w:rsid w:val="00D009FC"/>
    <w:rsid w:val="00D0139F"/>
    <w:rsid w:val="00D02328"/>
    <w:rsid w:val="00D037D3"/>
    <w:rsid w:val="00D11039"/>
    <w:rsid w:val="00D12FAD"/>
    <w:rsid w:val="00D1707D"/>
    <w:rsid w:val="00D22153"/>
    <w:rsid w:val="00D222D9"/>
    <w:rsid w:val="00D24100"/>
    <w:rsid w:val="00D25D9F"/>
    <w:rsid w:val="00D27409"/>
    <w:rsid w:val="00D27B42"/>
    <w:rsid w:val="00D27C91"/>
    <w:rsid w:val="00D324B7"/>
    <w:rsid w:val="00D337C7"/>
    <w:rsid w:val="00D34E32"/>
    <w:rsid w:val="00D37F89"/>
    <w:rsid w:val="00D443A0"/>
    <w:rsid w:val="00D44C5A"/>
    <w:rsid w:val="00D46CE0"/>
    <w:rsid w:val="00D51C67"/>
    <w:rsid w:val="00D51FB0"/>
    <w:rsid w:val="00D520F9"/>
    <w:rsid w:val="00D542AB"/>
    <w:rsid w:val="00D546E5"/>
    <w:rsid w:val="00D566F6"/>
    <w:rsid w:val="00D5677D"/>
    <w:rsid w:val="00D60047"/>
    <w:rsid w:val="00D62EFC"/>
    <w:rsid w:val="00D634A1"/>
    <w:rsid w:val="00D63736"/>
    <w:rsid w:val="00D64520"/>
    <w:rsid w:val="00D646F4"/>
    <w:rsid w:val="00D70756"/>
    <w:rsid w:val="00D71782"/>
    <w:rsid w:val="00D71F1C"/>
    <w:rsid w:val="00D71FC5"/>
    <w:rsid w:val="00D7267F"/>
    <w:rsid w:val="00D72B51"/>
    <w:rsid w:val="00D7423A"/>
    <w:rsid w:val="00D767E4"/>
    <w:rsid w:val="00D77C5C"/>
    <w:rsid w:val="00D83688"/>
    <w:rsid w:val="00D83B77"/>
    <w:rsid w:val="00D8523D"/>
    <w:rsid w:val="00D85698"/>
    <w:rsid w:val="00D86909"/>
    <w:rsid w:val="00D92CB4"/>
    <w:rsid w:val="00D92DDA"/>
    <w:rsid w:val="00D9382D"/>
    <w:rsid w:val="00D93EBC"/>
    <w:rsid w:val="00D94161"/>
    <w:rsid w:val="00D94314"/>
    <w:rsid w:val="00D955E1"/>
    <w:rsid w:val="00D962D5"/>
    <w:rsid w:val="00DA49C2"/>
    <w:rsid w:val="00DA4BC7"/>
    <w:rsid w:val="00DA588C"/>
    <w:rsid w:val="00DB135F"/>
    <w:rsid w:val="00DB32F8"/>
    <w:rsid w:val="00DB4C2B"/>
    <w:rsid w:val="00DB58E4"/>
    <w:rsid w:val="00DB5EE1"/>
    <w:rsid w:val="00DC378A"/>
    <w:rsid w:val="00DD0EE8"/>
    <w:rsid w:val="00DD0F4C"/>
    <w:rsid w:val="00DD1521"/>
    <w:rsid w:val="00DD3317"/>
    <w:rsid w:val="00DD5935"/>
    <w:rsid w:val="00DD5BE6"/>
    <w:rsid w:val="00DD6113"/>
    <w:rsid w:val="00DD7393"/>
    <w:rsid w:val="00DE0FF4"/>
    <w:rsid w:val="00DE3BA7"/>
    <w:rsid w:val="00DF2BE3"/>
    <w:rsid w:val="00DF43B6"/>
    <w:rsid w:val="00DF4EEC"/>
    <w:rsid w:val="00DF55E5"/>
    <w:rsid w:val="00DF566B"/>
    <w:rsid w:val="00DF63EE"/>
    <w:rsid w:val="00DF68DC"/>
    <w:rsid w:val="00E02118"/>
    <w:rsid w:val="00E02B46"/>
    <w:rsid w:val="00E0342F"/>
    <w:rsid w:val="00E05583"/>
    <w:rsid w:val="00E06417"/>
    <w:rsid w:val="00E07372"/>
    <w:rsid w:val="00E07EEE"/>
    <w:rsid w:val="00E1080D"/>
    <w:rsid w:val="00E12FB3"/>
    <w:rsid w:val="00E2239B"/>
    <w:rsid w:val="00E23EAD"/>
    <w:rsid w:val="00E27F03"/>
    <w:rsid w:val="00E31FD8"/>
    <w:rsid w:val="00E33F8E"/>
    <w:rsid w:val="00E3464A"/>
    <w:rsid w:val="00E355E6"/>
    <w:rsid w:val="00E415F4"/>
    <w:rsid w:val="00E4206C"/>
    <w:rsid w:val="00E421EA"/>
    <w:rsid w:val="00E432C3"/>
    <w:rsid w:val="00E50807"/>
    <w:rsid w:val="00E508B4"/>
    <w:rsid w:val="00E54D88"/>
    <w:rsid w:val="00E55A55"/>
    <w:rsid w:val="00E55D00"/>
    <w:rsid w:val="00E5767D"/>
    <w:rsid w:val="00E60A46"/>
    <w:rsid w:val="00E6192D"/>
    <w:rsid w:val="00E61FCA"/>
    <w:rsid w:val="00E62A90"/>
    <w:rsid w:val="00E65B31"/>
    <w:rsid w:val="00E666D5"/>
    <w:rsid w:val="00E66F0A"/>
    <w:rsid w:val="00E67856"/>
    <w:rsid w:val="00E70BEA"/>
    <w:rsid w:val="00E731A4"/>
    <w:rsid w:val="00E74B2E"/>
    <w:rsid w:val="00E76EB9"/>
    <w:rsid w:val="00E771D3"/>
    <w:rsid w:val="00E77E94"/>
    <w:rsid w:val="00E803E8"/>
    <w:rsid w:val="00E80E96"/>
    <w:rsid w:val="00E8703A"/>
    <w:rsid w:val="00E931B7"/>
    <w:rsid w:val="00E95C04"/>
    <w:rsid w:val="00E9663D"/>
    <w:rsid w:val="00E96A5C"/>
    <w:rsid w:val="00E973E7"/>
    <w:rsid w:val="00E97F44"/>
    <w:rsid w:val="00EA101B"/>
    <w:rsid w:val="00EA28E4"/>
    <w:rsid w:val="00EA2C4E"/>
    <w:rsid w:val="00EA6AB4"/>
    <w:rsid w:val="00EA736A"/>
    <w:rsid w:val="00EB15C3"/>
    <w:rsid w:val="00EB2C11"/>
    <w:rsid w:val="00EB443A"/>
    <w:rsid w:val="00EB4F9D"/>
    <w:rsid w:val="00EB5FDF"/>
    <w:rsid w:val="00EB6307"/>
    <w:rsid w:val="00EB6D47"/>
    <w:rsid w:val="00EB7486"/>
    <w:rsid w:val="00EC5E7E"/>
    <w:rsid w:val="00EC76BD"/>
    <w:rsid w:val="00ED0610"/>
    <w:rsid w:val="00ED289F"/>
    <w:rsid w:val="00ED2AD0"/>
    <w:rsid w:val="00ED4B22"/>
    <w:rsid w:val="00ED62B5"/>
    <w:rsid w:val="00EE6363"/>
    <w:rsid w:val="00EE65F6"/>
    <w:rsid w:val="00EE7CB8"/>
    <w:rsid w:val="00EF0EDB"/>
    <w:rsid w:val="00EF1D6B"/>
    <w:rsid w:val="00EF445F"/>
    <w:rsid w:val="00EF4942"/>
    <w:rsid w:val="00EF5710"/>
    <w:rsid w:val="00EF7E3D"/>
    <w:rsid w:val="00F00697"/>
    <w:rsid w:val="00F027AA"/>
    <w:rsid w:val="00F1191B"/>
    <w:rsid w:val="00F12888"/>
    <w:rsid w:val="00F144F1"/>
    <w:rsid w:val="00F146DE"/>
    <w:rsid w:val="00F15C10"/>
    <w:rsid w:val="00F16FA1"/>
    <w:rsid w:val="00F17B9C"/>
    <w:rsid w:val="00F2078E"/>
    <w:rsid w:val="00F23199"/>
    <w:rsid w:val="00F24984"/>
    <w:rsid w:val="00F258B5"/>
    <w:rsid w:val="00F26C2F"/>
    <w:rsid w:val="00F26FA7"/>
    <w:rsid w:val="00F27F05"/>
    <w:rsid w:val="00F30C19"/>
    <w:rsid w:val="00F31587"/>
    <w:rsid w:val="00F33040"/>
    <w:rsid w:val="00F33911"/>
    <w:rsid w:val="00F34F94"/>
    <w:rsid w:val="00F35904"/>
    <w:rsid w:val="00F35EE1"/>
    <w:rsid w:val="00F428F2"/>
    <w:rsid w:val="00F465A8"/>
    <w:rsid w:val="00F47A5D"/>
    <w:rsid w:val="00F47ED7"/>
    <w:rsid w:val="00F5087D"/>
    <w:rsid w:val="00F52252"/>
    <w:rsid w:val="00F53C6E"/>
    <w:rsid w:val="00F55B76"/>
    <w:rsid w:val="00F56D28"/>
    <w:rsid w:val="00F60213"/>
    <w:rsid w:val="00F60CAB"/>
    <w:rsid w:val="00F62479"/>
    <w:rsid w:val="00F62E45"/>
    <w:rsid w:val="00F65958"/>
    <w:rsid w:val="00F70F39"/>
    <w:rsid w:val="00F715D4"/>
    <w:rsid w:val="00F72654"/>
    <w:rsid w:val="00F74E6F"/>
    <w:rsid w:val="00F75731"/>
    <w:rsid w:val="00F776EA"/>
    <w:rsid w:val="00F8024E"/>
    <w:rsid w:val="00F809F4"/>
    <w:rsid w:val="00F820F9"/>
    <w:rsid w:val="00F84FFC"/>
    <w:rsid w:val="00F86CB3"/>
    <w:rsid w:val="00F93D85"/>
    <w:rsid w:val="00F9466B"/>
    <w:rsid w:val="00F9691F"/>
    <w:rsid w:val="00F975A1"/>
    <w:rsid w:val="00FA0E1A"/>
    <w:rsid w:val="00FA2D75"/>
    <w:rsid w:val="00FA4B20"/>
    <w:rsid w:val="00FA4C20"/>
    <w:rsid w:val="00FA53B0"/>
    <w:rsid w:val="00FA5869"/>
    <w:rsid w:val="00FA615F"/>
    <w:rsid w:val="00FA6AEA"/>
    <w:rsid w:val="00FA7017"/>
    <w:rsid w:val="00FB2E58"/>
    <w:rsid w:val="00FB379E"/>
    <w:rsid w:val="00FB49E0"/>
    <w:rsid w:val="00FB52F9"/>
    <w:rsid w:val="00FB5624"/>
    <w:rsid w:val="00FB76C5"/>
    <w:rsid w:val="00FC0D94"/>
    <w:rsid w:val="00FC19AD"/>
    <w:rsid w:val="00FC4313"/>
    <w:rsid w:val="00FC6B33"/>
    <w:rsid w:val="00FD0B59"/>
    <w:rsid w:val="00FD24BF"/>
    <w:rsid w:val="00FD3C04"/>
    <w:rsid w:val="00FD4D9A"/>
    <w:rsid w:val="00FD502C"/>
    <w:rsid w:val="00FD54E6"/>
    <w:rsid w:val="00FD5794"/>
    <w:rsid w:val="00FD6665"/>
    <w:rsid w:val="00FE01B4"/>
    <w:rsid w:val="00FE2E0B"/>
    <w:rsid w:val="00FE358E"/>
    <w:rsid w:val="00FE5708"/>
    <w:rsid w:val="00FE6020"/>
    <w:rsid w:val="00FE6EDD"/>
    <w:rsid w:val="00FF04DB"/>
    <w:rsid w:val="00FF06AD"/>
    <w:rsid w:val="00FF2ADF"/>
    <w:rsid w:val="00FF38D0"/>
    <w:rsid w:val="00FF7D9E"/>
    <w:rsid w:val="011C78EE"/>
    <w:rsid w:val="0152795B"/>
    <w:rsid w:val="01706D33"/>
    <w:rsid w:val="0174627D"/>
    <w:rsid w:val="017F17BC"/>
    <w:rsid w:val="01802F78"/>
    <w:rsid w:val="018548D9"/>
    <w:rsid w:val="01AE0820"/>
    <w:rsid w:val="01D32315"/>
    <w:rsid w:val="01DF4C4F"/>
    <w:rsid w:val="02144A36"/>
    <w:rsid w:val="022A1418"/>
    <w:rsid w:val="022B0E5C"/>
    <w:rsid w:val="02564D4B"/>
    <w:rsid w:val="02865FF3"/>
    <w:rsid w:val="02947F8A"/>
    <w:rsid w:val="02993ED9"/>
    <w:rsid w:val="029E0E03"/>
    <w:rsid w:val="02A209F3"/>
    <w:rsid w:val="02B53517"/>
    <w:rsid w:val="02C053B4"/>
    <w:rsid w:val="02D70B03"/>
    <w:rsid w:val="02E030AC"/>
    <w:rsid w:val="02EB05EB"/>
    <w:rsid w:val="031C0786"/>
    <w:rsid w:val="0322005C"/>
    <w:rsid w:val="03571279"/>
    <w:rsid w:val="037133B1"/>
    <w:rsid w:val="037B7025"/>
    <w:rsid w:val="037D2DE7"/>
    <w:rsid w:val="03822F19"/>
    <w:rsid w:val="038A76A9"/>
    <w:rsid w:val="039D105F"/>
    <w:rsid w:val="03B57291"/>
    <w:rsid w:val="03B70B59"/>
    <w:rsid w:val="03BB4AE0"/>
    <w:rsid w:val="03C527A5"/>
    <w:rsid w:val="03CC47F7"/>
    <w:rsid w:val="03DB41BC"/>
    <w:rsid w:val="03DE501C"/>
    <w:rsid w:val="03DF3D4F"/>
    <w:rsid w:val="03EC0BD7"/>
    <w:rsid w:val="03EC4350"/>
    <w:rsid w:val="03ED4D31"/>
    <w:rsid w:val="03EE1670"/>
    <w:rsid w:val="03F84C0A"/>
    <w:rsid w:val="04006CC5"/>
    <w:rsid w:val="040E0AC7"/>
    <w:rsid w:val="0410637B"/>
    <w:rsid w:val="041E64A4"/>
    <w:rsid w:val="041F406C"/>
    <w:rsid w:val="0429749E"/>
    <w:rsid w:val="043B6EEC"/>
    <w:rsid w:val="044A592F"/>
    <w:rsid w:val="045D7210"/>
    <w:rsid w:val="046214A9"/>
    <w:rsid w:val="04632495"/>
    <w:rsid w:val="0494005E"/>
    <w:rsid w:val="0494241D"/>
    <w:rsid w:val="04990099"/>
    <w:rsid w:val="04B46BCC"/>
    <w:rsid w:val="04C3508B"/>
    <w:rsid w:val="04C40A71"/>
    <w:rsid w:val="04CE19EB"/>
    <w:rsid w:val="05025778"/>
    <w:rsid w:val="052C08B8"/>
    <w:rsid w:val="052F1C5E"/>
    <w:rsid w:val="052F4464"/>
    <w:rsid w:val="053132BC"/>
    <w:rsid w:val="05454082"/>
    <w:rsid w:val="05515CD0"/>
    <w:rsid w:val="055344A1"/>
    <w:rsid w:val="05696C71"/>
    <w:rsid w:val="056F0CC3"/>
    <w:rsid w:val="057345F3"/>
    <w:rsid w:val="05762577"/>
    <w:rsid w:val="05914C57"/>
    <w:rsid w:val="05960570"/>
    <w:rsid w:val="05A252B3"/>
    <w:rsid w:val="05AF7640"/>
    <w:rsid w:val="05B222A3"/>
    <w:rsid w:val="05BB0C97"/>
    <w:rsid w:val="05C700F0"/>
    <w:rsid w:val="05D6473D"/>
    <w:rsid w:val="05E8544C"/>
    <w:rsid w:val="05ED3DE4"/>
    <w:rsid w:val="05FA5679"/>
    <w:rsid w:val="060860A9"/>
    <w:rsid w:val="060D2062"/>
    <w:rsid w:val="060D21D6"/>
    <w:rsid w:val="060D69D5"/>
    <w:rsid w:val="06100956"/>
    <w:rsid w:val="06264BF3"/>
    <w:rsid w:val="062C0CFF"/>
    <w:rsid w:val="064928C1"/>
    <w:rsid w:val="06717718"/>
    <w:rsid w:val="06845FD1"/>
    <w:rsid w:val="068A4D9E"/>
    <w:rsid w:val="06A310F5"/>
    <w:rsid w:val="06E00214"/>
    <w:rsid w:val="06F5751E"/>
    <w:rsid w:val="06FD56F4"/>
    <w:rsid w:val="071F6AB6"/>
    <w:rsid w:val="07211778"/>
    <w:rsid w:val="07341522"/>
    <w:rsid w:val="073F3000"/>
    <w:rsid w:val="07445FF1"/>
    <w:rsid w:val="075F6A24"/>
    <w:rsid w:val="076517D2"/>
    <w:rsid w:val="077D6974"/>
    <w:rsid w:val="079721C9"/>
    <w:rsid w:val="079E04BF"/>
    <w:rsid w:val="07B52037"/>
    <w:rsid w:val="07B766D9"/>
    <w:rsid w:val="07CA04E2"/>
    <w:rsid w:val="07DC6755"/>
    <w:rsid w:val="07DC6AE9"/>
    <w:rsid w:val="07EE7372"/>
    <w:rsid w:val="07F91A49"/>
    <w:rsid w:val="08245307"/>
    <w:rsid w:val="08296D91"/>
    <w:rsid w:val="083828E1"/>
    <w:rsid w:val="0841271D"/>
    <w:rsid w:val="084A3FA9"/>
    <w:rsid w:val="087C1DD9"/>
    <w:rsid w:val="087E7524"/>
    <w:rsid w:val="089B4DB3"/>
    <w:rsid w:val="08DB7D76"/>
    <w:rsid w:val="08E26D52"/>
    <w:rsid w:val="08E6788B"/>
    <w:rsid w:val="09117D6B"/>
    <w:rsid w:val="09153569"/>
    <w:rsid w:val="092D3A71"/>
    <w:rsid w:val="09302997"/>
    <w:rsid w:val="093A21B9"/>
    <w:rsid w:val="0941475A"/>
    <w:rsid w:val="095C0E69"/>
    <w:rsid w:val="095E547B"/>
    <w:rsid w:val="097A4477"/>
    <w:rsid w:val="097D2444"/>
    <w:rsid w:val="098100CF"/>
    <w:rsid w:val="09861AA3"/>
    <w:rsid w:val="098E4E37"/>
    <w:rsid w:val="099119A1"/>
    <w:rsid w:val="09944284"/>
    <w:rsid w:val="099C01A2"/>
    <w:rsid w:val="099C5571"/>
    <w:rsid w:val="09A37D75"/>
    <w:rsid w:val="09A478E5"/>
    <w:rsid w:val="09B12013"/>
    <w:rsid w:val="09B1293D"/>
    <w:rsid w:val="09B80ABE"/>
    <w:rsid w:val="09BF52BB"/>
    <w:rsid w:val="09CD13A0"/>
    <w:rsid w:val="09D81779"/>
    <w:rsid w:val="09DA6224"/>
    <w:rsid w:val="09DC2D55"/>
    <w:rsid w:val="09E36400"/>
    <w:rsid w:val="09EC53E1"/>
    <w:rsid w:val="0A047628"/>
    <w:rsid w:val="0A1A6D2D"/>
    <w:rsid w:val="0A2963C3"/>
    <w:rsid w:val="0A6E1750"/>
    <w:rsid w:val="0A72768C"/>
    <w:rsid w:val="0A783EF2"/>
    <w:rsid w:val="0A790B64"/>
    <w:rsid w:val="0AA969FB"/>
    <w:rsid w:val="0AB73615"/>
    <w:rsid w:val="0ABB7441"/>
    <w:rsid w:val="0AC440F5"/>
    <w:rsid w:val="0AC73F32"/>
    <w:rsid w:val="0AE908BE"/>
    <w:rsid w:val="0B0F66BA"/>
    <w:rsid w:val="0B2F503C"/>
    <w:rsid w:val="0B506641"/>
    <w:rsid w:val="0B5E3D9D"/>
    <w:rsid w:val="0B6142B7"/>
    <w:rsid w:val="0B627207"/>
    <w:rsid w:val="0B6B1E13"/>
    <w:rsid w:val="0B7117AF"/>
    <w:rsid w:val="0B905EC4"/>
    <w:rsid w:val="0B9A495D"/>
    <w:rsid w:val="0BB352F2"/>
    <w:rsid w:val="0BBD3768"/>
    <w:rsid w:val="0BC66E3F"/>
    <w:rsid w:val="0BCB4FC7"/>
    <w:rsid w:val="0BCF2D76"/>
    <w:rsid w:val="0BD0037E"/>
    <w:rsid w:val="0BE2094D"/>
    <w:rsid w:val="0BF73505"/>
    <w:rsid w:val="0BFA30BA"/>
    <w:rsid w:val="0BFF2C6A"/>
    <w:rsid w:val="0C094AC2"/>
    <w:rsid w:val="0C1C1BCD"/>
    <w:rsid w:val="0C3C6598"/>
    <w:rsid w:val="0C3E7C58"/>
    <w:rsid w:val="0C5E5EFE"/>
    <w:rsid w:val="0C973219"/>
    <w:rsid w:val="0CB6128E"/>
    <w:rsid w:val="0CC20318"/>
    <w:rsid w:val="0CC56FFE"/>
    <w:rsid w:val="0CCE5649"/>
    <w:rsid w:val="0CE54F43"/>
    <w:rsid w:val="0D0107E5"/>
    <w:rsid w:val="0D0414CB"/>
    <w:rsid w:val="0D044CFC"/>
    <w:rsid w:val="0D0F214F"/>
    <w:rsid w:val="0D2A599A"/>
    <w:rsid w:val="0D452FCB"/>
    <w:rsid w:val="0D5A4FA0"/>
    <w:rsid w:val="0D645222"/>
    <w:rsid w:val="0D7C3072"/>
    <w:rsid w:val="0D7C5772"/>
    <w:rsid w:val="0D960150"/>
    <w:rsid w:val="0DA95031"/>
    <w:rsid w:val="0DB21B1E"/>
    <w:rsid w:val="0DCB34F3"/>
    <w:rsid w:val="0DD1622F"/>
    <w:rsid w:val="0DFD1CF0"/>
    <w:rsid w:val="0E04395B"/>
    <w:rsid w:val="0E046FF3"/>
    <w:rsid w:val="0E11587D"/>
    <w:rsid w:val="0E1162F7"/>
    <w:rsid w:val="0E21777C"/>
    <w:rsid w:val="0E3E56DE"/>
    <w:rsid w:val="0E3F5B47"/>
    <w:rsid w:val="0E403D64"/>
    <w:rsid w:val="0E5400C6"/>
    <w:rsid w:val="0E5A2C8B"/>
    <w:rsid w:val="0E5C2D96"/>
    <w:rsid w:val="0E7771D7"/>
    <w:rsid w:val="0E8B3647"/>
    <w:rsid w:val="0E8C6339"/>
    <w:rsid w:val="0E990B9C"/>
    <w:rsid w:val="0EAF3FFE"/>
    <w:rsid w:val="0ECD225B"/>
    <w:rsid w:val="0F1E2D93"/>
    <w:rsid w:val="0F2E6C95"/>
    <w:rsid w:val="0F48778A"/>
    <w:rsid w:val="0F54159D"/>
    <w:rsid w:val="0F602FE5"/>
    <w:rsid w:val="0F7207D6"/>
    <w:rsid w:val="0F735793"/>
    <w:rsid w:val="0F77362A"/>
    <w:rsid w:val="0F810EC5"/>
    <w:rsid w:val="0F865924"/>
    <w:rsid w:val="0F8E53AD"/>
    <w:rsid w:val="0F9146CA"/>
    <w:rsid w:val="0FA96AF5"/>
    <w:rsid w:val="0FBF094B"/>
    <w:rsid w:val="0FC2610C"/>
    <w:rsid w:val="0FD205BC"/>
    <w:rsid w:val="0FD3668F"/>
    <w:rsid w:val="0FE67215"/>
    <w:rsid w:val="0FED59A3"/>
    <w:rsid w:val="103C57E5"/>
    <w:rsid w:val="1048677F"/>
    <w:rsid w:val="10602553"/>
    <w:rsid w:val="106130F4"/>
    <w:rsid w:val="10842F50"/>
    <w:rsid w:val="10A5627E"/>
    <w:rsid w:val="10B21D88"/>
    <w:rsid w:val="10B847C8"/>
    <w:rsid w:val="10BC7D53"/>
    <w:rsid w:val="10C766D0"/>
    <w:rsid w:val="10CA54BC"/>
    <w:rsid w:val="10F70427"/>
    <w:rsid w:val="10FF6E3B"/>
    <w:rsid w:val="1102722C"/>
    <w:rsid w:val="11071147"/>
    <w:rsid w:val="113160C2"/>
    <w:rsid w:val="113B385E"/>
    <w:rsid w:val="114F41B6"/>
    <w:rsid w:val="11553041"/>
    <w:rsid w:val="116578E9"/>
    <w:rsid w:val="11831AAF"/>
    <w:rsid w:val="118A4ED4"/>
    <w:rsid w:val="1194228D"/>
    <w:rsid w:val="11A8245D"/>
    <w:rsid w:val="11BA2451"/>
    <w:rsid w:val="11C272DB"/>
    <w:rsid w:val="11C9066B"/>
    <w:rsid w:val="11CA2FAB"/>
    <w:rsid w:val="11D549C7"/>
    <w:rsid w:val="11D74027"/>
    <w:rsid w:val="11E05DF5"/>
    <w:rsid w:val="11F03528"/>
    <w:rsid w:val="11F16015"/>
    <w:rsid w:val="11FA084B"/>
    <w:rsid w:val="11FB2676"/>
    <w:rsid w:val="120738D3"/>
    <w:rsid w:val="12541A92"/>
    <w:rsid w:val="126F51ED"/>
    <w:rsid w:val="12722657"/>
    <w:rsid w:val="127A52D3"/>
    <w:rsid w:val="12865C3B"/>
    <w:rsid w:val="12891705"/>
    <w:rsid w:val="12B80E4F"/>
    <w:rsid w:val="12B84CC9"/>
    <w:rsid w:val="12BC2C23"/>
    <w:rsid w:val="12D87AD6"/>
    <w:rsid w:val="12DC5E42"/>
    <w:rsid w:val="12E31358"/>
    <w:rsid w:val="12E4429F"/>
    <w:rsid w:val="13145BB4"/>
    <w:rsid w:val="132A6D46"/>
    <w:rsid w:val="132E5726"/>
    <w:rsid w:val="13433175"/>
    <w:rsid w:val="13434055"/>
    <w:rsid w:val="134C6789"/>
    <w:rsid w:val="13642DB7"/>
    <w:rsid w:val="136D4A03"/>
    <w:rsid w:val="137428A2"/>
    <w:rsid w:val="13816E0B"/>
    <w:rsid w:val="13B17CB5"/>
    <w:rsid w:val="13B21A28"/>
    <w:rsid w:val="13C34C6E"/>
    <w:rsid w:val="13C5443B"/>
    <w:rsid w:val="13DF35E1"/>
    <w:rsid w:val="13E250F3"/>
    <w:rsid w:val="13E550BF"/>
    <w:rsid w:val="14001BA0"/>
    <w:rsid w:val="14010977"/>
    <w:rsid w:val="14124799"/>
    <w:rsid w:val="1414208E"/>
    <w:rsid w:val="14214BC4"/>
    <w:rsid w:val="143657FD"/>
    <w:rsid w:val="14440B5D"/>
    <w:rsid w:val="146F1977"/>
    <w:rsid w:val="149630E7"/>
    <w:rsid w:val="14A46B6C"/>
    <w:rsid w:val="14BE5A27"/>
    <w:rsid w:val="14C265BD"/>
    <w:rsid w:val="14CE2B22"/>
    <w:rsid w:val="14ED4C5F"/>
    <w:rsid w:val="14ED611E"/>
    <w:rsid w:val="14EF3B56"/>
    <w:rsid w:val="14F82489"/>
    <w:rsid w:val="150966B8"/>
    <w:rsid w:val="151B37BD"/>
    <w:rsid w:val="152A66D8"/>
    <w:rsid w:val="154871D8"/>
    <w:rsid w:val="1549245E"/>
    <w:rsid w:val="15544611"/>
    <w:rsid w:val="15606A8F"/>
    <w:rsid w:val="156110FE"/>
    <w:rsid w:val="15707690"/>
    <w:rsid w:val="157E7004"/>
    <w:rsid w:val="15960586"/>
    <w:rsid w:val="1598015F"/>
    <w:rsid w:val="15992403"/>
    <w:rsid w:val="15B722F4"/>
    <w:rsid w:val="15C46DDF"/>
    <w:rsid w:val="15C94A4C"/>
    <w:rsid w:val="15D16764"/>
    <w:rsid w:val="15E01C8A"/>
    <w:rsid w:val="15E251FA"/>
    <w:rsid w:val="15E6711C"/>
    <w:rsid w:val="15FF4C81"/>
    <w:rsid w:val="163B7E01"/>
    <w:rsid w:val="16486A9F"/>
    <w:rsid w:val="16585740"/>
    <w:rsid w:val="165E4793"/>
    <w:rsid w:val="165F550C"/>
    <w:rsid w:val="16773476"/>
    <w:rsid w:val="169039EA"/>
    <w:rsid w:val="16AF602D"/>
    <w:rsid w:val="16B1216D"/>
    <w:rsid w:val="16DD4926"/>
    <w:rsid w:val="16DD53E9"/>
    <w:rsid w:val="16E1745F"/>
    <w:rsid w:val="16F84C18"/>
    <w:rsid w:val="16FA264A"/>
    <w:rsid w:val="16FA6E08"/>
    <w:rsid w:val="16FC0D14"/>
    <w:rsid w:val="16FF7D6A"/>
    <w:rsid w:val="170D650C"/>
    <w:rsid w:val="17161DF5"/>
    <w:rsid w:val="17274ADE"/>
    <w:rsid w:val="173139EB"/>
    <w:rsid w:val="173B5417"/>
    <w:rsid w:val="1755671C"/>
    <w:rsid w:val="17562080"/>
    <w:rsid w:val="176B279A"/>
    <w:rsid w:val="177A3FD2"/>
    <w:rsid w:val="178164BF"/>
    <w:rsid w:val="17845184"/>
    <w:rsid w:val="179901BE"/>
    <w:rsid w:val="17B2302E"/>
    <w:rsid w:val="17BE567C"/>
    <w:rsid w:val="17D34D22"/>
    <w:rsid w:val="17D5430D"/>
    <w:rsid w:val="17D70704"/>
    <w:rsid w:val="17D854EF"/>
    <w:rsid w:val="17F34993"/>
    <w:rsid w:val="18007595"/>
    <w:rsid w:val="18210C48"/>
    <w:rsid w:val="182F2E07"/>
    <w:rsid w:val="1845325B"/>
    <w:rsid w:val="184B2801"/>
    <w:rsid w:val="1859622A"/>
    <w:rsid w:val="1861529E"/>
    <w:rsid w:val="18657F8E"/>
    <w:rsid w:val="18846B5B"/>
    <w:rsid w:val="188E7E3B"/>
    <w:rsid w:val="18A312F5"/>
    <w:rsid w:val="18B31CA6"/>
    <w:rsid w:val="18C60F2C"/>
    <w:rsid w:val="18DF2FDC"/>
    <w:rsid w:val="18E00A97"/>
    <w:rsid w:val="18FD0F5E"/>
    <w:rsid w:val="190478B9"/>
    <w:rsid w:val="190E30DC"/>
    <w:rsid w:val="191170F8"/>
    <w:rsid w:val="19371A3D"/>
    <w:rsid w:val="193F2818"/>
    <w:rsid w:val="194208F8"/>
    <w:rsid w:val="196859D6"/>
    <w:rsid w:val="196C3A7D"/>
    <w:rsid w:val="197A6294"/>
    <w:rsid w:val="19AA2EDE"/>
    <w:rsid w:val="19C37471"/>
    <w:rsid w:val="19C6317C"/>
    <w:rsid w:val="19EC2DE4"/>
    <w:rsid w:val="19FD0833"/>
    <w:rsid w:val="1A103102"/>
    <w:rsid w:val="1A124A35"/>
    <w:rsid w:val="1A327B19"/>
    <w:rsid w:val="1A35775C"/>
    <w:rsid w:val="1A3638F7"/>
    <w:rsid w:val="1A4568C5"/>
    <w:rsid w:val="1A4A01AA"/>
    <w:rsid w:val="1A4F368E"/>
    <w:rsid w:val="1A5B770A"/>
    <w:rsid w:val="1A620D3B"/>
    <w:rsid w:val="1A646862"/>
    <w:rsid w:val="1A721674"/>
    <w:rsid w:val="1A767F13"/>
    <w:rsid w:val="1A7A6085"/>
    <w:rsid w:val="1A824C13"/>
    <w:rsid w:val="1A8813A6"/>
    <w:rsid w:val="1A9750D6"/>
    <w:rsid w:val="1AAD7532"/>
    <w:rsid w:val="1AB24E69"/>
    <w:rsid w:val="1ABE43B0"/>
    <w:rsid w:val="1AE56FCE"/>
    <w:rsid w:val="1B0925F9"/>
    <w:rsid w:val="1B186B30"/>
    <w:rsid w:val="1B4443DF"/>
    <w:rsid w:val="1B4E71B1"/>
    <w:rsid w:val="1B5A7814"/>
    <w:rsid w:val="1B723FC0"/>
    <w:rsid w:val="1B7824BF"/>
    <w:rsid w:val="1B9A4B62"/>
    <w:rsid w:val="1BBC26CD"/>
    <w:rsid w:val="1BC30A2A"/>
    <w:rsid w:val="1BC30EF7"/>
    <w:rsid w:val="1BD1030D"/>
    <w:rsid w:val="1BDB0D27"/>
    <w:rsid w:val="1BE014B5"/>
    <w:rsid w:val="1BE35EAC"/>
    <w:rsid w:val="1BE45790"/>
    <w:rsid w:val="1BEF1BA3"/>
    <w:rsid w:val="1BF34341"/>
    <w:rsid w:val="1BFA4700"/>
    <w:rsid w:val="1BFE36F6"/>
    <w:rsid w:val="1C02029E"/>
    <w:rsid w:val="1C1147C7"/>
    <w:rsid w:val="1C1B4171"/>
    <w:rsid w:val="1C300788"/>
    <w:rsid w:val="1C3152F3"/>
    <w:rsid w:val="1C3D1EEF"/>
    <w:rsid w:val="1C426530"/>
    <w:rsid w:val="1C493F58"/>
    <w:rsid w:val="1C5842CF"/>
    <w:rsid w:val="1C70580E"/>
    <w:rsid w:val="1CA43C14"/>
    <w:rsid w:val="1CAE6A25"/>
    <w:rsid w:val="1CB667CD"/>
    <w:rsid w:val="1CBD5700"/>
    <w:rsid w:val="1CE15466"/>
    <w:rsid w:val="1CEB2CDB"/>
    <w:rsid w:val="1CFF1BEB"/>
    <w:rsid w:val="1D18097C"/>
    <w:rsid w:val="1D1B727F"/>
    <w:rsid w:val="1D310127"/>
    <w:rsid w:val="1D425791"/>
    <w:rsid w:val="1D5303E2"/>
    <w:rsid w:val="1D534259"/>
    <w:rsid w:val="1D5533C8"/>
    <w:rsid w:val="1D5E3274"/>
    <w:rsid w:val="1D682B0D"/>
    <w:rsid w:val="1D6E4754"/>
    <w:rsid w:val="1D6F23FA"/>
    <w:rsid w:val="1D7E40DE"/>
    <w:rsid w:val="1D952460"/>
    <w:rsid w:val="1DAF48B9"/>
    <w:rsid w:val="1DAF6046"/>
    <w:rsid w:val="1DD6791B"/>
    <w:rsid w:val="1DDC2F8F"/>
    <w:rsid w:val="1DE20194"/>
    <w:rsid w:val="1DE47CF6"/>
    <w:rsid w:val="1DE55F0B"/>
    <w:rsid w:val="1DED6DC2"/>
    <w:rsid w:val="1DF073E9"/>
    <w:rsid w:val="1DF67D15"/>
    <w:rsid w:val="1DF925E5"/>
    <w:rsid w:val="1E08655F"/>
    <w:rsid w:val="1E1265D5"/>
    <w:rsid w:val="1E3F205F"/>
    <w:rsid w:val="1E4F1290"/>
    <w:rsid w:val="1E5F09FB"/>
    <w:rsid w:val="1E715387"/>
    <w:rsid w:val="1E7C381A"/>
    <w:rsid w:val="1EBF49AE"/>
    <w:rsid w:val="1EDA13C4"/>
    <w:rsid w:val="1EF86233"/>
    <w:rsid w:val="1F257A1B"/>
    <w:rsid w:val="1F2760B0"/>
    <w:rsid w:val="1F290237"/>
    <w:rsid w:val="1F2F195A"/>
    <w:rsid w:val="1F354FA2"/>
    <w:rsid w:val="1F370E49"/>
    <w:rsid w:val="1F4055CA"/>
    <w:rsid w:val="1F4D1DCD"/>
    <w:rsid w:val="1F604BCF"/>
    <w:rsid w:val="1F646A84"/>
    <w:rsid w:val="1F676791"/>
    <w:rsid w:val="1F691DF6"/>
    <w:rsid w:val="1F6A4DB7"/>
    <w:rsid w:val="1F8C510D"/>
    <w:rsid w:val="1F991F8C"/>
    <w:rsid w:val="1F9F65F5"/>
    <w:rsid w:val="1FA37E2C"/>
    <w:rsid w:val="1FA841A4"/>
    <w:rsid w:val="1FB35696"/>
    <w:rsid w:val="1FCE77AB"/>
    <w:rsid w:val="1FD42E55"/>
    <w:rsid w:val="1FE76EFC"/>
    <w:rsid w:val="1FFE3B9C"/>
    <w:rsid w:val="200B6D73"/>
    <w:rsid w:val="200C7065"/>
    <w:rsid w:val="200F1E1E"/>
    <w:rsid w:val="200F2993"/>
    <w:rsid w:val="2045418D"/>
    <w:rsid w:val="20770BA3"/>
    <w:rsid w:val="208F2A6F"/>
    <w:rsid w:val="209A5986"/>
    <w:rsid w:val="20A5376B"/>
    <w:rsid w:val="20BE3156"/>
    <w:rsid w:val="20C70EEA"/>
    <w:rsid w:val="20CB5488"/>
    <w:rsid w:val="20F86F95"/>
    <w:rsid w:val="20FD57C8"/>
    <w:rsid w:val="20FE4ABC"/>
    <w:rsid w:val="210D06D3"/>
    <w:rsid w:val="210D1C9B"/>
    <w:rsid w:val="210F2913"/>
    <w:rsid w:val="21172EFC"/>
    <w:rsid w:val="213F7180"/>
    <w:rsid w:val="214A6C00"/>
    <w:rsid w:val="2166015E"/>
    <w:rsid w:val="217A2867"/>
    <w:rsid w:val="218D4F77"/>
    <w:rsid w:val="218F2025"/>
    <w:rsid w:val="21A36E27"/>
    <w:rsid w:val="21BF5813"/>
    <w:rsid w:val="21ED69A0"/>
    <w:rsid w:val="21F51E69"/>
    <w:rsid w:val="220A23E4"/>
    <w:rsid w:val="221F360A"/>
    <w:rsid w:val="22217FC1"/>
    <w:rsid w:val="222B5EB7"/>
    <w:rsid w:val="224F3811"/>
    <w:rsid w:val="22634F7C"/>
    <w:rsid w:val="226A32AB"/>
    <w:rsid w:val="226E0301"/>
    <w:rsid w:val="226F1F8F"/>
    <w:rsid w:val="227A52ED"/>
    <w:rsid w:val="227B289F"/>
    <w:rsid w:val="22A24320"/>
    <w:rsid w:val="22AD6EE5"/>
    <w:rsid w:val="22B45EAC"/>
    <w:rsid w:val="22B4774D"/>
    <w:rsid w:val="22BA6479"/>
    <w:rsid w:val="22BC74EC"/>
    <w:rsid w:val="22CA1812"/>
    <w:rsid w:val="22DA198E"/>
    <w:rsid w:val="22EC7D10"/>
    <w:rsid w:val="2300090E"/>
    <w:rsid w:val="230629BD"/>
    <w:rsid w:val="230F2F6B"/>
    <w:rsid w:val="231D1CA3"/>
    <w:rsid w:val="235F7448"/>
    <w:rsid w:val="2369486E"/>
    <w:rsid w:val="2380540E"/>
    <w:rsid w:val="2382090B"/>
    <w:rsid w:val="2396629F"/>
    <w:rsid w:val="23B27443"/>
    <w:rsid w:val="23E21159"/>
    <w:rsid w:val="23F33EC4"/>
    <w:rsid w:val="242A0048"/>
    <w:rsid w:val="24705AFA"/>
    <w:rsid w:val="248C14C8"/>
    <w:rsid w:val="24902194"/>
    <w:rsid w:val="24A002DA"/>
    <w:rsid w:val="24A0559A"/>
    <w:rsid w:val="24C22B61"/>
    <w:rsid w:val="24C92827"/>
    <w:rsid w:val="24DA2A2F"/>
    <w:rsid w:val="24EF3982"/>
    <w:rsid w:val="251121E8"/>
    <w:rsid w:val="25206C17"/>
    <w:rsid w:val="25245513"/>
    <w:rsid w:val="254F0341"/>
    <w:rsid w:val="25752792"/>
    <w:rsid w:val="25806A9E"/>
    <w:rsid w:val="25A00874"/>
    <w:rsid w:val="25A75A24"/>
    <w:rsid w:val="25C87603"/>
    <w:rsid w:val="25E25630"/>
    <w:rsid w:val="25F9756D"/>
    <w:rsid w:val="2615221E"/>
    <w:rsid w:val="261C0A28"/>
    <w:rsid w:val="261F3F61"/>
    <w:rsid w:val="26240575"/>
    <w:rsid w:val="262D302F"/>
    <w:rsid w:val="26482ABB"/>
    <w:rsid w:val="26514614"/>
    <w:rsid w:val="26593185"/>
    <w:rsid w:val="265B33F5"/>
    <w:rsid w:val="266A2317"/>
    <w:rsid w:val="268F110A"/>
    <w:rsid w:val="26932FAA"/>
    <w:rsid w:val="269629FC"/>
    <w:rsid w:val="269E3CB4"/>
    <w:rsid w:val="26AA7949"/>
    <w:rsid w:val="26AE400E"/>
    <w:rsid w:val="26AF39A3"/>
    <w:rsid w:val="26BA2460"/>
    <w:rsid w:val="26D009DD"/>
    <w:rsid w:val="26D123B0"/>
    <w:rsid w:val="26D64E3E"/>
    <w:rsid w:val="26DD439A"/>
    <w:rsid w:val="26DE1058"/>
    <w:rsid w:val="26F16B26"/>
    <w:rsid w:val="27370DC1"/>
    <w:rsid w:val="273C6389"/>
    <w:rsid w:val="27406184"/>
    <w:rsid w:val="274827B0"/>
    <w:rsid w:val="274D361D"/>
    <w:rsid w:val="27604855"/>
    <w:rsid w:val="27650E21"/>
    <w:rsid w:val="27651E6B"/>
    <w:rsid w:val="276A0C65"/>
    <w:rsid w:val="27816AA7"/>
    <w:rsid w:val="278472C5"/>
    <w:rsid w:val="278F205C"/>
    <w:rsid w:val="279D33B3"/>
    <w:rsid w:val="279D798D"/>
    <w:rsid w:val="279F221C"/>
    <w:rsid w:val="27AA093B"/>
    <w:rsid w:val="27D33E28"/>
    <w:rsid w:val="27D94C2E"/>
    <w:rsid w:val="27F96A93"/>
    <w:rsid w:val="280E68A2"/>
    <w:rsid w:val="280F6260"/>
    <w:rsid w:val="285F11AE"/>
    <w:rsid w:val="28683E5A"/>
    <w:rsid w:val="28763547"/>
    <w:rsid w:val="28835305"/>
    <w:rsid w:val="28911C53"/>
    <w:rsid w:val="28934F77"/>
    <w:rsid w:val="28A241A2"/>
    <w:rsid w:val="28A41B29"/>
    <w:rsid w:val="28B63B69"/>
    <w:rsid w:val="28BD660B"/>
    <w:rsid w:val="28C40CD5"/>
    <w:rsid w:val="28C609F3"/>
    <w:rsid w:val="28D9666D"/>
    <w:rsid w:val="28E11E50"/>
    <w:rsid w:val="28E34B6A"/>
    <w:rsid w:val="28E66662"/>
    <w:rsid w:val="28FA7B73"/>
    <w:rsid w:val="29077345"/>
    <w:rsid w:val="290F2E57"/>
    <w:rsid w:val="29100F77"/>
    <w:rsid w:val="29283F36"/>
    <w:rsid w:val="29303E0D"/>
    <w:rsid w:val="293B0AE8"/>
    <w:rsid w:val="293D20CE"/>
    <w:rsid w:val="2950027A"/>
    <w:rsid w:val="296E7969"/>
    <w:rsid w:val="29755BAF"/>
    <w:rsid w:val="297C2ABA"/>
    <w:rsid w:val="29842D64"/>
    <w:rsid w:val="29842F3B"/>
    <w:rsid w:val="29A0219D"/>
    <w:rsid w:val="29BB620B"/>
    <w:rsid w:val="29C446FC"/>
    <w:rsid w:val="29C600B4"/>
    <w:rsid w:val="29EE439A"/>
    <w:rsid w:val="29EF6205"/>
    <w:rsid w:val="29F03D76"/>
    <w:rsid w:val="29F77133"/>
    <w:rsid w:val="2A175DB4"/>
    <w:rsid w:val="2A185BC9"/>
    <w:rsid w:val="2A406EB1"/>
    <w:rsid w:val="2A462142"/>
    <w:rsid w:val="2A5272F0"/>
    <w:rsid w:val="2A6274A0"/>
    <w:rsid w:val="2A6F4B3A"/>
    <w:rsid w:val="2A7346A6"/>
    <w:rsid w:val="2A8B5695"/>
    <w:rsid w:val="2AA80AEB"/>
    <w:rsid w:val="2AA911A0"/>
    <w:rsid w:val="2AC23741"/>
    <w:rsid w:val="2AE42D9C"/>
    <w:rsid w:val="2AEC3B7E"/>
    <w:rsid w:val="2AFF0F82"/>
    <w:rsid w:val="2B0C36C7"/>
    <w:rsid w:val="2B247743"/>
    <w:rsid w:val="2B3B3EAD"/>
    <w:rsid w:val="2B3D5F21"/>
    <w:rsid w:val="2B4E367E"/>
    <w:rsid w:val="2B5A2AA4"/>
    <w:rsid w:val="2B5F3E2A"/>
    <w:rsid w:val="2B6F150A"/>
    <w:rsid w:val="2B891120"/>
    <w:rsid w:val="2B976350"/>
    <w:rsid w:val="2BA76B57"/>
    <w:rsid w:val="2BB906C2"/>
    <w:rsid w:val="2BC27713"/>
    <w:rsid w:val="2BDA5630"/>
    <w:rsid w:val="2BE84BD3"/>
    <w:rsid w:val="2BE97DC4"/>
    <w:rsid w:val="2C161D57"/>
    <w:rsid w:val="2C4A78FB"/>
    <w:rsid w:val="2C4E5101"/>
    <w:rsid w:val="2C503B23"/>
    <w:rsid w:val="2C536736"/>
    <w:rsid w:val="2C5D501D"/>
    <w:rsid w:val="2C696CD4"/>
    <w:rsid w:val="2C7219A3"/>
    <w:rsid w:val="2C7E5322"/>
    <w:rsid w:val="2C8B2D16"/>
    <w:rsid w:val="2C8C31F1"/>
    <w:rsid w:val="2C915A50"/>
    <w:rsid w:val="2CD50B9E"/>
    <w:rsid w:val="2CE7730B"/>
    <w:rsid w:val="2CE958D1"/>
    <w:rsid w:val="2CF00ABF"/>
    <w:rsid w:val="2D0078E7"/>
    <w:rsid w:val="2D0C74D7"/>
    <w:rsid w:val="2D0D4B1A"/>
    <w:rsid w:val="2D1157F0"/>
    <w:rsid w:val="2D1337CC"/>
    <w:rsid w:val="2D1A53D5"/>
    <w:rsid w:val="2D225886"/>
    <w:rsid w:val="2D2642C6"/>
    <w:rsid w:val="2D2B7A46"/>
    <w:rsid w:val="2D300B27"/>
    <w:rsid w:val="2D773C64"/>
    <w:rsid w:val="2D8079FF"/>
    <w:rsid w:val="2D896090"/>
    <w:rsid w:val="2D955F5A"/>
    <w:rsid w:val="2D9E60D7"/>
    <w:rsid w:val="2DA41976"/>
    <w:rsid w:val="2DAA24F8"/>
    <w:rsid w:val="2DAD3C69"/>
    <w:rsid w:val="2DBB7BF7"/>
    <w:rsid w:val="2E2505CE"/>
    <w:rsid w:val="2E2C471E"/>
    <w:rsid w:val="2E2F3C86"/>
    <w:rsid w:val="2E2F6D2F"/>
    <w:rsid w:val="2E305D21"/>
    <w:rsid w:val="2E367675"/>
    <w:rsid w:val="2E434F7B"/>
    <w:rsid w:val="2E60513A"/>
    <w:rsid w:val="2E7E1EFA"/>
    <w:rsid w:val="2EB313DC"/>
    <w:rsid w:val="2EC04FA7"/>
    <w:rsid w:val="2EC33D02"/>
    <w:rsid w:val="2ED76385"/>
    <w:rsid w:val="2EDA0FDF"/>
    <w:rsid w:val="2EE96B90"/>
    <w:rsid w:val="2EF923FB"/>
    <w:rsid w:val="2EFA183A"/>
    <w:rsid w:val="2F0106CB"/>
    <w:rsid w:val="2F045536"/>
    <w:rsid w:val="2F177EEF"/>
    <w:rsid w:val="2F1E48F7"/>
    <w:rsid w:val="2F2C0A2A"/>
    <w:rsid w:val="2F3743FD"/>
    <w:rsid w:val="2F3D1686"/>
    <w:rsid w:val="2F3D6CE5"/>
    <w:rsid w:val="2F4A02C4"/>
    <w:rsid w:val="2F563788"/>
    <w:rsid w:val="2F61791B"/>
    <w:rsid w:val="2F7B2DC7"/>
    <w:rsid w:val="2F801FDE"/>
    <w:rsid w:val="2FAD5759"/>
    <w:rsid w:val="2FB64DF5"/>
    <w:rsid w:val="2FC754AC"/>
    <w:rsid w:val="2FC81E3A"/>
    <w:rsid w:val="2FE50D63"/>
    <w:rsid w:val="30112313"/>
    <w:rsid w:val="30223275"/>
    <w:rsid w:val="30346C0D"/>
    <w:rsid w:val="305C7C74"/>
    <w:rsid w:val="305E3711"/>
    <w:rsid w:val="306C4038"/>
    <w:rsid w:val="30886823"/>
    <w:rsid w:val="308C2216"/>
    <w:rsid w:val="30912155"/>
    <w:rsid w:val="30C9397C"/>
    <w:rsid w:val="30D51E0F"/>
    <w:rsid w:val="30F55184"/>
    <w:rsid w:val="30F570DB"/>
    <w:rsid w:val="30FD5BE3"/>
    <w:rsid w:val="31083080"/>
    <w:rsid w:val="312D7914"/>
    <w:rsid w:val="31343EAB"/>
    <w:rsid w:val="31407D7E"/>
    <w:rsid w:val="31434DF4"/>
    <w:rsid w:val="3148541E"/>
    <w:rsid w:val="314E5D98"/>
    <w:rsid w:val="31526621"/>
    <w:rsid w:val="315849EA"/>
    <w:rsid w:val="316160D5"/>
    <w:rsid w:val="31734A85"/>
    <w:rsid w:val="319B7CAE"/>
    <w:rsid w:val="31B12668"/>
    <w:rsid w:val="31BC3137"/>
    <w:rsid w:val="31C87F99"/>
    <w:rsid w:val="31D53AC0"/>
    <w:rsid w:val="31D628F1"/>
    <w:rsid w:val="31E97E95"/>
    <w:rsid w:val="31EA2E85"/>
    <w:rsid w:val="31F2523F"/>
    <w:rsid w:val="31F64A5E"/>
    <w:rsid w:val="32033783"/>
    <w:rsid w:val="321649DA"/>
    <w:rsid w:val="32211950"/>
    <w:rsid w:val="32263E09"/>
    <w:rsid w:val="32427BE9"/>
    <w:rsid w:val="3254240E"/>
    <w:rsid w:val="325B6344"/>
    <w:rsid w:val="325D1D98"/>
    <w:rsid w:val="326370DC"/>
    <w:rsid w:val="32771087"/>
    <w:rsid w:val="32861112"/>
    <w:rsid w:val="3287161C"/>
    <w:rsid w:val="329B2BE5"/>
    <w:rsid w:val="329E58E4"/>
    <w:rsid w:val="32BB6CD3"/>
    <w:rsid w:val="32C24615"/>
    <w:rsid w:val="32C347C1"/>
    <w:rsid w:val="32C53027"/>
    <w:rsid w:val="32C954C5"/>
    <w:rsid w:val="32CF1EF5"/>
    <w:rsid w:val="32F4416D"/>
    <w:rsid w:val="32F56B52"/>
    <w:rsid w:val="3304078A"/>
    <w:rsid w:val="330E3B5A"/>
    <w:rsid w:val="332860A9"/>
    <w:rsid w:val="332E303F"/>
    <w:rsid w:val="333F3B79"/>
    <w:rsid w:val="33555E52"/>
    <w:rsid w:val="33563E8D"/>
    <w:rsid w:val="3356616B"/>
    <w:rsid w:val="336C7E62"/>
    <w:rsid w:val="336F4AD2"/>
    <w:rsid w:val="338E1E5A"/>
    <w:rsid w:val="33A04957"/>
    <w:rsid w:val="33A8380B"/>
    <w:rsid w:val="33AD7074"/>
    <w:rsid w:val="33B51311"/>
    <w:rsid w:val="33DB3E27"/>
    <w:rsid w:val="33E87093"/>
    <w:rsid w:val="33F64577"/>
    <w:rsid w:val="34176F13"/>
    <w:rsid w:val="341F6035"/>
    <w:rsid w:val="34264DCD"/>
    <w:rsid w:val="342A4E34"/>
    <w:rsid w:val="342E1DBA"/>
    <w:rsid w:val="34327804"/>
    <w:rsid w:val="34392FD6"/>
    <w:rsid w:val="343E33DE"/>
    <w:rsid w:val="3444758A"/>
    <w:rsid w:val="344D51E1"/>
    <w:rsid w:val="344F5C34"/>
    <w:rsid w:val="34500526"/>
    <w:rsid w:val="34534932"/>
    <w:rsid w:val="345B7145"/>
    <w:rsid w:val="346C10AA"/>
    <w:rsid w:val="34793107"/>
    <w:rsid w:val="3498562E"/>
    <w:rsid w:val="34A266FD"/>
    <w:rsid w:val="34B017CE"/>
    <w:rsid w:val="34B306BA"/>
    <w:rsid w:val="34B97AB4"/>
    <w:rsid w:val="34C336EA"/>
    <w:rsid w:val="34E51A7A"/>
    <w:rsid w:val="34E63F10"/>
    <w:rsid w:val="34E72C04"/>
    <w:rsid w:val="350379BB"/>
    <w:rsid w:val="350543A1"/>
    <w:rsid w:val="35140D39"/>
    <w:rsid w:val="351909B2"/>
    <w:rsid w:val="3524126F"/>
    <w:rsid w:val="355028B3"/>
    <w:rsid w:val="35613423"/>
    <w:rsid w:val="356F206C"/>
    <w:rsid w:val="357441ED"/>
    <w:rsid w:val="3575596F"/>
    <w:rsid w:val="3596528E"/>
    <w:rsid w:val="359E5A30"/>
    <w:rsid w:val="35A326F5"/>
    <w:rsid w:val="35A44128"/>
    <w:rsid w:val="35A537F8"/>
    <w:rsid w:val="35AF1D24"/>
    <w:rsid w:val="35C176FF"/>
    <w:rsid w:val="35C37B02"/>
    <w:rsid w:val="35C45C26"/>
    <w:rsid w:val="35EA7502"/>
    <w:rsid w:val="35F56117"/>
    <w:rsid w:val="35F87209"/>
    <w:rsid w:val="36026709"/>
    <w:rsid w:val="360D78F8"/>
    <w:rsid w:val="362A1DEA"/>
    <w:rsid w:val="363A4CF0"/>
    <w:rsid w:val="364B60F7"/>
    <w:rsid w:val="364F4554"/>
    <w:rsid w:val="36590595"/>
    <w:rsid w:val="365C07CB"/>
    <w:rsid w:val="366828B4"/>
    <w:rsid w:val="366E6E5A"/>
    <w:rsid w:val="369251AD"/>
    <w:rsid w:val="36A55DE0"/>
    <w:rsid w:val="36B1492B"/>
    <w:rsid w:val="36C868E3"/>
    <w:rsid w:val="36CF20A2"/>
    <w:rsid w:val="36D24CCF"/>
    <w:rsid w:val="36D81E3A"/>
    <w:rsid w:val="36F17626"/>
    <w:rsid w:val="370549FF"/>
    <w:rsid w:val="371419A7"/>
    <w:rsid w:val="37251C5E"/>
    <w:rsid w:val="374824F7"/>
    <w:rsid w:val="374F7378"/>
    <w:rsid w:val="37697A46"/>
    <w:rsid w:val="376E6DE3"/>
    <w:rsid w:val="37713AED"/>
    <w:rsid w:val="37783C3B"/>
    <w:rsid w:val="378B57C3"/>
    <w:rsid w:val="37900301"/>
    <w:rsid w:val="3799716F"/>
    <w:rsid w:val="37A578F5"/>
    <w:rsid w:val="37AC1880"/>
    <w:rsid w:val="37C87FD8"/>
    <w:rsid w:val="37CB065C"/>
    <w:rsid w:val="37D818FA"/>
    <w:rsid w:val="37E71B51"/>
    <w:rsid w:val="37EF4222"/>
    <w:rsid w:val="37F836B6"/>
    <w:rsid w:val="380354B4"/>
    <w:rsid w:val="381C75E9"/>
    <w:rsid w:val="381D40B8"/>
    <w:rsid w:val="382237A0"/>
    <w:rsid w:val="38245332"/>
    <w:rsid w:val="38286350"/>
    <w:rsid w:val="384211B4"/>
    <w:rsid w:val="384979E4"/>
    <w:rsid w:val="384A47D7"/>
    <w:rsid w:val="386234DB"/>
    <w:rsid w:val="386718FA"/>
    <w:rsid w:val="386817BB"/>
    <w:rsid w:val="38725C05"/>
    <w:rsid w:val="388D6E02"/>
    <w:rsid w:val="38A427BC"/>
    <w:rsid w:val="38A806DB"/>
    <w:rsid w:val="38C23C1E"/>
    <w:rsid w:val="38CC077C"/>
    <w:rsid w:val="38D230DE"/>
    <w:rsid w:val="38D90B27"/>
    <w:rsid w:val="38DB7E12"/>
    <w:rsid w:val="38FE1452"/>
    <w:rsid w:val="390576E5"/>
    <w:rsid w:val="39100010"/>
    <w:rsid w:val="39202096"/>
    <w:rsid w:val="39227F3B"/>
    <w:rsid w:val="395242DF"/>
    <w:rsid w:val="395B4DB3"/>
    <w:rsid w:val="395E5835"/>
    <w:rsid w:val="395F0B2F"/>
    <w:rsid w:val="39685218"/>
    <w:rsid w:val="396D7831"/>
    <w:rsid w:val="39854B15"/>
    <w:rsid w:val="39BB07BB"/>
    <w:rsid w:val="39BF12B2"/>
    <w:rsid w:val="39C918F8"/>
    <w:rsid w:val="39D947FF"/>
    <w:rsid w:val="39E430C3"/>
    <w:rsid w:val="39E60BE9"/>
    <w:rsid w:val="39EA4361"/>
    <w:rsid w:val="3A113D0B"/>
    <w:rsid w:val="3A1A4AEF"/>
    <w:rsid w:val="3A1A6B1A"/>
    <w:rsid w:val="3A1D33BF"/>
    <w:rsid w:val="3A2A0F0D"/>
    <w:rsid w:val="3A2F6D0C"/>
    <w:rsid w:val="3A330F2B"/>
    <w:rsid w:val="3A380837"/>
    <w:rsid w:val="3A3C3479"/>
    <w:rsid w:val="3A4D59E7"/>
    <w:rsid w:val="3A6431DA"/>
    <w:rsid w:val="3A6902C4"/>
    <w:rsid w:val="3A7A7E6A"/>
    <w:rsid w:val="3A8F121C"/>
    <w:rsid w:val="3AA14E8E"/>
    <w:rsid w:val="3AA70700"/>
    <w:rsid w:val="3AAC3BE1"/>
    <w:rsid w:val="3AB11255"/>
    <w:rsid w:val="3AC852AA"/>
    <w:rsid w:val="3AD22FFE"/>
    <w:rsid w:val="3AD307DC"/>
    <w:rsid w:val="3AE1626B"/>
    <w:rsid w:val="3AEF1D20"/>
    <w:rsid w:val="3AF0658B"/>
    <w:rsid w:val="3B0A4EFB"/>
    <w:rsid w:val="3B157F87"/>
    <w:rsid w:val="3B1B435E"/>
    <w:rsid w:val="3B2528C1"/>
    <w:rsid w:val="3B3E459F"/>
    <w:rsid w:val="3B600888"/>
    <w:rsid w:val="3B6A6633"/>
    <w:rsid w:val="3B6B6910"/>
    <w:rsid w:val="3B7423B1"/>
    <w:rsid w:val="3B9E5E01"/>
    <w:rsid w:val="3BB172AE"/>
    <w:rsid w:val="3BBD3678"/>
    <w:rsid w:val="3BE91094"/>
    <w:rsid w:val="3C094AEA"/>
    <w:rsid w:val="3C1C1288"/>
    <w:rsid w:val="3C240558"/>
    <w:rsid w:val="3C343115"/>
    <w:rsid w:val="3C3F0879"/>
    <w:rsid w:val="3C455F09"/>
    <w:rsid w:val="3C5E59FD"/>
    <w:rsid w:val="3C6D62D2"/>
    <w:rsid w:val="3C6F3140"/>
    <w:rsid w:val="3C730422"/>
    <w:rsid w:val="3C7941BA"/>
    <w:rsid w:val="3C9A40BF"/>
    <w:rsid w:val="3CA13DC9"/>
    <w:rsid w:val="3CAD59BB"/>
    <w:rsid w:val="3CB47DBE"/>
    <w:rsid w:val="3CE417AA"/>
    <w:rsid w:val="3CF06C5C"/>
    <w:rsid w:val="3CFD3902"/>
    <w:rsid w:val="3CFE624A"/>
    <w:rsid w:val="3CFF6110"/>
    <w:rsid w:val="3D075A6C"/>
    <w:rsid w:val="3D1009CA"/>
    <w:rsid w:val="3D1E37D7"/>
    <w:rsid w:val="3D1F7B9E"/>
    <w:rsid w:val="3D305428"/>
    <w:rsid w:val="3D417084"/>
    <w:rsid w:val="3D4C55EE"/>
    <w:rsid w:val="3D572850"/>
    <w:rsid w:val="3D637134"/>
    <w:rsid w:val="3D6561C5"/>
    <w:rsid w:val="3D710777"/>
    <w:rsid w:val="3D7217E3"/>
    <w:rsid w:val="3D7D6B54"/>
    <w:rsid w:val="3D834E1E"/>
    <w:rsid w:val="3D877FA8"/>
    <w:rsid w:val="3D9D310F"/>
    <w:rsid w:val="3DC445BB"/>
    <w:rsid w:val="3DC5258D"/>
    <w:rsid w:val="3DD11BB1"/>
    <w:rsid w:val="3DDE64ED"/>
    <w:rsid w:val="3DE620B5"/>
    <w:rsid w:val="3E363A8E"/>
    <w:rsid w:val="3E534942"/>
    <w:rsid w:val="3E605247"/>
    <w:rsid w:val="3E611A22"/>
    <w:rsid w:val="3E8077EE"/>
    <w:rsid w:val="3EA634E5"/>
    <w:rsid w:val="3EC4716B"/>
    <w:rsid w:val="3ED80902"/>
    <w:rsid w:val="3EE213E0"/>
    <w:rsid w:val="3EE510E1"/>
    <w:rsid w:val="3F175065"/>
    <w:rsid w:val="3F184D00"/>
    <w:rsid w:val="3F1C705B"/>
    <w:rsid w:val="3F212655"/>
    <w:rsid w:val="3F4D0A0B"/>
    <w:rsid w:val="3F4F5483"/>
    <w:rsid w:val="3F5429E9"/>
    <w:rsid w:val="3F73673D"/>
    <w:rsid w:val="3F776D74"/>
    <w:rsid w:val="3F852C53"/>
    <w:rsid w:val="3FA42367"/>
    <w:rsid w:val="3FAA2DDB"/>
    <w:rsid w:val="3FE33516"/>
    <w:rsid w:val="3FED6BE4"/>
    <w:rsid w:val="40254798"/>
    <w:rsid w:val="40475775"/>
    <w:rsid w:val="40563809"/>
    <w:rsid w:val="405D5566"/>
    <w:rsid w:val="40754497"/>
    <w:rsid w:val="40A1586A"/>
    <w:rsid w:val="40C31B90"/>
    <w:rsid w:val="40CC6475"/>
    <w:rsid w:val="40E87C4F"/>
    <w:rsid w:val="40ED6C75"/>
    <w:rsid w:val="40F25A8F"/>
    <w:rsid w:val="40FB141E"/>
    <w:rsid w:val="40FF54C5"/>
    <w:rsid w:val="41013060"/>
    <w:rsid w:val="41074B5C"/>
    <w:rsid w:val="41232004"/>
    <w:rsid w:val="4127112B"/>
    <w:rsid w:val="412D419C"/>
    <w:rsid w:val="413A56B2"/>
    <w:rsid w:val="413E5639"/>
    <w:rsid w:val="41452699"/>
    <w:rsid w:val="41477046"/>
    <w:rsid w:val="415970CD"/>
    <w:rsid w:val="415D066B"/>
    <w:rsid w:val="41751A4F"/>
    <w:rsid w:val="41774AE7"/>
    <w:rsid w:val="417B0A96"/>
    <w:rsid w:val="41886D2A"/>
    <w:rsid w:val="41942219"/>
    <w:rsid w:val="41B77B66"/>
    <w:rsid w:val="41BD6997"/>
    <w:rsid w:val="41C90A89"/>
    <w:rsid w:val="41F63DFB"/>
    <w:rsid w:val="420632D4"/>
    <w:rsid w:val="421508D0"/>
    <w:rsid w:val="421E4AB1"/>
    <w:rsid w:val="42764AD5"/>
    <w:rsid w:val="427B6EE4"/>
    <w:rsid w:val="428A3FA2"/>
    <w:rsid w:val="42916BF3"/>
    <w:rsid w:val="42974DC2"/>
    <w:rsid w:val="429E42BF"/>
    <w:rsid w:val="42B653D8"/>
    <w:rsid w:val="42BE0FE4"/>
    <w:rsid w:val="42C26320"/>
    <w:rsid w:val="42DD1304"/>
    <w:rsid w:val="42E828C1"/>
    <w:rsid w:val="43270040"/>
    <w:rsid w:val="43287AB1"/>
    <w:rsid w:val="43695D63"/>
    <w:rsid w:val="436C59CE"/>
    <w:rsid w:val="43790B69"/>
    <w:rsid w:val="43826E8B"/>
    <w:rsid w:val="438C57AF"/>
    <w:rsid w:val="438E4CDA"/>
    <w:rsid w:val="43972BEC"/>
    <w:rsid w:val="439D2374"/>
    <w:rsid w:val="43A029E9"/>
    <w:rsid w:val="43AE4782"/>
    <w:rsid w:val="43B835F7"/>
    <w:rsid w:val="43BC33D7"/>
    <w:rsid w:val="43CF031A"/>
    <w:rsid w:val="43D046D7"/>
    <w:rsid w:val="43D14DB4"/>
    <w:rsid w:val="43D369D4"/>
    <w:rsid w:val="43F05BE1"/>
    <w:rsid w:val="440B6784"/>
    <w:rsid w:val="440E22D5"/>
    <w:rsid w:val="4421154F"/>
    <w:rsid w:val="442A1C45"/>
    <w:rsid w:val="44656DAC"/>
    <w:rsid w:val="446C1E10"/>
    <w:rsid w:val="44734681"/>
    <w:rsid w:val="448B65B7"/>
    <w:rsid w:val="4499585A"/>
    <w:rsid w:val="44B333AF"/>
    <w:rsid w:val="44B9743F"/>
    <w:rsid w:val="44BA5D97"/>
    <w:rsid w:val="44D711CC"/>
    <w:rsid w:val="44D77AAC"/>
    <w:rsid w:val="44DB0888"/>
    <w:rsid w:val="44E1074E"/>
    <w:rsid w:val="44E54FB4"/>
    <w:rsid w:val="44E5523A"/>
    <w:rsid w:val="44F26424"/>
    <w:rsid w:val="44F80C4D"/>
    <w:rsid w:val="44FB33D8"/>
    <w:rsid w:val="45116CEE"/>
    <w:rsid w:val="45170BC6"/>
    <w:rsid w:val="45223732"/>
    <w:rsid w:val="45270DF0"/>
    <w:rsid w:val="4530648A"/>
    <w:rsid w:val="45321187"/>
    <w:rsid w:val="45481606"/>
    <w:rsid w:val="454C73B7"/>
    <w:rsid w:val="454E18F2"/>
    <w:rsid w:val="455166AF"/>
    <w:rsid w:val="45607936"/>
    <w:rsid w:val="45765BB9"/>
    <w:rsid w:val="4582073C"/>
    <w:rsid w:val="458C5EA1"/>
    <w:rsid w:val="45984308"/>
    <w:rsid w:val="45AE1558"/>
    <w:rsid w:val="45B47174"/>
    <w:rsid w:val="45B941B6"/>
    <w:rsid w:val="45BE7A00"/>
    <w:rsid w:val="45CD0EAF"/>
    <w:rsid w:val="46017B4D"/>
    <w:rsid w:val="46272DF2"/>
    <w:rsid w:val="46297270"/>
    <w:rsid w:val="46393128"/>
    <w:rsid w:val="464901D4"/>
    <w:rsid w:val="464F4530"/>
    <w:rsid w:val="466F480B"/>
    <w:rsid w:val="46853DCD"/>
    <w:rsid w:val="46BD1FDC"/>
    <w:rsid w:val="46F852EE"/>
    <w:rsid w:val="46FC7B21"/>
    <w:rsid w:val="47035BB7"/>
    <w:rsid w:val="4705333F"/>
    <w:rsid w:val="47467CBD"/>
    <w:rsid w:val="475A2F74"/>
    <w:rsid w:val="47647A31"/>
    <w:rsid w:val="476903F0"/>
    <w:rsid w:val="47B7109E"/>
    <w:rsid w:val="47CA0995"/>
    <w:rsid w:val="48092175"/>
    <w:rsid w:val="481A3686"/>
    <w:rsid w:val="48211124"/>
    <w:rsid w:val="48240FD5"/>
    <w:rsid w:val="48265844"/>
    <w:rsid w:val="4839100D"/>
    <w:rsid w:val="484F5187"/>
    <w:rsid w:val="48575A87"/>
    <w:rsid w:val="4866635F"/>
    <w:rsid w:val="4898759C"/>
    <w:rsid w:val="48995E1E"/>
    <w:rsid w:val="489A6EBF"/>
    <w:rsid w:val="48C254F2"/>
    <w:rsid w:val="48C51B6D"/>
    <w:rsid w:val="48C73330"/>
    <w:rsid w:val="48CC13D9"/>
    <w:rsid w:val="48D87035"/>
    <w:rsid w:val="48DC7902"/>
    <w:rsid w:val="48E9309C"/>
    <w:rsid w:val="4905074B"/>
    <w:rsid w:val="49347B19"/>
    <w:rsid w:val="49515815"/>
    <w:rsid w:val="496455BE"/>
    <w:rsid w:val="496A2C24"/>
    <w:rsid w:val="49736A89"/>
    <w:rsid w:val="497D5DCF"/>
    <w:rsid w:val="49866003"/>
    <w:rsid w:val="498965E3"/>
    <w:rsid w:val="498A31C5"/>
    <w:rsid w:val="498B34EF"/>
    <w:rsid w:val="49AA1C33"/>
    <w:rsid w:val="49B25C73"/>
    <w:rsid w:val="49BB06A9"/>
    <w:rsid w:val="49BE75A5"/>
    <w:rsid w:val="49C600F0"/>
    <w:rsid w:val="49EE718A"/>
    <w:rsid w:val="4A0505A0"/>
    <w:rsid w:val="4A0C644A"/>
    <w:rsid w:val="4A253459"/>
    <w:rsid w:val="4A2A68D0"/>
    <w:rsid w:val="4A2E33F5"/>
    <w:rsid w:val="4A5B6F3E"/>
    <w:rsid w:val="4A5E695D"/>
    <w:rsid w:val="4A693ACE"/>
    <w:rsid w:val="4A9C78CD"/>
    <w:rsid w:val="4AA523FB"/>
    <w:rsid w:val="4AB93EC2"/>
    <w:rsid w:val="4AD541FC"/>
    <w:rsid w:val="4AD71C80"/>
    <w:rsid w:val="4AE5363A"/>
    <w:rsid w:val="4AEE405B"/>
    <w:rsid w:val="4B17728F"/>
    <w:rsid w:val="4B1B758A"/>
    <w:rsid w:val="4B233A8B"/>
    <w:rsid w:val="4B277428"/>
    <w:rsid w:val="4B2C48CA"/>
    <w:rsid w:val="4B3A08A7"/>
    <w:rsid w:val="4B537B61"/>
    <w:rsid w:val="4B5761A8"/>
    <w:rsid w:val="4B867BA6"/>
    <w:rsid w:val="4B8753D4"/>
    <w:rsid w:val="4BA13A7E"/>
    <w:rsid w:val="4BA80446"/>
    <w:rsid w:val="4BAB31A7"/>
    <w:rsid w:val="4BB70BD9"/>
    <w:rsid w:val="4BCC630E"/>
    <w:rsid w:val="4BD016F9"/>
    <w:rsid w:val="4BD953B6"/>
    <w:rsid w:val="4C0F26B6"/>
    <w:rsid w:val="4C1B36B4"/>
    <w:rsid w:val="4C2946A1"/>
    <w:rsid w:val="4C373527"/>
    <w:rsid w:val="4C4847C5"/>
    <w:rsid w:val="4C51468E"/>
    <w:rsid w:val="4C555797"/>
    <w:rsid w:val="4C7F2D8A"/>
    <w:rsid w:val="4C886A02"/>
    <w:rsid w:val="4C8A18A8"/>
    <w:rsid w:val="4CB30DFF"/>
    <w:rsid w:val="4CB41C4D"/>
    <w:rsid w:val="4CBA23B9"/>
    <w:rsid w:val="4CC6281F"/>
    <w:rsid w:val="4CE400FF"/>
    <w:rsid w:val="4CEA7CD1"/>
    <w:rsid w:val="4CEC7CAE"/>
    <w:rsid w:val="4CF02219"/>
    <w:rsid w:val="4CFC5846"/>
    <w:rsid w:val="4D004865"/>
    <w:rsid w:val="4D043194"/>
    <w:rsid w:val="4D0C09C3"/>
    <w:rsid w:val="4D25439B"/>
    <w:rsid w:val="4D3A4381"/>
    <w:rsid w:val="4D3B0E0D"/>
    <w:rsid w:val="4D3B44CB"/>
    <w:rsid w:val="4D3F0D67"/>
    <w:rsid w:val="4D4834DA"/>
    <w:rsid w:val="4D503BA9"/>
    <w:rsid w:val="4D6A4869"/>
    <w:rsid w:val="4D764C90"/>
    <w:rsid w:val="4D7721C7"/>
    <w:rsid w:val="4D7777D7"/>
    <w:rsid w:val="4D777CDB"/>
    <w:rsid w:val="4D7C3EBC"/>
    <w:rsid w:val="4D8D1290"/>
    <w:rsid w:val="4DA83D1C"/>
    <w:rsid w:val="4DB04425"/>
    <w:rsid w:val="4DBD6C8B"/>
    <w:rsid w:val="4DBF13EE"/>
    <w:rsid w:val="4DC32521"/>
    <w:rsid w:val="4DC633D3"/>
    <w:rsid w:val="4DCB78B1"/>
    <w:rsid w:val="4DD06B6E"/>
    <w:rsid w:val="4DD9233D"/>
    <w:rsid w:val="4DF07E31"/>
    <w:rsid w:val="4E036F35"/>
    <w:rsid w:val="4E0A4886"/>
    <w:rsid w:val="4E162149"/>
    <w:rsid w:val="4E3211A4"/>
    <w:rsid w:val="4E336DF3"/>
    <w:rsid w:val="4E3C5401"/>
    <w:rsid w:val="4E3E23AE"/>
    <w:rsid w:val="4E446C76"/>
    <w:rsid w:val="4E454324"/>
    <w:rsid w:val="4E633F69"/>
    <w:rsid w:val="4E6C5DF8"/>
    <w:rsid w:val="4E8F219F"/>
    <w:rsid w:val="4EB1660F"/>
    <w:rsid w:val="4EC32F6B"/>
    <w:rsid w:val="4EC66207"/>
    <w:rsid w:val="4ED545B9"/>
    <w:rsid w:val="4EDB63EB"/>
    <w:rsid w:val="4EE1206C"/>
    <w:rsid w:val="4EEA1801"/>
    <w:rsid w:val="4F0463AC"/>
    <w:rsid w:val="4F076A42"/>
    <w:rsid w:val="4F154684"/>
    <w:rsid w:val="4F1547C1"/>
    <w:rsid w:val="4F1D05CA"/>
    <w:rsid w:val="4F3275AB"/>
    <w:rsid w:val="4F412350"/>
    <w:rsid w:val="4F5D2DBF"/>
    <w:rsid w:val="4F6169E5"/>
    <w:rsid w:val="4F76378B"/>
    <w:rsid w:val="4F8477C6"/>
    <w:rsid w:val="4FC861DA"/>
    <w:rsid w:val="4FCE53C8"/>
    <w:rsid w:val="4FF4200C"/>
    <w:rsid w:val="50137E07"/>
    <w:rsid w:val="501A364E"/>
    <w:rsid w:val="502209C3"/>
    <w:rsid w:val="502F5120"/>
    <w:rsid w:val="50427508"/>
    <w:rsid w:val="5059366A"/>
    <w:rsid w:val="50632AED"/>
    <w:rsid w:val="509030F6"/>
    <w:rsid w:val="50AE6C31"/>
    <w:rsid w:val="50BE2397"/>
    <w:rsid w:val="50C77070"/>
    <w:rsid w:val="50D32E16"/>
    <w:rsid w:val="50E21CB3"/>
    <w:rsid w:val="50FE4613"/>
    <w:rsid w:val="510254FF"/>
    <w:rsid w:val="512027DB"/>
    <w:rsid w:val="512F20E2"/>
    <w:rsid w:val="512F350B"/>
    <w:rsid w:val="513B1B67"/>
    <w:rsid w:val="513E3DF4"/>
    <w:rsid w:val="514025FD"/>
    <w:rsid w:val="51527ECA"/>
    <w:rsid w:val="51925B78"/>
    <w:rsid w:val="51957B94"/>
    <w:rsid w:val="51986815"/>
    <w:rsid w:val="51A53DDD"/>
    <w:rsid w:val="51D20AC5"/>
    <w:rsid w:val="51D51B03"/>
    <w:rsid w:val="51E37297"/>
    <w:rsid w:val="51F25565"/>
    <w:rsid w:val="521C3CED"/>
    <w:rsid w:val="522B476C"/>
    <w:rsid w:val="5231278F"/>
    <w:rsid w:val="52395E13"/>
    <w:rsid w:val="52397839"/>
    <w:rsid w:val="524949CC"/>
    <w:rsid w:val="524B7D2C"/>
    <w:rsid w:val="52626701"/>
    <w:rsid w:val="526D5721"/>
    <w:rsid w:val="526E59C6"/>
    <w:rsid w:val="526F46DA"/>
    <w:rsid w:val="529142AE"/>
    <w:rsid w:val="52A573B4"/>
    <w:rsid w:val="52BC3E92"/>
    <w:rsid w:val="52CB69EC"/>
    <w:rsid w:val="52E22A90"/>
    <w:rsid w:val="52F46520"/>
    <w:rsid w:val="52F95197"/>
    <w:rsid w:val="52FE3136"/>
    <w:rsid w:val="53041A0A"/>
    <w:rsid w:val="531232EF"/>
    <w:rsid w:val="53401A24"/>
    <w:rsid w:val="53414D4D"/>
    <w:rsid w:val="536A1739"/>
    <w:rsid w:val="537E72C6"/>
    <w:rsid w:val="53BD2C29"/>
    <w:rsid w:val="53CB6833"/>
    <w:rsid w:val="53EE3156"/>
    <w:rsid w:val="542B1BC3"/>
    <w:rsid w:val="542F4FD6"/>
    <w:rsid w:val="54317A6A"/>
    <w:rsid w:val="543A3835"/>
    <w:rsid w:val="544220DE"/>
    <w:rsid w:val="54460448"/>
    <w:rsid w:val="54AC5569"/>
    <w:rsid w:val="54B25D84"/>
    <w:rsid w:val="54B27586"/>
    <w:rsid w:val="54B84C9C"/>
    <w:rsid w:val="54C26BA5"/>
    <w:rsid w:val="54CB1DBF"/>
    <w:rsid w:val="55030F3F"/>
    <w:rsid w:val="551A3F2A"/>
    <w:rsid w:val="552519E7"/>
    <w:rsid w:val="55270FF6"/>
    <w:rsid w:val="55286153"/>
    <w:rsid w:val="552A00CC"/>
    <w:rsid w:val="55425416"/>
    <w:rsid w:val="554442FC"/>
    <w:rsid w:val="55480EA4"/>
    <w:rsid w:val="555D6730"/>
    <w:rsid w:val="55704920"/>
    <w:rsid w:val="55725A24"/>
    <w:rsid w:val="558925B6"/>
    <w:rsid w:val="558F6181"/>
    <w:rsid w:val="55947114"/>
    <w:rsid w:val="559847D6"/>
    <w:rsid w:val="559C7A4C"/>
    <w:rsid w:val="55B00902"/>
    <w:rsid w:val="55F11948"/>
    <w:rsid w:val="55F217BD"/>
    <w:rsid w:val="55F87DBF"/>
    <w:rsid w:val="5621040F"/>
    <w:rsid w:val="56237F23"/>
    <w:rsid w:val="56250762"/>
    <w:rsid w:val="56360D49"/>
    <w:rsid w:val="563F7BDE"/>
    <w:rsid w:val="5641025E"/>
    <w:rsid w:val="5658757B"/>
    <w:rsid w:val="565D3224"/>
    <w:rsid w:val="566170C5"/>
    <w:rsid w:val="56847368"/>
    <w:rsid w:val="56895AFF"/>
    <w:rsid w:val="568E5F40"/>
    <w:rsid w:val="56A053C6"/>
    <w:rsid w:val="56A22608"/>
    <w:rsid w:val="56AA06E0"/>
    <w:rsid w:val="56AD2D63"/>
    <w:rsid w:val="56C22731"/>
    <w:rsid w:val="56C92C02"/>
    <w:rsid w:val="56CC591C"/>
    <w:rsid w:val="56D95549"/>
    <w:rsid w:val="56DE2193"/>
    <w:rsid w:val="56E027AA"/>
    <w:rsid w:val="56E95CFA"/>
    <w:rsid w:val="56EC6910"/>
    <w:rsid w:val="56F62932"/>
    <w:rsid w:val="5708765E"/>
    <w:rsid w:val="570D7CCC"/>
    <w:rsid w:val="570F3B27"/>
    <w:rsid w:val="57102420"/>
    <w:rsid w:val="574A61B4"/>
    <w:rsid w:val="57581CA0"/>
    <w:rsid w:val="576109F9"/>
    <w:rsid w:val="576724ED"/>
    <w:rsid w:val="57710542"/>
    <w:rsid w:val="5775152A"/>
    <w:rsid w:val="577B7172"/>
    <w:rsid w:val="579369C0"/>
    <w:rsid w:val="579C537C"/>
    <w:rsid w:val="579F5B8B"/>
    <w:rsid w:val="57A33FD3"/>
    <w:rsid w:val="57B245FD"/>
    <w:rsid w:val="57B343A9"/>
    <w:rsid w:val="57C276D4"/>
    <w:rsid w:val="57CF1977"/>
    <w:rsid w:val="57E564C3"/>
    <w:rsid w:val="57EE7CDA"/>
    <w:rsid w:val="581954C0"/>
    <w:rsid w:val="581C79D1"/>
    <w:rsid w:val="582462B7"/>
    <w:rsid w:val="58253B75"/>
    <w:rsid w:val="582A4AE8"/>
    <w:rsid w:val="583A48D1"/>
    <w:rsid w:val="583E2A89"/>
    <w:rsid w:val="584F6EBA"/>
    <w:rsid w:val="585714B0"/>
    <w:rsid w:val="585E1E3A"/>
    <w:rsid w:val="587476E8"/>
    <w:rsid w:val="587F332E"/>
    <w:rsid w:val="588220F7"/>
    <w:rsid w:val="588875E4"/>
    <w:rsid w:val="588F14F9"/>
    <w:rsid w:val="58AC033A"/>
    <w:rsid w:val="58BB38B5"/>
    <w:rsid w:val="58BC1F7D"/>
    <w:rsid w:val="58D9298C"/>
    <w:rsid w:val="58E278EC"/>
    <w:rsid w:val="58E51626"/>
    <w:rsid w:val="58E63A9D"/>
    <w:rsid w:val="58E8627F"/>
    <w:rsid w:val="59075A00"/>
    <w:rsid w:val="594A3AB5"/>
    <w:rsid w:val="595A5A52"/>
    <w:rsid w:val="595B5EA3"/>
    <w:rsid w:val="596F224E"/>
    <w:rsid w:val="5972339E"/>
    <w:rsid w:val="59787954"/>
    <w:rsid w:val="599A4FB2"/>
    <w:rsid w:val="59A45DD5"/>
    <w:rsid w:val="59DC19FF"/>
    <w:rsid w:val="59E10F92"/>
    <w:rsid w:val="59EC4BEF"/>
    <w:rsid w:val="59EC6A0E"/>
    <w:rsid w:val="59F829AE"/>
    <w:rsid w:val="5A012704"/>
    <w:rsid w:val="5A197637"/>
    <w:rsid w:val="5A1E5E37"/>
    <w:rsid w:val="5A28216A"/>
    <w:rsid w:val="5A285EA9"/>
    <w:rsid w:val="5A297943"/>
    <w:rsid w:val="5A2F094B"/>
    <w:rsid w:val="5A30556B"/>
    <w:rsid w:val="5A3851CB"/>
    <w:rsid w:val="5A3B11C6"/>
    <w:rsid w:val="5A477651"/>
    <w:rsid w:val="5A4E62A8"/>
    <w:rsid w:val="5A4F0880"/>
    <w:rsid w:val="5A57200A"/>
    <w:rsid w:val="5A5B6081"/>
    <w:rsid w:val="5A5F60F6"/>
    <w:rsid w:val="5A633736"/>
    <w:rsid w:val="5A6C4A3F"/>
    <w:rsid w:val="5A7E2762"/>
    <w:rsid w:val="5A93191B"/>
    <w:rsid w:val="5A9B3B23"/>
    <w:rsid w:val="5AA20EDA"/>
    <w:rsid w:val="5AA94EB0"/>
    <w:rsid w:val="5AB85979"/>
    <w:rsid w:val="5ACD6A54"/>
    <w:rsid w:val="5AD07704"/>
    <w:rsid w:val="5AD8738A"/>
    <w:rsid w:val="5AE33D2A"/>
    <w:rsid w:val="5AEF164B"/>
    <w:rsid w:val="5B0A0488"/>
    <w:rsid w:val="5B0B56F2"/>
    <w:rsid w:val="5B302F1D"/>
    <w:rsid w:val="5B4517BC"/>
    <w:rsid w:val="5B45649D"/>
    <w:rsid w:val="5B5B55A4"/>
    <w:rsid w:val="5B7867FE"/>
    <w:rsid w:val="5B93596F"/>
    <w:rsid w:val="5B962018"/>
    <w:rsid w:val="5B9B5BB1"/>
    <w:rsid w:val="5BA6426A"/>
    <w:rsid w:val="5BC00CCD"/>
    <w:rsid w:val="5BC05AB7"/>
    <w:rsid w:val="5BC77B22"/>
    <w:rsid w:val="5BCF67C8"/>
    <w:rsid w:val="5BD24C93"/>
    <w:rsid w:val="5BD300B0"/>
    <w:rsid w:val="5BDF6A17"/>
    <w:rsid w:val="5BE4591E"/>
    <w:rsid w:val="5BFD2B37"/>
    <w:rsid w:val="5C0F1378"/>
    <w:rsid w:val="5C2D0220"/>
    <w:rsid w:val="5C3C2208"/>
    <w:rsid w:val="5C613397"/>
    <w:rsid w:val="5C6A3A54"/>
    <w:rsid w:val="5C821695"/>
    <w:rsid w:val="5C870D55"/>
    <w:rsid w:val="5C89544A"/>
    <w:rsid w:val="5C9343CF"/>
    <w:rsid w:val="5C9C6018"/>
    <w:rsid w:val="5CB56906"/>
    <w:rsid w:val="5CCC5E30"/>
    <w:rsid w:val="5CFB2C3A"/>
    <w:rsid w:val="5D041EC1"/>
    <w:rsid w:val="5D0E60C6"/>
    <w:rsid w:val="5D177948"/>
    <w:rsid w:val="5D3B0458"/>
    <w:rsid w:val="5D3F0ADC"/>
    <w:rsid w:val="5D4905C6"/>
    <w:rsid w:val="5D543C23"/>
    <w:rsid w:val="5D553453"/>
    <w:rsid w:val="5D7742B2"/>
    <w:rsid w:val="5D8A3936"/>
    <w:rsid w:val="5D9016EB"/>
    <w:rsid w:val="5D9D209E"/>
    <w:rsid w:val="5DAC3F6C"/>
    <w:rsid w:val="5DAF18EF"/>
    <w:rsid w:val="5DB5497B"/>
    <w:rsid w:val="5DCF5945"/>
    <w:rsid w:val="5DEC6C9A"/>
    <w:rsid w:val="5DEF7DFE"/>
    <w:rsid w:val="5DFE2652"/>
    <w:rsid w:val="5E087C20"/>
    <w:rsid w:val="5E2B68AE"/>
    <w:rsid w:val="5E4734BD"/>
    <w:rsid w:val="5E4B6A5E"/>
    <w:rsid w:val="5E4E6E51"/>
    <w:rsid w:val="5E5379C4"/>
    <w:rsid w:val="5E55524A"/>
    <w:rsid w:val="5E591B01"/>
    <w:rsid w:val="5E5B35DF"/>
    <w:rsid w:val="5E6710C0"/>
    <w:rsid w:val="5EAE36A7"/>
    <w:rsid w:val="5EC103BA"/>
    <w:rsid w:val="5EC42A58"/>
    <w:rsid w:val="5EC9618C"/>
    <w:rsid w:val="5ECC17B8"/>
    <w:rsid w:val="5ECC48FE"/>
    <w:rsid w:val="5EE27322"/>
    <w:rsid w:val="5EE754CD"/>
    <w:rsid w:val="5EF90F38"/>
    <w:rsid w:val="5EFC3DF3"/>
    <w:rsid w:val="5EFE7729"/>
    <w:rsid w:val="5F1A7C45"/>
    <w:rsid w:val="5F1B1311"/>
    <w:rsid w:val="5F271781"/>
    <w:rsid w:val="5F2C7703"/>
    <w:rsid w:val="5F2D3BA7"/>
    <w:rsid w:val="5F2E2567"/>
    <w:rsid w:val="5F351466"/>
    <w:rsid w:val="5F3B7088"/>
    <w:rsid w:val="5F3F7F9F"/>
    <w:rsid w:val="5F491204"/>
    <w:rsid w:val="5F4A2300"/>
    <w:rsid w:val="5F4C7B97"/>
    <w:rsid w:val="5F5B2D8E"/>
    <w:rsid w:val="5F5D7871"/>
    <w:rsid w:val="5F6D308F"/>
    <w:rsid w:val="5F85579E"/>
    <w:rsid w:val="5F9C378D"/>
    <w:rsid w:val="5FAE34C2"/>
    <w:rsid w:val="5FD40276"/>
    <w:rsid w:val="60175CD6"/>
    <w:rsid w:val="60176AA2"/>
    <w:rsid w:val="601A0C66"/>
    <w:rsid w:val="601B28E3"/>
    <w:rsid w:val="602C3A62"/>
    <w:rsid w:val="602F7308"/>
    <w:rsid w:val="60363E97"/>
    <w:rsid w:val="60390891"/>
    <w:rsid w:val="603B57E2"/>
    <w:rsid w:val="605F45E6"/>
    <w:rsid w:val="60622D18"/>
    <w:rsid w:val="608150AB"/>
    <w:rsid w:val="608B2B9F"/>
    <w:rsid w:val="60A07495"/>
    <w:rsid w:val="60A56859"/>
    <w:rsid w:val="60AD772C"/>
    <w:rsid w:val="60C12F3B"/>
    <w:rsid w:val="60C446F4"/>
    <w:rsid w:val="60EF4639"/>
    <w:rsid w:val="60FB1462"/>
    <w:rsid w:val="6103342C"/>
    <w:rsid w:val="61091F0D"/>
    <w:rsid w:val="610F55B4"/>
    <w:rsid w:val="61133CE2"/>
    <w:rsid w:val="611B0D02"/>
    <w:rsid w:val="61412EF8"/>
    <w:rsid w:val="614A3941"/>
    <w:rsid w:val="6153051A"/>
    <w:rsid w:val="6171354E"/>
    <w:rsid w:val="617D5CB0"/>
    <w:rsid w:val="6181266C"/>
    <w:rsid w:val="619D5852"/>
    <w:rsid w:val="61BD0587"/>
    <w:rsid w:val="61E118C0"/>
    <w:rsid w:val="61E138C1"/>
    <w:rsid w:val="61E84C4F"/>
    <w:rsid w:val="61F5523D"/>
    <w:rsid w:val="61FD7A76"/>
    <w:rsid w:val="6205712F"/>
    <w:rsid w:val="620C24D2"/>
    <w:rsid w:val="62211BE9"/>
    <w:rsid w:val="622A170C"/>
    <w:rsid w:val="62321C69"/>
    <w:rsid w:val="623B6AF5"/>
    <w:rsid w:val="624E6C49"/>
    <w:rsid w:val="625E4148"/>
    <w:rsid w:val="626B73B4"/>
    <w:rsid w:val="628C1DFF"/>
    <w:rsid w:val="62B01EDB"/>
    <w:rsid w:val="62BF2928"/>
    <w:rsid w:val="62C63218"/>
    <w:rsid w:val="62CE4523"/>
    <w:rsid w:val="62D42335"/>
    <w:rsid w:val="62D90A3C"/>
    <w:rsid w:val="630519E9"/>
    <w:rsid w:val="630E2DDB"/>
    <w:rsid w:val="631B4BDA"/>
    <w:rsid w:val="633F7843"/>
    <w:rsid w:val="635762C5"/>
    <w:rsid w:val="636A6E94"/>
    <w:rsid w:val="637800E7"/>
    <w:rsid w:val="63881923"/>
    <w:rsid w:val="638C6885"/>
    <w:rsid w:val="638E1B1D"/>
    <w:rsid w:val="63955C1C"/>
    <w:rsid w:val="63A54F9A"/>
    <w:rsid w:val="63A73745"/>
    <w:rsid w:val="63AB6485"/>
    <w:rsid w:val="63B11F64"/>
    <w:rsid w:val="63B96F1D"/>
    <w:rsid w:val="63C86ED4"/>
    <w:rsid w:val="63D97AF2"/>
    <w:rsid w:val="63E42C7A"/>
    <w:rsid w:val="63EB2F4C"/>
    <w:rsid w:val="640A46DE"/>
    <w:rsid w:val="64124205"/>
    <w:rsid w:val="64497757"/>
    <w:rsid w:val="644F5438"/>
    <w:rsid w:val="645760BC"/>
    <w:rsid w:val="646123A7"/>
    <w:rsid w:val="646131EC"/>
    <w:rsid w:val="64632645"/>
    <w:rsid w:val="647457D7"/>
    <w:rsid w:val="64750192"/>
    <w:rsid w:val="647E6AED"/>
    <w:rsid w:val="64882AA7"/>
    <w:rsid w:val="64920E2E"/>
    <w:rsid w:val="64D2459F"/>
    <w:rsid w:val="64FE57AC"/>
    <w:rsid w:val="650F05CF"/>
    <w:rsid w:val="652D5DD2"/>
    <w:rsid w:val="65443130"/>
    <w:rsid w:val="655C0A23"/>
    <w:rsid w:val="657440BC"/>
    <w:rsid w:val="6578399B"/>
    <w:rsid w:val="65805B12"/>
    <w:rsid w:val="65A60BFC"/>
    <w:rsid w:val="65AA65AA"/>
    <w:rsid w:val="65B102F2"/>
    <w:rsid w:val="65B306B7"/>
    <w:rsid w:val="65E85644"/>
    <w:rsid w:val="65EC24A8"/>
    <w:rsid w:val="65F938CF"/>
    <w:rsid w:val="66031BF7"/>
    <w:rsid w:val="660D3C59"/>
    <w:rsid w:val="660E5149"/>
    <w:rsid w:val="661805B7"/>
    <w:rsid w:val="66472FBA"/>
    <w:rsid w:val="665054B9"/>
    <w:rsid w:val="66596772"/>
    <w:rsid w:val="665F456B"/>
    <w:rsid w:val="665F7066"/>
    <w:rsid w:val="667C27A2"/>
    <w:rsid w:val="66977FB4"/>
    <w:rsid w:val="669C2227"/>
    <w:rsid w:val="66A51A5E"/>
    <w:rsid w:val="66B22778"/>
    <w:rsid w:val="66C14E4C"/>
    <w:rsid w:val="66C919D8"/>
    <w:rsid w:val="66DE67BA"/>
    <w:rsid w:val="66EC4ECA"/>
    <w:rsid w:val="66FC0C0B"/>
    <w:rsid w:val="670A5668"/>
    <w:rsid w:val="67155475"/>
    <w:rsid w:val="671C194B"/>
    <w:rsid w:val="671E08B8"/>
    <w:rsid w:val="67331989"/>
    <w:rsid w:val="673D6C9C"/>
    <w:rsid w:val="674F332C"/>
    <w:rsid w:val="67513297"/>
    <w:rsid w:val="675576FD"/>
    <w:rsid w:val="675E4FFF"/>
    <w:rsid w:val="6764630F"/>
    <w:rsid w:val="6767437B"/>
    <w:rsid w:val="677D41BB"/>
    <w:rsid w:val="678361F0"/>
    <w:rsid w:val="678C27B2"/>
    <w:rsid w:val="67A65467"/>
    <w:rsid w:val="67AE678D"/>
    <w:rsid w:val="67C2064C"/>
    <w:rsid w:val="67C43F9F"/>
    <w:rsid w:val="67CB129B"/>
    <w:rsid w:val="67D86D04"/>
    <w:rsid w:val="67D93C36"/>
    <w:rsid w:val="67E529B9"/>
    <w:rsid w:val="67F642A8"/>
    <w:rsid w:val="67FC31EB"/>
    <w:rsid w:val="681B5058"/>
    <w:rsid w:val="6837285A"/>
    <w:rsid w:val="6837462A"/>
    <w:rsid w:val="6845676F"/>
    <w:rsid w:val="684E42D6"/>
    <w:rsid w:val="6850348E"/>
    <w:rsid w:val="685D03B3"/>
    <w:rsid w:val="68735C46"/>
    <w:rsid w:val="689B36B4"/>
    <w:rsid w:val="68B70904"/>
    <w:rsid w:val="68B82399"/>
    <w:rsid w:val="68CA6CAA"/>
    <w:rsid w:val="68DD095F"/>
    <w:rsid w:val="68E34CC9"/>
    <w:rsid w:val="68E841D6"/>
    <w:rsid w:val="68E915CB"/>
    <w:rsid w:val="68EB37DA"/>
    <w:rsid w:val="68FE2E31"/>
    <w:rsid w:val="6907144C"/>
    <w:rsid w:val="69093839"/>
    <w:rsid w:val="69133C15"/>
    <w:rsid w:val="691B0299"/>
    <w:rsid w:val="692A1212"/>
    <w:rsid w:val="69555EFC"/>
    <w:rsid w:val="69635503"/>
    <w:rsid w:val="698B44E9"/>
    <w:rsid w:val="698F00A6"/>
    <w:rsid w:val="699B2EA1"/>
    <w:rsid w:val="69AD2EE5"/>
    <w:rsid w:val="69B358FF"/>
    <w:rsid w:val="69B9223E"/>
    <w:rsid w:val="69BE295F"/>
    <w:rsid w:val="69BF676C"/>
    <w:rsid w:val="69D41C43"/>
    <w:rsid w:val="69E470BB"/>
    <w:rsid w:val="6A0741F9"/>
    <w:rsid w:val="6A1367AA"/>
    <w:rsid w:val="6A24568A"/>
    <w:rsid w:val="6A3B1469"/>
    <w:rsid w:val="6A436FC0"/>
    <w:rsid w:val="6A437819"/>
    <w:rsid w:val="6A542BBC"/>
    <w:rsid w:val="6A582B8E"/>
    <w:rsid w:val="6A5E03C4"/>
    <w:rsid w:val="6A6418AC"/>
    <w:rsid w:val="6A900319"/>
    <w:rsid w:val="6A990553"/>
    <w:rsid w:val="6A9E7E16"/>
    <w:rsid w:val="6AA51CD7"/>
    <w:rsid w:val="6ABB2A86"/>
    <w:rsid w:val="6ABD24E1"/>
    <w:rsid w:val="6AD86CBB"/>
    <w:rsid w:val="6AE0139C"/>
    <w:rsid w:val="6AE27F15"/>
    <w:rsid w:val="6AF76F45"/>
    <w:rsid w:val="6B017035"/>
    <w:rsid w:val="6B0B11CE"/>
    <w:rsid w:val="6B272C8C"/>
    <w:rsid w:val="6B276EC5"/>
    <w:rsid w:val="6B3A49F9"/>
    <w:rsid w:val="6B3C298D"/>
    <w:rsid w:val="6B483769"/>
    <w:rsid w:val="6B5477F9"/>
    <w:rsid w:val="6B6709FE"/>
    <w:rsid w:val="6B761DFE"/>
    <w:rsid w:val="6B7F6055"/>
    <w:rsid w:val="6B9609AA"/>
    <w:rsid w:val="6B9C0A17"/>
    <w:rsid w:val="6BAD3F01"/>
    <w:rsid w:val="6BB04AC5"/>
    <w:rsid w:val="6BB30B00"/>
    <w:rsid w:val="6BB668A2"/>
    <w:rsid w:val="6BD6356F"/>
    <w:rsid w:val="6BE61148"/>
    <w:rsid w:val="6BE770D4"/>
    <w:rsid w:val="6BE92621"/>
    <w:rsid w:val="6BF66243"/>
    <w:rsid w:val="6C031CBB"/>
    <w:rsid w:val="6C1702B5"/>
    <w:rsid w:val="6C1D2B12"/>
    <w:rsid w:val="6C5C0714"/>
    <w:rsid w:val="6C6A77E5"/>
    <w:rsid w:val="6C763430"/>
    <w:rsid w:val="6C940AC5"/>
    <w:rsid w:val="6C970312"/>
    <w:rsid w:val="6CB02608"/>
    <w:rsid w:val="6CBB577E"/>
    <w:rsid w:val="6CC8224D"/>
    <w:rsid w:val="6CC83FFB"/>
    <w:rsid w:val="6CD72490"/>
    <w:rsid w:val="6CE12B30"/>
    <w:rsid w:val="6CFE17CB"/>
    <w:rsid w:val="6D035FE0"/>
    <w:rsid w:val="6D0674E7"/>
    <w:rsid w:val="6D322BEA"/>
    <w:rsid w:val="6D380E8D"/>
    <w:rsid w:val="6D3A4E80"/>
    <w:rsid w:val="6D425D67"/>
    <w:rsid w:val="6D5E2EF3"/>
    <w:rsid w:val="6D5F0757"/>
    <w:rsid w:val="6D656D0E"/>
    <w:rsid w:val="6D6B7309"/>
    <w:rsid w:val="6D701218"/>
    <w:rsid w:val="6D8B1F81"/>
    <w:rsid w:val="6D974527"/>
    <w:rsid w:val="6DB33A0F"/>
    <w:rsid w:val="6DB64F2C"/>
    <w:rsid w:val="6DBB6589"/>
    <w:rsid w:val="6DBE6F7F"/>
    <w:rsid w:val="6DFA504B"/>
    <w:rsid w:val="6E0E5C0E"/>
    <w:rsid w:val="6E127679"/>
    <w:rsid w:val="6E142EBC"/>
    <w:rsid w:val="6E241705"/>
    <w:rsid w:val="6E5531BA"/>
    <w:rsid w:val="6E57359B"/>
    <w:rsid w:val="6E5747E6"/>
    <w:rsid w:val="6E744C81"/>
    <w:rsid w:val="6E807EB5"/>
    <w:rsid w:val="6E852F1E"/>
    <w:rsid w:val="6E8F2E2C"/>
    <w:rsid w:val="6E97067C"/>
    <w:rsid w:val="6EC358D5"/>
    <w:rsid w:val="6EDC6BD5"/>
    <w:rsid w:val="6EEF7DCD"/>
    <w:rsid w:val="6EF00A50"/>
    <w:rsid w:val="6EF7570C"/>
    <w:rsid w:val="6F03131A"/>
    <w:rsid w:val="6F1827F6"/>
    <w:rsid w:val="6F191D6E"/>
    <w:rsid w:val="6F2302FC"/>
    <w:rsid w:val="6F38057D"/>
    <w:rsid w:val="6F457B85"/>
    <w:rsid w:val="6F5A590F"/>
    <w:rsid w:val="6F8A7831"/>
    <w:rsid w:val="6F8D0341"/>
    <w:rsid w:val="6FA5324C"/>
    <w:rsid w:val="6FB57B39"/>
    <w:rsid w:val="6FC94DB9"/>
    <w:rsid w:val="6FD4120F"/>
    <w:rsid w:val="6FE4739E"/>
    <w:rsid w:val="6FF53AEB"/>
    <w:rsid w:val="7010062E"/>
    <w:rsid w:val="70136605"/>
    <w:rsid w:val="70227EC6"/>
    <w:rsid w:val="7025072D"/>
    <w:rsid w:val="70312C4E"/>
    <w:rsid w:val="70343755"/>
    <w:rsid w:val="70440B5E"/>
    <w:rsid w:val="70616401"/>
    <w:rsid w:val="70691FFA"/>
    <w:rsid w:val="7093092F"/>
    <w:rsid w:val="70B140BC"/>
    <w:rsid w:val="70BF0E52"/>
    <w:rsid w:val="70C1692E"/>
    <w:rsid w:val="70D965B6"/>
    <w:rsid w:val="70DB4644"/>
    <w:rsid w:val="70F03F2C"/>
    <w:rsid w:val="70F70DA5"/>
    <w:rsid w:val="70F80823"/>
    <w:rsid w:val="70FB0062"/>
    <w:rsid w:val="71135193"/>
    <w:rsid w:val="713E301F"/>
    <w:rsid w:val="714B51FB"/>
    <w:rsid w:val="715478BD"/>
    <w:rsid w:val="715A3430"/>
    <w:rsid w:val="71620FC4"/>
    <w:rsid w:val="71693B7D"/>
    <w:rsid w:val="716A5473"/>
    <w:rsid w:val="717209D9"/>
    <w:rsid w:val="719F47DB"/>
    <w:rsid w:val="71B237A2"/>
    <w:rsid w:val="71D36884"/>
    <w:rsid w:val="71D5081C"/>
    <w:rsid w:val="71DF7FAB"/>
    <w:rsid w:val="71E3683B"/>
    <w:rsid w:val="71EC03A8"/>
    <w:rsid w:val="71ED1E0E"/>
    <w:rsid w:val="71FB6DD9"/>
    <w:rsid w:val="723D1D16"/>
    <w:rsid w:val="72423204"/>
    <w:rsid w:val="72483C67"/>
    <w:rsid w:val="72561EC2"/>
    <w:rsid w:val="7264196C"/>
    <w:rsid w:val="7276200C"/>
    <w:rsid w:val="72A113A0"/>
    <w:rsid w:val="72A22524"/>
    <w:rsid w:val="72B110AA"/>
    <w:rsid w:val="72C614C6"/>
    <w:rsid w:val="72D16AD6"/>
    <w:rsid w:val="72EC0BBC"/>
    <w:rsid w:val="72F04E51"/>
    <w:rsid w:val="72F47418"/>
    <w:rsid w:val="72FC2F08"/>
    <w:rsid w:val="72FD2C27"/>
    <w:rsid w:val="730337E7"/>
    <w:rsid w:val="73083368"/>
    <w:rsid w:val="730F7414"/>
    <w:rsid w:val="73255192"/>
    <w:rsid w:val="73294761"/>
    <w:rsid w:val="7334590B"/>
    <w:rsid w:val="734E649F"/>
    <w:rsid w:val="73506D73"/>
    <w:rsid w:val="73647ED3"/>
    <w:rsid w:val="736E0477"/>
    <w:rsid w:val="73700F48"/>
    <w:rsid w:val="7370509D"/>
    <w:rsid w:val="737138B7"/>
    <w:rsid w:val="737C5B3F"/>
    <w:rsid w:val="73872549"/>
    <w:rsid w:val="739369E5"/>
    <w:rsid w:val="739B65CC"/>
    <w:rsid w:val="739C0639"/>
    <w:rsid w:val="739E2B0F"/>
    <w:rsid w:val="73A10DE4"/>
    <w:rsid w:val="73AD10F7"/>
    <w:rsid w:val="73AF381F"/>
    <w:rsid w:val="73B13622"/>
    <w:rsid w:val="73EC112F"/>
    <w:rsid w:val="73EF53F8"/>
    <w:rsid w:val="73F146FB"/>
    <w:rsid w:val="73F51C2A"/>
    <w:rsid w:val="74075128"/>
    <w:rsid w:val="741C52DC"/>
    <w:rsid w:val="7431692A"/>
    <w:rsid w:val="743367DA"/>
    <w:rsid w:val="74394EF6"/>
    <w:rsid w:val="74615DFE"/>
    <w:rsid w:val="746E65E8"/>
    <w:rsid w:val="74785E72"/>
    <w:rsid w:val="74A806A4"/>
    <w:rsid w:val="74A97FED"/>
    <w:rsid w:val="74C30C7A"/>
    <w:rsid w:val="74D01DEA"/>
    <w:rsid w:val="74D34EE4"/>
    <w:rsid w:val="74FE7100"/>
    <w:rsid w:val="750529EE"/>
    <w:rsid w:val="75060784"/>
    <w:rsid w:val="750C3A82"/>
    <w:rsid w:val="753D4E5A"/>
    <w:rsid w:val="754353CB"/>
    <w:rsid w:val="754C59EE"/>
    <w:rsid w:val="75614DF1"/>
    <w:rsid w:val="75641978"/>
    <w:rsid w:val="75680100"/>
    <w:rsid w:val="759251A6"/>
    <w:rsid w:val="759A0D5D"/>
    <w:rsid w:val="75A55F2F"/>
    <w:rsid w:val="75AC68CF"/>
    <w:rsid w:val="75B25B4E"/>
    <w:rsid w:val="75B37527"/>
    <w:rsid w:val="75C556E6"/>
    <w:rsid w:val="75C8075C"/>
    <w:rsid w:val="75D32F77"/>
    <w:rsid w:val="75D65F1F"/>
    <w:rsid w:val="75D971F0"/>
    <w:rsid w:val="75F15B98"/>
    <w:rsid w:val="760747EF"/>
    <w:rsid w:val="7625601A"/>
    <w:rsid w:val="762B3034"/>
    <w:rsid w:val="7633645C"/>
    <w:rsid w:val="764F12E9"/>
    <w:rsid w:val="76566613"/>
    <w:rsid w:val="76586F31"/>
    <w:rsid w:val="765A2A81"/>
    <w:rsid w:val="767D4440"/>
    <w:rsid w:val="7685534A"/>
    <w:rsid w:val="76C26C95"/>
    <w:rsid w:val="76CD6368"/>
    <w:rsid w:val="76E81F3B"/>
    <w:rsid w:val="76EB23BB"/>
    <w:rsid w:val="76EC2BE5"/>
    <w:rsid w:val="77001118"/>
    <w:rsid w:val="770245AD"/>
    <w:rsid w:val="771F1C49"/>
    <w:rsid w:val="77371ED5"/>
    <w:rsid w:val="77506DA4"/>
    <w:rsid w:val="7752444E"/>
    <w:rsid w:val="776173AA"/>
    <w:rsid w:val="77707E71"/>
    <w:rsid w:val="7773561C"/>
    <w:rsid w:val="777C610E"/>
    <w:rsid w:val="77980C5E"/>
    <w:rsid w:val="77A00FC9"/>
    <w:rsid w:val="77A17922"/>
    <w:rsid w:val="77A878D8"/>
    <w:rsid w:val="77A95D9E"/>
    <w:rsid w:val="77AF4DEB"/>
    <w:rsid w:val="77B10EBC"/>
    <w:rsid w:val="77C65209"/>
    <w:rsid w:val="77DA5287"/>
    <w:rsid w:val="77DB40E7"/>
    <w:rsid w:val="77E97FEE"/>
    <w:rsid w:val="780B1F1C"/>
    <w:rsid w:val="78260158"/>
    <w:rsid w:val="782868C6"/>
    <w:rsid w:val="782D7C8B"/>
    <w:rsid w:val="783D4453"/>
    <w:rsid w:val="78523340"/>
    <w:rsid w:val="785463C9"/>
    <w:rsid w:val="78563F05"/>
    <w:rsid w:val="78677429"/>
    <w:rsid w:val="786F7741"/>
    <w:rsid w:val="7874477B"/>
    <w:rsid w:val="787B63C5"/>
    <w:rsid w:val="78811F56"/>
    <w:rsid w:val="78834F0C"/>
    <w:rsid w:val="789A2C7F"/>
    <w:rsid w:val="78F733EA"/>
    <w:rsid w:val="790D56E5"/>
    <w:rsid w:val="79100524"/>
    <w:rsid w:val="7914093E"/>
    <w:rsid w:val="79222CE5"/>
    <w:rsid w:val="79256331"/>
    <w:rsid w:val="792D293F"/>
    <w:rsid w:val="792D7B17"/>
    <w:rsid w:val="7940600F"/>
    <w:rsid w:val="794A6ED9"/>
    <w:rsid w:val="794E1506"/>
    <w:rsid w:val="794E3ADA"/>
    <w:rsid w:val="794F75FA"/>
    <w:rsid w:val="79597D43"/>
    <w:rsid w:val="795E62D7"/>
    <w:rsid w:val="795F1479"/>
    <w:rsid w:val="796030E3"/>
    <w:rsid w:val="796C44C2"/>
    <w:rsid w:val="796C71BE"/>
    <w:rsid w:val="797850DB"/>
    <w:rsid w:val="797A05F9"/>
    <w:rsid w:val="797D28D3"/>
    <w:rsid w:val="79871991"/>
    <w:rsid w:val="798A66C9"/>
    <w:rsid w:val="79933DC1"/>
    <w:rsid w:val="799930AF"/>
    <w:rsid w:val="79A61611"/>
    <w:rsid w:val="79AE792D"/>
    <w:rsid w:val="79AF65AB"/>
    <w:rsid w:val="79B30025"/>
    <w:rsid w:val="79C3243C"/>
    <w:rsid w:val="79C923B8"/>
    <w:rsid w:val="79C93160"/>
    <w:rsid w:val="79ED26D6"/>
    <w:rsid w:val="79F338BE"/>
    <w:rsid w:val="79F41B44"/>
    <w:rsid w:val="7A004DE7"/>
    <w:rsid w:val="7A0763B9"/>
    <w:rsid w:val="7A3339A4"/>
    <w:rsid w:val="7A474C6A"/>
    <w:rsid w:val="7A4961C9"/>
    <w:rsid w:val="7A6A3213"/>
    <w:rsid w:val="7A70733F"/>
    <w:rsid w:val="7A7A4749"/>
    <w:rsid w:val="7AB57062"/>
    <w:rsid w:val="7AD938F0"/>
    <w:rsid w:val="7AEE6C00"/>
    <w:rsid w:val="7B280207"/>
    <w:rsid w:val="7B2C2CB2"/>
    <w:rsid w:val="7B3F0A1A"/>
    <w:rsid w:val="7B512E8E"/>
    <w:rsid w:val="7B66603D"/>
    <w:rsid w:val="7B675A8C"/>
    <w:rsid w:val="7B6C6ABF"/>
    <w:rsid w:val="7B786BEC"/>
    <w:rsid w:val="7BC27391"/>
    <w:rsid w:val="7BD87353"/>
    <w:rsid w:val="7BFB3162"/>
    <w:rsid w:val="7C004F21"/>
    <w:rsid w:val="7C1310B0"/>
    <w:rsid w:val="7C1831D3"/>
    <w:rsid w:val="7C47570D"/>
    <w:rsid w:val="7C4860C0"/>
    <w:rsid w:val="7C522078"/>
    <w:rsid w:val="7C7C1DFD"/>
    <w:rsid w:val="7C8B12AC"/>
    <w:rsid w:val="7C8D592C"/>
    <w:rsid w:val="7C9B0A23"/>
    <w:rsid w:val="7CD63AD8"/>
    <w:rsid w:val="7CE907EF"/>
    <w:rsid w:val="7CF15E34"/>
    <w:rsid w:val="7CFB4A12"/>
    <w:rsid w:val="7D0C3904"/>
    <w:rsid w:val="7D1C455C"/>
    <w:rsid w:val="7D3A314A"/>
    <w:rsid w:val="7D441D37"/>
    <w:rsid w:val="7D45505E"/>
    <w:rsid w:val="7D5316BF"/>
    <w:rsid w:val="7D6D57D7"/>
    <w:rsid w:val="7D7D2BE0"/>
    <w:rsid w:val="7D8D7EE2"/>
    <w:rsid w:val="7D9B13EB"/>
    <w:rsid w:val="7D9C2102"/>
    <w:rsid w:val="7DB95C4B"/>
    <w:rsid w:val="7DCB3532"/>
    <w:rsid w:val="7DD85570"/>
    <w:rsid w:val="7DE844FD"/>
    <w:rsid w:val="7DE86126"/>
    <w:rsid w:val="7DF31C30"/>
    <w:rsid w:val="7E03516E"/>
    <w:rsid w:val="7E13767C"/>
    <w:rsid w:val="7E1E0BC2"/>
    <w:rsid w:val="7E2B06DF"/>
    <w:rsid w:val="7E35421C"/>
    <w:rsid w:val="7E5474D7"/>
    <w:rsid w:val="7E5E6533"/>
    <w:rsid w:val="7E68747F"/>
    <w:rsid w:val="7E884C43"/>
    <w:rsid w:val="7EA63B2E"/>
    <w:rsid w:val="7EB1265D"/>
    <w:rsid w:val="7ECA2953"/>
    <w:rsid w:val="7F0035BE"/>
    <w:rsid w:val="7F032C71"/>
    <w:rsid w:val="7F0541BD"/>
    <w:rsid w:val="7F130A77"/>
    <w:rsid w:val="7F15199F"/>
    <w:rsid w:val="7F175454"/>
    <w:rsid w:val="7F1D2427"/>
    <w:rsid w:val="7F2B605D"/>
    <w:rsid w:val="7F3065FB"/>
    <w:rsid w:val="7F4D1D3C"/>
    <w:rsid w:val="7F5E55B3"/>
    <w:rsid w:val="7F6B26B8"/>
    <w:rsid w:val="7F7A51D0"/>
    <w:rsid w:val="7F967119"/>
    <w:rsid w:val="7FA96439"/>
    <w:rsid w:val="7FBB2356"/>
    <w:rsid w:val="7FE75998"/>
    <w:rsid w:val="7FF31F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nhideWhenUsed="0" w:uiPriority="0" w:semiHidden="0" w:name="toc 9"/>
    <w:lsdException w:qFormat="1" w:unhideWhenUsed="0" w:uiPriority="0" w:semiHidden="0" w:name="Normal Indent"/>
    <w:lsdException w:uiPriority="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0" w:name="index heading"/>
    <w:lsdException w:qFormat="1" w:unhideWhenUsed="0" w:uiPriority="0" w:semiHidden="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nhideWhenUsed="0" w:uiPriority="0" w:semiHidden="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qFormat="1" w:unhideWhenUsed="0" w:uiPriority="0" w:semiHidden="0" w:name="Salutation"/>
    <w:lsdException w:unhideWhenUsed="0" w:uiPriority="0" w:semiHidden="0" w:name="Date"/>
    <w:lsdException w:unhideWhenUsed="0" w:uiPriority="0" w:semiHidden="0" w:name="Body Text First Indent"/>
    <w:lsdException w:qFormat="1" w:uiPriority="0" w:semiHidden="0" w:name="Body Text First Indent 2"/>
    <w:lsdException w:uiPriority="0" w:name="Note Heading"/>
    <w:lsdException w:qFormat="1"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iPriority="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0" w:semiHidden="0" w:name="Plain Text"/>
    <w:lsdException w:uiPriority="0" w:name="E-mail Signature"/>
    <w:lsdException w:qFormat="1" w:unhideWhenUsed="0" w:uiPriority="0" w:semiHidden="0" w:name="Normal (Web)"/>
    <w:lsdException w:unhideWhenUsed="0" w:uiPriority="0" w:semiHidden="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qFormat="1"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wordWrap w:val="0"/>
      <w:spacing w:line="360" w:lineRule="auto"/>
      <w:ind w:firstLine="1044" w:firstLineChars="200"/>
    </w:pPr>
    <w:rPr>
      <w:rFonts w:ascii="Times New Roman" w:hAnsi="Times New Roman" w:eastAsia="宋体" w:cs="Times New Roman"/>
      <w:kern w:val="2"/>
      <w:sz w:val="24"/>
      <w:szCs w:val="24"/>
      <w:lang w:val="en-US" w:eastAsia="zh-CN" w:bidi="ar-SA"/>
    </w:rPr>
  </w:style>
  <w:style w:type="paragraph" w:styleId="2">
    <w:name w:val="heading 1"/>
    <w:basedOn w:val="1"/>
    <w:next w:val="1"/>
    <w:link w:val="35"/>
    <w:qFormat/>
    <w:uiPriority w:val="0"/>
    <w:pPr>
      <w:spacing w:line="240" w:lineRule="auto"/>
      <w:jc w:val="center"/>
      <w:outlineLvl w:val="0"/>
    </w:pPr>
    <w:rPr>
      <w:b/>
      <w:bCs/>
      <w:sz w:val="32"/>
      <w:szCs w:val="32"/>
    </w:rPr>
  </w:style>
  <w:style w:type="paragraph" w:styleId="3">
    <w:name w:val="heading 2"/>
    <w:basedOn w:val="1"/>
    <w:next w:val="1"/>
    <w:link w:val="36"/>
    <w:unhideWhenUsed/>
    <w:qFormat/>
    <w:uiPriority w:val="0"/>
    <w:pPr>
      <w:spacing w:line="480" w:lineRule="exact"/>
      <w:outlineLvl w:val="1"/>
    </w:pPr>
    <w:rPr>
      <w:b/>
      <w:sz w:val="28"/>
      <w:szCs w:val="28"/>
    </w:rPr>
  </w:style>
  <w:style w:type="paragraph" w:styleId="4">
    <w:name w:val="heading 3"/>
    <w:basedOn w:val="1"/>
    <w:next w:val="1"/>
    <w:link w:val="34"/>
    <w:unhideWhenUsed/>
    <w:qFormat/>
    <w:uiPriority w:val="0"/>
    <w:pPr>
      <w:keepNext/>
      <w:keepLines/>
      <w:spacing w:before="260" w:after="260" w:line="416" w:lineRule="auto"/>
      <w:outlineLvl w:val="2"/>
    </w:pPr>
    <w:rPr>
      <w:b/>
      <w:bCs/>
      <w:sz w:val="32"/>
      <w:szCs w:val="32"/>
    </w:rPr>
  </w:style>
  <w:style w:type="paragraph" w:styleId="5">
    <w:name w:val="heading 4"/>
    <w:basedOn w:val="1"/>
    <w:next w:val="1"/>
    <w:qFormat/>
    <w:uiPriority w:val="9"/>
    <w:pPr>
      <w:keepNext/>
      <w:keepLines/>
      <w:spacing w:line="376" w:lineRule="auto"/>
      <w:outlineLvl w:val="3"/>
    </w:pPr>
    <w:rPr>
      <w:rFonts w:ascii="Cambria" w:hAnsi="Cambria"/>
      <w:b/>
      <w:bCs/>
      <w:sz w:val="28"/>
      <w:szCs w:val="28"/>
    </w:rPr>
  </w:style>
  <w:style w:type="character" w:default="1" w:styleId="22">
    <w:name w:val="Default Paragraph Font"/>
    <w:semiHidden/>
    <w:unhideWhenUsed/>
    <w:qFormat/>
    <w:uiPriority w:val="1"/>
  </w:style>
  <w:style w:type="table" w:default="1" w:styleId="19">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Normal Indent"/>
    <w:basedOn w:val="1"/>
    <w:next w:val="5"/>
    <w:qFormat/>
    <w:uiPriority w:val="0"/>
    <w:pPr>
      <w:spacing w:before="60" w:line="460" w:lineRule="exact"/>
      <w:ind w:firstLine="420"/>
    </w:pPr>
    <w:rPr>
      <w:rFonts w:ascii="Calibri" w:hAnsi="Calibri" w:eastAsia="宋体"/>
      <w:sz w:val="24"/>
      <w:szCs w:val="20"/>
    </w:rPr>
  </w:style>
  <w:style w:type="paragraph" w:styleId="7">
    <w:name w:val="annotation text"/>
    <w:basedOn w:val="1"/>
    <w:qFormat/>
    <w:uiPriority w:val="0"/>
    <w:pPr>
      <w:jc w:val="left"/>
    </w:pPr>
  </w:style>
  <w:style w:type="paragraph" w:styleId="8">
    <w:name w:val="Salutation"/>
    <w:basedOn w:val="1"/>
    <w:next w:val="1"/>
    <w:qFormat/>
    <w:uiPriority w:val="0"/>
  </w:style>
  <w:style w:type="paragraph" w:styleId="9">
    <w:name w:val="Body Text"/>
    <w:basedOn w:val="1"/>
    <w:next w:val="1"/>
    <w:qFormat/>
    <w:uiPriority w:val="0"/>
    <w:pPr>
      <w:widowControl/>
      <w:snapToGrid w:val="0"/>
      <w:spacing w:before="60" w:after="160" w:line="259" w:lineRule="auto"/>
      <w:ind w:right="113"/>
    </w:pPr>
    <w:rPr>
      <w:kern w:val="0"/>
      <w:sz w:val="18"/>
      <w:szCs w:val="20"/>
    </w:rPr>
  </w:style>
  <w:style w:type="paragraph" w:styleId="10">
    <w:name w:val="Plain Text"/>
    <w:basedOn w:val="1"/>
    <w:next w:val="8"/>
    <w:unhideWhenUsed/>
    <w:qFormat/>
    <w:uiPriority w:val="0"/>
    <w:rPr>
      <w:rFonts w:hint="eastAsia" w:ascii="宋体" w:hAnsi="Courier New"/>
    </w:rPr>
  </w:style>
  <w:style w:type="paragraph" w:styleId="11">
    <w:name w:val="Body Text Indent 2"/>
    <w:basedOn w:val="1"/>
    <w:next w:val="12"/>
    <w:qFormat/>
    <w:uiPriority w:val="0"/>
    <w:pPr>
      <w:spacing w:before="120"/>
      <w:ind w:firstLine="527"/>
    </w:pPr>
    <w:rPr>
      <w:szCs w:val="20"/>
    </w:rPr>
  </w:style>
  <w:style w:type="paragraph" w:styleId="12">
    <w:name w:val="Body Text First Indent 2"/>
    <w:basedOn w:val="1"/>
    <w:next w:val="1"/>
    <w:unhideWhenUsed/>
    <w:qFormat/>
    <w:uiPriority w:val="0"/>
    <w:pPr>
      <w:widowControl/>
      <w:ind w:left="0" w:leftChars="0"/>
    </w:pPr>
    <w:rPr>
      <w:rFonts w:ascii="Arial" w:hAnsi="Arial"/>
      <w:snapToGrid w:val="0"/>
      <w:sz w:val="20"/>
      <w:szCs w:val="24"/>
    </w:rPr>
  </w:style>
  <w:style w:type="paragraph" w:styleId="13">
    <w:name w:val="footer"/>
    <w:basedOn w:val="1"/>
    <w:qFormat/>
    <w:uiPriority w:val="99"/>
    <w:pPr>
      <w:tabs>
        <w:tab w:val="center" w:pos="4153"/>
        <w:tab w:val="right" w:pos="8306"/>
      </w:tabs>
      <w:snapToGrid w:val="0"/>
      <w:jc w:val="left"/>
    </w:pPr>
    <w:rPr>
      <w:kern w:val="0"/>
      <w:sz w:val="18"/>
      <w:szCs w:val="20"/>
    </w:rPr>
  </w:style>
  <w:style w:type="paragraph" w:styleId="14">
    <w:name w:val="header"/>
    <w:basedOn w:val="1"/>
    <w:next w:val="1"/>
    <w:qFormat/>
    <w:uiPriority w:val="0"/>
    <w:pPr>
      <w:pBdr>
        <w:bottom w:val="single" w:color="auto" w:sz="6" w:space="1"/>
      </w:pBdr>
      <w:tabs>
        <w:tab w:val="center" w:pos="4153"/>
        <w:tab w:val="right" w:pos="8306"/>
      </w:tabs>
      <w:snapToGrid w:val="0"/>
      <w:jc w:val="center"/>
    </w:pPr>
    <w:rPr>
      <w:sz w:val="18"/>
      <w:szCs w:val="18"/>
    </w:rPr>
  </w:style>
  <w:style w:type="paragraph" w:styleId="15">
    <w:name w:val="toc 1"/>
    <w:basedOn w:val="1"/>
    <w:next w:val="1"/>
    <w:semiHidden/>
    <w:unhideWhenUsed/>
    <w:qFormat/>
    <w:uiPriority w:val="0"/>
  </w:style>
  <w:style w:type="paragraph" w:styleId="16">
    <w:name w:val="Subtitle"/>
    <w:basedOn w:val="1"/>
    <w:next w:val="1"/>
    <w:link w:val="37"/>
    <w:qFormat/>
    <w:uiPriority w:val="0"/>
    <w:pPr>
      <w:keepNext/>
      <w:keepLines/>
      <w:snapToGrid w:val="0"/>
      <w:spacing w:line="480" w:lineRule="exact"/>
      <w:ind w:firstLine="482"/>
    </w:pPr>
    <w:rPr>
      <w:b/>
    </w:rPr>
  </w:style>
  <w:style w:type="paragraph" w:styleId="17">
    <w:name w:val="Body Text 2"/>
    <w:basedOn w:val="1"/>
    <w:next w:val="1"/>
    <w:qFormat/>
    <w:uiPriority w:val="0"/>
    <w:pPr>
      <w:spacing w:after="120" w:line="480" w:lineRule="auto"/>
    </w:pPr>
  </w:style>
  <w:style w:type="paragraph" w:styleId="18">
    <w:name w:val="Normal (Web)"/>
    <w:basedOn w:val="1"/>
    <w:qFormat/>
    <w:uiPriority w:val="0"/>
    <w:pPr>
      <w:widowControl/>
      <w:spacing w:before="100" w:beforeAutospacing="1" w:after="100" w:afterAutospacing="1"/>
      <w:jc w:val="left"/>
    </w:pPr>
    <w:rPr>
      <w:rFonts w:ascii="宋体" w:hAnsi="宋体"/>
      <w:kern w:val="0"/>
      <w:sz w:val="24"/>
      <w:szCs w:val="20"/>
    </w:rPr>
  </w:style>
  <w:style w:type="table" w:styleId="20">
    <w:name w:val="Table Grid"/>
    <w:basedOn w:val="1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21">
    <w:name w:val="Table Theme"/>
    <w:basedOn w:val="1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Strong"/>
    <w:basedOn w:val="22"/>
    <w:qFormat/>
    <w:uiPriority w:val="0"/>
    <w:rPr>
      <w:b/>
    </w:rPr>
  </w:style>
  <w:style w:type="character" w:styleId="24">
    <w:name w:val="Emphasis"/>
    <w:basedOn w:val="22"/>
    <w:qFormat/>
    <w:uiPriority w:val="0"/>
    <w:rPr>
      <w:i/>
    </w:rPr>
  </w:style>
  <w:style w:type="character" w:styleId="25">
    <w:name w:val="Hyperlink"/>
    <w:basedOn w:val="22"/>
    <w:qFormat/>
    <w:uiPriority w:val="0"/>
    <w:rPr>
      <w:color w:val="0000FF"/>
      <w:u w:val="single"/>
    </w:rPr>
  </w:style>
  <w:style w:type="character" w:styleId="26">
    <w:name w:val="annotation reference"/>
    <w:basedOn w:val="22"/>
    <w:qFormat/>
    <w:uiPriority w:val="0"/>
    <w:rPr>
      <w:sz w:val="21"/>
      <w:szCs w:val="21"/>
    </w:rPr>
  </w:style>
  <w:style w:type="paragraph" w:customStyle="1" w:styleId="27">
    <w:name w:val="表格"/>
    <w:basedOn w:val="28"/>
    <w:next w:val="1"/>
    <w:qFormat/>
    <w:uiPriority w:val="0"/>
    <w:pPr>
      <w:suppressAutoHyphens/>
      <w:wordWrap w:val="0"/>
      <w:adjustRightInd w:val="0"/>
      <w:snapToGrid w:val="0"/>
      <w:spacing w:line="240" w:lineRule="auto"/>
      <w:ind w:firstLine="0" w:firstLineChars="0"/>
      <w:jc w:val="center"/>
    </w:pPr>
    <w:rPr>
      <w:sz w:val="21"/>
      <w:szCs w:val="20"/>
    </w:rPr>
  </w:style>
  <w:style w:type="paragraph" w:customStyle="1" w:styleId="28">
    <w:name w:val="表格-龙飞"/>
    <w:basedOn w:val="1"/>
    <w:qFormat/>
    <w:uiPriority w:val="0"/>
    <w:pPr>
      <w:jc w:val="center"/>
    </w:pPr>
  </w:style>
  <w:style w:type="paragraph" w:customStyle="1" w:styleId="29">
    <w:name w:val="xl27"/>
    <w:basedOn w:val="1"/>
    <w:next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仿宋" w:hAnsi="宋体" w:eastAsia="仿宋" w:cs="宋体"/>
      <w:color w:val="FF0000"/>
      <w:kern w:val="0"/>
      <w:szCs w:val="21"/>
    </w:rPr>
  </w:style>
  <w:style w:type="paragraph" w:customStyle="1" w:styleId="30">
    <w:name w:val="Default"/>
    <w:basedOn w:val="31"/>
    <w:qFormat/>
    <w:uiPriority w:val="0"/>
    <w:pPr>
      <w:autoSpaceDE w:val="0"/>
      <w:autoSpaceDN w:val="0"/>
      <w:adjustRightInd w:val="0"/>
    </w:pPr>
    <w:rPr>
      <w:rFonts w:ascii="宋体" w:cs="宋体"/>
      <w:sz w:val="24"/>
    </w:rPr>
  </w:style>
  <w:style w:type="paragraph" w:customStyle="1" w:styleId="31">
    <w:name w:val="纯文本1"/>
    <w:basedOn w:val="1"/>
    <w:qFormat/>
    <w:uiPriority w:val="0"/>
    <w:pPr>
      <w:adjustRightInd w:val="0"/>
    </w:pPr>
    <w:rPr>
      <w:rFonts w:ascii="宋体" w:hAnsi="Courier New"/>
      <w:szCs w:val="20"/>
    </w:rPr>
  </w:style>
  <w:style w:type="paragraph" w:customStyle="1" w:styleId="32">
    <w:name w:val="标题2"/>
    <w:qFormat/>
    <w:uiPriority w:val="2"/>
    <w:pPr>
      <w:outlineLvl w:val="2"/>
    </w:pPr>
    <w:rPr>
      <w:rFonts w:ascii="Calibri" w:hAnsi="Calibri" w:eastAsia="宋体" w:cs="Times New Roman"/>
      <w:kern w:val="2"/>
      <w:sz w:val="21"/>
      <w:szCs w:val="22"/>
      <w:lang w:val="en-US" w:eastAsia="zh-CN" w:bidi="ar-SA"/>
    </w:rPr>
  </w:style>
  <w:style w:type="paragraph" w:customStyle="1" w:styleId="33">
    <w:name w:val="1正文段落"/>
    <w:basedOn w:val="1"/>
    <w:qFormat/>
    <w:uiPriority w:val="99"/>
    <w:pPr>
      <w:ind w:firstLine="480"/>
    </w:pPr>
    <w:rPr>
      <w:snapToGrid w:val="0"/>
      <w:kern w:val="0"/>
    </w:rPr>
  </w:style>
  <w:style w:type="character" w:customStyle="1" w:styleId="34">
    <w:name w:val="标题 3 字符"/>
    <w:link w:val="4"/>
    <w:qFormat/>
    <w:uiPriority w:val="0"/>
    <w:rPr>
      <w:rFonts w:ascii="Calibri" w:hAnsi="Calibri" w:eastAsia="宋体" w:cs="Times New Roman"/>
      <w:b/>
      <w:bCs/>
      <w:kern w:val="2"/>
      <w:sz w:val="32"/>
      <w:szCs w:val="32"/>
    </w:rPr>
  </w:style>
  <w:style w:type="character" w:customStyle="1" w:styleId="35">
    <w:name w:val="标题 1 字符"/>
    <w:link w:val="2"/>
    <w:qFormat/>
    <w:uiPriority w:val="0"/>
    <w:rPr>
      <w:rFonts w:ascii="Times New Roman" w:hAnsi="Times New Roman" w:eastAsia="宋体"/>
      <w:b/>
      <w:bCs/>
      <w:kern w:val="2"/>
      <w:sz w:val="32"/>
      <w:szCs w:val="32"/>
    </w:rPr>
  </w:style>
  <w:style w:type="character" w:customStyle="1" w:styleId="36">
    <w:name w:val="标题 2 字符"/>
    <w:link w:val="3"/>
    <w:qFormat/>
    <w:uiPriority w:val="0"/>
    <w:rPr>
      <w:rFonts w:eastAsia="宋体"/>
      <w:b/>
      <w:kern w:val="2"/>
      <w:sz w:val="28"/>
      <w:szCs w:val="28"/>
    </w:rPr>
  </w:style>
  <w:style w:type="character" w:customStyle="1" w:styleId="37">
    <w:name w:val="副标题 字符"/>
    <w:link w:val="16"/>
    <w:qFormat/>
    <w:uiPriority w:val="0"/>
    <w:rPr>
      <w:rFonts w:eastAsia="宋体"/>
      <w:b/>
      <w:kern w:val="2"/>
      <w:sz w:val="24"/>
      <w:szCs w:val="24"/>
    </w:rPr>
  </w:style>
  <w:style w:type="table" w:customStyle="1" w:styleId="38">
    <w:name w:val="Table Normal"/>
    <w:unhideWhenUsed/>
    <w:qFormat/>
    <w:uiPriority w:val="0"/>
    <w:tblPr>
      <w:tblCellMar>
        <w:top w:w="0" w:type="dxa"/>
        <w:left w:w="0" w:type="dxa"/>
        <w:bottom w:w="0" w:type="dxa"/>
        <w:right w:w="0" w:type="dxa"/>
      </w:tblCellMar>
    </w:tblPr>
  </w:style>
  <w:style w:type="paragraph" w:customStyle="1" w:styleId="39">
    <w:name w:val="表标题"/>
    <w:basedOn w:val="1"/>
    <w:qFormat/>
    <w:uiPriority w:val="0"/>
    <w:pPr>
      <w:spacing w:line="240" w:lineRule="auto"/>
      <w:ind w:firstLine="0" w:firstLineChars="0"/>
      <w:jc w:val="center"/>
    </w:pPr>
    <w:rPr>
      <w:rFonts w:ascii="Times New Roman" w:hAnsi="Times New Roman" w:eastAsia="宋体"/>
      <w:b/>
      <w:bCs/>
      <w:sz w:val="21"/>
      <w:szCs w:val="22"/>
    </w:rPr>
  </w:style>
  <w:style w:type="paragraph" w:customStyle="1" w:styleId="40">
    <w:name w:val="五号居中"/>
    <w:basedOn w:val="1"/>
    <w:next w:val="1"/>
    <w:link w:val="55"/>
    <w:qFormat/>
    <w:uiPriority w:val="0"/>
    <w:pPr>
      <w:snapToGrid w:val="0"/>
      <w:spacing w:beforeLines="10" w:afterLines="10" w:line="240" w:lineRule="auto"/>
      <w:ind w:left="24" w:leftChars="10" w:right="24" w:rightChars="10" w:firstLine="0" w:firstLineChars="0"/>
      <w:jc w:val="center"/>
      <w:textAlignment w:val="bottom"/>
    </w:pPr>
    <w:rPr>
      <w:spacing w:val="-2"/>
      <w:sz w:val="21"/>
      <w:szCs w:val="18"/>
    </w:rPr>
  </w:style>
  <w:style w:type="paragraph" w:customStyle="1" w:styleId="41">
    <w:name w:val="正文文字 6"/>
    <w:next w:val="1"/>
    <w:qFormat/>
    <w:uiPriority w:val="0"/>
    <w:pPr>
      <w:widowControl w:val="0"/>
      <w:ind w:left="240"/>
      <w:jc w:val="both"/>
    </w:pPr>
    <w:rPr>
      <w:rFonts w:ascii="宋体" w:hAnsi="Times New Roman" w:eastAsia="宋体" w:cs="Times New Roman"/>
      <w:b/>
      <w:bCs/>
      <w:kern w:val="2"/>
      <w:sz w:val="32"/>
      <w:szCs w:val="32"/>
      <w:lang w:val="en-US" w:eastAsia="zh-CN" w:bidi="ar-SA"/>
    </w:rPr>
  </w:style>
  <w:style w:type="paragraph" w:customStyle="1" w:styleId="42">
    <w:name w:val="文本"/>
    <w:basedOn w:val="1"/>
    <w:next w:val="1"/>
    <w:qFormat/>
    <w:uiPriority w:val="0"/>
    <w:pPr>
      <w:adjustRightInd/>
      <w:spacing w:line="360" w:lineRule="auto"/>
      <w:jc w:val="both"/>
      <w:textAlignment w:val="auto"/>
    </w:pPr>
  </w:style>
  <w:style w:type="paragraph" w:customStyle="1" w:styleId="43">
    <w:name w:val="表格标题"/>
    <w:basedOn w:val="10"/>
    <w:qFormat/>
    <w:uiPriority w:val="0"/>
    <w:pPr>
      <w:spacing w:line="240" w:lineRule="auto"/>
      <w:ind w:firstLine="0" w:firstLineChars="0"/>
      <w:jc w:val="center"/>
    </w:pPr>
    <w:rPr>
      <w:rFonts w:ascii="Times New Roman" w:hAnsi="Times New Roman" w:eastAsia="宋体"/>
      <w:b/>
      <w:sz w:val="21"/>
      <w:szCs w:val="21"/>
    </w:rPr>
  </w:style>
  <w:style w:type="paragraph" w:customStyle="1" w:styleId="44">
    <w:name w:val="表格内容"/>
    <w:basedOn w:val="45"/>
    <w:qFormat/>
    <w:uiPriority w:val="0"/>
    <w:pPr>
      <w:tabs>
        <w:tab w:val="left" w:pos="0"/>
      </w:tabs>
      <w:ind w:left="120" w:leftChars="50" w:right="120" w:rightChars="50"/>
    </w:pPr>
    <w:rPr>
      <w:spacing w:val="-2"/>
      <w:sz w:val="21"/>
      <w:szCs w:val="18"/>
    </w:rPr>
  </w:style>
  <w:style w:type="paragraph" w:customStyle="1" w:styleId="45">
    <w:name w:val="表格内文字"/>
    <w:basedOn w:val="1"/>
    <w:qFormat/>
    <w:uiPriority w:val="0"/>
    <w:pPr>
      <w:tabs>
        <w:tab w:val="left" w:pos="0"/>
      </w:tabs>
      <w:adjustRightInd w:val="0"/>
      <w:snapToGrid w:val="0"/>
      <w:jc w:val="center"/>
    </w:pPr>
    <w:rPr>
      <w:rFonts w:eastAsia="仿宋_GB2312"/>
      <w:sz w:val="24"/>
      <w:szCs w:val="24"/>
    </w:rPr>
  </w:style>
  <w:style w:type="paragraph" w:customStyle="1" w:styleId="46">
    <w:name w:val="五号居中一倍行距"/>
    <w:basedOn w:val="43"/>
    <w:next w:val="1"/>
    <w:link w:val="58"/>
    <w:unhideWhenUsed/>
    <w:qFormat/>
    <w:uiPriority w:val="0"/>
    <w:pPr>
      <w:wordWrap w:val="0"/>
      <w:snapToGrid w:val="0"/>
      <w:spacing w:line="240" w:lineRule="auto"/>
      <w:ind w:left="0" w:leftChars="0" w:right="0" w:rightChars="0"/>
    </w:pPr>
    <w:rPr>
      <w:b w:val="0"/>
    </w:rPr>
  </w:style>
  <w:style w:type="paragraph" w:customStyle="1" w:styleId="47">
    <w:name w:val="表头"/>
    <w:basedOn w:val="1"/>
    <w:qFormat/>
    <w:uiPriority w:val="0"/>
    <w:pPr>
      <w:spacing w:line="360" w:lineRule="auto"/>
      <w:jc w:val="center"/>
    </w:pPr>
    <w:rPr>
      <w:rFonts w:ascii="Times New Roman" w:hAnsi="Times New Roman" w:eastAsia="宋体"/>
      <w:b/>
      <w:sz w:val="21"/>
      <w:szCs w:val="21"/>
    </w:rPr>
  </w:style>
  <w:style w:type="paragraph" w:customStyle="1" w:styleId="48">
    <w:name w:val="表内文字"/>
    <w:basedOn w:val="49"/>
    <w:qFormat/>
    <w:uiPriority w:val="0"/>
    <w:rPr>
      <w:rFonts w:ascii="Times New Roman" w:hAnsi="Times New Roman" w:eastAsia="宋体" w:cs="Times New Roman"/>
      <w:sz w:val="24"/>
    </w:rPr>
  </w:style>
  <w:style w:type="paragraph" w:customStyle="1" w:styleId="49">
    <w:name w:val="正文内容"/>
    <w:qFormat/>
    <w:uiPriority w:val="0"/>
    <w:pPr>
      <w:widowControl w:val="0"/>
      <w:snapToGrid w:val="0"/>
      <w:spacing w:line="360" w:lineRule="auto"/>
      <w:ind w:firstLine="200" w:firstLineChars="200"/>
      <w:jc w:val="both"/>
    </w:pPr>
    <w:rPr>
      <w:rFonts w:ascii="Times New Roman" w:hAnsi="Times New Roman" w:eastAsia="宋体" w:cs="Times New Roman"/>
      <w:kern w:val="2"/>
      <w:sz w:val="24"/>
      <w:szCs w:val="24"/>
      <w:lang w:val="en-US" w:eastAsia="zh-CN" w:bidi="ar-SA"/>
    </w:rPr>
  </w:style>
  <w:style w:type="paragraph" w:customStyle="1" w:styleId="50">
    <w:name w:val="图表标题"/>
    <w:basedOn w:val="1"/>
    <w:next w:val="1"/>
    <w:qFormat/>
    <w:uiPriority w:val="0"/>
    <w:pPr>
      <w:autoSpaceDE w:val="0"/>
      <w:autoSpaceDN w:val="0"/>
      <w:adjustRightInd w:val="0"/>
      <w:snapToGrid w:val="0"/>
      <w:spacing w:line="240" w:lineRule="auto"/>
      <w:ind w:firstLine="0" w:firstLineChars="0"/>
      <w:jc w:val="center"/>
    </w:pPr>
    <w:rPr>
      <w:b/>
      <w:kern w:val="0"/>
      <w:sz w:val="21"/>
    </w:rPr>
  </w:style>
  <w:style w:type="paragraph" w:customStyle="1" w:styleId="51">
    <w:name w:val="Table Text"/>
    <w:basedOn w:val="1"/>
    <w:semiHidden/>
    <w:qFormat/>
    <w:uiPriority w:val="0"/>
    <w:rPr>
      <w:rFonts w:ascii="宋体" w:hAnsi="宋体" w:eastAsia="宋体" w:cs="宋体"/>
      <w:sz w:val="20"/>
      <w:szCs w:val="20"/>
      <w:lang w:val="en-US" w:eastAsia="en-US" w:bidi="ar-SA"/>
    </w:rPr>
  </w:style>
  <w:style w:type="paragraph" w:customStyle="1" w:styleId="52">
    <w:name w:val="报告表正文"/>
    <w:basedOn w:val="1"/>
    <w:qFormat/>
    <w:uiPriority w:val="0"/>
    <w:pPr>
      <w:ind w:firstLine="640" w:firstLineChars="200"/>
    </w:pPr>
  </w:style>
  <w:style w:type="paragraph" w:customStyle="1" w:styleId="53">
    <w:name w:val="【表头】"/>
    <w:basedOn w:val="1"/>
    <w:next w:val="1"/>
    <w:unhideWhenUsed/>
    <w:qFormat/>
    <w:uiPriority w:val="0"/>
    <w:pPr>
      <w:spacing w:line="240" w:lineRule="auto"/>
      <w:ind w:firstLine="0" w:firstLineChars="0"/>
      <w:jc w:val="center"/>
    </w:pPr>
    <w:rPr>
      <w:b/>
      <w:kern w:val="0"/>
      <w:sz w:val="21"/>
      <w:szCs w:val="21"/>
    </w:rPr>
  </w:style>
  <w:style w:type="paragraph" w:customStyle="1" w:styleId="54">
    <w:name w:val="图标 表标"/>
    <w:basedOn w:val="1"/>
    <w:qFormat/>
    <w:uiPriority w:val="0"/>
    <w:pPr>
      <w:autoSpaceDE w:val="0"/>
      <w:autoSpaceDN w:val="0"/>
      <w:adjustRightInd w:val="0"/>
      <w:ind w:firstLine="0" w:firstLineChars="0"/>
      <w:jc w:val="center"/>
    </w:pPr>
    <w:rPr>
      <w:b/>
      <w:bCs/>
      <w:kern w:val="21"/>
    </w:rPr>
  </w:style>
  <w:style w:type="character" w:customStyle="1" w:styleId="55">
    <w:name w:val="表格内容 Char"/>
    <w:link w:val="40"/>
    <w:qFormat/>
    <w:uiPriority w:val="0"/>
    <w:rPr>
      <w:spacing w:val="-2"/>
      <w:sz w:val="21"/>
      <w:szCs w:val="18"/>
    </w:rPr>
  </w:style>
  <w:style w:type="paragraph" w:customStyle="1" w:styleId="56">
    <w:name w:val="正文最终"/>
    <w:qFormat/>
    <w:uiPriority w:val="0"/>
    <w:pPr>
      <w:widowControl w:val="0"/>
      <w:snapToGrid w:val="0"/>
      <w:spacing w:line="360" w:lineRule="auto"/>
      <w:ind w:firstLine="200" w:firstLineChars="200"/>
    </w:pPr>
    <w:rPr>
      <w:rFonts w:ascii="Times New Roman" w:hAnsi="Times New Roman" w:eastAsia="宋体" w:cs="Times New Roman"/>
      <w:kern w:val="2"/>
      <w:sz w:val="24"/>
      <w:szCs w:val="24"/>
      <w:lang w:val="en-US" w:eastAsia="zh-CN" w:bidi="ar-SA"/>
    </w:rPr>
  </w:style>
  <w:style w:type="character" w:customStyle="1" w:styleId="57">
    <w:name w:val="font11"/>
    <w:basedOn w:val="22"/>
    <w:qFormat/>
    <w:uiPriority w:val="0"/>
    <w:rPr>
      <w:rFonts w:hint="eastAsia" w:ascii="宋体" w:hAnsi="宋体" w:eastAsia="宋体" w:cs="宋体"/>
      <w:color w:val="000000"/>
      <w:sz w:val="21"/>
      <w:szCs w:val="21"/>
      <w:u w:val="none"/>
    </w:rPr>
  </w:style>
  <w:style w:type="character" w:customStyle="1" w:styleId="58">
    <w:name w:val="五号居中一倍行距 Char"/>
    <w:link w:val="46"/>
    <w:qFormat/>
    <w:uiPriority w:val="0"/>
    <w:rPr>
      <w:rFonts w:eastAsia="宋体"/>
      <w:sz w:val="21"/>
      <w:szCs w:val="21"/>
    </w:rPr>
  </w:style>
  <w:style w:type="character" w:customStyle="1" w:styleId="59">
    <w:name w:val="font41"/>
    <w:basedOn w:val="22"/>
    <w:qFormat/>
    <w:uiPriority w:val="0"/>
    <w:rPr>
      <w:rFonts w:hint="default" w:ascii="Times New Roman" w:hAnsi="Times New Roman" w:cs="Times New Roman"/>
      <w:b/>
      <w:bCs/>
      <w:color w:val="000000"/>
      <w:sz w:val="21"/>
      <w:szCs w:val="21"/>
      <w:u w:val="none"/>
    </w:rPr>
  </w:style>
  <w:style w:type="character" w:customStyle="1" w:styleId="60">
    <w:name w:val="font01"/>
    <w:basedOn w:val="22"/>
    <w:qFormat/>
    <w:uiPriority w:val="0"/>
    <w:rPr>
      <w:rFonts w:hint="eastAsia" w:ascii="宋体" w:hAnsi="宋体" w:eastAsia="宋体" w:cs="宋体"/>
      <w:color w:val="000000"/>
      <w:sz w:val="24"/>
      <w:szCs w:val="24"/>
      <w:u w:val="none"/>
    </w:rPr>
  </w:style>
  <w:style w:type="paragraph" w:customStyle="1" w:styleId="61">
    <w:name w:val="表内最终版"/>
    <w:basedOn w:val="56"/>
    <w:unhideWhenUsed/>
    <w:qFormat/>
    <w:uiPriority w:val="0"/>
    <w:pPr>
      <w:adjustRightInd w:val="0"/>
      <w:snapToGrid w:val="0"/>
      <w:spacing w:line="240" w:lineRule="auto"/>
      <w:ind w:firstLine="0" w:firstLineChars="0"/>
      <w:jc w:val="center"/>
      <w:textAlignment w:val="baseline"/>
    </w:pPr>
    <w:rPr>
      <w:rFonts w:ascii="Times New Roman" w:hAnsi="Times New Roman" w:eastAsia="宋体"/>
      <w:sz w:val="21"/>
    </w:rPr>
  </w:style>
  <w:style w:type="character" w:customStyle="1" w:styleId="62">
    <w:name w:val="font21"/>
    <w:basedOn w:val="22"/>
    <w:qFormat/>
    <w:uiPriority w:val="0"/>
    <w:rPr>
      <w:rFonts w:hint="default" w:ascii="Times New Roman" w:hAnsi="Times New Roman" w:cs="Times New Roman"/>
      <w:color w:val="000000"/>
      <w:sz w:val="18"/>
      <w:szCs w:val="18"/>
      <w:u w:val="none"/>
    </w:rPr>
  </w:style>
  <w:style w:type="character" w:customStyle="1" w:styleId="63">
    <w:name w:val="font51"/>
    <w:basedOn w:val="22"/>
    <w:qFormat/>
    <w:uiPriority w:val="0"/>
    <w:rPr>
      <w:rFonts w:hint="eastAsia" w:ascii="宋体" w:hAnsi="宋体" w:eastAsia="宋体" w:cs="宋体"/>
      <w:color w:val="000000"/>
      <w:sz w:val="21"/>
      <w:szCs w:val="21"/>
      <w:u w:val="none"/>
    </w:rPr>
  </w:style>
  <w:style w:type="paragraph" w:customStyle="1" w:styleId="64">
    <w:name w:val="样式 四号 首行缩进:  2 字符"/>
    <w:basedOn w:val="1"/>
    <w:qFormat/>
    <w:uiPriority w:val="99"/>
    <w:pPr>
      <w:spacing w:line="360" w:lineRule="auto"/>
      <w:ind w:firstLine="560" w:firstLineChars="200"/>
    </w:pPr>
    <w:rPr>
      <w:rFonts w:ascii="宋体" w:hAnsi="宋体" w:eastAsia="宋体" w:cs="宋体"/>
      <w:sz w:val="28"/>
      <w:szCs w:val="28"/>
    </w:rPr>
  </w:style>
  <w:style w:type="paragraph" w:customStyle="1" w:styleId="65">
    <w:name w:val="表格标题最终"/>
    <w:basedOn w:val="10"/>
    <w:next w:val="44"/>
    <w:qFormat/>
    <w:uiPriority w:val="0"/>
    <w:pPr>
      <w:adjustRightInd w:val="0"/>
      <w:snapToGrid w:val="0"/>
      <w:spacing w:line="240" w:lineRule="auto"/>
      <w:ind w:firstLine="0" w:firstLineChars="0"/>
      <w:jc w:val="center"/>
    </w:pPr>
    <w:rPr>
      <w:rFonts w:ascii="Times New Roman" w:hAnsi="Times New Roman" w:eastAsia="宋体"/>
      <w:b/>
      <w:sz w:val="21"/>
    </w:rPr>
  </w:style>
  <w:style w:type="paragraph" w:customStyle="1" w:styleId="66">
    <w:name w:val="p15"/>
    <w:basedOn w:val="1"/>
    <w:qFormat/>
    <w:uiPriority w:val="0"/>
    <w:pPr>
      <w:widowControl/>
    </w:pPr>
    <w:rPr>
      <w:rFonts w:cs="Calibri"/>
      <w:color w:val="000000"/>
      <w:kern w:val="0"/>
      <w:szCs w:val="21"/>
    </w:rPr>
  </w:style>
  <w:style w:type="paragraph" w:customStyle="1" w:styleId="67">
    <w:name w:val="小四正文"/>
    <w:basedOn w:val="1"/>
    <w:unhideWhenUsed/>
    <w:qFormat/>
    <w:uiPriority w:val="0"/>
    <w:pPr>
      <w:wordWrap w:val="0"/>
      <w:ind w:firstLine="480"/>
      <w:textAlignment w:val="bottom"/>
    </w:pPr>
    <w:rPr>
      <w:rFonts w:cs="宋体"/>
    </w:rPr>
  </w:style>
  <w:style w:type="paragraph" w:customStyle="1" w:styleId="68">
    <w:name w:val="表内正文"/>
    <w:basedOn w:val="1"/>
    <w:qFormat/>
    <w:uiPriority w:val="0"/>
    <w:pPr>
      <w:wordWrap w:val="0"/>
      <w:spacing w:line="360" w:lineRule="auto"/>
      <w:ind w:firstLine="1044" w:firstLineChars="200"/>
      <w:jc w:val="left"/>
    </w:pPr>
    <w:rPr>
      <w:rFonts w:hint="eastAsia" w:ascii="Times New Roman" w:hAnsi="Times New Roman"/>
    </w:rPr>
  </w:style>
  <w:style w:type="paragraph" w:customStyle="1" w:styleId="69">
    <w:name w:val="表格一级"/>
    <w:basedOn w:val="1"/>
    <w:qFormat/>
    <w:uiPriority w:val="0"/>
    <w:pPr>
      <w:wordWrap w:val="0"/>
      <w:adjustRightInd w:val="0"/>
      <w:snapToGrid w:val="0"/>
      <w:spacing w:beforeLines="0" w:line="360" w:lineRule="auto"/>
      <w:ind w:firstLine="200" w:firstLineChars="200"/>
      <w:jc w:val="left"/>
      <w:textAlignment w:val="baseline"/>
    </w:pPr>
    <w:rPr>
      <w:rFonts w:hint="eastAsia" w:ascii="Times New Roman" w:hAnsi="Times New Roman" w:eastAsia="宋体" w:cs="Times New Roman"/>
      <w:sz w:val="24"/>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header" Target="header2.xml"/><Relationship Id="rId7" Type="http://schemas.openxmlformats.org/officeDocument/2006/relationships/header" Target="header1.xml"/><Relationship Id="rId6" Type="http://schemas.openxmlformats.org/officeDocument/2006/relationships/endnotes" Target="endnotes.xml"/><Relationship Id="rId5" Type="http://schemas.openxmlformats.org/officeDocument/2006/relationships/footnotes" Target="footnotes.xml"/><Relationship Id="rId4" Type="http://schemas.microsoft.com/office/2011/relationships/commentsExtended" Target="commentsExtended.xml"/><Relationship Id="rId32" Type="http://schemas.microsoft.com/office/2011/relationships/people" Target="people.xml"/><Relationship Id="rId31" Type="http://schemas.openxmlformats.org/officeDocument/2006/relationships/fontTable" Target="fontTable.xml"/><Relationship Id="rId30" Type="http://schemas.openxmlformats.org/officeDocument/2006/relationships/customXml" Target="../customXml/item2.xml"/><Relationship Id="rId3" Type="http://schemas.openxmlformats.org/officeDocument/2006/relationships/comments" Target="comments.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2.jpeg"/><Relationship Id="rId26" Type="http://schemas.openxmlformats.org/officeDocument/2006/relationships/image" Target="media/image11.jpeg"/><Relationship Id="rId25" Type="http://schemas.openxmlformats.org/officeDocument/2006/relationships/image" Target="media/image10.jpeg"/><Relationship Id="rId24" Type="http://schemas.openxmlformats.org/officeDocument/2006/relationships/image" Target="media/image9.jpeg"/><Relationship Id="rId23" Type="http://schemas.openxmlformats.org/officeDocument/2006/relationships/image" Target="media/image8.jpe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jpeg"/><Relationship Id="rId18" Type="http://schemas.openxmlformats.org/officeDocument/2006/relationships/image" Target="media/image3.jpeg"/><Relationship Id="rId17" Type="http://schemas.openxmlformats.org/officeDocument/2006/relationships/image" Target="media/image2.pn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4.xml"/><Relationship Id="rId13" Type="http://schemas.openxmlformats.org/officeDocument/2006/relationships/header" Target="header4.xml"/><Relationship Id="rId12" Type="http://schemas.openxmlformats.org/officeDocument/2006/relationships/footer" Target="footer3.xml"/><Relationship Id="rId11" Type="http://schemas.openxmlformats.org/officeDocument/2006/relationships/footer" Target="footer2.xml"/><Relationship Id="rId10" Type="http://schemas.openxmlformats.org/officeDocument/2006/relationships/footer" Target="footer1.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extobjs>
    <extobj name="E657119C-6982-421D-8BA7-E74DEB70A7D9-1">
      <extobjdata type="E657119C-6982-421D-8BA7-E74DEB70A7D9" data="ewoJIkNhdGVnb3J5IiA6ICJmbG93IiwKCSJEZWZpbml0aW9uIiA6ICJKVGRDSlRJeWNHRm5aU1V5TWlVelFTVTNRaVV5TW5CaFpHUnBibWNsTWpJbE0wRXlNQ1V5UXlVeU1tOXlhV1Z1ZEdGMGFXOXVKVEl5SlROQkpUSXljRzl5ZEhKaGFYUWxNaklsTWtNbE1qSmlZV05yWjNKdmRXNWtRMjlzYjNJbE1qSWxNMEVsTWpKMGNtRnVjM0JoY21WdWRDVXlNaVV5UXlVeU1tZHlhV1JUYVhwbEpUSXlKVE5CTVRVbE1rTWxNakozYVdSMGFDVXlNaVV6UVRFd01EQWxNa01sTWpKemFHOTNSM0pwWkNVeU1pVXpRWFJ5ZFdVbE1rTWxNakp5YVdOb1ZHVjRkQ1V5TWlVelFYUnlkV1VsTWtNbE1qSm9aV2xuYUhRbE1qSWxNMEV4TURBd0pUZEVKVEpESlRJeVpXeGxiV1Z1ZEhNbE1qSWxNMEVsTjBJbE1qSnhTbTVaYld4blkxZFpNek00T0RjMkpUSXlKVE5CSlRkQ0pUSXljR0Z5Wlc1MEpUSXlKVE5CSlRJeUpUSXlKVEpESlRJeWJHbHVheVV5TWlVelFTVXlNaVV5TWlVeVF5VXlNbk5vWVhCbFUzUjViR1VsTWpJbE0wRWxOMElsTWpKaGJIQm9ZU1V5TWlVelFURWxOMFFsTWtNbE1qSjBaWGgwUW14dlkyc2xNaklsTTBFbE5VSWxOMElsTWpKd2IzTnBkR2x2YmlVeU1pVXpRU1UzUWlVeU1uY2xNaklsTTBFbE1qSjNMVEl3SlRJeUpUSkRKVEl5YUNVeU1pVXpRU1V5TW1nbE1qSWxNa01sTWpKNEpUSXlKVE5CTVRBbE1rTWxNako1SlRJeUpUTkJNQ1UzUkNVeVF5VXlNblJsZUhRbE1qSWxNMEVsTWpJbFJUWWxRVE1sT0RBbFJUWWxPVVlsUVRVbFJUY2xPVGtsUWtJbFJUZ2xRVVVsUWpB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WtNbE1qSm1iMjUwVTNSNWJHVWxNaklsTTBFbE4wSWxNakp6YVhwbEpUSXlKVE5CTVRZbE4wUWxNa01sTWpKMGFYUnNaU1V5TWlVelFTVXlNaVZGTnlVNVJpVkJPU1ZGTlNWQ1JDVkJNaVV5TWlVeVF5VXlNbVJoZEdGQmRIUnlhV0oxZEdWekpUSXlKVE5CSlRWQ0pUZENKVEl5Ym1GdFpTVXlNaVV6UVNVeU1pVkZOU1ZDUVNVNFJpVkZOU1U0UmlWQ055VXlNaVV5UXlVeU1tbGtKVEl5SlROQkpUSXlRM0ozVG5kWFYwdDFkelkzTlRBM05TVXlNaVV5UXlVeU1tTmhkR1ZuYjNKNUpUSXlKVE5CSlRJeVpHVm1ZWFZzZENVeU1pVXlReVV5TW5SNWNHVWxNaklsTTBFbE1qSnVkVzFpWlhJbE1qSWxNa01sTWpKMllXeDFaU1V5TWlVelFTVXlNaVV5TWlVM1JDVXlReVUzUWlVeU1tNWhiV1VsTWpJbE0wRWxNaklsUlRVbE9UQWxPRVFsUlRjbFFUY2xRakFsTWpJbE1rTWxNakpwWkNVeU1pVXpRU1V5TW5KS1UxbDViMFpHU25BM05EWTVOamdsTWpJbE1rTWxNakpqWVhSbFoyOXllU1V5TWlVelFTVXlNbVJsWm1GMWJIUWxNaklsTWtNbE1qSjBlWEJsSlRJeUpUTkJKVEl5YzNSeWFXNW5KVEl5SlRKREpUSXlkbUZzZFdVbE1qSWxNMEVsTWpJbE1qSWxOMFFsTWtNbE4wSWxNakp1WVcxbEpUSXlKVE5CSlRJeUpVVTJKVGc1SlRnd0pVVTJKVGxESlRnNUpVVTRKVGd3SlRnMUpUSXlKVEpESlRJeWFXUWxNaklsTTBFbE1qSjBkM1YzVFd4eWNGaFZORFV5TVRFeUpUSXlKVEpESlRJeVkyRjBaV2R2Y25rbE1qSWxNMEVsTWpKa1pXWmhkV3gwSlRJeUpUSkRKVEl5ZEhsd1pTVXlNaVV6UVNVeU1uTjBjbWx1WnlVeU1pVXlReVV5TW5aaGJIVmxKVEl5SlROQkpUSXlKVEl5SlRkRUpUSkRKVGRDSlRJeWJtRnRaU1V5TWlVelFTVXlNaVZGT0NWQ1JpVTVSU1ZGTmlVNFJTVkJOU1V5TWlVeVF5VXlNbWxrSlRJeUpUTkJKVEl5UzBWa1VIRnlURlJEV2pRNE5qQXdNQ1V5TWlVeVF5VXlNbU5oZEdWbmIzSjVKVEl5SlROQkpUSXlaR1ZtWVhWc2RDVXlNaVV5UXlVeU1uUjVjR1VsTWpJbE0wRWxNakpzYVc1ckpUSXlKVEpESlRJeWRtRnNkV1VsTWpJbE0wRWxNaklsTWpJbE4wUWxNa01sTjBJbE1qSnVZVzFsSlRJeUpUTkJKVEl5SlVVMEpVSkZKVUpHSlVVM0pVRkRKVUpCSlRJeUpUSkRKVEl5YVdRbE1qSWxNMEVsTWpKcmVHSkVjM2hWY0dsUk16WTRNREF5SlRJeUpUSkRKVEl5WTJGMFpXZHZjbmtsTWpJbE0wRWxNakprWldaaGRXeDBKVEl5SlRKREpUSXlkSGx3WlNVeU1pVXpRU1V5TW5OMGNtbHVaeVV5TWlVeVF5VXlNblpoYkhWbEpUSXlKVE5CSlRJeUpUSXlKVGRFSlRWRUpUSkRKVEl5Y0hKdmNITWxNaklsTTBFbE4wSWxNako2YVc1a1pYZ2xNaklsTTBFeEpUSkRKVEl5ZHlVeU1pVXpRVEUwT0NVeVF5VXlNbWdsTWpJbE0wRXpOeTQxT1RrNU9UazVPVFF3TXprMU16WWxNa01sTWpKNEpUSXlKVE5CTkRjekpUSkRKVEl5ZVNVeU1pVXpRVEl5TVNVeVF5VXlNbUZ1WjJ4bEpUSXlKVE5CTUNVM1JDVXlReVV5TW5CaGRHZ2xNaklsTTBFbE5VSWxOMElsTWpKaFkzUnBiMjV6SlRJeUpUTkJKVFZDSlRkQ0pUSXllQ1V5TWlVelFTVXlNakFsTWpJbE1rTWxNakpoWTNScGIyNGxNaklsTTBFbE1qSnRiM1psSlRJeUpUSkRKVEl5ZVNVeU1pVXpRU1V5TWpBbE1qSWxOMFFsTWtNbE4wSWxNako0SlRJeUpUTkJKVEl5ZHlVeU1pVXlReVV5TW1GamRHbHZiaVV5TWlVelFTVXlNbXhwYm1VbE1qSWxNa01sTWpKNUpUSXlKVE5CSlRJeU1DVXlNaVUzUkNVeVF5VTNRaVV5TW5nbE1qSWxNMEVsTWpKM0pUSXlKVEpESlRJeVlXTjBhVzl1SlRJeUpUTkJKVEl5YkdsdVpTVXlNaVV5UXlVeU1ua2xNaklsTTBFbE1qSm9KVEl5SlRkRUpUSkRKVGRDSlRJeWVDVXlNaVV6UVNVeU1qQWxNaklsTWtNbE1qSmhZM1JwYjI0bE1qSWxNMEVsTWpKc2FXNWxKVEl5SlRKREpUSXllU1V5TWlVelFTVXlNbWdsTWpJbE4wUWxNa01sTjBJbE1qSmhZM1JwYjI0bE1qSWxNMEVsTWpKamJHOXpaU1V5TWlVM1JDVTFSQ1UzUkNVMVJDVXlReVV5TW14cGJtVlRkSGxzWlNVeU1pVXpRU1UzUWlVM1JDVXlReVV5TW1Ob2FXeGtjbVZ1SlRJeUpUTkJKVFZDSlRWRUpUSkRKVEl5Y21WemFYcGxSR2x5SlRJeUpUTkJKVFZDSlRJeWRHd2xNaklsTWtNbE1qSjBjaVV5TWlVeVF5VXlNbUp5SlRJeUpUSkRKVEl5WW13bE1qSWxOVVFsTWtNbE1qSnVZVzFsSlRJeUpUTkJKVEl5Y21WamRHRnVaMnhsSlRJeUpUSkRKVEl5Wm1sc2JGTjBlV3hsSlRJeUpUTkJKVGRDSlRkRUpUSkRKVEl5WVhSMGNtbGlkWFJsSlRJeUpUTkJKVGRDSlRJeVkyOXVkR0ZwYm1WeUpUSXlKVE5CWm1Gc2MyVWxNa01sTWpKeWIzUmhkR0ZpYkdVbE1qSWxNMEYwY25WbEpUSkRKVEl5ZG1semFXSnNaU1V5TWlVelFYUnlkV1VsTWtNbE1qSmpiMnhzWVhCellXSnNaU1V5TWlVelFXWmhiSE5sSlRKREpUSXlZMjlzYkdGd2MyVmtKVEl5SlROQlptRnNjMlVsTWtNbE1qSnNhVzVyWVdKc1pTVXlNaVV6UVhSeWRXVWxNa01sTWpKdFlYSnJaWEpQWm1aelpYUWxNaklsTTBFMUpUZEVKVEpESlRJeWFXUWxNaklsTTBFbE1qSnhTbTVaYld4blkxZFpNek00T0RjMkpUSXlKVEpESlRJeVkyRjBaV2R2Y25rbE1qSWxNMEVsTWpKaVlYTnBZeVV5TWlVeVF5VXlNbXh2WTJ0bFpDVXlNaVV6UVdaaGJITmxKVEpESlRJeVozSnZkWEFsTWpJbE0wRWxNaklsTWpJbE4wUWxNa01sTWpKNGJXZFNaR1JFUjNKbk1qWTBOVEV5SlRJeUpUTkJKVGRDSlRJeWFXUWxNaklsTTBFbE1qSjRiV2RTWkdSRVIzSm5NalkwTlRFeUpUSXlKVEpESlRJeWJtRnRaU1V5TWlVelFTVXlNbk4wWVc1a1lYSmtWR1Y0ZENVeU1pVXlReVV5TW5ScGRHeGxKVEl5SlROQkpUSXlKVEl5SlRKREpUSXlZMkYwWldkdmNua2xNaklsTTBFbE1qSnpkR0Z1WkdGeVpDVXlNaVV5UXlVeU1tZHliM1Z3SlRJeUpUTkJKVEl5SlRJeUpUSkRKVEl5WjNKdmRYQk9ZVzFsSlRJeUpUTkJiblZzYkNVeVF5VXlNbXh2WTJ0bFpDVXlNaVV6UVdaaGJITmxKVEpESlRJeWJHbHVheVV5TWlVelFTVXlNaVV5TWlVeVF5VXlNbU5vYVd4a2NtVnVKVEl5SlROQkpUVkNKVFZFSlRKREpUSXljR0Z5Wlc1MEpUSXlKVE5CSlRJeUpUSXlKVEpESlRJeWNtVnphWHBsUkdseUpUSXlKVE5CSlRWQ0pUSXlkR3dsTWpJbE1rTWxNakowY2lVeU1pVXlReVV5TW1KeUpUSXlKVEpESlRJeVltd2xNaklsTWtNbE1qSnNKVEl5SlRKREpUSXlkQ1V5TWlVeVF5VXlNbklsTWpJbE1rTWxNakppSlRJeUpUVkVKVEpESlRJeVlYUjBjbWxpZFhSbEpUSXlKVE5CSlRkQ0pUSXlZMjl1ZEdGcGJtVnlKVEl5SlROQlptRnNjMlVsTWtNbE1qSjJhWE5wWW14bEpUSXlKVE5CZEhKMVpTVXlReVV5TW5KdmRHRjBZV0pzWlNVeU1pVXpRWFJ5ZFdVbE1rTWxNakpzYVc1cllXSnNaU1V5TWlVelFYUnlkV1VsTWtNbE1qSmpiMnhzWVhCellXSnNaU1V5TWlVelFXWmhiSE5sSlRKREpUSXlZMjlzYkdGd2MyVmtKVEl5SlROQlptRnNjMlVsTWtNbE1qSm1hWGhsWkV4cGJtc2xNaklsTTBGbVlXeHpaU1V5UXlVeU1tMWhjbXRsY2s5bVpuTmxkQ1V5TWlVelFUVWxOMFFsTWtNbE1qSmtZWFJoUVhSMGNtbGlkWFJsY3lVeU1pVXpRU1UxUWlVMVJDVXlReVV5TW5CeWIzQnpKVEl5SlROQkpUZENKVEl5ZUNVeU1pVXpRVFE1TnlVeVF5VXlNbmtsTWpJbE0wRXhNekF1TlRrNU9UazVPVGswTURNNU5UUWxNa01sTWpKM0pUSXlKVE5CTVRBd0pUSkRKVEl5YUNVeU1pVXpRVFF3SlRKREpUSXllbWx1WkdWNEpUSXlKVE5CTkNVeVF5VXlNbUZ1WjJ4bEpUSXlKVE5CTUNVM1JDVXlReVV5TW5Ob1lYQmxVM1I1YkdVbE1qSWxNMEVsTjBJbE1qSmhiSEJvWVNVeU1pVXpRVEVsTjBRbE1rTWxNakpzYVc1bFUzUjViR1VsTWpJbE0wRWxOMElsTjBRbE1rTWxNakptYVd4c1UzUjViR1VsTWpJbE0wRWxOMElsTjBRbE1rTWxNakowYUdWdFpTVXlNaVV6UVNVM1FpVTNSQ1V5UXlVeU1uQmhkR2dsTWpJbE0wRWxOVUlsTjBJbE1qSnNhVzVsVTNSNWJHVWxNaklsTTBFbE4wSWxNakpzYVc1bFYybGtkR2dsTWpJbE0wRXdKVGRFSlRKREpUSXlabWxzYkZOMGVXeGxKVEl5SlROQkpUZENKVEl5ZEhsd1pTVXlNaVV6UVNVeU1tNXZibVVsTWpJbE4wUWxNa01sTWpKaFkzUnBiMjV6SlRJeUpUTkJKVFZDSlRkQ0pUSXlZV04wYVc5dUpUSXlKVE5CSlRJeWJXOTJaU1V5TWlVeVF5VXlNbmdsTWpJbE0wRWxNakl3SlRJeUpUSkRKVEl5ZVNVeU1pVXpRU1V5TWpBbE1qSWxOMFFsTWtNbE4wSWxNakpoWTNScGIyNGxNaklsTTBFbE1qSnNhVzVsSlRJeUpUSkRKVEl5ZUNVeU1pVXpRU1V5TW5jbE1qSWxNa01sTWpKNUpUSXlKVE5CSlRJeU1DVXlNaVUzUkNVeVF5VTNRaVV5TW1GamRHbHZiaVV5TWlVelFTVXlNbXhwYm1VbE1qSWxNa01sTWpKNEpUSXlKVE5CSlRJeWR5VXlNaVV5UXlVeU1ua2xNaklsTTBFbE1qSm9KVEl5SlRkRUpUSkRKVGRDSlRJeVlXTjBhVzl1SlRJeUpUTkJKVEl5YkdsdVpTVXlNaVV5UXlVeU1uZ2xNaklsTTBFbE1qSXdKVEl5SlRKREpUSXllU1V5TWlVelFTVXlNbWdsTWpJbE4wUWxNa01sTjBJbE1qSmhZM1JwYjI0bE1qSWxNMEVsTWpKamJHOXpaU1V5TWlVM1JDVTFSQ1UzUkNVMVJDVXlReVV5TW1admJuUlRkSGxzWlNVeU1pVXpRU1UzUWlVM1JDVXlReVV5TW5SbGVIUkNiRzlqYXlVeU1pVXpRU1UxUWlVM1FpVXlNbkJ2YzJsMGFXOXVKVEl5SlROQkpUZENKVEl5ZUNVeU1pVXpRVEFsTWtNbE1qSjVKVEl5SlROQk1DVXlReVV5TW5jbE1qSWxNMEVsTWpKM0pUSXlKVEpESlRJeWFDVXlNaVV6UVNVeU1tZ2xNaklsTjBRbE1rTWxNakowWlhoMEpUSXlKVE5CSlRJeUpVVTFKVUpCSlRsR0pVVTJKVGszSlVFM0pVVTNKVGswSlVJMUpVVTFKVGhCSlVFNEpVVTRKVGczSlVGQkpVVTRKVUV4SlRoREpVVTRKVUpFSlVFMkpUSXlKVGRFSlRWRUpUSkRKVEl5WVc1amFHOXljeVV5TWlVelFTVTFRaVUzUWlVeU1uZ2xNaklsTTBFbE1qSjNKVEpHTWlVeU1pVXlReVV5TW5rbE1qSWxNMEVsTWpJd0pUSXlKVGRFSlRKREpUZENKVEl5ZUNVeU1pVXpRU1V5TW5jbE1rWXlKVEl5SlRKREpUSXllU1V5TWlVelFTVXlNbWdsTWpJbE4wUWxNa01sTjBJbE1qSjRKVEl5SlROQkpUSXlNQ1V5TWlVeVF5VXlNbmtsTWpJbE0wRWxNakpvSlRKR01pVXlNaVUzUkNVeVF5VTNRaVV5TW5nbE1qSWxNMEVsTWpKM0pUSXlKVEpESlRJeWVTVXlNaVV6UVNVeU1tZ2xNa1l5SlRJeUpUZEVKVFZFSlRkRUpUSkRKVEl5WVhsU1prMXpibU5yY0RBMk1EUTFOQ1V5TWlVelFTVTNRaVV5TW5CaGNtVnVkQ1V5TWlVelFTVXlNaVV5TWlVeVF5VXlNbXhwYm1zbE1qSWxNMEVsTWpJbE1qSWxNa01sTWpKemFHRndaVk4wZVd4bEpUSXlKVE5CSlRkQ0pUSXlZV3h3YUdFbE1qSWxNMEV4SlRkRUpUSkRKVEl5ZEdWNGRFSnNiMk5ySlRJeUpUTkJKVFZDSlRkQ0pUSXljRzl6YVhScGIyNGxNaklsTTBFbE4wSWxNakozSlRJeUpUTkJKVEl5ZHkweU1DVXlNaVV5UXlVeU1tZ2xNaklsTTBFbE1qSm9KVEl5SlRKREpUSXllQ1V5TWlVelFURXdKVEpESlRJeWVTVXlNaVV6UVRBbE4wUWxNa01sTWpKMFpYaDBKVEl5SlROQkpUSXlKVVUxSlRnMUpVRTFKVVUxSlVKQkpUa3pKVVUySlRsQkpUZ3lKVVUxSlVGRUpUazRKVEl5SlRkRUpUVkVKVEpESlRJeVlXNWphRzl5Y3lVeU1pVXpRU1UxUWlVM1FpVXlNbmdsTWpJbE0wRWxNakozSlRKR01pVXlNaVV5UXlVeU1ua2xNaklsTTBFbE1qSXdKVEl5SlRkRUpUSkRKVGRDSlRJeWVDVXlNaVV6UVNVeU1uY2xNa1l5SlRJeUpUSkRKVEl5ZVNVeU1pVXpRU1V5TW1nbE1qSWxOMFFsTWtNbE4wSWxNako0SlRJeUpUTkJKVEl5TUNVeU1pVXlReVV5TW5rbE1qSWxNMEVsTWpKb0pUSkdNaVV5TWlVM1JDVXlReVUzUWlVeU1uZ2xNaklsTTBFbE1qSjNKVEl5SlRKREpUSXllU1V5TWlVelFTVXlNbWdsTWtZeUpUSXlKVGRFSlRWRUpUSkRKVEl5Wm05dWRGTjBlV3hsSlRJeUpUTkJKVGRDSlRJeWMybDZaU1V5TWlVelFURTJKVGRFSlRKREpUSXlkR2wwYkdVbE1qSWxNMEVsTWpJbFJUY2xPVVlsUVRrbFJUVWxRa1FsUVRJbE1qSWxNa01sTWpKa1lYUmhRWFIwY21saWRYUmxjeVV5TWlVelFTVTFRaVUzUWlVeU1tNWhiV1VsTWpJbE0wRWxNaklsUlRVbFFrRWxPRVlsUlRVbE9FWWxRamNsTWpJbE1rTWxNakpwWkNVeU1pVXpRU1V5TWxKelJIbENiV1p5V2tVNU1qQXdNek1sTWpJbE1rTWxNakpqWVhSbFoyOXllU1V5TWlVelFTVXlNbVJsWm1GMWJIUWxNaklsTWtNbE1qSjBlWEJsSlRJeUpUTkJKVEl5Ym5WdFltVnlKVEl5SlRKREpUSXlkbUZzZFdVbE1qSWxNMEVsTWpJbE1qSWxOMFFsTWtNbE4wSWxNakp1WVcxbEpUSXlKVE5CSlRJeUpVVTFKVGt3SlRoRUpVVTNKVUUzSlVJd0pUSXlKVEpESlRJeWFXUWxNaklsTTBFbE1qSnFSVmRNUzFKWloyUkZNamM0TXpreEpUSXlKVEpESlRJeVkyRjBaV2R2Y25rbE1qSWxNMEVsTWpKa1pXWmhkV3gwSlRJeUpUSkRKVEl5ZEhsd1pTVXlNaVV6UVNVeU1uTjBjbWx1WnlVeU1pVXlReVV5TW5aaGJIVmxKVEl5SlROQkpUSXlKVEl5SlRkRUpUSkRKVGRDSlRJeWJtRnRaU1V5TWlVelFTVXlNaVZGTmlVNE9TVTRNQ1ZGTmlVNVF5VTRPU1ZGT0NVNE1DVTROU1V5TWlVeVF5VXlNbWxrSlRJeUpUTkJKVEl5VG5Oa2JHTjFZMDlJZGpreE16Y3lOQ1V5TWlVeVF5VXlNbU5oZEdWbmIzSjVKVEl5SlROQkpUSXlaR1ZtWVhWc2RDVXlNaVV5UXlVeU1uUjVjR1VsTWpJbE0wRWxNakp6ZEhKcGJtY2xNaklsTWtNbE1qSjJZV3gxWlNVeU1pVXpRU1V5TWlVeU1pVTNSQ1V5UXlVM1FpVXlNbTVoYldVbE1qSWxNMEVsTWpJbFJUZ2xRa1lsT1VVbFJUWWxPRVVsUVRVbE1qSWxNa01sTWpKcFpDVXlNaVV6UVNVeU1rNVlhMEYxVVd0dFkxVTBOVFV5TmpVbE1qSWxNa01sTWpKallYUmxaMjl5ZVNVeU1pVXpRU1V5TW1SbFptRjFiSFFsTWpJbE1rTWxNakowZVhCbEpUSXlKVE5CSlRJeWJHbHVheVV5TWlVeVF5VXlNblpoYkhWbEpUSXlKVE5CSlRJeUpUSXlKVGRFSlRKREpUZENKVEl5Ym1GdFpTVXlNaVV6UVNVeU1pVkZOQ1ZDUlNWQ1JpVkZOeVZCUXlWQ1FTVXlNaVV5UXlVeU1tbGtKVEl5SlROQkpUSXlUa0ZhZUZGTFpsaFdUakl6TlRFNU5TVXlNaVV5UXlVeU1tTmhkR1ZuYjNKNUpUSXlKVE5CSlRJeVpHVm1ZWFZzZENVeU1pVXlReVV5TW5SNWNHVWxNaklsTTBFbE1qSnpkSEpwYm1jbE1qSWxNa01sTWpKMllXeDFaU1V5TWlVelFTVXlNaVV5TWlVM1JDVTFSQ1V5UXlVeU1uQnliM0J6SlRJeUpUTkJKVGRDSlRJeWVtbHVaR1Y0SlRJeUpUTkJOU1V5UXlVeU1uY2xNaklsTTBFeE5EZ2xNa01sTWpKb0pUSXlKVE5CTXpjdU5UazVPVGs1T1RrME1ETTVOVE0ySlRKREpUSXllQ1V5TWlVelFUUTNNeVV5UXlVeU1ua2xNaklsTTBFek1UZ2xNa01sTWpKaGJtZHNaU1V5TWlVelFUQWxOMFFsTWtNbE1qSndZWFJvSlRJeUpUTkJKVFZDSlRkQ0pUSXlZV04wYVc5dWN5VXlNaVV6UVNVMVFpVTNRaVV5TW5nbE1qSWxNMEVsTWpJd0pUSXlKVEpESlRJeVlXTjBhVzl1SlRJeUpUTkJKVEl5Ylc5MlpTVXlNaVV5UXlVeU1ua2xNaklsTTBFbE1qSXdKVEl5SlRkRUpUSkRKVGRDSlRJeWVDVXlNaVV6UVNVeU1uY2xNaklsTWtNbE1qSmhZM1JwYjI0bE1qSWxNMEVsTWpKc2FXNWxKVEl5SlRKREpUSXllU1V5TWlVelFTVXlNakFsTWpJbE4wUWxNa01sTjBJbE1qSjRKVEl5SlROQkpUSXlkeVV5TWlVeVF5VXlNbUZqZEdsdmJpVXlNaVV6UVNVeU1teHBibVVsTWpJbE1rTWxNako1SlRJeUpUTkJKVEl5YUNVeU1pVTNSQ1V5UXlVM1FpVXlNbmdsTWpJbE0wRWxNakl3SlRJeUpUSkRKVEl5WVdOMGFXOXVKVEl5SlROQkpUSXliR2x1WlNVeU1pVXlReVV5TW5rbE1qSWxNMEVsTWpKb0pUSXlKVGRFSlRKREpUZENKVEl5WVdOMGFXOXVKVEl5SlROQkpUSXlZMnh2YzJVbE1qSWxOMFFsTlVRbE4wUWxOVVFsTWtNbE1qSnNhVzVsVTNSNWJHVWxNaklsTTBFbE4wSWxOMFFsTWtNbE1qSmphR2xzWkhKbGJpVXlNaVV6UVNVMVFpVTFSQ1V5UXlVeU1uSmxjMmw2WlVScGNpVXlNaVV6UVNVMVFpVXlNblJzSlRJeUpUSkRKVEl5ZEhJbE1qSWxNa01sTWpKaWNpVXlNaVV5UXlVeU1tSnNKVEl5SlRWRUpUSkRKVEl5Ym1GdFpTVXlNaVV6UVNVeU1uSmxZM1JoYm1kc1pTVXlNaVV5UXlVeU1tWnBiR3hUZEhsc1pTVXlNaVV6UVNVM1FpVTNSQ1V5UXlVeU1tRjBkSEpwWW5WMFpTVXlNaVV6UVNVM1FpVXlNbU52Ym5SaGFXNWxjaVV5TWlVelFXWmhiSE5sSlRKREpUSXljbTkwWVhSaFlteGxKVEl5SlROQmRISjFaU1V5UXlVeU1uWnBjMmxpYkdVbE1qSWxNMEYwY25WbEpUSkRKVEl5WTI5c2JHRndjMkZpYkdVbE1qSWxNMEZtWVd4elpTVXlReVV5TW1OdmJHeGhjSE5sWkNVeU1pVXpRV1poYkhObEpUSkRKVEl5YkdsdWEyRmliR1VsTWpJbE0wRjBjblZsSlRKREpUSXliV0Z5YTJWeVQyWm1jMlYwSlRJeUpUTkJOU1UzUkNVeVF5VXlNbWxrSlRJeUpUTkJKVEl5WVhsU1prMXpibU5yY0RBMk1EUTFOQ1V5TWlVeVF5VXlNbU5oZEdWbmIzSjVKVEl5SlROQkpUSXlZbUZ6YVdNbE1qSWxNa01sTWpKc2IyTnJaV1FsTWpJbE0wRm1ZV3h6WlNVeVF5VXlNbWR5YjNWd0pUSXlKVE5CSlRJeUpUSXlKVGRFSlRKREpUSXlSRXAyUzJOTVNVdEVXVEV4TlRBME1DVXlNaVV6UVNVM1FpVXlNbkJoY21WdWRDVXlNaVV6UVNVeU1pVXlNaVV5UXlVeU1teHBibXNsTWpJbE0wRWxNaklsTWpJbE1rTWxNakp6YUdGd1pWTjBlV3hsSlRJeUpUTkJKVGRDSlRJeVlXeHdhR0VsTWpJbE0wRXhKVGRFSlRKREpUSXlkR1Y0ZEVKc2IyTnJKVEl5SlROQkpUVkNKVGRDSlRJeWNHOXphWFJwYjI0bE1qSWxNMEVsTjBJbE1qSjNKVEl5SlROQkpUSXlkeTB5TUNVeU1pVXlReVV5TW1nbE1qSWxNMEVsTWpKb0pUSXlKVEpESlRJeWVDVXlNaVV6UVRFd0pUSkRKVEl5ZVNVeU1pVXpRVEFsTjBRbE1rTWxNakowWlhoMEpUSXlKVE5CSlRJeUpVVTJKVGhDSlRnMkpVVTRKVUUzSlVFekpVVTNKVGswSlVJMUpVVTJKVUl4SlVFd0pUSXlKVGRFSlRWRUpUSkRKVEl5WVc1amFHOXljeVV5TWlVelFTVTFRaVUzUWlVeU1uZ2xNaklsTTBFbE1qSjNKVEpHTWlVeU1pVXlReVV5TW5rbE1qSWxNMEVsTWpJd0pUSXlKVGRFSlRKREpUZENKVEl5ZUNVeU1pVXpRU1V5TW5jbE1rWXlKVEl5SlRKREpUSXllU1V5TWlVelFTVXlNbWdsTWpJbE4wUWxNa01sTjBJbE1qSjRKVEl5SlROQkpUSXlNQ1V5TWlVeVF5VXlNbmtsTWpJbE0wRWxNakpvSlRKR01pVXlNaVUzUkNVeVF5VTNRaVV5TW5nbE1qSWxNMEVsTWpKM0pUSXlKVEpESlRJeWVTVXlNaVV6UVNVeU1tZ2xNa1l5SlRJeUpUZEVKVFZFSlRKREpUSXlabTl1ZEZOMGVXeGxKVEl5SlROQkpUZENKVEl5YzJsNlpTVXlNaVV6UVRFMkpUZEVKVEpESlRJeWRHbDBiR1VsTWpJbE0wRWxNaklsUlRjbE9VWWxRVGtsUlRVbFFrUWxRVElsTWpJbE1rTWxNakprWVhSaFFYUjBjbWxpZFhSbGN5VXlNaVV6UVNVMVFpVTNRaVV5TW01aGJXVWxNaklsTTBFbE1qSWxSVFVsUWtFbE9FWWxSVFVsT0VZbFFqY2xNaklsTWtNbE1qSnBaQ1V5TWlVelFTVXlNa3hWWlZOU2VHeHBjMGt6T1RJM056QWxNaklsTWtNbE1qSmpZWFJsWjI5eWVTVXlNaVV6UVNVeU1tUmxabUYxYkhRbE1qSWxNa01sTWpKMGVYQmxKVEl5SlROQkpUSXliblZ0WW1WeUpUSXlKVEpESlRJeWRtRnNkV1VsTWpJbE0wRWxNaklsTWpJbE4wUWxNa01sTjBJbE1qSnVZVzFsSlRJeUpUTkJKVEl5SlVVMUpUa3dKVGhFSlVVM0pVRTNKVUl3SlRJeUpUSkRKVEl5YVdRbE1qSWxNMEVsTWpKbVVGVmljbTVrVVhGbk1UTXpNak16SlRJeUpUSkRKVEl5WTJGMFpXZHZjbmtsTWpJbE0wRWxNakprWldaaGRXeDBKVEl5SlRKREpUSXlkSGx3WlNVeU1pVXpRU1V5TW5OMGNtbHVaeVV5TWlVeVF5VXlNblpoYkhWbEpUSXlKVE5CSlRJeUpUSXlKVGRFSlRKREpUZENKVEl5Ym1GdFpTVXlNaVV6UVNVeU1pVkZOaVU0T1NVNE1DVkZOaVU1UXlVNE9TVkZPQ1U0TUNVNE5TVXlNaVV5UXlVeU1tbGtKVEl5SlROQkpUSXlkSEZLVWxoVmMwUnliekExTkRjM01TVXlNaVV5UXlVeU1tTmhkR1ZuYjNKNUpUSXlKVE5CSlRJeVpHVm1ZWFZzZENVeU1pVXlReVV5TW5SNWNHVWxNaklsTTBFbE1qSnpkSEpwYm1jbE1qSWxNa01sTWpKMllXeDFaU1V5TWlVelFTVXlNaVV5TWlVM1JDVXlReVUzUWlVeU1tNWhiV1VsTWpJbE0wRWxNaklsUlRnbFFrWWxPVVVsUlRZbE9FVWxRVFVsTWpJbE1rTWxNakpwWkNVeU1pVXpRU1V5TWxaSWNIUnhlWGxWZEhNeE1qUXpNVFVsTWpJbE1rTWxNakpqWVhSbFoyOXllU1V5TWlVelFTVXlNbVJsWm1GMWJIUWxNaklsTWtNbE1qSjBlWEJsSlRJeUpUTkJKVEl5YkdsdWF5VXlNaVV5UXlVeU1uWmhiSFZsSlRJeUpUTkJKVEl5SlRJeUpUZEVKVEpESlRkQ0pUSXlibUZ0WlNVeU1pVXpRU1V5TWlWRk5DVkNSU1ZDUmlWRk55VkJReVZDUVNVeU1pVXlReVV5TW1sa0pUSXlKVE5CSlRJeVYxcFpia1ZyWmxGRVdqQXdNemt5TmlVeU1pVXlReVV5TW1OaGRHVm5iM0o1SlRJeUpUTkJKVEl5WkdWbVlYVnNkQ1V5TWlVeVF5VXlNblI1Y0dVbE1qSWxNMEVsTWpKemRISnBibWNsTWpJbE1rTWxNakoyWVd4MVpTVXlNaVV6UVNVeU1pVXlNaVUzUkNVMVJDVXlReVV5TW5CeWIzQnpKVEl5SlROQkpUZENKVEl5ZW1sdVpHVjRKVEl5SlROQk55VXlReVV5TW5jbE1qSWxNMEV4TkRnbE1rTWxNakpvSlRJeUpUTkJNemN1TlRrNU9UazVPVGswTURNNU5UTTJKVEpESlRJeWVDVXlNaVV6UVRRM015VXlReVV5TW5rbE1qSWxNMEUwTURNbE1rTWxNakpoYm1kc1pTVXlNaVV6UVRBbE4wUWxNa01sTWpKd1lYUm9KVEl5SlROQkpUVkNKVGRDSlRJeVlXTjBhVzl1Y3lVeU1pVXpRU1UxUWlVM1FpVXlNbmdsTWpJbE0wRWxNakl3SlRJeUpUSkRKVEl5WVdOMGFXOXVKVEl5SlROQkpUSXliVzkyWlNVeU1pVXlReVV5TW5rbE1qSWxNMEVsTWpJd0pUSXlKVGRFSlRKREpUZENKVEl5ZUNVeU1pVXpRU1V5TW5jbE1qSWxNa01sTWpKaFkzUnBiMjRsTWpJbE0wRWxNakpzYVc1bEpUSXlKVEpESlRJeWVTVXlNaVV6UVNVeU1qQWxNaklsTjBRbE1rTWxOMElsTWpKNEpUSXlKVE5CSlRJeWR5VXlNaVV5UXlVeU1tRmpkR2x2YmlVeU1pVXpRU1V5TW14cGJtVWxNaklsTWtNbE1qSjVKVEl5SlROQkpUSXlhQ1V5TWlVM1JDVXlReVUzUWlVeU1uZ2xNaklsTTBFbE1qSXdKVEl5SlRKREpUSXlZV04wYVc5dUpUSXlKVE5CSlRJeWJHbHVaU1V5TWlVeVF5VXlNbmtsTWpJbE0wRWxNakpvSlRJeUpUZEVKVEpESlRkQ0pUSXlZV04wYVc5dUpUSXlKVE5CSlRJeVkyeHZjMlVsTWpJbE4wUWxOVVFsTjBRbE5VUWxNa01sTWpKc2FXNWxVM1I1YkdVbE1qSWxNMEVsTjBJbE4wUWxNa01sTWpKamFHbHNaSEpsYmlVeU1pVXpRU1UxUWlVMVJDVXlReVV5TW5KbGMybDZaVVJwY2lVeU1pVXpRU1UxUWlVeU1uUnNKVEl5SlRKREpUSXlkSElsTWpJbE1rTWxNakppY2lVeU1pVXlReVV5TW1Kc0pUSXlKVFZFSlRKREpUSXlibUZ0WlNVeU1pVXpRU1V5TW5KbFkzUmhibWRzWlNVeU1pVXlReVV5TW1acGJHeFRkSGxzWlNVeU1pVXpRU1UzUWlVM1JDVXlReVV5TW1GMGRISnBZblYwWlNVeU1pVXpRU1UzUWlVeU1tTnZiblJoYVc1bGNpVXlNaVV6UVdaaGJITmxKVEpESlRJeWNtOTBZWFJoWW14bEpUSXlKVE5CZEhKMVpTVXlReVV5TW5acGMybGliR1VsTWpJbE0wRjBjblZsSlRKREpUSXlZMjlzYkdGd2MyRmliR1VsTWpJbE0wRm1ZV3h6WlNVeVF5VXlNbU52Ykd4aGNITmxaQ1V5TWlVelFXWmhiSE5sSlRKREpUSXliR2x1YTJGaWJHVWxNaklsTTBGMGNuVmxKVEpESlRJeWJXRnlhMlZ5VDJabWMyVjBKVEl5SlROQk5TVTNSQ1V5UXlVeU1tbGtKVEl5SlROQkpUSXlSRXAyUzJOTVNVdEVXVEV4TlRBME1DVXlNaVV5UXlVeU1tTmhkR1ZuYjNKNUpUSXlKVE5CSlRJeVltRnphV01sTWpJbE1rTWxNakpzYjJOclpXUWxNaklsTTBGbVlXeHpaU1V5UXlVeU1tZHliM1Z3SlRJeUpUTkJKVEl5SlRJeUpUZEVKVEpESlRJeVFrcFBRMEZvYjJ0R1REVTBNemc1TmlVeU1pVXpRU1UzUWlVeU1tbGtKVEl5SlROQkpUSXlRa3BQUTBGb2IydEdURFUwTXpnNU5pVXlNaVV5UXlVeU1tNWhiV1VsTWpJbE0wRWxNakp6ZEdGdVpHRnlaRlJsZUhRbE1qSWxNa01sTWpKMGFYUnNaU1V5TWlVelFTVXlNaVV5TWlVeVF5VXlNbU5oZEdWbmIzSjVKVEl5SlROQkpUSXljM1JoYm1SaGNtUWxNaklsTWtNbE1qSm5jbTkxY0NVeU1pVXpRU1V5TWlVeU1pVXlReVV5TW1keWIzVndUbUZ0WlNVeU1pVXpRVzUxYkd3bE1rTWxNakpzYjJOclpXUWxNaklsTTBGbVlXeHpaU1V5UXlVeU1teHBibXNsTWpJbE0wRWxNaklsTWpJbE1rTWxNakpqYUdsc1pISmxiaVV5TWlVelFTVTFRaVUxUkNVeVF5VXlNbkJoY21WdWRDVXlNaVV6UVNVeU1pVXlNaVV5UXlVeU1uSmxjMmw2WlVScGNpVXlNaVV6UVNVMVFpVXlNblJzSlRJeUpUSkRKVEl5ZEhJbE1qSWxNa01sTWpKaWNpVXlNaVV5UXlVeU1tSnNKVEl5SlRKREpUSXliQ1V5TWlVeVF5VXlNblFsTWpJbE1rTWxNakp5SlRJeUpUSkRKVEl5WWlVeU1pVTFSQ1V5UXlVeU1tRjBkSEpwWW5WMFpTVXlNaVV6UVNVM1FpVXlNbU52Ym5SaGFXNWxjaVV5TWlVelFXWmhiSE5sSlRKREpUSXlkbWx6YVdKc1pTVXlNaVV6UVhSeWRXVWxNa01sTWpKeWIzUmhkR0ZpYkdVbE1qSWxNMEYwY25WbEpUSkRKVEl5YkdsdWEyRmliR1VsTWpJbE0wRjBjblZsSlRKREpUSXlZMjlzYkdGd2MyRmliR1VsTWpJbE0wRm1ZV3h6WlNVeVF5VXlNbU52Ykd4aGNITmxaQ1V5TWlVelFXWmhiSE5sSlRKREpUSXlabWw0WldSTWFXNXJKVEl5SlROQlptRnNjMlVsTWtNbE1qSnRZWEpyWlhKUFptWnpaWFFsTWpJbE0wRTFKVGRFSlRKREpUSXlaR0YwWVVGMGRISnBZblYwWlhNbE1qSWxNMEVsTlVJbE5VUWxNa01sTWpKd2NtOXdjeVV5TWlVelFTVTNRaVV5TW5nbE1qSWxNMEUyTVRJbE1rTWxNako1SlRJeUpUTkJNelEzTGpVNU9UazVPRFEzTkRFeU1URWxNa01sTWpKM0pUSXlKVE5CTVRBd0pUSkRKVEl5YUNVeU1pVXpRVFF3SlRKREpUSXllbWx1WkdWNEpUSXlKVE5CT1NVeVF5VXlNbUZ1WjJ4bEpUSXlKVE5CTUNVM1JDVXlReVV5TW5Ob1lYQmxVM1I1YkdVbE1qSWxNMEVsTjBJbE1qSmhiSEJvWVNVeU1pVXpRVEVsTjBRbE1rTWxNakpzYVc1bFUzUjViR1VsTWpJbE0wRWxOMElsTjBRbE1rTWxNakptYVd4c1UzUjViR1VsTWpJbE0wRWxOMElsTjBRbE1rTWxNakowYUdWdFpTVXlNaVV6UVNVM1FpVTNSQ1V5UXlVeU1uQmhkR2dsTWpJbE0wRWxOVUlsTjBJbE1qSnNhVzVsVTNSNWJHVWxNaklsTTBFbE4wSWxNakpzYVc1bFYybGtkR2dsTWpJbE0wRXdKVGRFSlRKREpUSXlabWxzYkZOMGVXeGxKVEl5SlROQkpUZENKVEl5ZEhsd1pTVXlNaVV6UVNVeU1tNXZibVVsTWpJbE4wUWxNa01sTWpKaFkzUnBiMjV6SlRJeUpUTkJKVFZDSlRkQ0pUSXlZV04wYVc5dUpUSXlKVE5CSlRJeWJXOTJaU1V5TWlVeVF5VXlNbmdsTWpJbE0wRWxNakl3SlRJeUpUSkRKVEl5ZVNVeU1pVXpRU1V5TWpBbE1qSWxOMFFsTWtNbE4wSWxNakpoWTNScGIyNGxNaklsTTBFbE1qSnNhVzVsSlRJeUpUSkRKVEl5ZUNVeU1pVXpRU1V5TW5jbE1qSWxNa01sTWpKNUpUSXlKVE5CSlRJeU1DVXlNaVUzUkNVeVF5VTNRaVV5TW1GamRHbHZiaVV5TWlVelFTVXlNbXhwYm1VbE1qSWxNa01sTWpKNEpUSXlKVE5CSlRJeWR5VXlNaVV5UXlVeU1ua2xNaklsTTBFbE1qSm9KVEl5SlRkRUpUSkRKVGRDSlRJeVlXTjBhVzl1SlRJeUpUTkJKVEl5YkdsdVpTVXlNaVV5UXlVeU1uZ2xNaklsTTBFbE1qSXdKVEl5SlRKREpUSXllU1V5TWlVelFTVXlNbWdsTWpJbE4wUWxNa01sTjBJbE1qSmhZM1JwYjI0bE1qSWxNMEVsTWpKamJHOXpaU1V5TWlVM1JDVTFSQ1UzUkNVMVJDVXlReVV5TW1admJuUlRkSGxzWlNVeU1pVXpRU1UzUWlVM1JDVXlReVV5TW5SbGVIUkNiRzlqYXlVeU1pVXpRU1UxUWlVM1FpVXlNbkJ2YzJsMGFXOXVKVEl5SlROQkpUZENKVEl5ZUNVeU1pVXpRVEFsTWtNbE1qSjVKVEl5SlROQk1DVXlReVV5TW5jbE1qSWxNMEVsTWpKM0pUSXlKVEpESlRJeWFDVXlNaVV6UVNVeU1tZ2xNaklsTjBRbE1rTWxNakowWlhoMEpUSXlKVE5CSlRJeVV6RWxSVE1sT0RBbE9ERlRNaVV5TWlVM1JDVTFSQ1V5UXlVeU1tRnVZMmh2Y25NbE1qSWxNMEVsTlVJbE4wSWxNako0SlRJeUpUTkJKVEl5ZHlVeVJqSWxNaklsTWtNbE1qSjVKVEl5SlROQkpUSXlNQ1V5TWlVM1JDVXlReVUzUWlVeU1uZ2xNaklsTTBFbE1qSjNKVEpHTWlVeU1pVXlReVV5TW5rbE1qSWxNMEVsTWpKb0pUSXlKVGRFSlRKREpUZENKVEl5ZUNVeU1pVXpRU1V5TWpBbE1qSWxNa01sTWpKNUpUSXlKVE5CSlRJeWFDVXlSaklsTWpJbE4wUWxNa01sTjBJbE1qSjRKVEl5SlROQkpUSXlkeVV5TWlVeVF5VXlNbmtsTWpJbE0wRWxNakpvSlRKR01pVXlNaVUzUkNVMVJDVTNSQ1V5UXlVeU1sRlplRkpCYkVwMFVXVXpOakl5TURnbE1qSWxNMEVsTjBJbE1qSndZWEpsYm5RbE1qSWxNMEVsTWpJbE1qSWxNa01sTWpKc2FXNXJKVEl5SlROQkpUSXlKVEl5SlRKREpUSXljMmhoY0dWVGRIbHNaU1V5TWlVelFTVTNRaVV5TW1Gc2NHaGhKVEl5SlROQk1TVTNSQ1V5UXlVeU1uUmxlSFJDYkc5amF5VXlNaVV6UVNVMVFpVTNRaVV5TW5CdmMybDBhVzl1SlRJeUpUTkJKVGRDSlRJeWR5VXlNaVV6UVNVeU1uY3RNakFsTWpJbE1rTWxNakpvSlRJeUpUTkJKVEl5YUNVeU1pVXlReVV5TW5nbE1qSWxNMEV4TUNVeVF5VXlNbmtsTWpJbE0wRXdKVGRFSlRKREpUSXlkR1Y0ZENVeU1pVXpRU1V5TWlWRk5pVTVOU1ZDTkNWRk9DVkNSQ1ZCTmlWRk5pVTRRaVU0TmlWRk9DVkJOeVZCTXl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V5UXlVeU1tWnZiblJUZEhsc1pTVXlNaVV6UVNVM1FpVXlNbk5wZW1VbE1qSWxNMEV4TmlVM1JDVXlReVV5TW5ScGRHeGxKVEl5SlROQkpUSXlKVVUzSlRsR0pVRTVKVVUxSlVKRUpVRXlKVEl5SlRKREpUSXlaR0YwWVVGMGRISnBZblYwWlhNbE1qSWxNMEVsTlVJbE4wSWxNakp1WVcxbEpUSXlKVE5CSlRJeUpVVTFKVUpCSlRoR0pVVTFKVGhHSlVJM0pUSXlKVEpESlRJeWFXUWxNaklsTTBFbE1qSlhibTFNZDB0NmJFNUxOelU1TkRrMEpUSXlKVEpESlRJeVkyRjBaV2R2Y25rbE1qSWxNMEVsTWpKa1pXWmhkV3gwSlRJeUpUSkRKVEl5ZEhsd1pTVXlNaVV6UVNVeU1tNTFiV0psY2lVeU1pVXlReVV5TW5aaGJIVmxKVEl5SlROQkpUSXlKVEl5SlRkRUpUSkRKVGRDSlRJeWJtRnRaU1V5TWlVelFTVXlNaVZGTlNVNU1DVTRSQ1ZGTnlWQk55VkNNQ1V5TWlVeVF5VXlNbWxrSlRJeUpUTkJKVEl5YzB0SWRtVnFkMmhuUnpFNE1URTVOaVV5TWlVeVF5VXlNbU5oZEdWbmIzSjVKVEl5SlROQkpUSXlaR1ZtWVhWc2RDVXlNaVV5UXlVeU1uUjVjR1VsTWpJbE0wRWxNakp6ZEhKcGJtY2xNaklsTWtNbE1qSjJZV3gxWlNVeU1pVXpRU1V5TWlVeU1pVTNSQ1V5UXlVM1FpVXlNbTVoYldVbE1qSWxNMEVsTWpJbFJUWWxPRGtsT0RBbFJUWWxPVU1sT0RrbFJUZ2xPREFsT0RVbE1qSWxNa01sTWpKcFpDVXlNaVV6UVNVeU1taDZTbFZOUlVWamJYRTNPVGswTnpRbE1qSWxNa01sTWpKallYUmxaMjl5ZVNVeU1pVXpRU1V5TW1SbFptRjFiSFFsTWpJbE1rTWxNakowZVhCbEpUSXlKVE5CSlRJeWMzUnlhVzVuSlRJeUpUSkRKVEl5ZG1Gc2RXVWxNaklsTTBFbE1qSWxNaklsTjBRbE1rTWxOMElsTWpKdVlXMWxKVEl5SlROQkpUSXlKVVU0SlVKR0pUbEZKVVUySlRoRkpVRTFKVEl5SlRKREpUSXlhV1FsTWpJbE0wRWxNakpDY1VWQ2FrTjBVVXBDTXprMU1qTTFKVEl5SlRKREpUSXlZMkYwWldkdmNua2xNaklsTTBFbE1qSmtaV1poZFd4MEpUSXlKVEpESlRJeWRIbHdaU1V5TWlVelFTVXlNbXhwYm1zbE1qSWxNa01sTWpKMllXeDFaU1V5TWlVelFTVXlNaVV5TWlVM1JDVXlReVUzUWlVeU1tNWhiV1VsTWpJbE0wRWxNaklsUlRRbFFrVWxRa1lsUlRjbFFVTWxRa0VsTWpJbE1rTWxNakpwWkNVeU1pVXpRU1V5TW14SmVFWjBTSGxtUlhFMU1Ea3lORGdsTWpJbE1rTWxNakpqWVhSbFoyOXllU1V5TWlVelFTVXlNbVJsWm1GMWJIUWxNaklsTWtNbE1qSjBlWEJsSlRJeUpUTkJKVEl5YzNSeWFXNW5KVEl5SlRKREpUSXlkbUZzZFdVbE1qSWxNMEVsTWpJbE1qSWxOMFFsTlVRbE1rTWxNakp3Y205d2N5VXlNaVV6UVNVM1FpVXlNbnBwYm1SbGVDVXlNaVV6UVRFeEpUSkRKVEl5ZHlVeU1pVXpRVEUwT0NVeVF5VXlNbWdsTWpJbE0wRXpOeTQxT1RrNU9UazVPVFF3TXprMU16WWxNa01sTWpKNEpUSXlKVE5CTkRjekpUSkRKVEl5ZVNVeU1pVXpRVFE1TnlVeVF5VXlNbUZ1WjJ4bEpUSXlKVE5CTUNVM1JDVXlReVV5TW5CaGRHZ2xNaklsTTBFbE5VSWxOMElsTWpKaFkzUnBiMjV6SlRJeUpUTkJKVFZDSlRkQ0pUSXllQ1V5TWlVelFTVXlNakFsTWpJbE1rTWxNakpoWTNScGIyNGxNaklsTTBFbE1qSnRiM1psSlRJeUpUSkRKVEl5ZVNVeU1pVXpRU1V5TWpBbE1qSWxOMFFsTWtNbE4wSWxNako0SlRJeUpUTkJKVEl5ZHlVeU1pVXlReVV5TW1GamRHbHZiaVV5TWlVelFTVXlNbXhwYm1VbE1qSWxNa01sTWpKNUpUSXlKVE5CSlRJeU1DVXlNaVUzUkNVeVF5VTNRaVV5TW5nbE1qSWxNMEVsTWpKM0pUSXlKVEpESlRJeVlXTjBhVzl1SlRJeUpUTkJKVEl5YkdsdVpTVXlNaVV5UXlVeU1ua2xNaklsTTBFbE1qSm9KVEl5SlRkRUpUSkRKVGRDSlRJeWVDVXlNaVV6UVNVeU1qQWxNaklsTWtNbE1qSmhZM1JwYjI0bE1qSWxNMEVsTWpKc2FXNWxKVEl5SlRKREpUSXllU1V5TWlVelFTVXlNbWdsTWpJbE4wUWxNa01sTjBJbE1qSmhZM1JwYjI0bE1qSWxNMEVsTWpKamJHOXpaU1V5TWlVM1JDVTFSQ1UzUkNVMVJDVXlReVV5TW14cGJtVlRkSGxzWlNVeU1pVXpRU1UzUWlVM1JDVXlReVV5TW1Ob2FXeGtjbVZ1SlRJeUpUTkJKVFZDSlRWRUpUSkRKVEl5Y21WemFYcGxSR2x5SlRJeUpUTkJKVFZDSlRJeWRHd2xNaklsTWtNbE1qSjBjaVV5TWlVeVF5VXlNbUp5SlRJeUpUSkRKVEl5WW13bE1qSWxOVVFsTWtNbE1qSnVZVzFsSlRJeUpUTkJKVEl5Y21WamRHRnVaMnhsSlRJeUpUSkRKVEl5Wm1sc2JGTjBlV3hsSlRJeUpUTkJKVGRDSlRkRUpUSkRKVEl5WVhSMGNtbGlkWFJsSlRJeUpUTkJKVGRDSlRJeVkyOXVkR0ZwYm1WeUpUSXlKVE5CWm1Gc2MyVWxNa01sTWpKeWIzUmhkR0ZpYkdVbE1qSWxNMEYwY25WbEpUSkRKVEl5ZG1semFXSnNaU1V5TWlVelFYUnlkV1VsTWtNbE1qSmpiMnhzWVhCellXSnNaU1V5TWlVelFXWmhiSE5sSlRKREpUSXlZMjlzYkdGd2MyVmtKVEl5SlROQlptRnNjMlVsTWtNbE1qSnNhVzVyWVdKc1pTVXlNaVV6UVhSeWRXVWxNa01sTWpKdFlYSnJaWEpQWm1aelpYUWxNaklsTTBFMUpUZEVKVEpESlRJeWFXUWxNaklsTTBFbE1qSlJXWGhTUVd4S2RGRmxNell5TWpBNEpUSXlKVEpESlRJeVkyRjBaV2R2Y25rbE1qSWxNMEVsTWpKaVlYTnBZeVV5TWlVeVF5VXlNbXh2WTJ0bFpDVXlNaVV6UVdaaGJITmxKVEpESlRJeVozSnZkWEFsTWpJbE0wRWxNaklsTWpJbE4wUWxNa01sTWpKcFZYRlNXSFJGV0c5dE5qY3dNVFF4SlRJeUpUTkJKVGRDSlRJeWFXUWxNaklsTTBFbE1qSnBWWEZTV0hSRldHOXROamN3TVRReEpUSXlKVEpESlRJeWJtRnRaU1V5TWlVelFTVXlNbk4wWVc1a1lYSmtWR1Y0ZENVeU1pVXlReVV5TW5ScGRHeGxKVEl5SlROQkpUSXlKVEl5SlRKREpUSXlZMkYwWldkdmNua2xNaklsTTBFbE1qSnpkR0Z1WkdGeVpDVXlNaVV5UXlVeU1tZHliM1Z3SlRJeUpUTkJKVEl5SlRJeUpUSkRKVEl5WjNKdmRYQk9ZVzFsSlRJeUpUTkJiblZzYkNVeVF5VXlNbXh2WTJ0bFpDVXlNaVV6UVdaaGJITmxKVEpESlRJeWJHbHVheVV5TWlVelFTVXlNaVV5TWlVeVF5VXlNbU5vYVd4a2NtVnVKVEl5SlROQkpUVkNKVFZFSlRKREpUSXljR0Z5Wlc1MEpUSXlKVE5CSlRJeUpUSXlKVEpESlRJeWNtVnphWHBsUkdseUpUSXlKVE5CSlRWQ0pUSXlkR3dsTWpJbE1rTWxNakowY2lVeU1pVXlReVV5TW1KeUpUSXlKVEpESlRJeVltd2xNaklsTWtNbE1qSnNKVEl5SlRKREpUSXlkQ1V5TWlVeVF5VXlNbklsTWpJbE1rTWxNakppSlRJeUpUVkVKVEpESlRJeVlYUjBjbWxpZFhSbEpUSXlKVE5CSlRkQ0pUSXlZMjl1ZEdGcGJtVnlKVEl5SlROQlptRnNjMlVsTWtNbE1qSjJhWE5wWW14bEpUSXlKVE5CZEhKMVpTVXlReVV5TW5KdmRHRjBZV0pzWlNVeU1pVXpRWFJ5ZFdVbE1rTWxNakpzYVc1cllXSnNaU1V5TWlVelFYUnlkV1VsTWtNbE1qSmpiMnhzWVhCellXSnNaU1V5TWlVelFXWmhiSE5sSlRKREpUSXlZMjlzYkdGd2MyVmtKVEl5SlROQlptRnNjMlVsTWtNbE1qSm1hWGhsWkV4cGJtc2xNaklsTTBGbVlXeHpaU1V5UXlVeU1tMWhjbXRsY2s5bVpuTmxkQ1V5TWlVelFUVWxOMFFsTWtNbE1qSmtZWFJoUVhSMGNtbGlkWFJsY3lVeU1pVXpRU1UxUWlVMVJDVXlReVV5TW5CeWIzQnpKVEl5SlROQkpUZENKVEl5ZUNVeU1pVXpRVFl6TkNVeVF5VXlNbmtsTWpJbE0wRTBORGd1TnprNU9UazVPVGszTURFNU56Y2xNa01sTWpKM0pUSXlKVE5CTWpNMkpUSkRKVEl5YUNVeU1pVXpRVFF3SlRKREpUSXllbWx1WkdWNEpUSXlKVE5CTVRNbE1rTWxNakpoYm1kc1pTVXlNaVV6UVRBbE4wUWxNa01sTWpKemFHRndaVk4wZVd4bEpUSXlKVE5CSlRkQ0pUSXlZV3h3YUdFbE1qSWxNMEV4SlRkRUpUSkRKVEl5YkdsdVpWTjBlV3hsSlRJeUpUTkJKVGRDSlRkRUpUSkRKVEl5Wm1sc2JGTjBlV3hsSlRJeUpUTkJKVGRDSlRkRUpUSkRKVEl5ZEdobGJXVWxNaklsTTBFbE4wSWxOMFFsTWtNbE1qSndZWFJvSlRJeUpUTkJKVFZDSlRkQ0pUSXliR2x1WlZOMGVXeGxKVEl5SlROQkpUZENKVEl5YkdsdVpWZHBaSFJvSlRJeUpUTkJNQ1UzUkNVeVF5VXlNbVpwYkd4VGRIbHNaU1V5TWlVelFTVTNRaVV5TW5SNWNHVWxNaklsTTBFbE1qSnViMjVsSlRJeUpUZEVKVEpESlRJeVlXTjBhVzl1Y3lVeU1pVXpRU1UxUWlVM1FpVXlNbUZqZEdsdmJpVXlNaVV6UVNVeU1tMXZkbVVsTWpJbE1rTWxNako0SlRJeUpUTkJKVEl5TUNVeU1pVXlReVV5TW5rbE1qSWxNMEVsTWpJd0pUSXlKVGRFSlRKREpUZENKVEl5WVdOMGFXOXVKVEl5SlROQkpUSXliR2x1WlNVeU1pVXlReVV5TW5nbE1qSWxNMEVsTWpKM0pUSXlKVEpESlRJeWVTVXlNaVV6UVNVeU1qQWxNaklsTjBRbE1rTWxOMElsTWpKaFkzUnBiMjRsTWpJbE0wRWxNakpzYVc1bEpUSXlKVEpESlRJeWVDVXlNaVV6UVNVeU1uY2xNaklsTWtNbE1qSjVKVEl5SlROQkpUSXlhQ1V5TWlVM1JDVXlReVUzUWlVeU1tRmpkR2x2YmlVeU1pVXpRU1V5TW14cGJtVWxNaklsTWtNbE1qSjRKVEl5SlROQkpUSXlNQ1V5TWlVeVF5VXlNbmtsTWpJbE0wRWxNakpvSlRJeUpUZEVKVEpESlRkQ0pUSXlZV04wYVc5dUpUSXlKVE5CSlRJeVkyeHZjMlVsTWpJbE4wUWxOVVFsTjBRbE5VUWxNa01sTWpKbWIyNTBVM1I1YkdVbE1qSWxNMEVsTjBJbE4wUWxNa01sTWpKMFpYaDBRbXh2WTJzbE1qSWxNMEVsTlVJbE4wSWxNakp3YjNOcGRHbHZiaVV5TWlVelFTVTNRaVV5TW5nbE1qSWxNMEV3SlRKREpUSXllU1V5TWlVelFUQWxNa01sTWpKM0pUSXlKVE5CSlRJeWR5VXlNaVV5UXlVeU1tZ2xNaklsTTBFbE1qSm9KVEl5SlRkRUpUSkRKVEl5ZEdWNGRDVXlNaVV6UVNVeU1rY3hKVVV6SlRnd0pUZ3hVek1sUlRNbE9EQWxPREZUTkNWRk15VTRNQ1U0TVZNMUpVVXpKVGd3SlRneFV6WWxSVE1sT0RBbE9ERlROeVZGTXlVNE1DVTRNVk00SlVVekpUZ3dKVGd4VXprbFJUTWxPREFsT0RGVE1UQWxSVE1sT0RBbE9ERlRNVEVsUlRNbE9EQWxPREZUTVRJ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jBRbE1rTWxNakpoZGxWNmVrTkJUMEYwT1RrNU1ERTVKVEl5SlROQkpUZENKVEl5Y0dGeVpXNTBKVEl5SlROQkpUSXlKVEl5SlRKREpUSXliR2x1YXlVeU1pVXpRU1V5TWlVeU1pVXlReVV5TW5Ob1lYQmxVM1I1YkdVbE1qSWxNMEVsTjBJbE1qSmhiSEJvWVNVeU1pVXpRVEVsTjBRbE1rTWxNakowWlhoMFFteHZZMnNsTWpJbE0wRWxOVUlsTjBJbE1qSndiM05wZEdsdmJpVXlNaVV6UVNVM1FpVXlNbmNsTWpJbE0wRWxNakozTFRJd0pUSXlKVEpESlRJeWFDVXlNaVV6UVNVeU1tZ2xNaklsTWtNbE1qSjRKVEl5SlROQk1UQWxNa01sTWpKNUpUSXlKVE5CTUNVM1JDVXlReVV5TW5SbGVIUWxNaklsTTBFbE1qSWxSVFVsT0RnbE9EWWxSVGNsUWpFbFFrSWxNaklsTjBRbE5VUWxNa01sTWpKaGJtTm9iM0p6SlRJeUpUTkJKVFZDSlRkQ0pUSXllQ1V5TWlVelFTVXlNbmNsTWtZeUpUSXlKVEpESlRJeWVTVXlNaVV6UVNVeU1qQWxNaklsTjBRbE1rTWxOMElsTWpKNEpUSXlKVE5CSlRJeWR5VXlSaklsTWpJbE1rTWxNako1SlRJeUpUTkJKVEl5YUNVeU1pVTNSQ1V5UXlVM1FpVXlNbmdsTWpJbE0wRWxNakl3SlRJeUpUSkRKVEl5ZVNVeU1pVXpRU1V5TW1nbE1rWXlKVEl5SlRkRUpUSkRKVGRDSlRJeWVDVXlNaVV6UVNVeU1uY2xNaklsTWtNbE1qSjVKVEl5SlROQkpUSXlhQ1V5UmpJbE1qSWxOMFFsTlVRbE1rTWxNakptYjI1MFUzUjViR1VsTWpJbE0wRWxOMElsTWpKemFYcGxKVEl5SlROQk1UWWxOMFFsTWtNbE1qSjBhWFJzWlNVeU1pVXpRU1V5TWlWRk55VTVSaVZCT1NWRk5TVkNSQ1ZCTWlVeU1pVXlReVV5TW1SaGRHRkJkSFJ5YVdKMWRHVnpKVEl5SlROQkpUVkNKVGRDSlRJeWJtRnRaU1V5TWlVelFTVXlNaVZGTlNWQ1FTVTRSaVZGTlNVNFJpVkNOeVV5TWlVeVF5VXlNbWxrSlRJeUpUTkJKVEl5UjNwdWQxQlhUMjVGYlRVd05UQXhOaVV5TWlVeVF5VXlNbU5oZEdWbmIzSjVKVEl5SlROQkpUSXlaR1ZtWVhWc2RDVXlNaVV5UXlVeU1uUjVjR1VsTWpJbE0wRWxNakp1ZFcxaVpYSWxNaklsTWtNbE1qSjJZV3gxWlNVeU1pVXpRU1V5TWlVeU1pVTNSQ1V5UXlVM1FpVXlNbTVoYldVbE1qSWxNMEVsTWpJbFJUVWxPVEFsT0VRbFJUY2xRVGNsUWpBbE1qSWxNa01sTWpKcFpDVXlNaVV6UVNVeU1tSkNiVTl6ZVVWelExazBPVGN5TXpFbE1qSWxNa01sTWpKallYUmxaMjl5ZVNVeU1pVXpRU1V5TW1SbFptRjFiSFFsTWpJbE1rTWxNakowZVhCbEpUSXlKVE5CSlRJeWMzUnlhVzVuSlRJeUpUSkRKVEl5ZG1Gc2RXVWxNaklsTTBFbE1qSWxNaklsTjBRbE1rTWxOMElsTWpKdVlXMWxKVEl5SlROQkpUSXlKVVUySlRnNUpUZ3dKVVUySlRsREpUZzVKVVU0SlRnd0pUZzFKVEl5SlRKREpUSXlhV1FsTWpJbE0wRWxNakpPZWxwVFJrWkxaVXR6TlRrMk1qQTJKVEl5SlRKREpUSXlZMkYwWldkdmNua2xNaklsTTBFbE1qSmtaV1poZFd4MEpUSXlKVEpESlRJeWRIbHdaU1V5TWlVelFTVXlNbk4wY21sdVp5VXlNaVV5UXlVeU1uWmhiSFZsSlRJeUpUTkJKVEl5SlRJeUpUZEVKVEpESlRkQ0pUSXlibUZ0WlNVeU1pVXpRU1V5TWlWRk9DVkNSaVU1UlNWRk5pVTRSU1ZCTlNVeU1pVXlReVV5TW1sa0pUSXlKVE5CSlRJeVpuTmpSV2RrY1Voa1J6VTVNVFk0TVNVeU1pVXlReVV5TW1OaGRHVm5iM0o1SlRJeUpUTkJKVEl5WkdWbVlYVnNkQ1V5TWlVeVF5VXlNblI1Y0dVbE1qSWxNMEVsTWpKc2FXNXJKVEl5SlRKREpUSXlkbUZzZFdVbE1qSWxNMEVsTWpJbE1qSWxOMFFsTWtNbE4wSWxNakp1WVcxbEpUSXlKVE5CSlRJeUpVVTBKVUpGSlVKR0pVVTNKVUZESlVKQkpUSXlKVEpESlRJeWFXUWxNaklsTTBFbE1qSnFlSHBLUWtwcFFXaERNekUzTXpFeEpUSXlKVEpESlRJeVkyRjBaV2R2Y25rbE1qSWxNMEVsTWpKa1pXWmhkV3gwSlRJeUpUSkRKVEl5ZEhsd1pTVXlNaVV6UVNVeU1uTjBjbWx1WnlVeU1pVXlReVV5TW5aaGJIVmxKVEl5SlROQkpUSXlKVEl5SlRkRUpUVkVKVEpESlRJeWNISnZjSE1sTWpJbE0wRWxOMElsTWpKNmFXNWtaWGdsTWpJbE0wRXhOU1V5UXlVeU1uY2xNaklsTTBFeE5EZ2xNa01sTWpKb0pUSXlKVE5CTXpjdU5UazVPVGs1T1RrME1ETTVOVE0ySlRKREpUSXllQ1V5TWlVelFUUTNNeVV5UXlVeU1ua2xNaklsTTBFMU9EVWxNa01sTWpKaGJtZHNaU1V5TWlVelFUQWxOMFFsTWtNbE1qSndZWFJvSlRJeUpUTkJKVFZDSlRkQ0pUSXlZV04wYVc5dWN5VXlNaVV6UVNVMVFpVTNRaVV5TW5nbE1qSWxNMEVsTWpJd0pUSXlKVEpESlRJeVlXTjBhVzl1SlRJeUpUTkJKVEl5Ylc5MlpTVXlNaVV5UXlVeU1ua2xNaklsTTBFbE1qSXdKVEl5SlRkRUpUSkRKVGRDSlRJeWVDVXlNaVV6UVNVeU1uY2xNaklsTWtNbE1qSmhZM1JwYjI0bE1qSWxNMEVsTWpKc2FXNWxKVEl5SlRKREpUSXllU1V5TWlVelFTVXlNakFsTWpJbE4wUWxNa01sTjBJbE1qSjRKVEl5SlROQkpUSXlkeVV5TWlVeVF5VXlNbUZqZEdsdmJpVXlNaVV6UVNVeU1teHBibVVsTWpJbE1rTWxNako1SlRJeUpUTkJKVEl5YUNVeU1pVTNSQ1V5UXlVM1FpVXlNbmdsTWpJbE0wRWxNakl3SlRJeUpUSkRKVEl5WVdOMGFXOXVKVEl5SlROQkpUSXliR2x1WlNVeU1pVXlReVV5TW5rbE1qSWxNMEVsTWpKb0pUSXlKVGRFSlRKREpUZENKVEl5WVdOMGFXOXVKVEl5SlROQkpUSXlZMnh2YzJVbE1qSWxOMFFsTlVRbE4wUWxOVVFsTWtNbE1qSnNhVzVsVTNSNWJHVWxNaklsTTBFbE4wSWxOMFFsTWtNbE1qSmphR2xzWkhKbGJpVXlNaVV6UVNVMVFpVTFSQ1V5UXlVeU1uSmxjMmw2WlVScGNpVXlNaVV6UVNVMVFpVXlNblJzSlRJeUpUSkRKVEl5ZEhJbE1qSWxNa01sTWpKaWNpVXlNaVV5UXlVeU1tSnNKVEl5SlRWRUpUSkRKVEl5Ym1GdFpTVXlNaVV6UVNVeU1uSmxZM1JoYm1kc1pTVXlNaVV5UXlVeU1tWnBiR3hUZEhsc1pTVXlNaVV6UVNVM1FpVTNSQ1V5UXlVeU1tRjBkSEpwWW5WMFpTVXlNaVV6UVNVM1FpVXlNbU52Ym5SaGFXNWxjaVV5TWlVelFXWmhiSE5sSlRKREpUSXljbTkwWVhSaFlteGxKVEl5SlROQmRISjFaU1V5UXlVeU1uWnBjMmxpYkdVbE1qSWxNMEYwY25WbEpUSkRKVEl5WTI5c2JHRndjMkZpYkdVbE1qSWxNMEZtWVd4elpTVXlReVV5TW1OdmJHeGhjSE5sWkNVeU1pVXpRV1poYkhObEpUSkRKVEl5YkdsdWEyRmliR1VsTWpJbE0wRjBjblZsSlRKREpUSXliV0Z5YTJWeVQyWm1jMlYwSlRJeUpUTkJOU1UzUkNVeVF5VXlNbWxrSlRJeUpUTkJKVEl5WVhaVmVucERRVTlCZERrNU9UQXhPU1V5TWlVeVF5VXlNbU5oZEdWbmIzSjVKVEl5SlROQkpUSXlZbUZ6YVdNbE1qSWxNa01sTWpKc2IyTnJaV1FsTWpJbE0wRm1ZV3h6WlNVeVF5VXlNbWR5YjNWd0pUSXlKVE5CSlRJeUpUSXlKVGRFSlRKREpUSXlWVmwwWTJONmFVeG1lRFE1T1RZMk1DVXlNaVV6UVNVM1FpVXlNbkJoY21WdWRDVXlNaVV6UVNVeU1pVXlNaVV5UXlVeU1teHBibXNsTWpJbE0wRWxNaklsTWpJbE1rTWxNakp6YUdGd1pWTjBlV3hsSlRJeUpUTkJKVGRDSlRJeVlXeHdhR0VsTWpJbE0wRXhKVGRFSlRKREpUSXlkR1Y0ZEVKc2IyTnJKVEl5SlROQkpUVkNKVGRDSlRJeWNHOXphWFJwYjI0bE1qSWxNMEVsTjBJbE1qSjNKVEl5SlROQkpUSXlkeTB5TUNVeU1pVXlReVV5TW1nbE1qSWxNMEVsTWpKb0pUSXlKVEpESlRJeWVDVXlNaVV6UVRFd0pUSkRKVEl5ZVNVeU1pVXpRVEFsTjBRbE1rTWxNakowWlhoMEpUSXlKVE5CSlRJeUpVVTFKVGc1SlVGQkpVVTFKVGc0SlRnM0pUSXlKVGRFSlRWRUpUSkRKVEl5WVc1amFHOXljeVV5TWlVelFTVTFRaVUzUWlVeU1uZ2xNaklsTTBFbE1qSjNKVEpHTWlVeU1pVXlReVV5TW5rbE1qSWxNMEVsTWpJd0pUSXlKVGRFSlRKREpUZENKVEl5ZUNVeU1pVXpRU1V5TW5jbE1rWXlKVEl5SlRKREpUSXllU1V5TWlVelFTVXlNbWdsTWpJbE4wUWxNa01sTjBJbE1qSjRKVEl5SlROQkpUSXlNQ1V5TWlVeVF5VXlNbmtsTWpJbE0wRWxNakpvSlRKR01pVXlNaVUzUkNVeVF5VTNRaVV5TW5nbE1qSWxNMEVsTWpKM0pUSXlKVEpESlRJeWVTVXlNaVV6UVNVeU1tZ2xNa1l5SlRJeUpUZEVKVFZFSlRKREpUSXlabTl1ZEZOMGVXeGxKVEl5SlROQkpUZENKVEl5YzJsNlpTVXlNaVV6UVRFMkpUZEVKVEpESlRJeWRHbDBiR1VsTWpJbE0wRWxNaklsUlRjbE9VWWxRVGtsUlRVbFFrUWxRVElsTWpJbE1rTWxNakprWVhSaFFYUjBjbWxpZFhSbGN5VXlNaVV6UVNVMVFpVTNRaVV5TW01aGJXVWxNaklsTTBFbE1qSWxSVFVsUWtFbE9FWWxSVFVsT0VZbFFqY2xNaklsTWtNbE1qSnBaQ1V5TWlVelFTVXlNblZIZDNCcVZFOTJTRmN3TlRneU56TWxNaklsTWtNbE1qSmpZWFJsWjI5eWVTVXlNaVV6UVNVeU1tUmxabUYxYkhRbE1qSWxNa01sTWpKMGVYQmxKVEl5SlROQkpUSXliblZ0WW1WeUpUSXlKVEpESlRJeWRtRnNkV1VsTWpJbE0wRWxNaklsTWpJbE4wUWxNa01sTjBJbE1qSnVZVzFsSlRJeUpUTkJKVEl5SlVVMUpUa3dKVGhFSlVVM0pVRTNKVUl3SlRJeUpUSkRKVEl5YVdRbE1qSWxNMEVsTWpKSVEzWjVUbmRsWlZaSk1UWTVORGN4SlRJeUpUSkRKVEl5WTJGMFpXZHZjbmtsTWpJbE0wRWxNakprWldaaGRXeDBKVEl5SlRKREpUSXlkSGx3WlNVeU1pVXpRU1V5TW5OMGNtbHVaeVV5TWlVeVF5VXlNblpoYkhWbEpUSXlKVE5CSlRJeUpUSXlKVGRFSlRKREpUZENKVEl5Ym1GdFpTVXlNaVV6UVNVeU1pVkZOaVU0T1NVNE1DVkZOaVU1UXlVNE9TVkZPQ1U0TUNVNE5TVXlNaVV5UXlVeU1tbGtKVEl5SlROQkpUSXlhM0JRYWtGNFMwUnBiRGsyTlRRek15VXlNaVV5UXlVeU1tTmhkR1ZuYjNKNUpUSXlKVE5CSlRJeVpHVm1ZWFZzZENVeU1pVXlReVV5TW5SNWNHVWxNaklsTTBFbE1qSnpkSEpwYm1jbE1qSWxNa01sTWpKMllXeDFaU1V5TWlVelFTVXlNaVV5TWlVM1JDVXlReVUzUWlVeU1tNWhiV1VsTWpJbE0wRWxNaklsUlRnbFFrWWxPVVVsUlRZbE9FVWxRVFVsTWpJbE1rTWxNakpwWkNVeU1pVXpRU1V5TW5od1IyTnpVVzEwY2xNME9USTRNVFlsTWpJbE1rTWxNakpqWVhSbFoyOXllU1V5TWlVelFTVXlNbVJsWm1GMWJIUWxNaklsTWtNbE1qSjBlWEJsSlRJeUpUTkJKVEl5YkdsdWF5VXlNaVV5UXlVeU1uWmhiSFZsSlRJeUpUTkJKVEl5SlRJeUpUZEVKVEpESlRkQ0pUSXlibUZ0WlNVeU1pVXpRU1V5TWlWRk5DVkNSU1ZDUmlWRk55VkJReVZDUVNVeU1pVXlReVV5TW1sa0pUSXlKVE5CSlRJeVQxRm1WbXRxY1dsSWNESTRPRE16TXlVeU1pVXlReVV5TW1OaGRHVm5iM0o1SlRJeUpUTkJKVEl5WkdWbVlYVnNkQ1V5TWlVeVF5VXlNblI1Y0dVbE1qSWxNMEVsTWpKemRISnBibWNsTWpJbE1rTWxNakoyWVd4MVpTVXlNaVV6UVNVeU1pVXlNaVUzUkNVMVJDVXlReVV5TW5CeWIzQnpKVEl5SlROQkpUZENKVEl5ZW1sdVpHVjRKVEl5SlROQk1UY2xNa01sTWpKM0pUSXlKVE5CT0RJbE1rTWxNakpvSlRJeUpUTkJNemN1TlRrNU9UazVPVGswTURNNU5UTTJKVEpESlRJeWVDVXlNaVV6UVRNME55VXlReVV5TW5rbE1qSWxNMEUyT1RJbE1rTWxNakpoYm1kc1pTVXlNaVV6UVRBbE4wUWxNa01sTWpKd1lYUm9KVEl5SlROQkpUVkNKVGRDSlRJeVlXTjBhVzl1Y3lVeU1pVXpRU1UxUWlVM1FpVXlNbmdsTWpJbE0wRWxNakl3SlRJeUpUSkRKVEl5WVdOMGFXOXVKVEl5SlROQkpUSXliVzkyWlNVeU1pVXlReVV5TW5rbE1qSWxNMEVsTWpJd0pUSXlKVGRFSlRKREpUZENKVEl5ZUNVeU1pVXpRU1V5TW5jbE1qSWxNa01sTWpKaFkzUnBiMjRsTWpJbE0wRWxNakpzYVc1bEpUSXlKVEpESlRJeWVTVXlNaVV6UVNVeU1qQWxNaklsTjBRbE1rTWxOMElsTWpKNEpUSXlKVE5CSlRJeWR5VXlNaVV5UXlVeU1tRmpkR2x2YmlVeU1pVXpRU1V5TW14cGJtVWxNaklsTWtNbE1qSjVKVEl5SlROQkpUSXlhQ1V5TWlVM1JDVXlReVUzUWlVeU1uZ2xNaklsTTBFbE1qSXdKVEl5SlRKREpUSXlZV04wYVc5dUpUSXlKVE5CSlRJeWJHbHVaU1V5TWlVeVF5VXlNbmtsTWpJbE0wRWxNakpvSlRJeUpUZEVKVEpESlRkQ0pUSXlZV04wYVc5dUpUSXlKVE5CSlRJeVkyeHZjMlVsTWpJbE4wUWxOVVFsTjBRbE5VUWxNa01sTWpKc2FXNWxVM1I1YkdVbE1qSWxNMEVsTjBJbE4wUWxNa01sTWpKamFHbHNaSEpsYmlVeU1pVXpRU1UxUWlVMVJDVXlReVV5TW5KbGMybDZaVVJwY2lVeU1pVXpRU1UxUWlVeU1uUnNKVEl5SlRKREpUSXlkSElsTWpJbE1rTWxNakppY2lVeU1pVXlReVV5TW1Kc0pUSXlKVFZFSlRKREpUSXlibUZ0WlNVeU1pVXpRU1V5TW5KbFkzUmhibWRzWlNVeU1pVXlReVV5TW1acGJHeFRkSGxzWlNVeU1pVXpRU1UzUWlVM1JDVXlReVV5TW1GMGRISnBZblYwWlNVeU1pVXpRU1UzUWlVeU1tTnZiblJoYVc1bGNpVXlNaVV6UVdaaGJITmxKVEpESlRJeWNtOTBZWFJoWW14bEpUSXlKVE5CZEhKMVpTVXlReVV5TW5acGMybGliR1VsTWpJbE0wRjBjblZsSlRKREpUSXlZMjlzYkdGd2MyRmliR1VsTWpJbE0wRm1ZV3h6WlNVeVF5VXlNbU52Ykd4aGNITmxaQ1V5TWlVelFXWmhiSE5sSlRKREpUSXliR2x1YTJGaWJHVWxNaklsTTBGMGNuVmxKVEpESlRJeWJXRnlhMlZ5VDJabWMyVjBKVEl5SlROQk5TVTNSQ1V5UXlVeU1tbGtKVEl5SlROQkpUSXlWVmwwWTJONmFVeG1lRFE1T1RZMk1DVXlNaVV5UXlVeU1tTmhkR1ZuYjNKNUpUSXlKVE5CSlRJeVltRnphV01sTWpJbE1rTWxNakpzYjJOclpXUWxNaklsTTBGbVlXeHpaU1V5UXlVeU1tZHliM1Z3SlRJeUpUTkJKVEl5SlRJeUpUZEVKVEpESlRJeVUwZE1RMFZLVGxwWldURTROekU1TkNVeU1pVXpRU1UzUWlVeU1tbGtKVEl5SlROQkpUSXlVMGRNUTBWS1RscFpXVEU0TnpFNU5DVXlNaVV5UXlVeU1tNWhiV1VsTWpJbE0wRWxNakp6ZEdGdVpHRnlaRlJsZUhRbE1qSWxNa01sTWpKMGFYUnNaU1V5TWlVelFTVXlNaVV5TWlVeVF5VXlNbU5oZEdWbmIzSjVKVEl5SlROQkpUSXljM1JoYm1SaGNtUWxNaklsTWtNbE1qSm5jbTkxY0NVeU1pVXpRU1V5TWlVeU1pVXlReVV5TW1keWIzVndUbUZ0WlNVeU1pVXpRVzUxYkd3bE1rTWxNakpzYjJOclpXUWxNaklsTTBGbVlXeHpaU1V5UXlVeU1teHBibXNsTWpJbE0wRWxNaklsTWpJbE1rTWxNakpqYUdsc1pISmxiaVV5TWlVelFTVTFRaVUxUkNVeVF5VXlNbkJoY21WdWRDVXlNaVV6UVNVeU1pVXlNaVV5UXlVeU1uSmxjMmw2WlVScGNpVXlNaVV6UVNVMVFpVXlNblJzSlRJeUpUSkRKVEl5ZEhJbE1qSWxNa01sTWpKaWNpVXlNaVV5UXlVeU1tSnNKVEl5SlRKREpUSXliQ1V5TWlVeVF5VXlNblFsTWpJbE1rTWxNakp5SlRJeUpUSkRKVEl5WWlVeU1pVTFSQ1V5UXlVeU1tRjBkSEpwWW5WMFpTVXlNaVV6UVNVM1FpVXlNbU52Ym5SaGFXNWxjaVV5TWlVelFXWmhiSE5sSlRKREpUSXlkbWx6YVdKc1pTVXlNaVV6UVhSeWRXVWxNa01sTWpKeWIzUmhkR0ZpYkdVbE1qSWxNMEYwY25WbEpUSkRKVEl5YkdsdWEyRmliR1VsTWpJbE0wRjBjblZsSlRKREpUSXlZMjlzYkdGd2MyRmliR1VsTWpJbE0wRm1ZV3h6WlNVeVF5VXlNbU52Ykd4aGNITmxaQ1V5TWlVelFXWmhiSE5sSlRKREpUSXlabWw0WldSTWFXNXJKVEl5SlROQlptRnNjMlVsTWtNbE1qSnRZWEpyWlhKUFptWnpaWFFsTWpJbE0wRTFKVGRFSlRKREpUSXlaR0YwWVVGMGRISnBZblYwWlhNbE1qSWxNMEVsTlVJbE5VUWxNa01sTWpKd2NtOXdjeVV5TWlVelFTVTNRaVV5TW5nbE1qSWxNMEV5T1RBbE1rTWxNako1SlRJeUpUTkJOalE0SlRKREpUSXlkeVV5TWlVelFURXdNQ1V5UXlVeU1tZ2xNaklsTTBFME1DVXlReVV5TW5wcGJtUmxlQ1V5TWlVelFURTVKVEpESlRJeVlXNW5iR1VsTWpJbE0wRXdKVGRFSlRKREpUSXljMmhoY0dWVGRIbHNaU1V5TWlVelFTVTNRaVV5TW1Gc2NHaGhKVEl5SlROQk1TVTNSQ1V5UXlVeU1teHBibVZUZEhsc1pTVXlNaVV6UVNVM1FpVTNSQ1V5UXlVeU1tWnBiR3hUZEhsc1pTVXlNaVV6UVNVM1FpVTNSQ1V5UXlVeU1uUm9aVzFsSlRJeUpUTkJKVGRDSlRkRUpUSkRKVEl5Y0dGMGFDVXlNaVV6UVNVMVFpVTNRaVV5TW14cGJtVlRkSGxzWlNVeU1pVXpRU1UzUWlVeU1teHBibVZYYVdSMGFDVXlNaVV6UVRBbE4wUWxNa01sTWpKbWFXeHNVM1I1YkdVbE1qSWxNMEVsTjBJbE1qSjBlWEJsSlRJeUpUTkJKVEl5Ym05dVpTVXlNaVUzUkNVeVF5VXlNbUZqZEdsdmJuTWxNaklsTTBFbE5VSWxOMElsTWpKaFkzUnBiMjRsTWpJbE0wRWxNakp0YjNabEpUSXlKVEpESlRJeWVDVXlNaVV6UVNVeU1qQWxNaklsTWtNbE1qSjVKVEl5SlROQkpUSXlNQ1V5TWlVM1JDVXlReVUzUWlVeU1tRmpkR2x2YmlVeU1pVXpRU1V5TW14cGJtVWxNaklsTWtNbE1qSjRKVEl5SlROQkpUSXlkeVV5TWlVeVF5VXlNbmtsTWpJbE0wRWxNakl3SlRJeUpUZEVKVEpESlRkQ0pUSXlZV04wYVc5dUpUSXlKVE5CSlRJeWJHbHVaU1V5TWlVeVF5VXlNbmdsTWpJbE0wRWxNakozSlRJeUpUSkRKVEl5ZVNVeU1pVXpRU1V5TW1nbE1qSWxOMFFsTWtNbE4wSWxNakpoWTNScGIyNGxNaklsTTBFbE1qSnNhVzVsSlRJeUpUSkRKVEl5ZUNVeU1pVXpRU1V5TWpBbE1qSWxNa01sTWpKNUpUSXlKVE5CSlRJeWFDVXlNaVUzUkNVeVF5VTNRaVV5TW1GamRHbHZiaVV5TWlVelFTVXlNbU5zYjNObEpUSXlKVGRFSlRWRUpUZEVKVFZFSlRKREpUSXlabTl1ZEZOMGVXeGxKVEl5SlROQkpUZENKVGRFSlRKREpUSXlkR1Y0ZEVKc2IyTnJKVEl5SlROQkpUVkNKVGRDSlRJeWNHOXphWFJwYjI0bE1qSWxNMEVsTjBJbE1qSjRKVEl5SlROQk1DVXlReVV5TW5rbE1qSWxNMEV3SlRKREpUSXlkeVV5TWlVelFTVXlNbmNsTWpJbE1rTWxNakpvSlRJeUpUTkJKVEl5YUNVeU1pVTNSQ1V5UXlVeU1uUmxlSFFsTWpJbE0wRWxNaklsUlRVbFFrRWxPVVlsUlRrbE9USWxRVElsUlRrbE9UTWxPREVsUlRRbFFrSWxRallsTWpJbE4wUWxOVVFsTWtNbE1qSmhibU5vYjNKekpUSXlKVE5CSlRWQ0pUZENKVEl5ZUNVeU1pVXpRU1V5TW5jbE1rWXlKVEl5SlRKREpUSXllU1V5TWlVelFTVXlNakFsTWpJbE4wUWxNa01sTjBJbE1qSjRKVEl5SlROQkpUSXlkeVV5UmpJbE1qSWxNa01sTWpKNUpUSXlKVE5CSlRJeWFDVXlNaVUzUkNVeVF5VTNRaVV5TW5nbE1qSWxNMEVsTWpJd0pUSXlKVEpESlRJeWVTVXlNaVV6UVNVeU1tZ2xNa1l5SlRJeUpUZEVKVEpESlRkQ0pUSXllQ1V5TWlVelFTVXlNbmNsTWpJbE1rTWxNako1SlRJeUpUTkJKVEl5YUNVeVJqSWxNaklsTjBRbE5VUWxOMFFsTWtNbE1qSktRVWhZYTNGSVpsbGhOamMwTWpBd0pUSXlKVE5CSlRkQ0pUSXljR0Z5Wlc1MEpUSXlKVE5CSlRJeUpUSXlKVEpESlRJeWJHbHVheVV5TWlVelFTVXlNaVV5TWlVeVF5VXlNbk5vWVhCbFUzUjViR1VsTWpJbE0wRWxOMElsTWpKaGJIQm9ZU1V5TWlVelFURWxOMFFsTWtNbE1qSjBaWGgwUW14dlkyc2xNaklsTTBFbE5VSWxOMElsTWpKd2IzTnBkR2x2YmlVeU1pVXpRU1UzUWlVeU1uY2xNaklsTTBFbE1qSjNMVEl3SlRJeUpUSkRKVEl5YUNVeU1pVXpRU1V5TW1nbE1qSWxNa01sTWpKNEpUSXlKVE5CTVRBbE1rTWxNako1SlRJeUpUTkJNQ1UzUkNVeVF5VXlNblJsZUhRbE1qSWxNMEVsTWpJbFJUVWxPRFVsUVRVbFJUVWxRa0VsT1RNbFJUWWxPVUVsT0RJbFJUVWxRVVFsT1Rn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WtNbE1qSm1iMjUwVTNSNWJHVWxNaklsTTBFbE4wSWxNakp6YVhwbEpUSXlKVE5CTVRZbE4wUWxNa01sTWpKMGFYUnNaU1V5TWlVelFTVXlNaVZGTnlVNVJpVkJPU1ZGTlNWQ1JDVkJNaVV5TWlVeVF5VXlNbVJoZEdGQmRIUnlhV0oxZEdWekpUSXlKVE5CSlRWQ0pUZENKVEl5Ym1GdFpTVXlNaVV6UVNVeU1pVkZOU1ZDUVNVNFJpVkZOU1U0UmlWQ055VXlNaVV5UXlVeU1tbGtKVEl5SlROQkpUSXlZVkJNYTBocmQycFdVREF3T1RNM09DVXlNaVV5UXlVeU1tTmhkR1ZuYjNKNUpUSXlKVE5CSlRJeVpHVm1ZWFZzZENVeU1pVXlReVV5TW5SNWNHVWxNaklsTTBFbE1qSnVkVzFpWlhJbE1qSWxNa01sTWpKMllXeDFaU1V5TWlVelFTVXlNaVV5TWlVM1JDVXlReVUzUWlVeU1tNWhiV1VsTWpJbE0wRWxNaklsUlRVbE9UQWxPRVFsUlRjbFFUY2xRakFsTWpJbE1rTWxNakpwWkNVeU1pVXpRU1V5TWxad1VVbERiSE55UTJrMk1EUTROVFFsTWpJbE1rTWxNakpqWVhSbFoyOXllU1V5TWlVelFTVXlNbVJsWm1GMWJIUWxNaklsTWtNbE1qSjBlWEJsSlRJeUpUTkJKVEl5YzNSeWFXNW5KVEl5SlRKREpUSXlkbUZzZFdVbE1qSWxNMEVsTWpJbE1qSWxOMFFsTWtNbE4wSWxNakp1WVcxbEpUSXlKVE5CSlRJeUpVVTJKVGc1SlRnd0pVVTJKVGxESlRnNUpVVTRKVGd3SlRnMUpUSXlKVEpESlRJeWFXUWxNaklsTTBFbE1qSkNTMWxIYzA1Q2QyMXRNalExTlRrd0pUSXlKVEpESlRJeVkyRjBaV2R2Y25rbE1qSWxNMEVsTWpKa1pXWmhkV3gwSlRJeUpUSkRKVEl5ZEhsd1pTVXlNaVV6UVNVeU1uTjBjbWx1WnlVeU1pVXlReVV5TW5aaGJIVmxKVEl5SlROQkpUSXlKVEl5SlRkRUpUSkRKVGRDSlRJeWJtRnRaU1V5TWlVelFTVXlNaVZGT0NWQ1JpVTVSU1ZGTmlVNFJTVkJOU1V5TWlVeVF5VXlNbWxrSlRJeUpUTkJKVEl5UTFaT2JITjRiM2x3VkRVeE16STNOU1V5TWlVeVF5VXlNbU5oZEdWbmIzSjVKVEl5SlROQkpUSXlaR1ZtWVhWc2RDVXlNaVV5UXlVeU1uUjVjR1VsTWpJbE0wRWxNakpzYVc1ckpUSXlKVEpESlRJeWRtRnNkV1VsTWpJbE0wRWxNaklsTWpJbE4wUWxNa01sTjBJbE1qSnVZVzFsSlRJeUpUTkJKVEl5SlVVMEpVSkZKVUpHSlVVM0pVRkRKVUpCSlRJeUpUSkRKVEl5YVdRbE1qSWxNMEVsTWpKa2IydG9WR1psZWs5UE1UZzFORFV5SlRJeUpUSkRKVEl5WTJGMFpXZHZjbmtsTWpJbE0wRWxNakprWldaaGRXeDBKVEl5SlRKREpUSXlkSGx3WlNVeU1pVXpRU1V5TW5OMGNtbHVaeVV5TWlVeVF5VXlNblpoYkhWbEpUSXlKVE5CSlRJeUpUSXlKVGRFSlRWRUpUSkRKVEl5Y0hKdmNITWxNaklsTTBFbE4wSWxNako2YVc1a1pYZ2xNaklsTTBFeU1DVXlReVV5TW5jbE1qSWxNMEU0TkNVeVF5VXlNbWdsTWpJbE0wRXpOeTQxT1RrNU9UazVPVFF3TXprMU16WWxNa01sTWpKNEpUSXlKVE5CTlRBMUpUSkRKVEl5ZVNVeU1pVXpRVFk1TWlVeVF5VXlNbUZ1WjJ4bEpUSXlKVE5CTUNVM1JDVXlReVV5TW5CaGRHZ2xNaklsTTBFbE5VSWxOMElsTWpKaFkzUnBiMjV6SlRJeUpUTkJKVFZDSlRkQ0pUSXllQ1V5TWlVelFTVXlNakFsTWpJbE1rTWxNakpoWTNScGIyNGxNaklsTTBFbE1qSnRiM1psSlRJeUpUSkRKVEl5ZVNVeU1pVXpRU1V5TWpBbE1qSWxOMFFsTWtNbE4wSWxNako0SlRJeUpUTkJKVEl5ZHlVeU1pVXlReVV5TW1GamRHbHZiaVV5TWlVelFTVXlNbXhwYm1VbE1qSWxNa01sTWpKNUpUSXlKVE5CSlRJeU1DVXlNaVUzUkNVeVF5VTNRaVV5TW5nbE1qSWxNMEVsTWpKM0pUSXlKVEpESlRJeVlXTjBhVzl1SlRJeUpUTkJKVEl5YkdsdVpTVXlNaVV5UXlVeU1ua2xNaklsTTBFbE1qSm9KVEl5SlRkRUpUSkRKVGRDSlRJeWVDVXlNaVV6UVNVeU1qQWxNaklsTWtNbE1qSmhZM1JwYjI0bE1qSWxNMEVsTWpKc2FXNWxKVEl5SlRKREpUSXllU1V5TWlVelFTVXlNbWdsTWpJbE4wUWxNa01sTjBJbE1qSmhZM1JwYjI0bE1qSWxNMEVsTWpKamJHOXpaU1V5TWlVM1JDVTFSQ1UzUkNVMVJDVXlReVV5TW14cGJtVlRkSGxzWlNVeU1pVXpRU1UzUWlVM1JDVXlReVV5TW1Ob2FXeGtjbVZ1SlRJeUpUTkJKVFZDSlRWRUpUSkRKVEl5Y21WemFYcGxSR2x5SlRJeUpUTkJKVFZDSlRJeWRHd2xNaklsTWtNbE1qSjBjaVV5TWlVeVF5VXlNbUp5SlRJeUpUSkRKVEl5WW13bE1qSWxOVVFsTWtNbE1qSnVZVzFsSlRJeUpUTkJKVEl5Y21WamRHRnVaMnhsSlRJeUpUSkRKVEl5Wm1sc2JGTjBlV3hsSlRJeUpUTkJKVGRDSlRkRUpUSkRKVEl5WVhSMGNtbGlkWFJsSlRJeUpUTkJKVGRDSlRJeVkyOXVkR0ZwYm1WeUpUSXlKVE5CWm1Gc2MyVWxNa01sTWpKeWIzUmhkR0ZpYkdVbE1qSWxNMEYwY25WbEpUSkRKVEl5ZG1semFXSnNaU1V5TWlVelFYUnlkV1VsTWtNbE1qSmpiMnhzWVhCellXSnNaU1V5TWlVelFXWmhiSE5sSlRKREpUSXlZMjlzYkdGd2MyVmtKVEl5SlROQlptRnNjMlVsTWtNbE1qSnNhVzVyWVdKc1pTVXlNaVV6UVhSeWRXVWxNa01sTWpKdFlYSnJaWEpQWm1aelpYUWxNaklsTTBFMUpUZEVKVEpESlRJeWFXUWxNaklsTTBFbE1qSktRVWhZYTNGSVpsbGhOamMwTWpBd0pUSXlKVEpESlRJeVkyRjBaV2R2Y25rbE1qSWxNMEVsTWpKaVlYTnBZeVV5TWlVeVF5VXlNbXh2WTJ0bFpDVXlNaVV6UVdaaGJITmxKVEpESlRJeVozSnZkWEFsTWpJbE0wRWxNaklsTWpJbE4wUWxNa01sTWpKV1VVeFhRMWRhVlhkSU9EVTJNemMxSlRJeUpUTkJKVGRDSlRJeWNHRnlaVzUwSlRJeUpUTkJKVEl5SlRJeUpUSkRKVEl5YkdsdWF5VXlNaVV6UVNVeU1pVXlNaVV5UXlVeU1uTm9ZWEJsVTNSNWJHVWxNaklsTTBFbE4wSWxNakpoYkhCb1lTVXlNaVV6UVRFbE4wUWxNa01sTWpKMFpYaDBRbXh2WTJzbE1qSWxNMEVsTlVJbE4wSWxNakp3YjNOcGRHbHZiaVV5TWlVelFTVTNRaVV5TW5jbE1qSWxNMEVsTWpKM0xUSXdKVEl5SlRKREpUSXlhQ1V5TWlVelFTVXlNbWdsTWpJbE1rTWxNako0SlRJeUpUTkJNVEFsTWtNbE1qSjVKVEl5SlROQk1DVTNSQ1V5UXlVeU1uUmxlSFFsTWpJbE0wRWxNaklsUlRjbFFUQWxRalFsUlRjbFFUSWxPRVVsTWpJbE4wUWxOVVFsTWtNbE1qSmhibU5vYjNKekpUSXlKVE5CSlRWQ0pUZENKVEl5ZUNVeU1pVXpRU1V5TW5jbE1rWXlKVEl5SlRKREpUSXllU1V5TWlVelFTVXlNakFsTWpJbE4wUWxNa01sTjBJbE1qSjRKVEl5SlROQkpUSXlkeVV5UmpJbE1qSWxNa01sTWpKNUpUSXlKVE5CSlRJeWFDVXlNaVUzUkNVeVF5VTNRaVV5TW5nbE1qSWxNMEVsTWpJd0pUSXlKVEpESlRJeWVTVXlNaVV6UVNVeU1tZ2xNa1l5SlRJeUpUZEVKVEpESlRkQ0pUSXllQ1V5TWlVelFTVXlNbmNsTWpJbE1rTWxNako1SlRJeUpUTkJKVEl5YUNVeVJqSWxNaklsTjBRbE5VUWxNa01sTWpKbWIyNTBVM1I1YkdVbE1qSWxNMEVsTjBJbE1qSnphWHBsSlRJeUpUTkJNVFlsTjBRbE1rTWxNakowYVhSc1pTVXlNaVV6UVNVeU1pVkZOeVU1UmlWQk9TVkZOU1ZDUkNWQk1pVXlNaVV5UXlVeU1tUmhkR0ZCZEhSeWFXSjFkR1Z6SlRJeUpUTkJKVFZDSlRkQ0pUSXlibUZ0WlNVeU1pVXpRU1V5TWlWRk5TVkNRU1U0UmlWRk5TVTRSaVZDTnlVeU1pVXlReVV5TW1sa0pUSXlKVE5CSlRJeVUxSkVaRU54UVhkTWNqUXpOamN5TmlVeU1pVXlReVV5TW1OaGRHVm5iM0o1SlRJeUpUTkJKVEl5WkdWbVlYVnNkQ1V5TWlVeVF5VXlNblI1Y0dVbE1qSWxNMEVsTWpKdWRXMWlaWElsTWpJbE1rTWxNakoyWVd4MVpTVXlNaVV6UVNVeU1pVXlNaVUzUkNVeVF5VTNRaVV5TW01aGJXVWxNaklsTTBFbE1qSWxSVFVsT1RBbE9FUWxSVGNsUVRjbFFqQWxNaklsTWtNbE1qSnBaQ1V5TWlVelFTVXlNbWRhVGxWRmJHVndTbXc0TmpjNE9EVWxNaklsTWtNbE1qSmpZWFJsWjI5eWVTVXlNaVV6UVNVeU1tUmxabUYxYkhRbE1qSWxNa01sTWpKMGVYQmxKVEl5SlROQkpUSXljM1J5YVc1bkpUSXlKVEpESlRJeWRtRnNkV1VsTWpJbE0wRWxNaklsTWpJbE4wUWxNa01sTjBJbE1qSnVZVzFsSlRJeUpUTkJKVEl5SlVVMkpUZzVKVGd3SlVVMkpUbERKVGc1SlVVNEpUZ3dKVGcxSlRJeUpUSkRKVEl5YVdRbE1qSWxNMEVsTWpKVWJHcFdhR1I0Vm5kMU9ESTROVEUxSlRJeUpUSkRKVEl5WTJGMFpXZHZjbmtsTWpJbE0wRWxNakprWldaaGRXeDBKVEl5SlRKREpUSXlkSGx3WlNVeU1pVXpRU1V5TW5OMGNtbHVaeVV5TWlVeVF5VXlNblpoYkhWbEpUSXlKVE5CSlRJeUpUSXlKVGRFSlRKREpUZENKVEl5Ym1GdFpTVXlNaVV6UVNVeU1pVkZPQ1ZDUmlVNVJTVkZOaVU0UlNWQk5TVXlNaVV5UXlVeU1tbGtKVEl5SlROQkpUSXlaa2Q2ZVhsaGVWbFhTelUzTXpNM01TVXlNaVV5UXlVeU1tTmhkR1ZuYjNKNUpUSXlKVE5CSlRJeVpHVm1ZWFZzZENVeU1pVXlReVV5TW5SNWNHVWxNaklsTTBFbE1qSnNhVzVySlRJeUpUSkRKVEl5ZG1Gc2RXVWxNaklsTTBFbE1qSWxNaklsTjBRbE1rTWxOMElsTWpKdVlXMWxKVEl5SlROQkpUSXlKVVUwSlVKRkpVSkdKVVUzSlVGREpVSkJKVEl5SlRKREpUSXlhV1FsTWpJbE0wRWxNakpHVW14UVQyNWtlazFGT0RZM09EYzRKVEl5SlRKREpUSXlZMkYwWldkdmNua2xNaklsTTBFbE1qSmtaV1poZFd4MEpUSXlKVEpESlRJeWRIbHdaU1V5TWlVelFTVXlNbk4wY21sdVp5VXlNaVV5UXlVeU1uWmhiSFZsSlRJeUpUTkJKVEl5SlRJeUpUZEVKVFZFSlRKREpUSXljSEp2Y0hNbE1qSWxNMEVsTjBJbE1qSjZhVzVrWlhnbE1qSWxNMEV5TkNVeVF5VXlNbmNsTWpJbE0wRTROQ1V5UXlVeU1tZ2xNaklsTTBFek55NDFPVGs1T1RrNU9UUXdNemsxTXpZbE1rTWxNako0SlRJeUpUTkJOall3SlRKREpUSXllU1V5TWlVelFUWTRPQ1V5UXlVeU1tRnVaMnhsSlRJeUpUTkJNQ1UzUkNVeVF5VXlNbkJoZEdnbE1qSWxNMEVsTlVJbE4wSWxNakpoWTNScGIyNXpKVEl5SlROQkpUVkNKVGRDSlRJeWVDVXlNaVV6UVNVeU1qQWxNaklsTWtNbE1qSmhZM1JwYjI0bE1qSWxNMEVsTWpKdGIzWmxKVEl5SlRKREpUSXllU1V5TWlVelFTVXlNakFsTWpJbE4wUWxNa01sTjBJbE1qSjRKVEl5SlROQkpUSXlkeVV5TWlVeVF5VXlNbUZqZEdsdmJpVXlNaVV6UVNVeU1teHBibVVsTWpJbE1rTWxNako1SlRJeUpUTkJKVEl5TUNVeU1pVTNSQ1V5UXlVM1FpVXlNbmdsTWpJbE0wRWxNakozSlRJeUpUSkRKVEl5WVdOMGFXOXVKVEl5SlROQkpUSXliR2x1WlNVeU1pVXlReVV5TW5rbE1qSWxNMEVsTWpKb0pUSXlKVGRFSlRKREpUZENKVEl5ZUNVeU1pVXpRU1V5TWpBbE1qSWxNa01sTWpKaFkzUnBiMjRsTWpJbE0wRWxNakpzYVc1bEpUSXlKVEpESlRJeWVTVXlNaVV6UVNVeU1tZ2xNaklsTjBRbE1rTWxOMElsTWpKaFkzUnBiMjRsTWpJbE0wRWxNakpqYkc5elpTVXlNaVUzUkNVMVJDVTNSQ1UxUkNVeVF5VXlNbXhwYm1WVGRIbHNaU1V5TWlVelFTVTNRaVUzUkNVeVF5VXlNbU5vYVd4a2NtVnVKVEl5SlROQkpUVkNKVFZFSlRKREpUSXljbVZ6YVhwbFJHbHlKVEl5SlROQkpUVkNKVEl5ZEd3bE1qSWxNa01sTWpKMGNpVXlNaVV5UXlVeU1tSnlKVEl5SlRKREpUSXlZbXdsTWpJbE5VUWxNa01sTWpKdVlXMWxKVEl5SlROQkpUSXljbVZqZEdGdVoyeGxKVEl5SlRKREpUSXlabWxzYkZOMGVXeGxKVEl5SlROQkpUZENKVGRFSlRKREpUSXlZWFIwY21saWRYUmxKVEl5SlROQkpUZENKVEl5WTI5dWRHRnBibVZ5SlRJeUpUTkJabUZzYzJVbE1rTWxNakp5YjNSaGRHRmliR1VsTWpJbE0wRjBjblZsSlRKREpUSXlkbWx6YVdKc1pTVXlNaVV6UVhSeWRXVWxNa01sTWpKamIyeHNZWEJ6WVdKc1pTVXlNaVV6UVdaaGJITmxKVEpESlRJeVkyOXNiR0Z3YzJWa0pUSXlKVE5CWm1Gc2MyVWxNa01sTWpKc2FXNXJZV0pzWlNVeU1pVXpRWFJ5ZFdVbE1rTWxNakp0WVhKclpYSlBabVp6WlhRbE1qSWxNMEUxSlRkRUpUSkRKVEl5YVdRbE1qSWxNMEVsTWpKV1VVeFhRMWRhVlhkSU9EVTJNemMxSlRJeUpUSkRKVEl5WTJGMFpXZHZjbmtsTWpJbE0wRWxNakppWVhOcFl5VXlNaVV5UXlVeU1teHZZMnRsWkNVeU1pVXpRV1poYkhObEpUSkRKVEl5WjNKdmRYQWxNaklsTTBFbE1qSWxNaklsTjBRbE1rTWxNakprUlZsaVFVVlFjVzVsTmpNM01UUTFKVEl5SlROQkpUZENKVEl5Y0dGeVpXNTBKVEl5SlROQkpUSXlKVEl5SlRKREpUSXliR2x1YXlVeU1pVXpRU1V5TWlVeU1pVXlReVV5TW5Ob1lYQmxVM1I1YkdVbE1qSWxNMEVsTjBJbE1qSmhiSEJvWVNVeU1pVXpRVEVsTjBRbE1rTWxNakowWlhoMFFteHZZMnNsTWpJbE0wRWxOVUlsTjBJbE1qSndiM05wZEdsdmJpVXlNaVV6UVNVM1FpVXlNbmNsTWpJbE0wRWxNakozTFRJd0pUSXlKVEpESlRJeWFDVXlNaVV6UVNVeU1tZ2xNaklsTWtNbE1qSjRKVEl5SlROQk1UQWxNa01sTWpKNUpUSXlKVE5CTUNVM1JDVXlReVV5TW5SbGVIUWxNaklsTTBFbE1qSWxSVFlsUWpZbFFqSWxSVFVsT0VVbE9FSWxSVFlsT0RrbE9UTWxSVFVsT0VNbE9EVWxNaklsTjBRbE5VUWxNa01sTWpKaGJtTm9iM0p6SlRJeUpUTkJKVFZDSlRkQ0pUSXllQ1V5TWlVelFTVXlNbmNsTWtZeUpUSXlKVEpESlRJeWVTVXlNaVV6UVNVeU1qQWxNaklsTjBRbE1rTWxOMElsTWpKNEpUSXlKVE5CSlRJeWR5VXlSaklsTWpJbE1rTWxNako1SlRJeUpUTkJKVEl5YUNVeU1pVTNSQ1V5UXlVM1FpVXlNbmdsTWpJbE0wRWxNakl3SlRJeUpUSkRKVEl5ZVNVeU1pVXpRU1V5TW1nbE1rWXlKVEl5SlRkRUpUSkRKVGRDSlRJeWVDVXlNaVV6UVNVeU1uY2xNaklsTWtNbE1qSjVKVEl5SlROQkpUSXlhQ1V5UmpJbE1qSWxOMFFsTlVRbE1rTWxNakptYjI1MFUzUjViR1VsTWpJbE0wRWxOMElsTWpKemFYcGxKVEl5SlROQk1UWWxOMFFsTWtNbE1qSjBhWFJzWlNVeU1pVXpRU1V5TWlWRk55VTVSaVZCT1NWRk5TVkNSQ1ZCTWlVeU1pVXlReVV5TW1SaGRHRkJkSFJ5YVdKMWRHVnpKVEl5SlROQkpUVkNKVGRDSlRJeWJtRnRaU1V5TWlVelFTVXlNaVZGTlNWQ1FTVTRSaVZGTlNVNFJpVkNOeVV5TWlVeVF5VXlNbWxrSlRJeUpUTkJKVEl5UW05b1lVMU9WSGx2U3pnd056VTNPU1V5TWlVeVF5VXlNbU5oZEdWbmIzSjVKVEl5SlROQkpUSXlaR1ZtWVhWc2RDVXlNaVV5UXlVeU1uUjVjR1VsTWpJbE0wRWxNakp1ZFcxaVpYSWxNaklsTWtNbE1qSjJZV3gxWlNVeU1pVXpRU1V5TWlVeU1pVTNSQ1V5UXlVM1FpVXlNbTVoYldVbE1qSWxNMEVsTWpJbFJUVWxPVEFsT0VRbFJUY2xRVGNsUWpBbE1qSWxNa01sTWpKcFpDVXlNaVV6UVNVeU1rRm1ia2xzZFZkallsRXdOVFkwTnpJbE1qSWxNa01sTWpKallYUmxaMjl5ZVNVeU1pVXpRU1V5TW1SbFptRjFiSFFsTWpJbE1rTWxNakowZVhCbEpUSXlKVE5CSlRJeWMzUnlhVzVuSlRJeUpUSkRKVEl5ZG1Gc2RXVWxNaklsTTBFbE1qSWxNaklsTjBRbE1rTWxOMElsTWpKdVlXMWxKVEl5SlROQkpUSXlKVVUySlRnNUpUZ3dKVVUySlRsREpUZzVKVVU0SlRnd0pUZzFKVEl5SlRKREpUSXlhV1FsTWpJbE0wRWxNakpaVUdabGVtNU9ibkZ4T0RVMU16UTJKVEl5SlRKREpUSXlZMkYwWldkdmNua2xNaklsTTBFbE1qSmtaV1poZFd4MEpUSXlKVEpESlRJeWRIbHdaU1V5TWlVelFTVXlNbk4wY21sdVp5VXlNaVV5UXlVeU1uWmhiSFZsSlRJeUpUTkJKVEl5SlRJeUpUZEVKVEpESlRkQ0pUSXlibUZ0WlNVeU1pVXpRU1V5TWlWRk9DVkNSaVU1UlNWRk5pVTRSU1ZCTlNVeU1pVXlReVV5TW1sa0pUSXlKVE5CSlRJeWRIUkphVlI2ZDJOMlN6TXlPRGM1TnlVeU1pVXlReVV5TW1OaGRHVm5iM0o1SlRJeUpUTkJKVEl5WkdWbVlYVnNkQ1V5TWlVeVF5VXlNblI1Y0dVbE1qSWxNMEVsTWpKc2FXNXJKVEl5SlRKREpUSXlkbUZzZFdVbE1qSWxNMEVsTWpJbE1qSWxOMFFsTWtNbE4wSWxNakp1WVcxbEpUSXlKVE5CSlRJeUpVVTBKVUpGSlVKR0pVVTNKVUZESlVKQkpUSXlKVEpESlRJeWFXUWxNaklsTTBFbE1qSmtlRlZaUmt0SFpVWmhOakV6TlRrMkpUSXlKVEpESlRJeVkyRjBaV2R2Y25rbE1qSWxNMEVsTWpKa1pXWmhkV3gwSlRJeUpUSkRKVEl5ZEhsd1pTVXlNaVV6UVNVeU1uTjBjbWx1WnlVeU1pVXlReVV5TW5aaGJIVmxKVEl5SlROQkpUSXlKVEl5SlRkRUpUVkVKVEpESlRJeWNISnZjSE1sTWpJbE0wRWxOMElsTWpKNmFXNWtaWGdsTWpJbE0wRXlOaVV5UXlVeU1uY2xNaklsTTBFNE5pVXlReVV5TW1nbE1qSWxNMEV6Tnk0MU9UazVPVGs1T1RRd016azFNellsTWtNbE1qSjRKVEl5SlROQk16UTFKVEpESlRJeWVTVXlNaVV6UVRjNE1DVXlReVV5TW1GdVoyeGxKVEl5SlROQk1DVTNSQ1V5UXlVeU1uQmhkR2dsTWpJbE0wRWxOVUlsTjBJbE1qSmhZM1JwYjI1ekpUSXlKVE5CSlRWQ0pUZENKVEl5ZUNVeU1pVXpRU1V5TWpBbE1qSWxNa01sTWpKaFkzUnBiMjRsTWpJbE0wRWxNakp0YjNabEpUSXlKVEpESlRJeWVTVXlNaVV6UVNVeU1qQWxNaklsTjBRbE1rTWxOMElsTWpKNEpUSXlKVE5CSlRJeWR5VXlNaVV5UXlVeU1tRmpkR2x2YmlVeU1pVXpRU1V5TW14cGJtVWxNaklsTWtNbE1qSjVKVEl5SlROQkpUSXlNQ1V5TWlVM1JDVXlReVUzUWlVeU1uZ2xNaklsTTBFbE1qSjNKVEl5SlRKREpUSXlZV04wYVc5dUpUSXlKVE5CSlRJeWJHbHVaU1V5TWlVeVF5VXlNbmtsTWpJbE0wRWxNakpvSlRJeUpUZEVKVEpESlRkQ0pUSXllQ1V5TWlVelFTVXlNakFsTWpJbE1rTWxNakpoWTNScGIyNGxNaklsTTBFbE1qSnNhVzVsSlRJeUpUSkRKVEl5ZVNVeU1pVXpRU1V5TW1nbE1qSWxOMFFsTWtNbE4wSWxNakpoWTNScGIyNGxNaklsTTBFbE1qSmpiRzl6WlNVeU1pVTNSQ1UxUkNVM1JDVTFSQ1V5UXlVeU1teHBibVZUZEhsc1pTVXlNaVV6UVNVM1FpVTNSQ1V5UXlVeU1tTm9hV3hrY21WdUpUSXlKVE5CSlRWQ0pUVkVKVEpESlRJeWNtVnphWHBsUkdseUpUSXlKVE5CSlRWQ0pUSXlkR3dsTWpJbE1rTWxNakowY2lVeU1pVXlReVV5TW1KeUpUSXlKVEpESlRJeVltd2xNaklsTlVRbE1rTWxNakp1WVcxbEpUSXlKVE5CSlRJeWNtVmpkR0Z1WjJ4bEpUSXlKVEpESlRJeVptbHNiRk4wZVd4bEpUSXlKVE5CSlRkQ0pUZEVKVEpESlRJeVlYUjBjbWxpZFhSbEpUSXlKVE5CSlRkQ0pUSXlZMjl1ZEdGcGJtVnlKVEl5SlROQlptRnNjMlVsTWtNbE1qSnliM1JoZEdGaWJHVWxNaklsTTBGMGNuVmxKVEpESlRJeWRtbHphV0pzWlNVeU1pVXpRWFJ5ZFdVbE1rTWxNakpqYjJ4c1lYQnpZV0pzWlNVeU1pVXpRV1poYkhObEpUSkRKVEl5WTI5c2JHRndjMlZrSlRJeUpUTkJabUZzYzJVbE1rTWxNakpzYVc1cllXSnNaU1V5TWlVelFYUnlkV1VsTWtNbE1qSnRZWEpyWlhKUFptWnpaWFFsTWpJbE0wRTFKVGRFSlRKREpUSXlhV1FsTWpJbE0wRWxNakprUlZsaVFVVlFjVzVsTmpNM01UUTFKVEl5SlRKREpUSXlZMkYwWldkdmNua2xNaklsTTBFbE1qSmlZWE5wWXlVeU1pVXlReVV5TW14dlkydGxaQ1V5TWlVelFXWmhiSE5sSlRKREpUSXlaM0p2ZFhBbE1qSWxNMEVsTWpJbE1qSWxOMFFsTWtNbE1qSjFjR1JoU25OQ1QyUnRNREExTWpZMUpUSXlKVE5CSlRkQ0pUSXljR0Z5Wlc1MEpUSXlKVE5CSlRJeUpUSXlKVEpESlRJeWJHbHVheVV5TWlVelFTVXlNaVV5TWlVeVF5VXlNbk5vWVhCbFUzUjViR1VsTWpJbE0wRWxOMElsTWpKaGJIQm9ZU1V5TWlVelFURWxOMFFsTWtNbE1qSjBaWGgwUW14dlkyc2xNaklsTTBFbE5VSWxOMElsTWpKd2IzTnBkR2x2YmlVeU1pVXpRU1UzUWlVeU1uY2xNaklsTTBFbE1qSjNMVEl3SlRJeUpUSkRKVEl5YUNVeU1pVXpRU1V5TW1nbE1qSWxNa01sTWpKNEpUSXlKVE5CTVRBbE1rTWxNako1SlRJeUpUTkJNQ1UzUkNVeVF5VXlNblJsZUhRbE1qSWxNMEVsTWpJbFJUZ2xPRGNsUVVFbFJUY2xPRFFsUWpZbFJUVWxRamtsUWpJbFJUY2xPRGNsUVRV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WtNbE1qSm1iMjUwVTNSNWJHVWxNaklsTTBFbE4wSWxNakp6YVhwbEpUSXlKVE5CTVRZbE4wUWxNa01sTWpKMGFYUnNaU1V5TWlVelFTVXlNaVZGTnlVNVJpVkJPU1ZGTlNWQ1JDVkJNaVV5TWlVeVF5VXlNbVJoZEdGQmRIUnlhV0oxZEdWekpUSXlKVE5CSlRWQ0pUZENKVEl5Ym1GdFpTVXlNaVV6UVNVeU1pVkZOU1ZDUVNVNFJpVkZOU1U0UmlWQ055VXlNaVV5UXlVeU1tbGtKVEl5SlROQkpUSXlaRlo1Um05M1pYSkVjekk0TVRBMU9DVXlNaVV5UXlVeU1tTmhkR1ZuYjNKNUpUSXlKVE5CSlRJeVpHVm1ZWFZzZENVeU1pVXlReVV5TW5SNWNHVWxNaklsTTBFbE1qSnVkVzFpWlhJbE1qSWxNa01sTWpKMllXeDFaU1V5TWlVelFTVXlNaVV5TWlVM1JDVXlReVUzUWlVeU1tNWhiV1VsTWpJbE0wRWxNaklsUlRVbE9UQWxPRVFsUlRjbFFUY2xRakFsTWpJbE1rTWxNakpwWkNVeU1pVXpRU1V5TW1WbFUyaEVaM1p4ZUhnNU5URTBORE1sTWpJbE1rTWxNakpqWVhSbFoyOXllU1V5TWlVelFTVXlNbVJsWm1GMWJIUWxNaklsTWtNbE1qSjBlWEJsSlRJeUpUTkJKVEl5YzNSeWFXNW5KVEl5SlRKREpUSXlkbUZzZFdVbE1qSWxNMEVsTWpJbE1qSWxOMFFsTWtNbE4wSWxNakp1WVcxbEpUSXlKVE5CSlRJeUpVVTJKVGc1SlRnd0pVVTJKVGxESlRnNUpVVTRKVGd3SlRnMUpUSXlKVEpESlRJeWFXUWxNaklsTTBFbE1qSktjWGRuZW1GUmQzbGhOamN4TWpnNEpUSXlKVEpESlRJeVkyRjBaV2R2Y25rbE1qSWxNMEVsTWpKa1pXWmhkV3gwSlRJeUpUSkRKVEl5ZEhsd1pTVXlNaVV6UVNVeU1uTjBjbWx1WnlVeU1pVXlReVV5TW5aaGJIVmxKVEl5SlROQkpUSXlKVEl5SlRkRUpUSkRKVGRDSlRJeWJtRnRaU1V5TWlVelFTVXlNaVZGT0NWQ1JpVTVSU1ZGTmlVNFJTVkJOU1V5TWlVeVF5VXlNbWxrSlRJeUpUTkJKVEl5VWxSQlZXbEdVSEZ3UmpBNU16YzVNaVV5TWlVeVF5VXlNbU5oZEdWbmIzSjVKVEl5SlROQkpUSXlaR1ZtWVhWc2RDVXlNaVV5UXlVeU1uUjVjR1VsTWpJbE0wRWxNakpzYVc1ckpUSXlKVEpESlRJeWRtRnNkV1VsTWpJbE0wRWxNaklsTWpJbE4wUWxNa01sTjBJbE1qSnVZVzFsSlRJeUpUTkJKVEl5SlVVMEpVSkZKVUpHSlVVM0pVRkRKVUpCSlRJeUpUSkRKVEl5YVdRbE1qSWxNMEVsTWpKNVZYaHFZM05zYm5aUk1URXhNalUxSlRJeUpUSkRKVEl5WTJGMFpXZHZjbmtsTWpJbE0wRWxNakprWldaaGRXeDBKVEl5SlRKREpUSXlkSGx3WlNVeU1pVXpRU1V5TW5OMGNtbHVaeVV5TWlVeVF5VXlNblpoYkhWbEpUSXlKVE5CSlRJeUpUSXlKVGRFSlRWRUpUSkRKVEl5Y0hKdmNITWxNaklsTTBFbE4wSWxNako2YVc1a1pYZ2xNaklsTTBFeU9DVXlReVV5TW5jbE1qSWxNMEU0TmlVeVF5VXlNbWdsTWpJbE0wRXpOeTQxT1RrNU9UazVPVFF3TXprMU16WWxNa01sTWpKNEpUSXlKVE5CTmpVNUpUSkRKVEl5ZVNVeU1pVXpRVGMyT1NVeVF5VXlNbUZ1WjJ4bEpUSXlKVE5CTUNVM1JDVXlReVV5TW5CaGRHZ2xNaklsTTBFbE5VSWxOMElsTWpKaFkzUnBiMjV6SlRJeUpUTkJKVFZDSlRkQ0pUSXllQ1V5TWlVelFTVXlNakFsTWpJbE1rTWxNakpoWTNScGIyNGxNaklsTTBFbE1qSnRiM1psSlRJeUpUSkRKVEl5ZVNVeU1pVXpRU1V5TWpBbE1qSWxOMFFsTWtNbE4wSWxNako0SlRJeUpUTkJKVEl5ZHlVeU1pVXlReVV5TW1GamRHbHZiaVV5TWlVelFTVXlNbXhwYm1VbE1qSWxNa01sTWpKNUpUSXlKVE5CSlRJeU1DVXlNaVUzUkNVeVF5VTNRaVV5TW5nbE1qSWxNMEVsTWpKM0pUSXlKVEpESlRJeVlXTjBhVzl1SlRJeUpUTkJKVEl5YkdsdVpTVXlNaVV5UXlVeU1ua2xNaklsTTBFbE1qSm9KVEl5SlRkRUpUSkRKVGRDSlRJeWVDVXlNaVV6UVNVeU1qQWxNaklsTWtNbE1qSmhZM1JwYjI0bE1qSWxNMEVsTWpKc2FXNWxKVEl5SlRKREpUSXllU1V5TWlVelFTVXlNbWdsTWpJbE4wUWxNa01sTjBJbE1qSmhZM1JwYjI0bE1qSWxNMEVsTWpKamJHOXpaU1V5TWlVM1JDVTFSQ1UzUkNVMVJDVXlReVV5TW14cGJtVlRkSGxzWlNVeU1pVXpRU1UzUWlVM1JDVXlReVV5TW1Ob2FXeGtjbVZ1SlRJeUpUTkJKVFZDSlRWRUpUSkRKVEl5Y21WemFYcGxSR2x5SlRJeUpUTkJKVFZDSlRJeWRHd2xNaklsTWtNbE1qSjBjaVV5TWlVeVF5VXlNbUp5SlRJeUpUSkRKVEl5WW13bE1qSWxOVVFsTWtNbE1qSnVZVzFsSlRJeUpUTkJKVEl5Y21WamRHRnVaMnhsSlRJeUpUSkRKVEl5Wm1sc2JGTjBlV3hsSlRJeUpUTkJKVGRDSlRkRUpUSkRKVEl5WVhSMGNtbGlkWFJsSlRJeUpUTkJKVGRDSlRJeVkyOXVkR0ZwYm1WeUpUSXlKVE5CWm1Gc2MyVWxNa01sTWpKeWIzUmhkR0ZpYkdVbE1qSWxNMEYwY25WbEpUSkRKVEl5ZG1semFXSnNaU1V5TWlVelFYUnlkV1VsTWtNbE1qSmpiMnhzWVhCellXSnNaU1V5TWlVelFXWmhiSE5sSlRKREpUSXlZMjlzYkdGd2MyVmtKVEl5SlROQlptRnNjMlVsTWtNbE1qSnNhVzVyWVdKc1pTVXlNaVV6UVhSeWRXVWxNa01sTWpKdFlYSnJaWEpQWm1aelpYUWxNaklsTTBFMUpUZEVKVEpESlRJeWFXUWxNaklsTTBFbE1qSjFjR1JoU25OQ1QyUnRNREExTWpZMUpUSXlKVEpESlRJeVkyRjBaV2R2Y25rbE1qSWxNMEVsTWpKaVlYTnBZeVV5TWlVeVF5VXlNbXh2WTJ0bFpDVXlNaVV6UVdaaGJITmxKVEpESlRJeVozSnZkWEFsTWpJbE0wRWxNaklsTWpJbE4wUWxNa01sTWpKeWVVVlBhVTVRY0UxbE9EQTFOalV3SlRJeUpUTkJKVGRDSlRJeWNHRnlaVzUwSlRJeUpUTkJKVEl5SlRJeUpUSkRKVEl5YkdsdWF5VXlNaVV6UVNVeU1pVXlNaVV5UXlVeU1uTm9ZWEJsVTNSNWJHVWxNaklsTTBFbE4wSWxNakpoYkhCb1lTVXlNaVV6UVRFbE4wUWxNa01sTWpKMFpYaDBRbXh2WTJzbE1qSWxNMEVsTlVJbE4wSWxNakp3YjNOcGRHbHZiaVV5TWlVelFTVTNRaVV5TW5jbE1qSWxNMEVsTWpKM0xUSXdKVEl5SlRKREpUSXlhQ1V5TWlVelFTVXlNbWdsTWpJbE1rTWxNako0SlRJeUpUTkJNVEFsTWtNbE1qSjVKVEl5SlROQk1DVTNSQ1V5UXlVeU1uUmxlSFFsTWpJbE0wRWxNaklsUlRZbE9Ea2xPVE1sUlRVbE9FTWxPRFVsUlRZbE9VRWxPRElsUlRVbFFVUWxPVGdsTWpJbE4wUWxOVVFsTWtNbE1qSmhibU5vYjNKekpUSXlKVE5CSlRWQ0pUZENKVEl5ZUNVeU1pVXpRU1V5TW5jbE1rWXlKVEl5SlRKREpUSXllU1V5TWlVelFTVXlNakFsTWpJbE4wUWxNa01sTjBJbE1qSjRKVEl5SlROQkpUSXlkeVV5UmpJbE1qSWxNa01sTWpKNUpUSXlKVE5CSlRJeWFDVXlNaVUzUkNVeVF5VTNRaVV5TW5nbE1qSWxNMEVsTWpJd0pUSXlKVEpESlRJeWVTVXlNaVV6UVNVeU1tZ2xNa1l5SlRJeUpUZEVKVEpESlRkQ0pUSXllQ1V5TWlVelFTVXlNbmNsTWpJbE1rTWxNako1SlRJeUpUTkJKVEl5YUNVeVJqSWxNaklsTjBRbE5VUWxNa01sTWpKbWIyNTBVM1I1YkdVbE1qSWxNMEVsTjBJbE1qSnphWHBsSlRJeUpUTkJNVFlsTjBRbE1rTWxNakowYVhSc1pTVXlNaVV6UVNVeU1pVkZOeVU1UmlWQk9TVkZOU1ZDUkNWQk1pVXlNaVV5UXlVeU1tUmhkR0ZCZEhSeWFXSjFkR1Z6SlRJeUpUTkJKVFZDSlRkQ0pUSXlibUZ0WlNVeU1pVXpRU1V5TWlWRk5TVkNRU1U0UmlWRk5TVTRSaVZDTnlVeU1pVXlReVV5TW1sa0pUSXlKVE5CSlRJeVQxcFFZMmxNVVhaNFJUSXlORFUwTVNVeU1pVXlReVV5TW1OaGRHVm5iM0o1SlRJeUpUTkJKVEl5WkdWbVlYVnNkQ1V5TWlVeVF5VXlNblI1Y0dVbE1qSWxNMEVsTWpKdWRXMWlaWElsTWpJbE1rTWxNakoyWVd4MVpTVXlNaVV6UVNVeU1pVXlNaVUzUkNVeVF5VTNRaVV5TW01aGJXVWxNaklsTTBFbE1qSWxSVFVsT1RBbE9FUWxSVGNsUVRjbFFqQWxNaklsTWtNbE1qSnBaQ1V5TWlVelFTVXlNbFpaVjBKUFRXTk5kV1V6TnpRNU1qZ2xNaklsTWtNbE1qSmpZWFJsWjI5eWVTVXlNaVV6UVNVeU1tUmxabUYxYkhRbE1qSWxNa01sTWpKMGVYQmxKVEl5SlROQkpUSXljM1J5YVc1bkpUSXlKVEpESlRJeWRtRnNkV1VsTWpJbE0wRWxNaklsTWpJbE4wUWxNa01sTjBJbE1qSnVZVzFsSlRJeUpUTkJKVEl5SlVVMkpUZzVKVGd3SlVVMkpUbERKVGc1SlVVNEpUZ3dKVGcxSlRJeUpUSkRKVEl5YVdRbE1qSWxNMEVsTWpKdFNWcEVTRzFrVWtkc05qZ3hNemt5SlRJeUpUSkRKVEl5WTJGMFpXZHZjbmtsTWpJbE0wRWxNakprWldaaGRXeDBKVEl5SlRKREpUSXlkSGx3WlNVeU1pVXpRU1V5TW5OMGNtbHVaeVV5TWlVeVF5VXlNblpoYkhWbEpUSXlKVE5CSlRJeUpUSXlKVGRFSlRKREpUZENKVEl5Ym1GdFpTVXlNaVV6UVNVeU1pVkZPQ1ZDUmlVNVJTVkZOaVU0UlNWQk5TVXlNaVV5UXlVeU1tbGtKVEl5SlROQkpUSXlUR05uVjBwV1dXcHRZalU1T0RBNU9DVXlNaVV5UXlVeU1tTmhkR1ZuYjNKNUpUSXlKVE5CSlRJeVpHVm1ZWFZzZENVeU1pVXlReVV5TW5SNWNHVWxNaklsTTBFbE1qSnNhVzVySlRJeUpUSkRKVEl5ZG1Gc2RXVWxNaklsTTBFbE1qSWxNaklsTjBRbE1rTWxOMElsTWpKdVlXMWxKVEl5SlROQkpUSXlKVVUwSlVKRkpVSkdKVVUzSlVGREpVSkJKVEl5SlRKREpUSXlhV1FsTWpJbE0wRWxNakpuWm5CclpsaExZVmxwT1RNeU9EVTBKVEl5SlRKREpUSXlZMkYwWldkdmNua2xNaklsTTBFbE1qSmtaV1poZFd4MEpUSXlKVEpESlRJeWRIbHdaU1V5TWlVelFTVXlNbk4wY21sdVp5VXlNaVV5UXlVeU1uWmhiSFZsSlRJeUpUTkJKVEl5SlRJeUpUZEVKVFZFSlRKREpUSXljSEp2Y0hNbE1qSWxNMEVsTjBJbE1qSjZhVzVrWlhnbE1qSWxNMEV6TUNVeVF5VXlNbmNsTWpJbE0wRTROaVV5UXlVeU1tZ2xNaklsTTBFek55NDFPVGs1T1RrNU9UUXdNemsxTXpZbE1rTWxNako0SlRJeUpUTkJOalU1SlRKREpUSXllU1V5TWlVelFUZzFNQ1V5UXlVeU1tRnVaMnhsSlRJeUpUTkJNQ1UzUkNVeVF5VXlNbkJoZEdnbE1qSWxNMEVsTlVJbE4wSWxNakpoWTNScGIyNXpKVEl5SlROQkpUVkNKVGRDSlRJeWVDVXlNaVV6UVNVeU1qQWxNaklsTWtNbE1qSmhZM1JwYjI0bE1qSWxNMEVsTWpKdGIzWmxKVEl5SlRKREpUSXllU1V5TWlVelFTVXlNakFsTWpJbE4wUWxNa01sTjBJbE1qSjRKVEl5SlROQkpUSXlkeVV5TWlVeVF5VXlNbUZqZEdsdmJpVXlNaVV6UVNVeU1teHBibVVsTWpJbE1rTWxNako1SlRJeUpUTkJKVEl5TUNVeU1pVTNSQ1V5UXlVM1FpVXlNbmdsTWpJbE0wRWxNakozSlRJeUpUSkRKVEl5WVdOMGFXOXVKVEl5SlROQkpUSXliR2x1WlNVeU1pVXlReVV5TW5rbE1qSWxNMEVsTWpKb0pUSXlKVGRFSlRKREpUZENKVEl5ZUNVeU1pVXpRU1V5TWpBbE1qSWxNa01sTWpKaFkzUnBiMjRsTWpJbE0wRWxNakpzYVc1bEpUSXlKVEpESlRJeWVTVXlNaVV6UVNVeU1tZ2xNaklsTjBRbE1rTWxOMElsTWpKaFkzUnBiMjRsTWpJbE0wRWxNakpqYkc5elpTVXlNaVUzUkNVMVJDVTNSQ1UxUkNVeVF5VXlNbXhwYm1WVGRIbHNaU1V5TWlVelFTVTNRaVUzUkNVeVF5VXlNbU5vYVd4a2NtVnVKVEl5SlROQkpUVkNKVFZFSlRKREpUSXljbVZ6YVhwbFJHbHlKVEl5SlROQkpUVkNKVEl5ZEd3bE1qSWxNa01sTWpKMGNpVXlNaVV5UXlVeU1tSnlKVEl5SlRKREpUSXlZbXdsTWpJbE5VUWxNa01sTWpKdVlXMWxKVEl5SlROQkpUSXljbVZqZEdGdVoyeGxKVEl5SlRKREpUSXlabWxzYkZOMGVXeGxKVEl5SlROQkpUZENKVGRFSlRKREpUSXlZWFIwY21saWRYUmxKVEl5SlROQkpUZENKVEl5WTI5dWRHRnBibVZ5SlRJeUpUTkJabUZzYzJVbE1rTWxNakp5YjNSaGRHRmliR1VsTWpJbE0wRjBjblZsSlRKREpUSXlkbWx6YVdKc1pTVXlNaVV6UVhSeWRXVWxNa01sTWpKamIyeHNZWEJ6WVdKc1pTVXlNaVV6UVdaaGJITmxKVEpESlRJeVkyOXNiR0Z3YzJWa0pUSXlKVE5CWm1Gc2MyVWxNa01sTWpKc2FXNXJZV0pzWlNVeU1pVXpRWFJ5ZFdVbE1rTWxNakp0WVhKclpYSlBabVp6WlhRbE1qSWxNMEUxSlRkRUpUSkRKVEl5YVdRbE1qSWxNMEVsTWpKeWVVVlBhVTVRY0UxbE9EQTFOalV3SlRJeUpUSkRKVEl5WTJGMFpXZHZjbmtsTWpJbE0wRWxNakppWVhOcFl5VXlNaVV5UXlVeU1teHZZMnRsWkNVeU1pVXpRV1poYkhObEpUSkRKVEl5WjNKdmRYQWxNaklsTTBFbE1qSWxNaklsTjBRbE1rTWxNakpHY1ZKQmQyZEplV0pwTkRFeE56QTFKVEl5SlROQkpUZENKVEl5YVdRbE1qSWxNMEVsTWpKR2NWSkJkMmRKZVdKcE5ERXhOekExSlRJeUpUSkRKVEl5Ym1GdFpTVXlNaVV6UVNVeU1uTjBZVzVrWVhKa1ZHVjRkQ1V5TWlVeVF5VXlNblJwZEd4bEpUSXlKVE5CSlRJeUpUSXlKVEpESlRJeVkyRjBaV2R2Y25rbE1qSWxNMEVsTWpKemRHRnVaR0Z5WkNVeU1pVXlReVV5TW1keWIzVndKVEl5SlROQkpUSXlKVEl5SlRKREpUSXlaM0p2ZFhCT1lXMWxKVEl5SlROQmJuVnNiQ1V5UXlVeU1teHZZMnRsWkNVeU1pVXpRV1poYkhObEpUSkRKVEl5YkdsdWF5VXlNaVV6UVNVeU1pVXlNaVV5UXlVeU1tTm9hV3hrY21WdUpUSXlKVE5CSlRWQ0pUVkVKVEpESlRJeWNHRnlaVzUwSlRJeUpUTkJKVEl5SlRJeUpUSkRKVEl5Y21WemFYcGxSR2x5SlRJeUpUTkJKVFZDSlRJeWRHd2xNaklsTWtNbE1qSjBjaVV5TWlVeVF5VXlNbUp5SlRJeUpUSkRKVEl5WW13bE1qSWxNa01sTWpKc0pUSXlKVEpESlRJeWRDVXlNaVV5UXlVeU1uSWxNaklsTWtNbE1qSmlKVEl5SlRWRUpUSkRKVEl5WVhSMGNtbGlkWFJsSlRJeUpUTkJKVGRDSlRJeVkyOXVkR0ZwYm1WeUpUSXlKVE5CWm1Gc2MyVWxNa01sTWpKMmFYTnBZbXhsSlRJeUpUTkJkSEoxWlNVeVF5VXlNbkp2ZEdGMFlXSnNaU1V5TWlVelFYUnlkV1VsTWtNbE1qSnNhVzVyWVdKc1pTVXlNaVV6UVhSeWRXVWxNa01sTWpKamIyeHNZWEJ6WVdKc1pTVXlNaVV6UVdaaGJITmxKVEpESlRJeVkyOXNiR0Z3YzJWa0pUSXlKVE5CWm1Gc2MyVWxNa01sTWpKbWFYaGxaRXhwYm1zbE1qSWxNMEZtWVd4elpTVXlReVV5TW0xaGNtdGxjazltWm5ObGRDVXlNaVV6UVRVbE4wUWxNa01sTWpKa1lYUmhRWFIwY21saWRYUmxjeVV5TWlVelFTVTFRaVUxUkNVeVF5VXlNbkJ5YjNCekpUSXlKVE5CSlRkQ0pUSXllQ1V5TWlVelFUWXhOaVV5UXlVeU1ua2xNaklsTTBFMk5EUXVNREF3TURBeE5URTVPVEU0TkNVeVF5VXlNbmNsTWpJbE0wRXhNREFsTWtNbE1qSm9KVEl5SlROQk5EQWxNa01sTWpKNmFXNWtaWGdsTWpJbE0wRXpNU1V5UXlVeU1tRnVaMnhsSlRJeUpUTkJNQ1UzUkNVeVF5VXlNbk5vWVhCbFUzUjViR1VsTWpJbE0wRWxOMElsTWpKaGJIQm9ZU1V5TWlVelFURWxOMFFsTWtNbE1qSnNhVzVsVTNSNWJHVWxNaklsTTBFbE4wSWxOMFFsTWtNbE1qSm1hV3hzVTNSNWJHVWxNaklsTTBFbE4wSWxOMFFsTWtNbE1qSjBhR1Z0WlNVeU1pVXpRU1UzUWlVM1JDVXlReVV5TW5CaGRHZ2xNaklsTTBFbE5VSWxOMElsTWpKc2FXNWxVM1I1YkdVbE1qSWxNMEVsTjBJbE1qSnNhVzVsVjJsa2RHZ2xNaklsTTBFd0pUZEVKVEpESlRJeVptbHNiRk4wZVd4bEpUSXlKVE5CSlRkQ0pUSXlkSGx3WlNVeU1pVXpRU1V5TW01dmJtVWxNaklsTjBRbE1rTWxNakpoWTNScGIyNXpKVEl5SlROQkpUVkNKVGRDSlRJeVlXTjBhVzl1SlRJeUpUTkJKVEl5Ylc5MlpTVXlNaVV5UXlVeU1uZ2xNaklsTTBFbE1qSXdKVEl5SlRKREpUSXllU1V5TWlVelFTVXlNakFsTWpJbE4wUWxNa01sTjBJbE1qSmhZM1JwYjI0bE1qSWxNMEVsTWpKc2FXNWxKVEl5SlRKREpUSXllQ1V5TWlVelFTVXlNbmNsTWpJbE1rTWxNako1SlRJeUpUTkJKVEl5TUNVeU1pVTNSQ1V5UXlVM1FpVXlNbUZqZEdsdmJpVXlNaVV6UVNVeU1teHBibVVsTWpJbE1rTWxNako0SlRJeUpUTkJKVEl5ZHlVeU1pVXlReVV5TW5rbE1qSWxNMEVsTWpKb0pUSXlKVGRFSlRKREpUZENKVEl5WVdOMGFXOXVKVEl5SlROQkpUSXliR2x1WlNVeU1pVXlReVV5TW5nbE1qSWxNMEVsTWpJd0pUSXlKVEpESlRJeWVTVXlNaVV6UVNVeU1tZ2xNaklsTjBRbE1rTWxOMElsTWpKaFkzUnBiMjRsTWpJbE0wRWxNakpqYkc5elpTVXlNaVUzUkNVMVJDVTNSQ1UxUkNVeVF5VXlNbVp2Ym5SVGRIbHNaU1V5TWlVelFTVTNRaVUzUkNVeVF5VXlNblJsZUhSQ2JHOWpheVV5TWlVelFTVTFRaVUzUWlVeU1uQnZjMmwwYVc5dUpUSXlKVE5CSlRkQ0pUSXllQ1V5TWlVelFUQWxNa01sTWpKNUpUSXlKVE5CTUNVeVF5VXlNbmNsTWpJbE0wRWxNakozSlRJeUpUSkRKVEl5YUNVeU1pVXpRU1V5TW1nbE1qSWxOMFFsTWtNbE1qSjBaWGgwSlRJeUpUTkJKVEl5SlVVMUpVSkJKVGxHSlVVMUpVRXhKVGt4SlVVMkpUazJKVGs1SlRJeUpUZEVKVFZFSlRKREpUSXlZVzVqYUc5eWN5VXlNaVV6UVNVMVFpVTNRaVV5TW5nbE1qSWxNMEVsTWpKM0pUSkdNaVV5TWlVeVF5VXlNbmtsTWpJbE0wRWxNakl3SlRJeUpUZEVKVEpESlRkQ0pUSXllQ1V5TWlVelFTVXlNbmNsTWtZeUpUSXlKVEpESlRJeWVTVXlNaVV6UVNVeU1tZ2xNaklsTjBRbE1rTWxOMElsTWpKNEpUSXlKVE5CSlRJeU1DVXlNaVV5UXlVeU1ua2xNaklsTTBFbE1qSm9KVEpHTWlVeU1pVTNSQ1V5UXlVM1FpVXlNbmdsTWpJbE0wRWxNakozSlRJeUpUSkRKVEl5ZVNVeU1pVXpRU1V5TW1nbE1rWXlKVEl5SlRkRUpUVkVKVGRFSlRKREpUSXlWMEp2YTNaSFJGTmpTelkwTVRZNE15VXlNaVV6UVNVM1FpVXlNbWxrSlRJeUpUTkJKVEl5VjBKdmEzWkhSRk5qU3pZME1UWTRNeVV5TWlVeVF5VXlNbTVoYldVbE1qSWxNMEVsTWpKemRHRnVaR0Z5WkZSbGVIUWxNaklsTWtNbE1qSjBhWFJzWlNVeU1pVXpRU1V5TWlVeU1pVXlReVV5TW1OaGRHVm5iM0o1SlRJeUpUTkJKVEl5YzNSaGJtUmhjbVFsTWpJbE1rTWxNakpuY205MWNDVXlNaVV6UVNVeU1pVXlNaVV5UXlVeU1tZHliM1Z3VG1GdFpTVXlNaVV6UVc1MWJHd2xNa01sTWpKc2IyTnJaV1FsTWpJbE0wRm1ZV3h6WlNVeVF5VXlNbXhwYm1zbE1qSWxNMEVsTWpJbE1qSWxNa01sTWpKamFHbHNaSEpsYmlVeU1pVXpRU1UxUWlVMVJDVXlReVV5TW5CaGNtVnVkQ1V5TWlVelFTVXlNaVV5TWlVeVF5VXlNbkpsYzJsNlpVUnBjaVV5TWlVelFTVTFRaVV5TW5Sc0pUSXlKVEpESlRJeWRISWxNaklsTWtNbE1qSmljaVV5TWlVeVF5VXlNbUpzSlRJeUpUSkRKVEl5YkNVeU1pVXlReVV5TW5RbE1qSWxNa01sTWpKeUpUSXlKVEpESlRJeVlpVXlNaVUxUkNVeVF5VXlNbUYwZEhKcFluVjBaU1V5TWlVelFTVTNRaVV5TW1OdmJuUmhhVzVsY2lVeU1pVXpRV1poYkhObEpUSkRKVEl5ZG1semFXSnNaU1V5TWlVelFYUnlkV1VsTWtNbE1qSnliM1JoZEdGaWJHVWxNaklsTTBGMGNuVmxKVEpESlRJeWJHbHVhMkZpYkdVbE1qSWxNMEYwY25WbEpUSkRKVEl5WTI5c2JHRndjMkZpYkdVbE1qSWxNMEZtWVd4elpTVXlReVV5TW1OdmJHeGhjSE5sWkNVeU1pVXpRV1poYkhObEpUSkRKVEl5Wm1sNFpXUk1hVzVySlRJeUpUTkJabUZzYzJVbE1rTWxNakp0WVhKclpYSlBabVp6WlhRbE1qSWxNMEUxSlRkRUpUSkRKVEl5WkdGMFlVRjBkSEpwWW5WMFpYTWxNaklsTTBFbE5VSWxOVVFsTWtNbE1qSndjbTl3Y3lVeU1pVXpRU1UzUWlVeU1uZ2xNaklsTTBFME1USWxNa01sTWpKNUpUSXlKVE5CTmpRM0xqWXdNREF3TmpFd016VXhOVFlsTWtNbE1qSjNKVEl5SlROQk1UQXdKVEpESlRJeWFDVXlNaVV6UVRRd0pUSkRKVEl5ZW1sdVpHVjRKVEl5SlROQk16TWxNa01sTWpKaGJtZHNaU1V5TWlVelFUQWxOMFFsTWtNbE1qSnphR0Z3WlZOMGVXeGxKVEl5SlROQkpUZENKVEl5WVd4d2FHRWxNaklsTTBFeEpUZEVKVEpESlRJeWJHbHVaVk4wZVd4bEpUSXlKVE5CSlRkQ0pUZEVKVEpESlRJeVptbHNiRk4wZVd4bEpUSXlKVE5CSlRkQ0pUZEVKVEpESlRJeWRHaGxiV1VsTWpJbE0wRWxOMElsTjBRbE1rTWxNakp3WVhSb0pUSXlKVE5CSlRWQ0pUZENKVEl5YkdsdVpWTjBlV3hsSlRJeUpUTkJKVGRDSlRJeWJHbHVaVmRwWkhSb0pUSXlKVE5CTUNVM1JDVXlReVV5TW1acGJHeFRkSGxzWlNVeU1pVXpRU1UzUWlVeU1uUjVjR1VsTWpJbE0wRWxNakp1YjI1bEpUSXlKVGRFSlRKREpUSXlZV04wYVc5dWN5VXlNaVV6UVNVMVFpVTNRaVV5TW1GamRHbHZiaVV5TWlVelFTVXlNbTF2ZG1VbE1qSWxNa01sTWpKNEpUSXlKVE5CSlRJeU1DVXlNaVV5UXlVeU1ua2xNaklsTTBFbE1qSXdKVEl5SlRkRUpUSkRKVGRDSlRJeVlXTjBhVzl1SlRJeUpUTkJKVEl5YkdsdVpTVXlNaVV5UXlVeU1uZ2xNaklsTTBFbE1qSjNKVEl5SlRKREpUSXllU1V5TWlVelFTVXlNakFsTWpJbE4wUWxNa01sTjBJbE1qSmhZM1JwYjI0bE1qSWxNMEVsTWpKc2FXNWxKVEl5SlRKREpUSXllQ1V5TWlVelFTVXlNbmNsTWpJbE1rTWxNako1SlRJeUpUTkJKVEl5YUNVeU1pVTNSQ1V5UXlVM1FpVXlNbUZqZEdsdmJpVXlNaVV6UVNVeU1teHBibVVsTWpJbE1rTWxNako0SlRJeUpUTkJKVEl5TUNVeU1pVXlReVV5TW5rbE1qSWxNMEVsTWpKb0pUSXlKVGRFSlRKREpUZENKVEl5WVdOMGFXOXVKVEl5SlROQkpUSXlZMnh2YzJVbE1qSWxOMFFsTlVRbE4wUWxOVVFsTWtNbE1qSm1iMjUwVTNSNWJHVWxNaklsTTBFbE4wSWxOMFFsTWtNbE1qSjBaWGgwUW14dlkyc2xNaklsTTBFbE5VSWxOMElsTWpKd2IzTnBkR2x2YmlVeU1pVXpRU1UzUWlVeU1uZ2xNaklsTTBFd0pUSkRKVEl5ZVNVeU1pVXpRVEFsTWtNbE1qSjNKVEl5SlROQkpUSXlkeVV5TWlVeVF5VXlNbWdsTWpJbE0wRWxNakpvSlRJeUpUZEVKVEpESlRJeWRHVjRkQ1V5TWlVelFTVXlNa2N5SlRJeUpUZEVKVFZFSlRKREpUSXlZVzVqYUc5eWN5VXlNaVV6UVNVMVFpVTNRaVV5TW5nbE1qSWxNMEVsTWpKM0pUSkdNaVV5TWlVeVF5VXlNbmtsTWpJbE0wRWxNakl3SlRJeUpUZEVKVEpESlRkQ0pUSXllQ1V5TWlVelFTVXlNbmNsTWtZeUpUSXlKVEpESlRJeWVTVXlNaVV6UVNVeU1tZ2xNaklsTjBRbE1rTWxOMElsTWpKNEpUSXlKVE5CSlRJeU1DVXlNaVV5UXlVeU1ua2xNaklsTTBFbE1qSm9KVEpHTWlVeU1pVTNSQ1V5UXlVM1FpVXlNbmdsTWpJbE0wRWxNakozSlRJeUpUSkRKVEl5ZVNVeU1pVXpRU1V5TW1nbE1rWXlKVEl5SlRkRUpUVkVKVGRFSlRKREpUSXlkVkJOYzFoS2EycDNXREkxTXpJNE5DVXlNaVV6UVNVM1FpVXlNbWxrSlRJeUpUTkJKVEl5ZFZCTmMxaEthMnAzV0RJMU16STROQ1V5TWlVeVF5VXlNbTVoYldVbE1qSWxNMEVsTWpKemRHRnVaR0Z5WkZSbGVIUWxNaklsTWtNbE1qSjBhWFJzWlNVeU1pVXpRU1V5TWlVeU1pVXlReVV5TW1OaGRHVm5iM0o1SlRJeUpUTkJKVEl5YzNSaGJtUmhjbVFsTWpJbE1rTWxNakpuY205MWNDVXlNaVV6UVNVeU1pVXlNaVV5UXlVeU1tZHliM1Z3VG1GdFpTVXlNaVV6UVc1MWJHd2xNa01sTWpKc2IyTnJaV1FsTWpJbE0wRm1ZV3h6WlNVeVF5VXlNbXhwYm1zbE1qSWxNMEVsTWpJbE1qSWxNa01sTWpKamFHbHNaSEpsYmlVeU1pVXpRU1UxUWlVMVJDVXlReVV5TW5CaGNtVnVkQ1V5TWlVelFTVXlNaVV5TWlVeVF5VXlNbkpsYzJsNlpVUnBjaVV5TWlVelFTVTFRaVV5TW5Sc0pUSXlKVEpESlRJeWRISWxNaklsTWtNbE1qSmljaVV5TWlVeVF5VXlNbUpzSlRJeUpUSkRKVEl5YkNVeU1pVXlReVV5TW5RbE1qSWxNa01sTWpKeUpUSXlKVEpESlRJeVlpVXlNaVUxUkNVeVF5VXlNbUYwZEhKcFluVjBaU1V5TWlVelFTVTNRaVV5TW1OdmJuUmhhVzVsY2lVeU1pVXpRV1poYkhObEpUSkRKVEl5ZG1semFXSnNaU1V5TWlVelFYUnlkV1VsTWtNbE1qSnliM1JoZEdGaWJHVWxNaklsTTBGMGNuVmxKVEpESlRJeWJHbHVhMkZpYkdVbE1qSWxNMEYwY25WbEpUSkRKVEl5WTI5c2JHRndjMkZpYkdVbE1qSWxNMEZtWVd4elpTVXlReVV5TW1OdmJHeGhjSE5sWkNVeU1pVXpRV1poYkhObEpUSkRKVEl5Wm1sNFpXUk1hVzVySlRJeUpUTkJabUZzYzJVbE1rTWxNakp0WVhKclpYSlBabVp6WlhRbE1qSWxNMEUxSlRkRUpUSkRKVEl5WkdGMFlVRjBkSEpwWW5WMFpYTWxNaklsTTBFbE5VSWxOVVFsTWtNbE1qSndjbTl3Y3lVeU1pVXpRU1UzUWlVeU1uZ2xNaklsTTBFME1ESWxNa01sTWpKNUpUSXlKVE5CTnpNMExqWXdNREF3TmpFd016VXhOVFlsTWtNbE1qSjNKVEl5SlROQk1UQXdKVEpESlRJeWFDVXlNaVV6UVRRd0pUSkRKVEl5ZW1sdVpHVjRKVEl5SlROQk16VWxNa01sTWpKaGJtZHNaU1V5TWlVelFUQWxOMFFsTWtNbE1qSnphR0Z3WlZOMGVXeGxKVEl5SlROQkpUZENKVEl5WVd4d2FHRWxNaklsTTBFeEpUZEVKVEpESlRJeWJHbHVaVk4wZVd4bEpUSXlKVE5CSlRkQ0pUZEVKVEpESlRJeVptbHNiRk4wZVd4bEpUSXlKVE5CSlRkQ0pUZEVKVEpESlRJeWRHaGxiV1VsTWpJbE0wRWxOMElsTjBRbE1rTWxNakp3WVhSb0pUSXlKVE5CSlRWQ0pUZENKVEl5YkdsdVpWTjBlV3hsSlRJeUpUTkJKVGRDSlRJeWJHbHVaVmRwWkhSb0pUSXlKVE5CTUNVM1JDVXlReVV5TW1acGJHeFRkSGxzWlNVeU1pVXpRU1UzUWlVeU1uUjVjR1VsTWpJbE0wRWxNakp1YjI1bEpUSXlKVGRFSlRKREpUSXlZV04wYVc5dWN5VXlNaVV6UVNVMVFpVTNRaVV5TW1GamRHbHZiaVV5TWlVelFTVXlNbTF2ZG1VbE1qSWxNa01sTWpKNEpUSXlKVE5CSlRJeU1DVXlNaVV5UXlVeU1ua2xNaklsTTBFbE1qSXdKVEl5SlRkRUpUSkRKVGRDSlRJeVlXTjBhVzl1SlRJeUpUTkJKVEl5YkdsdVpTVXlNaVV5UXlVeU1uZ2xNaklsTTBFbE1qSjNKVEl5SlRKREpUSXllU1V5TWlVelFTVXlNakFsTWpJbE4wUWxNa01sTjBJbE1qSmhZM1JwYjI0bE1qSWxNMEVsTWpKc2FXNWxKVEl5SlRKREpUSXllQ1V5TWlVelFTVXlNbmNsTWpJbE1rTWxNako1SlRJeUpUTkJKVEl5YUNVeU1pVTNSQ1V5UXlVM1FpVXlNbUZqZEdsdmJpVXlNaVV6UVNVeU1teHBibVVsTWpJbE1rTWxNako0SlRJeUpUTkJKVEl5TUNVeU1pVXlReVV5TW5rbE1qSWxNMEVsTWpKb0pUSXlKVGRFSlRKREpUZENKVEl5WVdOMGFXOXVKVEl5SlROQkpUSXlZMnh2YzJVbE1qSWxOMFFsTlVRbE4wUWxOVVFsTWtNbE1qSm1iMjUwVTNSNWJHVWxNaklsTTBFbE4wSWxOMFFsTWtNbE1qSjBaWGgwUW14dlkyc2xNaklsTTBFbE5VSWxOMElsTWpKd2IzTnBkR2x2YmlVeU1pVXpRU1UzUWlVeU1uZ2xNaklsTTBFd0pUSkRKVEl5ZVNVeU1pVXpRVEFsTWtNbE1qSjNKVEl5SlROQkpUSXlkeVV5TWlVeVF5VXlNbWdsTWpJbE0wRWxNakpvSlRJeUpUZEVKVEpESlRJeWRHVjRkQ1V5TWlVelFTVXlNa2N6SlRJeUpUZEVKVFZFSlRKREpUSXlZVzVqYUc5eWN5VXlNaVV6UVNVMVFpVTNRaVV5TW5nbE1qSWxNMEVsTWpKM0pUSkdNaVV5TWlVeVF5VXlNbmtsTWpJbE0wRWxNakl3SlRJeUpUZEVKVEpESlRkQ0pUSXllQ1V5TWlVelFTVXlNbmNsTWtZeUpUSXlKVEpESlRJeWVTVXlNaVV6UVNVeU1tZ2xNaklsTjBRbE1rTWxOMElsTWpKNEpUSXlKVE5CSlRJeU1DVXlNaVV5UXlVeU1ua2xNaklsTTBFbE1qSm9KVEpHTWlVeU1pVTNSQ1V5UXlVM1FpVXlNbmdsTWpJbE0wRWxNakozSlRJeUpUSkRKVEl5ZVNVeU1pVXpRU1V5TW1nbE1rWXlKVEl5SlRkRUpUVkVKVGRFSlRKREpUSXlVM1pWYmtSRmMwbHhaRGt4TWpJeU9DVXlNaVV6UVNVM1FpVXlNbWxrSlRJeUpUTkJKVEl5VTNaVmJrUkZjMGx4WkRreE1qSXlPQ1V5TWlVeVF5VXlNbTVoYldVbE1qSWxNMEVsTWpKemRHRnVaR0Z5WkZSbGVIUWxNaklsTWtNbE1qSjBhWFJzWlNVeU1pVXpRU1V5TWlVeU1pVXlReVV5TW1OaGRHVm5iM0o1SlRJeUpUTkJKVEl5YzNSaGJtUmhjbVFsTWpJbE1rTWxNakpuY205MWNDVXlNaVV6UVNVeU1pVXlNaVV5UXlVeU1tZHliM1Z3VG1GdFpTVXlNaVV6UVc1MWJHd2xNa01sTWpKc2IyTnJaV1FsTWpJbE0wRm1ZV3h6WlNVeVF5VXlNbXhwYm1zbE1qSWxNMEVsTWpJbE1qSWxNa01sTWpKamFHbHNaSEpsYmlVeU1pVXpRU1UxUWlVMVJDVXlReVV5TW5CaGNtVnVkQ1V5TWlVelFTVXlNaVV5TWlVeVF5VXlNbkpsYzJsNlpVUnBjaVV5TWlVelFTVTFRaVV5TW5Sc0pUSXlKVEpESlRJeWRISWxNaklsTWtNbE1qSmljaVV5TWlVeVF5VXlNbUpzSlRJeUpUSkRKVEl5YkNVeU1pVXlReVV5TW5RbE1qSWxNa01sTWpKeUpUSXlKVEpESlRJeVlpVXlNaVUxUkNVeVF5VXlNbUYwZEhKcFluVjBaU1V5TWlVelFTVTNRaVV5TW1OdmJuUmhhVzVsY2lVeU1pVXpRV1poYkhObEpUSkRKVEl5ZG1semFXSnNaU1V5TWlVelFYUnlkV1VsTWtNbE1qSnliM1JoZEdGaWJHVWxNaklsTTBGMGNuVmxKVEpESlRJeWJHbHVhMkZpYkdVbE1qSWxNMEYwY25WbEpUSkRKVEl5WTI5c2JHRndjMkZpYkdVbE1qSWxNMEZtWVd4elpTVXlReVV5TW1OdmJHeGhjSE5sWkNVeU1pVXpRV1poYkhObEpUSkRKVEl5Wm1sNFpXUk1hVzVySlRJeUpUTkJabUZzYzJVbE1rTWxNakp0WVhKclpYSlBabVp6WlhRbE1qSWxNMEUxSlRkRUpUSkRKVEl5WkdGMFlVRjBkSEpwWW5WMFpYTWxNaklsTTBFbE5VSWxOVVFsTWtNbE1qSndjbTl3Y3lVeU1pVXpRU1UzUWlVeU1uZ2xNaklsTTBFMU1EY2xNa01sTWpKNUpUSXlKVE5CTmpNNUxqWXdNREF3TmpFd016VXhOVFlsTWtNbE1qSjNKVEl5SlROQk1UQXdKVEpESlRJeWFDVXlNaVV6UVRRd0pUSkRKVEl5ZW1sdVpHVjRKVEl5SlROQk16WWxNa01sTWpKaGJtZHNaU1V5TWlVelFUQWxOMFFsTWtNbE1qSnphR0Z3WlZOMGVXeGxKVEl5SlROQkpUZENKVEl5WVd4d2FHRWxNaklsTTBFeEpUZEVKVEpESlRJeWJHbHVaVk4wZVd4bEpUSXlKVE5CSlRkQ0pUZEVKVEpESlRJeVptbHNiRk4wZVd4bEpUSXlKVE5CSlRkQ0pUZEVKVEpESlRJeWRHaGxiV1VsTWpJbE0wRWxOMElsTjBRbE1rTWxNakp3WVhSb0pUSXlKVE5CSlRWQ0pUZENKVEl5YkdsdVpWTjBlV3hsSlRJeUpUTkJKVGRDSlRJeWJHbHVaVmRwWkhSb0pUSXlKVE5CTUNVM1JDVXlReVV5TW1acGJHeFRkSGxzWlNVeU1pVXpRU1UzUWlVeU1uUjVjR1VsTWpJbE0wRWxNakp1YjI1bEpUSXlKVGRFSlRKREpUSXlZV04wYVc5dWN5VXlNaVV6UVNVMVFpVTNRaVV5TW1GamRHbHZiaVV5TWlVelFTVXlNbTF2ZG1VbE1qSWxNa01sTWpKNEpUSXlKVE5CSlRJeU1DVXlNaVV5UXlVeU1ua2xNaklsTTBFbE1qSXdKVEl5SlRkRUpUSkRKVGRDSlRJeVlXTjBhVzl1SlRJeUpUTkJKVEl5YkdsdVpTVXlNaVV5UXlVeU1uZ2xNaklsTTBFbE1qSjNKVEl5SlRKREpUSXllU1V5TWlVelFTVXlNakFsTWpJbE4wUWxNa01sTjBJbE1qSmhZM1JwYjI0bE1qSWxNMEVsTWpKc2FXNWxKVEl5SlRKREpUSXllQ1V5TWlVelFTVXlNbmNsTWpJbE1rTWxNako1SlRJeUpUTkJKVEl5YUNVeU1pVTNSQ1V5UXlVM1FpVXlNbUZqZEdsdmJpVXlNaVV6UVNVeU1teHBibVVsTWpJbE1rTWxNako0SlRJeUpUTkJKVEl5TUNVeU1pVXlReVV5TW5rbE1qSWxNMEVsTWpKb0pUSXlKVGRFSlRKREpUZENKVEl5WVdOMGFXOXVKVEl5SlROQkpUSXlZMnh2YzJVbE1qSWxOMFFsTlVRbE4wUWxOVVFsTWtNbE1qSm1iMjUwVTNSNWJHVWxNaklsTTBFbE4wSWxOMFFsTWtNbE1qSjBaWGgwUW14dlkyc2xNaklsTTBFbE5VSWxOMElsTWpKd2IzTnBkR2x2YmlVeU1pVXpRU1UzUWlVeU1uZ2xNaklsTTBFd0pUSkRKVEl5ZVNVeU1pVXpRVEFsTWtNbE1qSjNKVEl5SlROQkpUSXlkeVV5TWlVeVF5VXlNbWdsTWpJbE0wRWxNakpvSlRJeUpUZEVKVEpESlRJeWRHVjRkQ1V5TWlVelFTVXlNaVZGTlNVNE5TVkNOaVZGTkNWQ1FpVTVOaVZGT1NVNVFpVkNOaVZGT1NVNE15VkJPQ1ZGTkNWQ1FpVkNOaVV5TWlVM1JDVTFSQ1V5UXlVeU1tRnVZMmh2Y25NbE1qSWxNMEVsTlVJbE4wSWxNako0SlRJeUpUTkJKVEl5ZHlVeVJqSWxNaklsTWtNbE1qSjVKVEl5SlROQkpUSXlNQ1V5TWlVM1JDVXlReVUzUWlVeU1uZ2xNaklsTTBFbE1qSjNKVEpHTWlVeU1pVXlReVV5TW5rbE1qSWxNMEVsTWpKb0pUSXlKVGRFSlRKREpUZENKVEl5ZUNVeU1pVXpRU1V5TWpBbE1qSWxNa01sTWpKNUpUSXlKVE5CSlRJeWFDVXlSaklsTWpJbE4wUWxNa01sTjBJbE1qSjRKVEl5SlROQkpUSXlkeVV5TWlVeVF5VXlNbmtsTWpJbE0wRWxNakpvSlRKR01pVXlNaVUzUkNVMVJDVTNSQ1V5UXlVeU1sZFpjRUYzUTBaeVdtWXpNakkwTnpZbE1qSWxNMEVsTjBJbE1qSnBaQ1V5TWlVelFTVXlNbGRaY0VGM1EwWnlXbVl6TWpJME56WWxNaklsTWtNbE1qSnVZVzFsSlRJeUpUTkJKVEl5YzNSaGJtUmhjbVJVWlhoMEpUSXlKVEpESlRJeWRHbDBiR1VsTWpJbE0wRWxNaklsTWpJbE1rTWxNakpqWVhSbFoyOXllU1V5TWlVelFTVXlNbk4wWVc1a1lYSmtKVEl5SlRKREpUSXlaM0p2ZFhBbE1qSWxNMEVsTWpJbE1qSWxNa01sTWpKbmNtOTFjRTVoYldVbE1qSWxNMEZ1ZFd4c0pUSkRKVEl5Ykc5amEyVmtKVEl5SlROQlptRnNjMlVsTWtNbE1qSnNhVzVySlRJeUpUTkJKVEl5SlRJeUpUSkRKVEl5WTJocGJHUnlaVzRsTWpJbE0wRWxOVUlsTlVRbE1rTWxNakp3WVhKbGJuUWxNaklsTTBFbE1qSWxNaklsTWtNbE1qSnlaWE5wZW1WRWFYSWxNaklsTTBFbE5VSWxNakowYkNVeU1pVXlReVV5TW5SeUpUSXlKVEpESlRJeVluSWxNaklsTWtNbE1qSmliQ1V5TWlVeVF5VXlNbXdsTWpJbE1rTWxNakowSlRJeUpUSkRKVEl5Y2lVeU1pVXlReVV5TW1JbE1qSWxOVVFsTWtNbE1qSmhkSFJ5YVdKMWRHVWxNaklsTTBFbE4wSWxNakpqYjI1MFlXbHVaWElsTWpJbE0wRm1ZV3h6WlNVeVF5VXlNblpwYzJsaWJHVWxNaklsTTBGMGNuVmxKVEpESlRJeWNtOTBZWFJoWW14bEpUSXlKVE5CZEhKMVpTVXlReVV5TW14cGJtdGhZbXhsSlRJeUpUTkJkSEoxWlNVeVF5VXlNbU52Ykd4aGNITmhZbXhsSlRJeUpUTkJabUZzYzJVbE1rTWxNakpqYjJ4c1lYQnpaV1FsTWpJbE0wRm1ZV3h6WlNVeVF5VXlNbVpwZUdWa1RHbHVheVV5TWlVelFXWmhiSE5sSlRKREpUSXliV0Z5YTJWeVQyWm1jMlYwSlRJeUpUTkJOU1UzUkNVeVF5VXlNbVJoZEdGQmRIUnlhV0oxZEdWekpUSXlKVE5CSlRWQ0pUVkVKVEpESlRJeWNISnZjSE1sTWpJbE0wRWxOMElsTWpKNEpUSXlKVE5CTnpNM0pUSkRKVEl5ZVNVeU1pVXpRVFl6TXk0Mk1EQXdNRFl4TURNMU1UVTJKVEpESlRJeWR5VXlNaVV6UVRFd01DVXlReVV5TW1nbE1qSWxNMEUwTUNVeVF5VXlNbnBwYm1SbGVDVXlNaVV6UVRNNEpUSkRKVEl5WVc1bmJHVWxNaklsTTBFd0pUZEVKVEpESlRJeWMyaGhjR1ZUZEhsc1pTVXlNaVV6UVNVM1FpVXlNbUZzY0doaEpUSXlKVE5CTVNVM1JDVXlReVV5TW14cGJtVlRkSGxzWlNVeU1pVXpRU1UzUWlVM1JDVXlReVV5TW1acGJHeFRkSGxzWlNVeU1pVXpRU1UzUWlVM1JDVXlReVV5TW5Sb1pXMWxKVEl5SlROQkpUZENKVGRFSlRKREpUSXljR0YwYUNVeU1pVXpRU1UxUWlVM1FpVXlNbXhwYm1WVGRIbHNaU1V5TWlVelFTVTNRaVV5TW14cGJtVlhhV1IwYUNVeU1pVXpRVEFsTjBRbE1rTWxNakptYVd4c1UzUjViR1VsTWpJbE0wRWxOMElsTWpKMGVYQmxKVEl5SlROQkpUSXlibTl1WlNVeU1pVTNSQ1V5UXlVeU1tRmpkR2x2Ym5NbE1qSWxNMEVsTlVJbE4wSWxNakpoWTNScGIyNGxNaklsTTBFbE1qSnRiM1psSlRJeUpUSkRKVEl5ZUNVeU1pVXpRU1V5TWpBbE1qSWxNa01sTWpKNUpUSXlKVE5CSlRJeU1DVXlNaVUzUkNVeVF5VTNRaVV5TW1GamRHbHZiaVV5TWlVelFTVXlNbXhwYm1VbE1qSWxNa01sTWpKNEpUSXlKVE5CSlRJeWR5VXlNaVV5UXlVeU1ua2xNaklsTTBFbE1qSXdKVEl5SlRkRUpUSkRKVGRDSlRJeVlXTjBhVzl1SlRJeUpUTkJKVEl5YkdsdVpTVXlNaVV5UXlVeU1uZ2xNaklsTTBFbE1qSjNKVEl5SlRKREpUSXllU1V5TWlVelFTVXlNbWdsTWpJbE4wUWxNa01sTjBJbE1qSmhZM1JwYjI0bE1qSWxNMEVsTWpKc2FXNWxKVEl5SlRKREpUSXllQ1V5TWlVelFTVXlNakFsTWpJbE1rTWxNako1SlRJeUpUTkJKVEl5YUNVeU1pVTNSQ1V5UXlVM1FpVXlNbUZqZEdsdmJpVXlNaVV6UVNVeU1tTnNiM05sSlRJeUpUZEVKVFZFSlRkRUpUVkVKVEpESlRJeVptOXVkRk4wZVd4bEpUSXlKVE5CSlRkQ0pUZEVKVEpESlRJeWRHVjRkRUpzYjJOckpUSXlKVE5CSlRWQ0pUZENKVEl5Y0c5emFYUnBiMjRsTWpJbE0wRWxOMElsTWpKNEpUSXlKVE5CTUNVeVF5VXlNbmtsTWpJbE0wRXdKVEpESlRJeWR5VXlNaVV6UVNVeU1uY2xNaklsTWtNbE1qSm9KVEl5SlROQkpUSXlhQ1V5TWlVM1JDVXlReVV5TW5SbGVIUWxNaklsTTBFbE1qSlhNU1ZGTXlVNE1DVTRNVk14TXl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UzUkNVeVF5VXlNbTk0ZVdab1ZuaEdkbWsyTWpVeU5qRWxNaklsTTBFbE4wSWxNakpwWkNVeU1pVXpRU1V5TW05NGVXWm9WbmhHZG1rMk1qVXlOakVsTWpJbE1rTWxNakp1WVcxbEpUSXlKVE5CSlRJeWJHbHVhMlZ5SlRJeUpUSkRKVEl5ZEdWNGRDVXlNaVV6UVNVeU1pVXlNaVV5UXlVeU1tZHliM1Z3SlRJeUpUTkJKVEl5SlRJeUpUSkRKVEl5YkdsdWEyVnlWSGx3WlNVeU1pVXpRU1V5TW1KeWIydGxiaVV5TWlVeVF5VXlNbkJ2YVc1MGN5VXlNaVV6UVNVMVFpVTNRaVV5TW5nbE1qSWxNMEUxTkRZdU9UazVOVGN5TXpNeE5UZzNOU1V5UXlVeU1ua2xNaklsTTBFeU9EZ3VNams1T1RFd01EZzROell5T1NVM1JDVXlReVUzUWlVeU1uZ2xNaklsTTBFMU5EY2xNa01sTWpKNUpUSXlKVE5CTWpnNExqSTVPVGt4TURBNE9EYzJNamtsTjBRbE5VUWxNa01sTWpKc2IyTnJaV1FsTWpJbE0wRm1ZV3h6WlNVeVF5VXlNbVJoZEdGQmRIUnlhV0oxZEdWekpUSXlKVE5CSlRWQ0pUVkVKVEpESlRJeWNISnZjSE1sTWpJbE0wRWxOMElsTWpKNmFXNWtaWGdsTWpJbE0wRXlKVGRFSlRKREpUSXliR2x1WlZOMGVXeGxKVEl5SlROQkpUZENKVEl5YkdsdVpWZHBaSFJvSlRJeUpUTkJNUzQxSlRkRUpUSkRKVEl5Wm5KdmJTVXlNaVV6UVNVM1FpVXlNbmdsTWpJbE0wRTFORFl1T1RrNU5UY3lNek14TlRnM05TVXlReVV5TW5rbE1qSWxNMEV5TlRndU5UazVPREl3TVRjM05USTFOemNsTWtNbE1qSmhibWRzWlNVeU1pVXpRVFF1TnpFeU16ZzRPVGd3TXpnME5qa2xNa01sTWpKcFpDVXlNaVV6UVNVeU1uRktibGx0YkdkalYxa3pNemc0TnpZbE1qSWxOMFFsTWtNbE1qSjBieVV5TWlVelFTVTNRaVV5TW1sa0pUSXlKVE5CSlRJeVlYbFNaazF6Ym1OcmNEQTJNRFExTkNVeU1pVXlReVV5TW5nbE1qSWxNMEUxTkRjbE1rTWxNako1SlRJeUpUTkJNekU0SlRKREpUSXlZVzVuYkdVbE1qSWxNMEV4TGpVM01EYzVOak15TmpjNU5EZzVOeVUzUkNVeVF5VXlNblJsZUhSQ2JHOWpheVV5TWlVelFTVTFRaVUxUkNVM1JDVXlReVV5TWtacFNVWjJWVTE1YkZJMk1UWTNOemNsTWpJbE0wRWxOMElsTWpKcFpDVXlNaVV6UVNVeU1rWnBTVVoyVlUxNWJGSTJNVFkzTnpjbE1qSWxNa01sTWpKdVlXMWxKVEl5SlROQkpUSXliR2x1YTJWeUpUSXlKVEpESlRJeWRHVjRkQ1V5TWlVelFTVXlNaVV5TWlVeVF5VXlNbWR5YjNWd0pUSXlKVE5CSlRJeUpUSXlKVEpESlRJeWJHbHVhMlZ5Vkhsd1pTVXlNaVV6UVNVeU1tSnliMnRsYmlVeU1pVXlReVV5TW5CdmFXNTBjeVV5TWlVelFTVTFRaVUzUWlVeU1uZ2xNaklsTTBFMU5EWXVPVGs1TlRjeU16TXhOVGczTlNVeVF5VXlNbmtsTWpJbE0wRXhPVFV1TnprNU9UazVPVGszTURFNU56Y2xOMFFsTWtNbE4wSWxNako0SlRJeUpUTkJOVFEyTGprNU9UVTNNak16TVRVNE56VWxNa01sTWpKNUpUSXlKVE5CTVRrMUxqYzVPVGs1T1RrNU56QXhPVGMzSlRkRUpUVkVKVEpESlRJeWJHOWphMlZrSlRJeUpUTkJabUZzYzJVbE1rTWxNakprWVhSaFFYUjBjbWxpZFhSbGN5VXlNaVV6UVNVMVFpVTFSQ1V5UXlVeU1uQnliM0J6SlRJeUpUTkJKVGRDSlRJeWVtbHVaR1Y0SlRJeUpUTkJNeVV5UXlVeU1uZ2xNaklsTTBGdWRXeHNKVEpESlRJeWVTVXlNaVV6UVc1MWJHd2xOMFFsTWtNbE1qSnNhVzVsVTNSNWJHVWxNaklsTTBFbE4wSWxNakpzYVc1bFYybGtkR2dsTWpJbE0wRXhMalVsTjBRbE1rTWxNakptY205dEpUSXlKVE5CSlRkQ0pUSXllQ1V5TWlVelFUVTBOaTQ1T1RrMU56SXpNekUxT0RjMUpUSkRKVEl5ZVNVeU1pVXpRVEUzTUM0MU9UazVPVGs1T1RRd016azFOQ1V5UXlVeU1tRnVaMnhsSlRJeUpUTkJOQzQzTVRJek9EZzVPREF6T0RRMk9TVXlReVV5TW1sa0pUSXlKVE5CSlRJeWVHMW5VbVJrUkVkeVp6STJORFV4TWlVeU1pVTNSQ1V5UXlVeU1uUnZKVEl5SlROQkpUZENKVEl5YVdRbE1qSWxNMEVsTWpKeFNtNVpiV3huWTFkWk16TTRPRGMySlRJeUpUSkRKVEl5ZUNVeU1pVXpRVFUwTmk0NU9UazFOekl6TXpFMU9EYzFKVEpESlRJeWVTVXlNaVV6UVRJeU1TVXlReVV5TW1GdVoyeGxKVEl5SlROQk1TNDFOekEzT1RZek1qWTNPVFE0T1RjbE4wUWxNa01sTWpKMFpYaDBRbXh2WTJzbE1qSWxNMEVsTlVJbE5VUWxOMFFsTWtNbE1qSlRTVTF2Vkc5U1ZrRnROVGN5TVRreUpUSXlKVE5CSlRkQ0pUSXlhV1FsTWpJbE0wRWxNakpUU1UxdlZHOVNWa0Z0TlRjeU1Ua3lKVEl5SlRKREpUSXlibUZ0WlNVeU1pVXpRU1V5TW14cGJtdGxjaVV5TWlVeVF5VXlNblJsZUhRbE1qSWxNMEVsTWpJbE1qSWxNa01sTWpKbmNtOTFjQ1V5TWlVelFTVXlNaVV5TWlVeVF5VXlNbXhwYm10bGNsUjVjR1VsTWpJbE0wRWxNakppY205clpXNGxNaklsTWtNbE1qSndiMmx1ZEhNbE1qSWxNMEVsTlVJbE4wSWxNako0SlRJeUpUTkJOVFEzSlRKREpUSXllU1V5TWlVelFUTTNPUzR6SlRkRUpUSkRKVGRDSlRJeWVDVXlNaVV6UVRVME55VXlReVV5TW5rbE1qSWxNMEV6TnprdU15VTNSQ1UxUkNVeVF5VXlNbXh2WTJ0bFpDVXlNaVV6UVdaaGJITmxKVEpESlRJeVpHRjBZVUYwZEhKcFluVjBaWE1sTWpJbE0wRWxOVUlsTlVRbE1rTWxNakp3Y205d2N5VXlNaVV6UVNVM1FpVXlNbnBwYm1SbGVDVXlNaVV6UVRZbE4wUWxNa01sTWpKc2FXNWxVM1I1YkdVbE1qSWxNMEVsTjBJbE1qSnNhVzVsVjJsa2RHZ2xNaklsTTBFeExqVWxOMFFsTWtNbE1qSm1jbTl0SlRJeUpUTkJKVGRDSlRJeWVDVXlNaVV6UVRVME55VXlReVV5TW5rbE1qSWxNMEV6TlRVdU5pVXlReVV5TW1GdVoyeGxKVEl5SlROQk5DNDNNVEl6T0RnNU9EQXpPRFEyT1NVeVF5VXlNbWxrSlRJeUpUTkJKVEl5WVhsU1prMXpibU5yY0RBMk1EUTFOQ1V5TWlVM1JDVXlReVV5TW5SdkpUSXlKVE5CSlRkQ0pUSXlhV1FsTWpJbE0wRWxNakpFU25aTFkweEpTMFJaTVRFMU1EUXdKVEl5SlRKREpUSXllQ1V5TWlVelFUVTBOeVV5UXlVeU1ua2xNaklsTTBFME1ETWxNa01sTWpKaGJtZHNaU1V5TWlVelFURXVOVGN3TnprMk16STJOemswT0RrM0pUZEVKVEpESlRJeWRHVjRkRUpzYjJOckpUSXlKVE5CSlRWQ0pUVkVKVGRFSlRKREpUSXlkMWRFWlZSRGJtNXlVamswTmpRMU1TVXlNaVV6UVNVM1FpVXlNbWxrSlRJeUpUTkJKVEl5ZDFkRVpWUkRibTV5VWprME5qUTFNU1V5TWlVeVF5VXlNbTVoYldVbE1qSWxNMEVsTWpKc2FXNXJaWElsTWpJbE1rTWxNakowWlhoMEpUSXlKVE5CSlRJeUpUSXlKVEpESlRJeVozSnZkWEFsTWpJbE0wRWxNaklsTWpJbE1rTWxNakpzYVc1clpYSlVlWEJsSlRJeUpUTkJKVEl5WTNWeWRtVWxNaklsTWtNbE1qSndiMmx1ZEhNbE1qSWxNMEVsTlVJbE4wSWxNako0SlRJeUpUTkJOakF3SlRKREpUSXllU1V5TWlVelFUTTRNUzQyTXpJM05UQXhNalUzTWpjMUpUZEVKVEpESlRkQ0pUSXllQ1V5TWlVelFUWXlOeTQySlRKREpUSXllU1V5TWlVelFUTTROUzQxT1RrNU9UZzBOelF4TWpFeEpUZEVKVFZFSlRKREpUSXliRzlqYTJWa0pUSXlKVE5CWm1Gc2MyVWxNa01sTWpKa1lYUmhRWFIwY21saWRYUmxjeVV5TWlVelFTVTFRaVUxUkNVeVF5VXlNbkJ5YjNCekpUSXlKVE5CSlRkQ0pUSXllbWx1WkdWNEpUSXlKVE5CT0NVM1JDVXlReVV5TW14cGJtVlRkSGxzWlNVeU1pVXpRU1UzUWlVeU1teHBibVZYYVdSMGFDVXlNaVV6UVRFdU5TVXlReVV5TW14cGJtVlRkSGxzWlNVeU1pVXpRU1V5TW1SaGMyaGxaQ1V5TWlVeVF5VXlNbVJ5WVhkVWVYQmxKVEl5SlROQkpUSXlibTl1WlNVeU1pVTNSQ1V5UXlVeU1tWnliMjBsTWpJbE0wRWxOMElsTWpKaGJtZHNaU1V5TWlVelFURXVOVGN3TnprMk16STJOemswT0RrMk5pVXlReVV5TW5nbE1qSWxNMEUyTURBbE1rTWxNako1SlRJeUpUTkJOREF6TGpVNU9UazVPRFEzTkRFeU1URWxNa01sTWpKcFpDVXlNaVV6UVNVeU1rUktka3RqVEVsTFJGa3hNVFV3TkRBbE1qSWxOMFFsTWtNbE1qSjBieVV5TWlVelFTVTNRaVV5TW1sa0pUSXlKVE5CYm5Wc2JDVXlReVV5TW5nbE1qSWxNMEUyTkRZbE1rTWxNako1SlRJeUpUTkJNemN6TGpVNU9UazVPRFEzTkRFeU1URWxNa01sTWpKaGJtZHNaU1V5TWlVelFXNTFiR3dsTjBRbE1rTWxNakowWlhoMFFteHZZMnNsTWpJbE0wRWxOVUlsTlVRbE4wUWxNa01sTWpKdFpVdE1lSGQ1U1dKQ05UWTBOREF6SlRJeUpUTkJKVGRDSlRJeWFXUWxNaklsTTBFbE1qSnRaVXRNZUhkNVNXSkNOVFkwTkRBekpUSXlKVEpESlRJeWJtRnRaU1V5TWlVelFTVXlNbXhwYm10bGNpVXlNaVV5UXlVeU1uUmxlSFFsTWpJbE0wRWxNaklsTWpJbE1rTWxNakpuY205MWNDVXlNaVV6UVNVeU1pVXlNaVV5UXlVeU1teHBibXRsY2xSNWNHVWxNaklsTTBFbE1qSnViM0p0WVd3bE1qSWxNa01sTWpKd2IybHVkSE1sTWpJbE0wRWxOVUlsTlVRbE1rTWxNakpzYjJOclpXUWxNaklsTTBGbVlXeHpaU1V5UXlVeU1tUmhkR0ZCZEhSeWFXSjFkR1Z6SlRJeUpUTkJKVFZDSlRWRUpUSkRKVEl5Y0hKdmNITWxNaklsTTBFbE4wSWxNako2YVc1a1pYZ2xNaklsTTBFeE1DVTNSQ1V5UXlVeU1teHBibVZUZEhsc1pTVXlNaVV6UVNVM1FpVXlNbXhwYm1WWGFXUjBhQ1V5TWlVelFURXVOU1UzUkNVeVF5VXlNbVp5YjIwbE1qSWxNMEVsTjBJbE1qSjRKVEl5SlROQk5UUTNKVEpESlRJeWVTVXlNaVV6UVRRME1DNDJKVEpESlRJeVlXNW5iR1VsTWpJbE0wRTBMamN4TWpNNE9EazRNRE00TkRZNUpUSkRKVEl5YVdRbE1qSWxNMEVsTWpKRVNuWkxZMHhKUzBSWk1URTFNRFF3SlRJeUpUZEVKVEpESlRJeWRHOGxNaklsTTBFbE4wSWxNakpwWkNVeU1pVXpRU1V5TWxGWmVGSkJiRXAwVVdVek5qSXlNRGdsTWpJbE1rTWxNako0SlRJeUpUTkJOVFEzSlRKREpUSXllU1V5TWlVelFUUTVOeVV5UXlVeU1tRnVaMnhsSlRJeUpUTkJNUzQxTnpBM09UWXpNalkzT1RRNE9UY2xOMFFsTWtNbE1qSjBaWGgwUW14dlkyc2xNaklsTTBFbE5VSWxOVVFsTjBRbE1rTWxNakpRYkZSbVdrTmlkVzVaTmpRMU5EWXhKVEl5SlROQkpUZENKVEl5YVdRbE1qSWxNMEVsTWpKUWJGUm1Xa05pZFc1Wk5qUTFORFl4SlRJeUpUSkRKVEl5Ym1GdFpTVXlNaVV6UVNVeU1teHBibXRsY2lVeU1pVXlReVV5TW5SbGVIUWxNaklsTTBFbE1qSWxNaklsTWtNbE1qSm5jbTkxY0NVeU1pVXpRU1V5TWlVeU1pVXlReVV5TW14cGJtdGxjbFI1Y0dVbE1qSWxNMEVsTWpKamRYSjJaU1V5TWlVeVF5VXlNbkJ2YVc1MGN5VXlNaVV6UVNVMVFpVTNRaVV5TW5nbE1qSWxNMEUxT1RjbE1rTWxNako1SlRJeUpUTkJORGM0TGpnNU5EQXlOamsxTmpJeE1UUWxOMFFsTWtNbE4wSWxNako0SlRJeUpUTkJOakUxTGpJNU5EQXlNRGcxTWpZNU5UZ2xNa01sTWpKNUpUSXlKVE5CTkRZNUpUZEVKVFZFSlRKREpUSXliRzlqYTJWa0pUSXlKVE5CWm1Gc2MyVWxNa01sTWpKa1lYUmhRWFIwY21saWRYUmxjeVV5TWlVelFTVTFRaVUxUkNVeVF5VXlNbkJ5YjNCekpUSXlKVE5CSlRkQ0pUSXllbWx1WkdWNEpUSXlKVE5CTVRJbE4wUWxNa01sTWpKc2FXNWxVM1I1YkdVbE1qSWxNMEVsTjBJbE1qSnNhVzVsVjJsa2RHZ2xNaklsTTBFeExqVWxNa01sTWpKc2FXNWxVM1I1YkdVbE1qSWxNMEVsTWpKa1lYTm9aV1FsTWpJbE1rTWxNakprY21GM1ZIbHdaU1V5TWlVelFTVXlNbTV2Ym1VbE1qSWxOMFFsTWtNbE1qSm1jbTl0SlRJeUpUTkJKVGRDSlRJeVlXNW5iR1VsTWpJbE0wRXhMalUzTURjNU5qTXlOamM1TkRnNU5qWWxNa01sTWpKNEpUSXlKVE5CTlRrM0pUSkRKVEl5ZVNVeU1pVXpRVFE1Tnk0Mk1EQXdNRFl4TURNMU1UVTJKVEpESlRJeWFXUWxNaklsTTBFbE1qSlJXWGhTUVd4S2RGRmxNell5TWpBNEpUSXlKVGRFSlRKREpUSXlkRzhsTWpJbE0wRWxOMElsTWpKcFpDVXlNaVV6UVNVeU1tbFZjVkpZZEVWWWIyMDJOekF4TkRFbE1qSWxNa01sTWpKNEpUSXlKVE5CTmpNMEpUSkRKVEl5ZVNVeU1pVXpRVFEyT1NVeVF5VXlNbUZ1WjJ4bEpUSXlKVE5CTUNVM1JDVXlReVV5TW5SbGVIUkNiRzlqYXlVeU1pVXpRU1UxUWlVMVJDVTNSQ1V5UXlVeU1ubFNVRWRoY2tkQlpWUTJOemMzTkRrbE1qSWxNMEVsTjBJbE1qSnBaQ1V5TWlVelFTVXlNbmxTVUVkaGNrZEJaVlEyTnpjM05Ea2xNaklsTWtNbE1qSnVZVzFsSlRJeUpUTkJKVEl5YkdsdWEyVnlKVEl5SlRKREpUSXlkR1Y0ZENVeU1pVXpRU1V5TWlVeU1pVXlReVV5TW1keWIzVndKVEl5SlROQkpUSXlKVEl5SlRKREpUSXliR2x1YTJWeVZIbHdaU1V5TWlVelFTVXlNbU4xY25abEpUSXlKVEpESlRJeWNHOXBiblJ6SlRJeUpUTkJKVFZDSlRkQ0pUSXllQ1V5TWlVelFUVTBOeVV5UXlVeU1ua2xNaklsTTBFMU5UUXVOellsTjBRbE1rTWxOMElsTWpKNEpUSXlKVE5CTlRRM0pUSkRKVEl5ZVNVeU1pVXpRVFUyTkM0NE5DVTNSQ1UxUkNVeVF5VXlNbXh2WTJ0bFpDVXlNaVV6UVdaaGJITmxKVEpESlRJeVpHRjBZVUYwZEhKcFluVjBaWE1sTWpJbE0wRWxOVUlsTlVRbE1rTWxNakp3Y205d2N5VXlNaVV6UVNVM1FpVXlNbnBwYm1SbGVDVXlNaVV6UVRFMEpUZEVKVEpESlRJeWJHbHVaVk4wZVd4bEpUSXlKVE5CSlRkQ0pUSXliR2x1WlZkcFpIUm9KVEl5SlROQk1TNDFKVGRFSlRKREpUSXlabkp2YlNVeU1pVXpRU1UzUWlVeU1uZ2xNaklsTTBFMU5EY2xNa01sTWpKNUpUSXlKVE5CTlRNMExqWWxNa01sTWpKaGJtZHNaU1V5TWlVelFUUXVOekV5TXpnNE9UZ3dNemcwTmprbE1rTWxNakpwWkNVeU1pVXpRU1V5TWxGWmVGSkJiRXAwVVdVek5qSXlNRGdsTWpJbE4wUWxNa01sTWpKMGJ5VXlNaVV6UVNVM1FpVXlNbWxrSlRJeUpUTkJKVEl5WVhaVmVucERRVTlCZERrNU9UQXhPU1V5TWlVeVF5VXlNbmdsTWpJbE0wRTFORGNsTWtNbE1qSjVKVEl5SlROQk5UZzFKVEpESlRJeVlXNW5iR1VsTWpJbE0wRXhMalUzTURjNU5qTXlOamM1TkRnNU55VTNSQ1V5UXlVeU1uUmxlSFJDYkc5amF5VXlNaVV6UVNVMVFpVTFSQ1UzUkNVeVF5VXlNbkpJV1Uxb1prZGlZMU14TXpnM01qUWxNaklsTTBFbE4wSWxNakpwWkNVeU1pVXpRU1V5TW5KSVdVMW9aa2RpWTFNeE16ZzNNalFsTWpJbE1rTWxNakp1WVcxbEpUSXlKVE5CSlRJeWJHbHVhMlZ5SlRJeUpUSkRKVEl5ZEdWNGRDVXlNaVV6UVNVeU1pVXlNaVV5UXlVeU1tZHliM1Z3SlRJeUpUTkJKVEl5SlRJeUpUSkRKVEl5YkdsdWEyVnlWSGx3WlNVeU1pVXpRU1V5TW1KeWIydGxiaVV5TWlVeVF5VXlNbkJ2YVc1MGN5VXlNaVV6UVNVMVFpVTNRaVV5TW5nbE1qSWxNMEV6T0RnbE1rTWxNako1SlRJeUpUTkJOalEwTGpZd01EQXdOakV3TXpVeE5UWWxOMFFsTlVRbE1rTWxNakpzYjJOclpXUWxNaklsTTBGbVlXeHpaU1V5UXlVeU1tUmhkR0ZCZEhSeWFXSjFkR1Z6SlRJeUpUTkJKVFZDSlRWRUpUSkRKVEl5Y0hKdmNITWxNaklsTTBFbE4wSWxNako2YVc1a1pYZ2xNaklsTTBFeE5pVTNSQ1V5UXlVeU1teHBibVZUZEhsc1pTVXlNaVV6UVNVM1FpVXlNbXhwYm1WWGFXUjBhQ1V5TWlVelFURXVOU1UzUkNVeVF5VXlNbVp5YjIwbE1qSWxNMEVsTjBJbE1qSjRKVEl5SlROQk5UUTFKVEpESlRJeWVTVXlNaVV6UVRZME5DNDJNREF3TURZeE1ETTFNVFUySlRKREpUSXlZVzVuYkdVbE1qSWxNMEZ1ZFd4c0pUSkRKVEl5YVdRbE1qSWxNMEZ1ZFd4c0pUZEVKVEpESlRJeWRHOGxNaklsTTBFbE4wSWxNakpwWkNVeU1pVXpRU1V5TWxWWmRHTmplbWxNWm5nME9UazJOakFsTWpJbE1rTWxNako0SlRJeUpUTkJNemc0SlRKREpUSXllU1V5TWlVelFUWTVNaVV5UXlVeU1tRnVaMnhsSlRJeUpUTkJNUzQxTnpBM09UWXpNalkzT1RRNE9UY2xOMFFsTWtNbE1qSjBaWGgwUW14dlkyc2xNaklsTTBFbE5VSWxOVVFsTjBRbE1rTWxNakp1V0hoM1ZWUjBZMGhWTXpZME9EYzJKVEl5SlROQkpUZENKVEl5YVdRbE1qSWxNMEVsTWpKdVdIaDNWVlIwWTBoVk16WTBPRGMySlRJeUpUSkRKVEl5Ym1GdFpTVXlNaVV6UVNVeU1teHBibXRsY2lVeU1pVXlReVV5TW5SbGVIUWxNaklsTTBFbE1qSWxNaklsTWtNbE1qSm5jbTkxY0NVeU1pVXpRU1V5TWlVeU1pVXlReVV5TW14cGJtdGxjbFI1Y0dVbE1qSWxNMEVsTWpKaWNtOXJaVzRsTWpJbE1rTWxNakp3YjJsdWRITWxNaklsTTBFbE5VSWxOMElsTWpKNEpUSXlKVE5CTlRRM0pUSkRKVEl5ZVNVeU1pVXpRVFkxTnk0ekpUZEVKVEpESlRkQ0pUSXllQ1V5TWlVelFUVTBOeVV5UXlVeU1ua2xNaklsTTBFMk5UY3VNeVUzUkNVMVJDVXlReVV5TW14dlkydGxaQ1V5TWlVelFXWmhiSE5sSlRKREpUSXlaR0YwWVVGMGRISnBZblYwWlhNbE1qSWxNMEVsTlVJbE5VUWxNa01sTWpKd2NtOXdjeVV5TWlVelFTVTNRaVV5TW5wcGJtUmxlQ1V5TWlVelFURTRKVGRFSlRKREpUSXliR2x1WlZOMGVXeGxKVEl5SlROQkpUZENKVEl5YkdsdVpWZHBaSFJvSlRJeUpUTkJNUzQxSlRkRUpUSkRKVEl5Wm5KdmJTVXlNaVV6UVNVM1FpVXlNbmdsTWpJbE0wRTFORGNsTWtNbE1qSjVKVEl5SlROQk5qSXlMallsTWtNbE1qSmhibWRzWlNVeU1pVXpRVFF1TnpFeU16ZzRPVGd3TXpnME5qa2xNa01sTWpKcFpDVXlNaVV6UVNVeU1tRjJWWHA2UTBGUFFYUTVPVGt3TVRrbE1qSWxOMFFsTWtNbE1qSjBieVV5TWlVelFTVTNRaVV5TW1sa0pUSXlKVE5CSlRJeVNrRklXR3R4U0daWllUWTNOREl3TUNVeU1pVXlReVV5TW5nbE1qSWxNMEUxTkRjbE1rTWxNako1SlRJeUpUTkJOamt5SlRKREpUSXlZVzVuYkdVbE1qSWxNMEV4TGpVM01EYzVOak15TmpjNU5EZzVOeVUzUkNVeVF5VXlNblJsZUhSQ2JHOWpheVV5TWlVelFTVTFRaVUxUkNVM1JDVXlReVV5TW0xa1ZtMURUMHQ1V1dzMk5qUXdOekVsTWpJbE0wRWxOMElsTWpKcFpDVXlNaVV6UVNVeU1tMWtWbTFEVDB0NVdXczJOalF3TnpFbE1qSWxNa01sTWpKdVlXMWxKVEl5SlROQkpUSXliR2x1YTJWeUpUSXlKVEpESlRJeWRHVjRkQ1V5TWlVelFTVXlNaVV5TWlVeVF5VXlNbWR5YjNWd0pUSXlKVE5CSlRJeUpUSXlKVEpESlRJeWJHbHVhMlZ5Vkhsd1pTVXlNaVV6UVNVeU1tSnliMnRsYmlVeU1pVXlReVV5TW5CdmFXNTBjeVV5TWlVelFTVTFRaVUzUWlVeU1uZ2xNaklsTTBFM01ESWxNa01sTWpKNUpUSXlKVE5CTmpRekxqWXdNREF3TmpFd016VXhOVFlsTWtNbE1qSm1hWGhsWkNVeU1pVXpRWFJ5ZFdVbE4wUWxOVVFsTWtNbE1qSnNiMk5yWldRbE1qSWxNMEZtWVd4elpTVXlReVV5TW1SaGRHRkJkSFJ5YVdKMWRHVnpKVEl5SlROQkpUVkNKVFZFSlRKREpUSXljSEp2Y0hNbE1qSWxNMEVsTjBJbE1qSjZhVzVrWlhnbE1qSWxNMEV5TXlVM1JDVXlReVV5TW14cGJtVlRkSGxzWlNVeU1pVXpRU1UzUWlVeU1teHBibVZYYVdSMGFDVXlNaVV6UVRFdU5TVTNSQ1V5UXlVeU1tWnliMjBsTWpJbE0wRWxOMElsTWpKaGJtZHNaU1V5TWlVelFXNTFiR3dsTWtNbE1qSjRKVEl5SlROQk5UUTVKVEpESlRJeWVTVXlNaVV6UVRZME15NDJNREF3TURZeE1ETTFNVFUySlRKREpUSXlhV1FsTWpJbE0wRnVkV3hzSlRkRUpUSkRKVEl5ZEc4bE1qSWxNMEVsTjBJbE1qSnBaQ1V5TWlVelFTVXlNbFpSVEZkRFYxcFZkMGc0TlRZek56VWxNaklsTWtNbE1qSjRKVEl5SlROQk56QXlKVEpESlRJeWVTVXlNaVV6UVRZNE9DVXlReVV5TW1GdVoyeGxKVEl5SlROQk1TNDFOekEzT1RZek1qWTNPVFE0T1RjbE4wUWxNa01sTWpKMFpYaDBRbXh2WTJzbE1qSWxNMEVsTlVJbE5VUWxOMFFsTWtNbE1qSm1TMnB2UjJSMFdYcFpOakV5TWpRM0pUSXlKVE5CSlRkQ0pUSXlhV1FsTWpJbE0wRWxNakptUzJwdlIyUjBXWHBaTmpFeU1qUTNKVEl5SlRKREpUSXlibUZ0WlNVeU1pVXpRU1V5TW14cGJtdGxjaVV5TWlVeVF5VXlNblJsZUhRbE1qSWxNMEVsTWpJbE1qSWxNa01sTWpKbmNtOTFjQ1V5TWlVelFTVXlNaVV5TWlVeVF5VXlNbXhwYm10bGNsUjVjR1VsTWpJbE0wRWxNakppY205clpXNGxNaklsTWtNbE1qSndiMmx1ZEhNbE1qSWxNMEVsTlVJbE4wSWxNako0SlRJeUpUTkJNemc0SlRKREpUSXllU1V5TWlVelFUYzFOQzQ0SlRkRUpUSkRKVGRDSlRJeWVDVXlNaVV6UVRNNE9DVXlReVV5TW5rbE1qSWxNMEUzTlRRdU9DVTNSQ1UxUkNVeVF5VXlNbXh2WTJ0bFpDVXlNaVV6UVdaaGJITmxKVEpESlRJeVpHRjBZVUYwZEhKcFluVjBaWE1sTWpJbE0wRWxOVUlsTlVRbE1rTWxNakp3Y205d2N5VXlNaVV6UVNVM1FpVXlNbnBwYm1SbGVDVXlNaVV6UVRJMUpUZEVKVEpESlRJeWJHbHVaVk4wZVd4bEpUSXlKVE5CSlRkQ0pUSXliR2x1WlZkcFpIUm9KVEl5SlROQk1TNDFKVGRFSlRKREpUSXlabkp2YlNVeU1pVXpRU1UzUWlVeU1uZ2xNaklsTTBFek9EZ2xNa01sTWpKNUpUSXlKVE5CTnpJNUxqWWxNa01sTWpKaGJtZHNaU1V5TWlVelFUUXVOekV5TXpnNE9UZ3dNemcwTmprbE1rTWxNakpwWkNVeU1pVXpRU1V5TWxWWmRHTmplbWxNWm5nME9UazJOakFsTWpJbE4wUWxNa01sTWpKMGJ5VXlNaVV6UVNVM1FpVXlNbWxrSlRJeUpUTkJKVEl5WkVWWllrRkZVSEZ1WlRZek56RTBOU1V5TWlVeVF5VXlNbmdsTWpJbE0wRXpPRGdsTWtNbE1qSjVKVEl5SlROQk56Z3dKVEpESlRJeVlXNW5iR1VsTWpJbE0wRXhMalUzTURjNU5qTXlOamM1TkRnNU55VTNSQ1V5UXlVeU1uUmxlSFJDYkc5amF5VXlNaVV6UVNVMVFpVTFSQ1UzUkNVeVF5VXlNa0ZZVG5GNVEzVm5ZV2MwT0RVeE16Y2xNaklsTTBFbE4wSWxNakpwWkNVeU1pVXpRU1V5TWtGWVRuRjVRM1ZuWVdjME9EVXhNemNsTWpJbE1rTWxNakp1WVcxbEpUSXlKVE5CSlRJeWJHbHVhMlZ5SlRJeUpUSkRKVEl5ZEdWNGRDVXlNaVV6UVNVeU1pVXlNaVV5UXlVeU1tZHliM1Z3SlRJeUpUTkJKVEl5SlRJeUpUSkRKVEl5YkdsdWEyVnlWSGx3WlNVeU1pVXpRU1V5TW1KeWIydGxiaVV5TWlVeVF5VXlNbkJ2YVc1MGN5VXlNaVV6UVNVMVFpVTNRaVV5TW5nbE1qSWxNMEUzTURJbE1rTWxNako1SlRJeUpUTkJOelEzTGpNbE4wUWxNa01sTjBJbE1qSjRKVEl5SlROQk56QXlKVEpESlRJeWVTVXlNaVV6UVRjME55NHpKVGRFSlRWRUpUSkRKVEl5Ykc5amEyVmtKVEl5SlROQlptRnNjMlVsTWtNbE1qSmtZWFJoUVhSMGNtbGlkWFJsY3lVeU1pVXpRU1UxUWlVMVJDVXlReVV5TW5CeWIzQnpKVEl5SlROQkpUZENKVEl5ZW1sdVpHVjRKVEl5SlROQk1qY2xOMFFsTWtNbE1qSnNhVzVsVTNSNWJHVWxNaklsTTBFbE4wSWxNakpzYVc1bFYybGtkR2dsTWpJbE0wRXhMalVsTjBRbE1rTWxNakptY205dEpUSXlKVE5CSlRkQ0pUSXllQ1V5TWlVelFUY3dNaVV5UXlVeU1ua2xNaklsTTBFM01qVXVOaVV5UXlVeU1tRnVaMnhsSlRJeUpUTkJOQzQzTVRJek9EZzVPREF6T0RRMk9TVXlReVV5TW1sa0pUSXlKVE5CSlRJeVZsRk1WME5YV2xWM1NEZzFOak0zTlNVeU1pVTNSQ1V5UXlVeU1uUnZKVEl5SlROQkpUZENKVEl5YVdRbE1qSWxNMEVsTWpKMWNHUmhTbk5DVDJSdE1EQTFNalkxSlRJeUpUSkRKVEl5ZUNVeU1pVXpRVGN3TWlVeVF5VXlNbmtsTWpJbE0wRTNOamtsTWtNbE1qSmhibWRzWlNVeU1pVXpRVEV1TlRjd056azJNekkyTnprME9EazNKVGRFSlRKREpUSXlkR1Y0ZEVKc2IyTnJKVEl5SlROQkpUVkNKVFZFSlRkRUpUSkRKVEl5YUZsa1VHbExaWFpaWmpRM056WTFOU1V5TWlVelFTVTNRaVV5TW1sa0pUSXlKVE5CSlRJeWFGbGtVR2xMWlhaWlpqUTNOelkxTlNVeU1pVXlReVV5TW01aGJXVWxNaklsTTBFbE1qSnNhVzVyWlhJbE1qSWxNa01sTWpKMFpYaDBKVEl5SlROQkpUSXlKVEl5SlRKREpUSXlaM0p2ZFhBbE1qSWxNMEVsTWpJbE1qSWxNa01sTWpKc2FXNXJaWEpVZVhCbEpUSXlKVE5CSlRJeVluSnZhMlZ1SlRJeUpUSkRKVEl5Y0c5cGJuUnpKVEl5SlROQkpUVkNKVGRDSlRJeWVDVXlNaVV6UVRjd01pVXlReVV5TW5rbE1qSWxNMEU0TWpndU15VTNSQ1V5UXlVM1FpVXlNbmdsTWpJbE0wRTNNRElsTWtNbE1qSjVKVEl5SlROQk9ESTRMak1sTjBRbE5VUWxNa01sTWpKc2IyTnJaV1FsTWpJbE0wRm1ZV3h6WlNVeVF5VXlNbVJoZEdGQmRIUnlhV0oxZEdWekpUSXlKVE5CSlRWQ0pUVkVKVEpESlRJeWNISnZjSE1sTWpJbE0wRWxOMElsTWpKNmFXNWtaWGdsTWpJbE0wRXlPU1UzUkNVeVF5VXlNbXhwYm1WVGRIbHNaU1V5TWlVelFTVTNRaVV5TW14cGJtVlhhV1IwYUNVeU1pVXpRVEV1TlNVM1JDVXlReVV5TW1aeWIyMGxNaklsTTBFbE4wSWxNako0SlRJeUpUTkJOekF5SlRKREpUSXllU1V5TWlVelFUZ3dOaTQySlRKREpUSXlZVzVuYkdVbE1qSWxNMEUwTGpjeE1qTTRPRGs0TURNNE5EWTVKVEpESlRJeWFXUWxNaklsTTBFbE1qSjFjR1JoU25OQ1QyUnRNREExTWpZMUpUSXlKVGRFSlRKREpUSXlkRzhsTWpJbE0wRWxOMElsTWpKcFpDVXlNaVV6UVNVeU1uSjVSVTlwVGxCd1RXVTRNRFUyTlRBbE1qSWxNa01sTWpKNEpUSXlKVE5CTnpBeUpUSkRKVEl5ZVNVeU1pVXpRVGcxTUNVeVF5VXlNbUZ1WjJ4bEpUSXlKVE5CTVM0MU56QTNPVFl6TWpZM09UUTRPVGNsTjBRbE1rTWxNakowWlhoMFFteHZZMnNsTWpJbE0wRWxOVUlsTlVRbE4wUWxNa01sTWpKbVRIZFpaVVZ4WVVkWk1qRTVNRGc1SlRJeUpUTkJKVGRDSlRJeWFXUWxNaklsTTBFbE1qSm1USGRaWlVWeFlVZFpNakU1TURnNUpUSXlKVEpESlRJeWJtRnRaU1V5TWlVelFTVXlNbXhwYm10bGNpVXlNaVV5UXlVeU1uUmxlSFFsTWpJbE0wRWxNaklsTWpJbE1rTWxNakpuY205MWNDVXlNaVV6UVNVeU1pVXlNaVV5UXlVeU1teHBibXRsY2xSNWNHVWxNaklsTTBFbE1qSmpkWEoyWlNVeU1pVXlReVV5TW5CdmFXNTBjeVV5TWlVelFTVTFRaVUzUWlVeU1uZ2xNaklsTTBFME1Ua2xNa01sTWpKNUpUSXlKVE5CTmpjNUxqazFNRGc1TlRRMk1qZzBNakVsTjBRbE1rTWxOMElsTWpKNEpUSXlKVE5CTkRNMExqWWxNa01sTWpKNUpUSXlKVE5CTmpneExqZ3dNREF3TmpFd016VXhOVGNsTjBRbE5VUWxNa01sTWpKc2IyTnJaV1FsTWpJbE0wRm1ZV3h6WlNVeVF5VXlNbVJoZEdGQmRIUnlhV0oxZEdWekpUSXlKVE5CSlRWQ0pUVkVKVEpESlRJeWNISnZjSE1sTWpJbE0wRWxOMElsTWpKNmFXNWtaWGdsTWpJbE0wRXpNaVUzUkNVeVF5VXlNbXhwYm1WVGRIbHNaU1V5TWlVelFTVTNRaVV5TW14cGJtVlhhV1IwYUNVeU1pVXpRVEV1TlNVeVF5VXlNbXhwYm1WVGRIbHNaU1V5TWlVelFTVXlNbVJoYzJobFpDVXlNaVV5UXlVeU1tUnlZWGRVZVhCbEpUSXlKVE5CSlRJeWJtOXVaU1V5TWlVM1JDVXlReVV5TW1aeWIyMGxNaklsTTBFbE4wSWxNakpoYm1kc1pTVXlNaVV6UVRFdU5UY3dOemsyTXpJMk56azBPRGsyTmlVeVF5VXlNbmdsTWpJbE0wRTBNVGtsTWtNbE1qSjVKVEl5SlROQk5qa3lMall3TURBd05qRXdNelV4TlRZbE1rTWxNakpwWkNVeU1pVXpRU1V5TWxWWmRHTmplbWxNWm5nME9UazJOakFsTWpJbE4wUWxNa01sTWpKMGJ5VXlNaVV6UVNVM1FpVXlNbWxrSlRJeUpUTkJiblZzYkNVeVF5VXlNbmdsTWpJbE0wRTBORFVsTWtNbE1qSjVKVEl5SlROQk5qYzBMall3TURBd05qRXdNelV4TlRZbE1rTWxNakpoYm1kc1pTVXlNaVV6UVc1MWJHd2xOMFFsTWtNbE1qSjBaWGgwUW14dlkyc2xNaklsTTBFbE5VSWxOVVFsTjBRbE1rTWxNakp3YzFCR1kxZFdXbkpETVRFNE1EZzRKVEl5SlROQkpUZENKVEl5YVdRbE1qSWxNMEVsTWpKd2MxQkdZMWRXV25KRE1URTRNRGc0SlRJeUpUSkRKVEl5Ym1GdFpTVXlNaVV6UVNVeU1teHBibXRsY2lVeU1pVXlReVV5TW5SbGVIUWxNaklsTTBFbE1qSWxNaklsTWtNbE1qSm5jbTkxY0NVeU1pVXpRU1V5TWlVeU1pVXlReVV5TW14cGJtdGxjbFI1Y0dVbE1qSWxNMEVsTWpKamRYSjJaU1V5TWlVeVF5VXlNbkJ2YVc1MGN5VXlNaVV6UVNVMVFpVTNRaVV5TW5nbE1qSWxNMEUwTVRjbE1rTWxNako1SlRJeUpUTkJOelk1TGpBd01EQXdOakV3TXpVeE5UWWxOMFFsTWtNbE4wSWxNako0SlRJeUpUTkJOREk1SlRKREpUSXllU1V5TWlVelFUYzJPQzR3TURBd01EWXhNRE0xTVRVMkpUZEVKVFZFSlRKREpUSXliRzlqYTJWa0pUSXlKVE5CWm1Gc2MyVWxNa01sTWpKa1lYUmhRWFIwY21saWRYUmxjeVV5TWlVelFTVTFRaVUxUkNVeVF5VXlNbkJ5YjNCekpUSXlKVE5CSlRkQ0pUSXllbWx1WkdWNEpUSXlKVE5CTXpRbE4wUWxNa01sTWpKc2FXNWxVM1I1YkdVbE1qSWxNMEVsTjBJbE1qSnNhVzVsVjJsa2RHZ2xNaklsTTBFeExqVWxNa01sTWpKc2FXNWxVM1I1YkdVbE1qSWxNMEVsTWpKa1lYTm9aV1FsTWpJbE1rTWxNakprY21GM1ZIbHdaU1V5TWlVelFTVXlNbTV2Ym1VbE1qSWxOMFFsTWtNbE1qSm1jbTl0SlRJeUpUTkJKVGRDSlRJeVlXNW5iR1VsTWpJbE0wRXhMalUzTURjNU5qTXlOamM1TkRnNU5qWWxNa01sTWpKNEpUSXlKVE5CTkRFM0pUSkRKVEl5ZVNVeU1pVXpRVGM0TUM0Mk1EQXdNRFl4TURNMU1UVTJKVEpESlRJeWFXUWxNaklsTTBFbE1qSmtSVmxpUVVWUWNXNWxOak0zTVRRMUpUSXlKVGRFSlRKREpUSXlkRzhsTWpJbE0wRWxOMElsTWpKcFpDVXlNaVV6UVc1MWJHd2xNa01sTWpKNEpUSXlKVE5CTkRNM0pUSkRKVEl5ZVNVeU1pVXpRVGMxT1M0Mk1EQXdNRFl4TURNMU1UVTJKVEpESlRJeVlXNW5iR1VsTWpJbE0wRnVkV3hzSlRkRUpUSkRKVEl5ZEdWNGRFSnNiMk5ySlRJeUpUTkJKVFZDSlRWRUpUZEVKVEpESlRJeVRFVlVRMXAxZEdoclpUWTBPVFV5TUNVeU1pVXpRU1UzUWlVeU1tbGtKVEl5SlROQkpUSXlURVZVUTFwMWRHaHJaVFkwT1RVeU1DVXlNaVV5UXlVeU1tNWhiV1VsTWpJbE0wRWxNakpzYVc1clpYSWxNaklsTWtNbE1qSjBaWGgwSlRJeUpUTkJKVEl5SlRJeUpUSkRKVEl5WjNKdmRYQWxNaklsTTBFbE1qSWxNaklsTWtNbE1qSnNhVzVyWlhKVWVYQmxKVEl5SlROQkpUSXlZM1Z5ZG1VbE1qSWxNa01sTWpKd2IybHVkSE1sTWpJbE0wRWxOVUlsTjBJbE1qSjRKVEl5SlROQk56STRKVEpESlRJeWVTVXlNaVV6UVRZMk9DNDRNemMwTVRVeE9EQXlOVGcySlRkRUpUSkRKVGRDSlRJeWVDVXlNaVV6UVRjMU1pVXlReVV5TW5rbE1qSWxNMEUyTnpFdU1qQXdNREEyTVRBek5URTFOaVUzUkNVMVJDVXlReVV5TW14dlkydGxaQ1V5TWlVelFXWmhiSE5sSlRKREpUSXlaR0YwWVVGMGRISnBZblYwWlhNbE1qSWxNMEVsTlVJbE5VUWxNa01sTWpKd2NtOXdjeVV5TWlVelFTVTNRaVV5TW5wcGJtUmxlQ1V5TWlVelFUTTNKVGRFSlRKREpUSXliR2x1WlZOMGVXeGxKVEl5SlROQkpUZENKVEl5YkdsdVpWZHBaSFJvSlRJeUpUTkJNUzQxSlRKREpUSXliR2x1WlZOMGVXeGxKVEl5SlROQkpUSXlaR0Z6YUdWa0pUSXlKVEpESlRJeVpISmhkMVI1Y0dVbE1qSWxNMEVsTWpKdWIyNWxKVEl5SlRkRUpUSkRKVEl5Wm5KdmJTVXlNaVV6UVNVM1FpVXlNbUZ1WjJ4bEpUSXlKVE5CTVM0MU56QTNPVFl6TWpZM09UUTRPVFkySlRKREpUSXllQ1V5TWlVelFUY3lPQ1V5UXlVeU1ua2xNaklsTTBFMk9EZ3VOakF3TURBMk1UQXpOVEUxTmlVeVF5VXlNbWxrSlRJeUpUTkJKVEl5VmxGTVYwTlhXbFYzU0RnMU5qTTNOU1V5TWlVM1JDVXlReVV5TW5SdkpUSXlKVE5CSlRkQ0pUSXlhV1FsTWpJbE0wRnVkV3hzSlRKREpUSXllQ1V5TWlVelFUYzJPQ1V5UXlVeU1ua2xNaklsTTBFMk5Ua3VOakF3TURBMk1UQXpOVEUxTmlVeVF5VXlNbUZ1WjJ4bEpUSXlKVE5CYm5Wc2JDVTNSQ1V5UXlVeU1uUmxlSFJDYkc5amF5VXlNaVV6UVNVMVFpVTFSQ1UzUkNVM1JDVXlReVV5TW1OdmJXMWxiblJ6SlRJeUpUTkJKVFZDSlRWRUpUSkRKVEl5Y0d4MVoybHVjeVV5TWlVelFTVTNRaVUzUkNVeVF5VXlNbUZwUTI5dWRHRnBibVZ5Y3lVeU1pVXpRU1UzUWlVM1JDVXlReVV5TW1sdWMyVnlkRkJoWjJWUGNIUnpKVEl5SlROQkpUZENKVGRFSlRKREpUSXljRzl6ZEZCaGVXMWxiblFsTWpJbE0wRWxOMElsTjBRbE1rTWxNakowYUdWdFpTVXlNaVV6UVNVM1FpVXlNbkJoWjJVbE1qSWxNMEVsTjBJbE1qSmlZV05yWjNKdmRXNWtRMjlzYjNJbE1qSWxNMEVsTWpKMGNtRnVjM0JoY21WdWRDVXlNaVUzUkNVM1JDVTNSQT09IiwKCSJGaWxlSWQiIDogIjdhMGQ2YjJhLWZlZTctNGNkOC1hOWI0LWNlMDg4ZDhjNjY0ZSIKfQo="/>
    </extobj>
  </extobjs>
</s:customData>
</file>

<file path=customXml/item2.xml><?xml version="1.0" encoding="utf-8"?>
<contractReview xmlns="http://schemas.wps.cn/vas-ai-hub/contract-review">
  <reviewItems>
    <reviewItem>
      <errorID>75ecb0be-9694-4597-bcb5-6026a354c997</errorID>
      <errorWord>(</errorWord>
      <group>L1_Format</group>
      <groupName>格式问题</groupName>
      <ability>L2_HalfPunc_CN</ability>
      <abilityName/>
      <candidateList>
        <item>（</item>
      </candidateList>
      <explain>文本全半角错误。</explain>
      <paraID>6E707742</paraID>
      <start>26</start>
      <end>27</end>
      <status>modified</status>
      <modifiedWord>（</modifiedWord>
      <trackRevisions>false</trackRevisions>
    </reviewItem>
    <reviewItem>
      <errorID>7bfa56ae-d78c-4a6d-bd8f-5e149589a908</errorID>
      <errorWord>)(</errorWord>
      <group>L1_Format</group>
      <groupName>格式问题</groupName>
      <ability>L2_HalfPunc_CN</ability>
      <abilityName/>
      <candidateList>
        <item>）（</item>
      </candidateList>
      <explain>文本全半角错误。</explain>
      <paraID>6E707742</paraID>
      <start>37</start>
      <end>39</end>
      <status>modified</status>
      <modifiedWord>）（</modifiedWord>
      <trackRevisions>false</trackRevisions>
    </reviewItem>
    <reviewItem>
      <errorID>b31b7732-281c-462a-a214-7fcb82e996ae</errorID>
      <errorWord>)</errorWord>
      <group>L1_Format</group>
      <groupName>格式问题</groupName>
      <ability>L2_HalfPunc_CN</ability>
      <abilityName/>
      <candidateList>
        <item>）</item>
      </candidateList>
      <explain>文本全半角错误。</explain>
      <paraID>6E707742</paraID>
      <start>45</start>
      <end>46</end>
      <status>modified</status>
      <modifiedWord>）</modifiedWord>
      <trackRevisions>false</trackRevisions>
    </reviewItem>
    <reviewItem>
      <errorID>93a40909-0f0a-487f-a79a-9118e0e59349</errorID>
      <errorWord>亟需</errorWord>
      <group>L1_Word</group>
      <groupName>字词问题</groupName>
      <ability>L2_Typo</ability>
      <abilityName>字词错误</abilityName>
      <candidateList>
        <item>亟须</item>
      </candidateList>
      <explain/>
      <paraID>1E40BC60</paraID>
      <start>405</start>
      <end>407</end>
      <status>ignored</status>
      <modifiedWord/>
      <trackRevisions>false</trackRevisions>
    </reviewItem>
    <reviewItem>
      <errorID>275c2d26-236f-489d-a2ae-a38a46ba4de0</errorID>
      <errorWord>自行车回</errorWord>
      <group>L1_Word</group>
      <groupName>字词问题</groupName>
      <ability>L2_Typo</ability>
      <abilityName>字词错误</abilityName>
      <candidateList>
        <item>自行车</item>
      </candidateList>
      <explain/>
      <paraID>73E3FF06</paraID>
      <start>106</start>
      <end>109</end>
      <status>modified</status>
      <modifiedWord>自行车</modifiedWord>
      <trackRevisions>false</trackRevisions>
    </reviewItem>
    <reviewItem>
      <errorID>3e1e0876-cfc3-4da4-ad08-a063c6fe6621</errorID>
      <errorWord>资源节约综合利用</errorWord>
      <group>L1_Political</group>
      <groupName>政治性问题</groupName>
      <ability>L2_Keyword</ability>
      <abilityName>固定表述</abilityName>
      <candidateList>
        <item>资源节约集约利用</item>
      </candidateList>
      <explain>词汇“资源节约集约利用”在特定场景下为固定表述形式，请确认此处的“资源节约综合利用”是否存在不当。</explain>
      <paraID>73E3FF06</paraID>
      <start>150</start>
      <end>158</end>
      <status>ignored</status>
      <modifiedWord/>
      <trackRevisions>false</trackRevisions>
    </reviewItem>
    <reviewItem>
      <errorID>262d03f6-8a84-4ac2-b7c1-bb618c7e70cc</errorID>
      <errorWord>发展和改革委</errorWord>
      <group>L1_Knowledge</group>
      <groupName>知识性问题</groupName>
      <ability>L2_Knowledge</ability>
      <abilityName>其他知识</abilityName>
      <candidateList>
        <item>发展改革委</item>
      </candidateList>
      <explain/>
      <paraID>2F67FDEA</paraID>
      <start>11</start>
      <end>17</end>
      <status>ignored</status>
      <modifiedWord/>
      <trackRevisions>false</trackRevisions>
    </reviewItem>
    <reviewItem>
      <errorID>3a5851b1-722b-4553-b3f7-8b9268b9d48d</errorID>
      <errorWord>(一)</errorWord>
      <group>L1_Format</group>
      <groupName>格式问题</groupName>
      <ability>L2_Ordinal</ability>
      <abilityName>序号格式</abilityName>
      <candidateList>
        <item>（一）</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666F782</paraID>
      <start>0</start>
      <end>3</end>
      <status>modified</status>
      <modifiedWord>（一）</modifiedWord>
      <trackRevisions>false</trackRevisions>
    </reviewItem>
    <reviewItem>
      <errorID>e1b76dbd-d3c4-4179-b8da-c8706ab74a9d</errorID>
      <errorWord>坚持绿色协调发展</errorWord>
      <group>L1_Political</group>
      <groupName>政治性问题</groupName>
      <ability>L2_Keyword</ability>
      <abilityName>固定表述</abilityName>
      <candidateList>
        <item>坚持绿色低碳发展</item>
      </candidateList>
      <explain>词汇“坚持绿色低碳发展”在特定场景下为固定表述形式，请确认此处的“坚持绿色协调发展”是否存在不当。</explain>
      <paraID> 666F782</paraID>
      <start>12</start>
      <end>20</end>
      <status>ignored</status>
      <modifiedWord/>
      <trackRevisions>false</trackRevisions>
    </reviewItem>
    <reviewItem>
      <errorID>d064abcb-9d93-4ff8-b9b1-bff7021a15a0</errorID>
      <errorWord>(二)</errorWord>
      <group>L1_Format</group>
      <groupName>格式问题</groupName>
      <ability>L2_Ordinal</ability>
      <abilityName>序号格式</abilityName>
      <candidateList>
        <item>（二）</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5CD8D83C</paraID>
      <start>0</start>
      <end>3</end>
      <status>modified</status>
      <modifiedWord>（二）</modifiedWord>
      <trackRevisions>false</trackRevisions>
    </reviewItem>
    <reviewItem>
      <errorID>1e5ae18b-b2a1-45d5-8e11-cc027cc0a0b2</errorID>
      <errorWord>(三)</errorWord>
      <group>L1_Format</group>
      <groupName>格式问题</groupName>
      <ability>L2_Ordinal</ability>
      <abilityName>序号格式</abilityName>
      <candidateList>
        <item>（三）</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3043BE04</paraID>
      <start>0</start>
      <end>3</end>
      <status>modified</status>
      <modifiedWord>（三）</modifiedWord>
      <trackRevisions>false</trackRevisions>
    </reviewItem>
    <reviewItem>
      <errorID>9ffa0469-7872-44f2-8eb8-dc431dd2eaa4</errorID>
      <errorWord>(四)</errorWord>
      <group>L1_Format</group>
      <groupName>格式问题</groupName>
      <ability>L2_Ordinal</ability>
      <abilityName>序号格式</abilityName>
      <candidateList>
        <item>（四）</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D017372</paraID>
      <start>0</start>
      <end>3</end>
      <status>modified</status>
      <modifiedWord>（四）</modifiedWord>
      <trackRevisions>false</trackRevisions>
    </reviewItem>
    <reviewItem>
      <errorID>9f4d133d-745b-4867-9a86-2b498738b4b8</errorID>
      <errorWord>环保基础设施建设</errorWord>
      <group>L1_Political</group>
      <groupName>政治性问题</groupName>
      <ability>L2_Keyword</ability>
      <abilityName>固定表述</abilityName>
      <candidateList>
        <item>环境基础设施建设</item>
      </candidateList>
      <explain>词汇“环境基础设施建设”在特定场景下为固定表述形式，请确认此处的“环保基础设施建设”是否存在不当。</explain>
      <paraID> D017372</paraID>
      <start>5</start>
      <end>13</end>
      <status>ignored</status>
      <modifiedWord/>
      <trackRevisions>false</trackRevisions>
    </reviewItem>
    <reviewItem>
      <errorID>0bf2974e-b34d-4e4d-bace-152b26421ad5</errorID>
      <errorWord>环保基础设施建设</errorWord>
      <group>L1_Political</group>
      <groupName>政治性问题</groupName>
      <ability>L2_Keyword</ability>
      <abilityName>固定表述</abilityName>
      <candidateList>
        <item>环境基础设施建设</item>
      </candidateList>
      <explain>词汇“环境基础设施建设”在特定场景下为固定表述形式，请确认此处的“环保基础设施建设”是否存在不当。</explain>
      <paraID> D017372</paraID>
      <start>57</start>
      <end>65</end>
      <status>ignored</status>
      <modifiedWord/>
      <trackRevisions>false</trackRevisions>
    </reviewItem>
    <reviewItem>
      <errorID>b186f7ee-cc9d-4996-b0c8-f2ed30fca699</errorID>
      <errorWord>(五)</errorWord>
      <group>L1_Format</group>
      <groupName>格式问题</groupName>
      <ability>L2_Ordinal</ability>
      <abilityName>序号格式</abilityName>
      <candidateList>
        <item>（五）</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102C2857</paraID>
      <start>0</start>
      <end>3</end>
      <status>modified</status>
      <modifiedWord>（五）</modifiedWord>
      <trackRevisions>false</trackRevisions>
    </reviewItem>
    <reviewItem>
      <errorID>635e4025-416b-4799-89fa-a9eac236b9ab</errorID>
      <errorWord>两高项目</errorWord>
      <group>L1_Political</group>
      <groupName>政治性问题</groupName>
      <ability>L2_Keyword</ability>
      <abilityName>固定表述</abilityName>
      <candidateList>
        <item>“两高”项目</item>
      </candidateList>
      <explain>注意检查当前固定表述标点是否使用规范。</explain>
      <paraID>45C8F61C</paraID>
      <start>66</start>
      <end>72</end>
      <status>modified</status>
      <modifiedWord>“两高”项目</modifiedWord>
      <trackRevisions>false</trackRevisions>
    </reviewItem>
    <reviewItem>
      <errorID>c54393b5-edc4-4bbb-b748-ccdbb29aebd9</errorID>
      <errorWord>属于为</errorWord>
      <group>L1_Word</group>
      <groupName>字词问题</groupName>
      <ability>L2_Typo</ability>
      <abilityName>字词错误</abilityName>
      <candidateList>
        <item>属于</item>
      </candidateList>
      <explain/>
      <paraID>139E4D3D</paraID>
      <start>32</start>
      <end>34</end>
      <status>modified</status>
      <modifiedWord>属于</modifiedWord>
      <trackRevisions>false</trackRevisions>
    </reviewItem>
    <reviewItem>
      <errorID>fd34ecdb-1f2a-4e55-9b8e-40f143968bff</errorID>
      <errorWord>资源节约综合利用</errorWord>
      <group>L1_Political</group>
      <groupName>政治性问题</groupName>
      <ability>L2_Keyword</ability>
      <abilityName>固定表述</abilityName>
      <candidateList>
        <item>资源节约集约利用</item>
      </candidateList>
      <explain>词汇“资源节约集约利用”在特定场景下为固定表述形式，请确认此处的“资源节约综合利用”是否存在不当。</explain>
      <paraID>139E4D3D</paraID>
      <start>113</start>
      <end>121</end>
      <status>ignored</status>
      <modifiedWord/>
      <trackRevisions>false</trackRevisions>
    </reviewItem>
    <reviewItem>
      <errorID>1a5d7f95-bdce-4e68-83c6-8f24ea890773</errorID>
      <errorWord>钢铁件</errorWord>
      <group>L1_Word</group>
      <groupName>字词问题</groupName>
      <ability>L2_Typo</ability>
      <abilityName>字词错误</abilityName>
      <candidateList>
        <item>钢铁</item>
      </candidateList>
      <explain/>
      <paraID>54AF3B65</paraID>
      <start>17</start>
      <end>19</end>
      <status>modified</status>
      <modifiedWord>钢铁</modifiedWord>
      <trackRevisions>false</trackRevisions>
    </reviewItem>
    <reviewItem>
      <errorID>21ddaa68-1830-48ec-8e7e-18e8d9352849</errorID>
      <errorWord>钢铁件</errorWord>
      <group>L1_Word</group>
      <groupName>字词问题</groupName>
      <ability>L2_Typo</ability>
      <abilityName>字词错误</abilityName>
      <candidateList>
        <item>钢铁</item>
      </candidateList>
      <explain/>
      <paraID> 46C3F31</paraID>
      <start>21</start>
      <end>23</end>
      <status>modified</status>
      <modifiedWord>钢铁</modifiedWord>
      <trackRevisions>false</trackRevisions>
    </reviewItem>
    <reviewItem>
      <errorID>63f96fe5-1ab5-4092-aab6-cf2208a62325</errorID>
      <errorWord>两高项目</errorWord>
      <group>L1_Political</group>
      <groupName>政治性问题</groupName>
      <ability>L2_Keyword</ability>
      <abilityName>固定表述</abilityName>
      <candidateList>
        <item>“两高”项目</item>
      </candidateList>
      <explain>注意检查当前固定表述标点是否使用规范。</explain>
      <paraID>48AEBD2D</paraID>
      <start>66</start>
      <end>72</end>
      <status>modified</status>
      <modifiedWord>“两高”项目</modifiedWord>
      <trackRevisions>false</trackRevisions>
    </reviewItem>
    <reviewItem>
      <errorID>f7ed1060-402a-4fe0-b29e-dc6b16532fd1</errorID>
      <errorWord>两高项目</errorWord>
      <group>L1_Political</group>
      <groupName>政治性问题</groupName>
      <ability>L2_Keyword</ability>
      <abilityName>固定表述</abilityName>
      <candidateList>
        <item>“两高”项目</item>
      </candidateList>
      <explain>注意检查当前固定表述标点是否使用规范。</explain>
      <paraID>44E6023E</paraID>
      <start>66</start>
      <end>72</end>
      <status>modified</status>
      <modifiedWord>“两高”项目</modifiedWord>
      <trackRevisions>false</trackRevisions>
    </reviewItem>
    <reviewItem>
      <errorID>5d218e9a-5a88-465c-ad69-6bf3c55c5d88</errorID>
      <errorWord>胶粘剂</errorWord>
      <group>L1_Word</group>
      <groupName>字词问题</groupName>
      <ability>L2_Typo</ability>
      <abilityName>字词错误</abilityName>
      <candidateList>
        <item>胶黏剂</item>
      </candidateList>
      <explain/>
      <paraID>5F469105</paraID>
      <start>26</start>
      <end>29</end>
      <status>ignored</status>
      <modifiedWord/>
      <trackRevisions>false</trackRevisions>
    </reviewItem>
    <reviewItem>
      <errorID>86535412-daf2-4da7-b17b-67f7191e1f01</errorID>
      <errorWord>钢铁件</errorWord>
      <group>L1_Word</group>
      <groupName>字词问题</groupName>
      <ability>L2_Typo</ability>
      <abilityName>字词错误</abilityName>
      <candidateList>
        <item>钢铁</item>
      </candidateList>
      <explain/>
      <paraID> 7406141</paraID>
      <start>44</start>
      <end>46</end>
      <status>modified</status>
      <modifiedWord>钢铁</modifiedWord>
      <trackRevisions>false</trackRevisions>
    </reviewItem>
    <reviewItem>
      <errorID>73a9edf9-b3e7-43da-a71a-26b5f81bc690</errorID>
      <errorWord>程</errorWord>
      <group>L1_Word</group>
      <groupName>字词问题</groupName>
      <ability>L2_Typo</ability>
      <abilityName>字词错误</abilityName>
      <candidateList>
        <item>程中</item>
      </candidateList>
      <explain/>
      <paraID>697BDD4B</paraID>
      <start>18</start>
      <end>19</end>
      <status>ignored</status>
      <modifiedWord/>
      <trackRevisions>false</trackRevisions>
    </reviewItem>
    <reviewItem>
      <errorID>b771dab3-2baf-4a11-afc6-6e936282de76</errorID>
      <errorWord>;</errorWord>
      <group>L1_Format</group>
      <groupName>格式问题</groupName>
      <ability>L2_HalfPunc_CN</ability>
      <abilityName/>
      <candidateList>
        <item>；</item>
      </candidateList>
      <explain>文本全半角错误。</explain>
      <paraID> 8CABEB8</paraID>
      <start>24</start>
      <end>25</end>
      <status>modified</status>
      <modifiedWord>；</modifiedWord>
      <trackRevisions>false</trackRevisions>
    </reviewItem>
    <reviewItem>
      <errorID>f33a1c0d-e1f7-4ac9-859d-d246edd22c23</errorID>
      <errorWord>:</errorWord>
      <group>L1_Format</group>
      <groupName>格式问题</groupName>
      <ability>L2_HalfPunc_CN</ability>
      <abilityName/>
      <candidateList>
        <item>：</item>
      </candidateList>
      <explain>文本全半角错误。</explain>
      <paraID>58136FC1</paraID>
      <start>15</start>
      <end>16</end>
      <status>modified</status>
      <modifiedWord>：</modifiedWord>
      <trackRevisions>false</trackRevisions>
    </reviewItem>
    <reviewItem>
      <errorID>8adbe06f-8ae6-4f93-9985-df436553858c</errorID>
      <errorWord>a)</errorWord>
      <group>L1_Format</group>
      <groupName>格式问题</groupName>
      <ability>L2_Ordinal</ability>
      <abilityName>序号格式</abilityName>
      <candidateList>
        <item>a）</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2F3DE114</paraID>
      <start>0</start>
      <end>2</end>
      <status>modified</status>
      <modifiedWord>a）</modifiedWord>
      <trackRevisions>false</trackRevisions>
    </reviewItem>
    <reviewItem>
      <errorID>d7ea1212-d211-441d-94e5-c854e5ffb059</errorID>
      <errorWord>b)</errorWord>
      <group>L1_Format</group>
      <groupName>格式问题</groupName>
      <ability>L2_Ordinal</ability>
      <abilityName>序号格式</abilityName>
      <candidateList>
        <item>b）</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ECE1332</paraID>
      <start>0</start>
      <end>2</end>
      <status>modified</status>
      <modifiedWord>b）</modifiedWord>
      <trackRevisions>false</trackRevisions>
    </reviewItem>
    <reviewItem>
      <errorID>30aff5d9-7d1d-4b2d-8a72-1aa0bb187626</errorID>
      <errorWord>及有</errorWord>
      <group>L1_Word</group>
      <groupName>字词问题</groupName>
      <ability>L2_Typo</ability>
      <abilityName>字词错误</abilityName>
      <candidateList>
        <item>及</item>
      </candidateList>
      <explain>〈连〉连接并列的名词或名词性词组：图书、仪器、标本～其他。注意用“及”连接的成分多在意义上有主次之分，主要的成分放在“及”的前面。</explain>
      <paraID> ECE1332</paraID>
      <start>26</start>
      <end>28</end>
      <status>ignored</status>
      <modifiedWord/>
      <trackRevisions>false</trackRevisions>
    </reviewItem>
    <reviewItem>
      <errorID>c813dbe1-5818-4c5d-9a2b-f62a8a19c85e</errorID>
      <errorWord>c)</errorWord>
      <group>L1_Format</group>
      <groupName>格式问题</groupName>
      <ability>L2_Ordinal</ability>
      <abilityName>序号格式</abilityName>
      <candidateList>
        <item>c）</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26257774</paraID>
      <start>0</start>
      <end>2</end>
      <status>modified</status>
      <modifiedWord>c）</modifiedWord>
      <trackRevisions>false</trackRevisions>
    </reviewItem>
    <reviewItem>
      <errorID>a4a09cf3-c4b3-4081-b1b9-39e17542fdcd</errorID>
      <errorWord>d)</errorWord>
      <group>L1_Format</group>
      <groupName>格式问题</groupName>
      <ability>L2_Ordinal</ability>
      <abilityName>序号格式</abilityName>
      <candidateList>
        <item>d）</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1D937A8</paraID>
      <start>0</start>
      <end>2</end>
      <status>modified</status>
      <modifiedWord>d）</modifiedWord>
      <trackRevisions>false</trackRevisions>
    </reviewItem>
    <reviewItem>
      <errorID>4e1c8883-5114-4045-b9cc-8229a4158351</errorID>
      <errorWord>a)</errorWord>
      <group>L1_Format</group>
      <groupName>格式问题</groupName>
      <ability>L2_Ordinal</ability>
      <abilityName>序号格式</abilityName>
      <candidateList>
        <item>a）</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4E660429</paraID>
      <start>0</start>
      <end>2</end>
      <status>modified</status>
      <modifiedWord>a）</modifiedWord>
      <trackRevisions>false</trackRevisions>
    </reviewItem>
    <reviewItem>
      <errorID>851c351d-bf79-4576-b7f8-a5314652b674</errorID>
      <errorWord>b)</errorWord>
      <group>L1_Format</group>
      <groupName>格式问题</groupName>
      <ability>L2_Ordinal</ability>
      <abilityName>序号格式</abilityName>
      <candidateList>
        <item>b）</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17B1F2FE</paraID>
      <start>0</start>
      <end>2</end>
      <status>modified</status>
      <modifiedWord>b）</modifiedWord>
      <trackRevisions>false</trackRevisions>
    </reviewItem>
    <reviewItem>
      <errorID>5bf291b4-a5ac-4c71-a8ae-c0cb136ae61b</errorID>
      <errorWord>及有</errorWord>
      <group>L1_Word</group>
      <groupName>字词问题</groupName>
      <ability>L2_Typo</ability>
      <abilityName>字词错误</abilityName>
      <candidateList>
        <item>及</item>
      </candidateList>
      <explain>〈连〉连接并列的名词或名词性词组：图书、仪器、标本～其他。注意用“及”连接的成分多在意义上有主次之分，主要的成分放在“及”的前面。</explain>
      <paraID>17B1F2FE</paraID>
      <start>26</start>
      <end>28</end>
      <status>ignored</status>
      <modifiedWord/>
      <trackRevisions>false</trackRevisions>
    </reviewItem>
    <reviewItem>
      <errorID>bfb02745-caa7-4eb0-ba88-afb246589f72</errorID>
      <errorWord>c)</errorWord>
      <group>L1_Format</group>
      <groupName>格式问题</groupName>
      <ability>L2_Ordinal</ability>
      <abilityName>序号格式</abilityName>
      <candidateList>
        <item>c）</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142CD3D9</paraID>
      <start>0</start>
      <end>2</end>
      <status>modified</status>
      <modifiedWord>c）</modifiedWord>
      <trackRevisions>false</trackRevisions>
    </reviewItem>
    <reviewItem>
      <errorID>fb0b82c0-9d04-4171-b0d5-db4229f25bc6</errorID>
      <errorWord>d)</errorWord>
      <group>L1_Format</group>
      <groupName>格式问题</groupName>
      <ability>L2_Ordinal</ability>
      <abilityName>序号格式</abilityName>
      <candidateList>
        <item>d）</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5E765CC0</paraID>
      <start>0</start>
      <end>2</end>
      <status>modified</status>
      <modifiedWord>d）</modifiedWord>
      <trackRevisions>false</trackRevisions>
    </reviewItem>
    <reviewItem>
      <errorID>57ddb65c-57ae-4093-ab58-811bb5ba3363</errorID>
      <errorWord>与</errorWord>
      <group>L1_Word</group>
      <groupName>字词问题</groupName>
      <ability>L2_Typo</ability>
      <abilityName>字词错误</abilityName>
      <candidateList>
        <item>和</item>
      </candidateList>
      <explain>〈量〉用于洗东西换水的次数或一剂药煎的次数：衣裳已经洗了三～｜二～药。</explain>
      <paraID> 1374032</paraID>
      <start>25</start>
      <end>26</end>
      <status>ignored</status>
      <modifiedWord/>
      <trackRevisions>false</trackRevisions>
    </reviewItem>
    <reviewItem>
      <errorID>f0ac850c-d8ed-4717-9c4f-cf8c05bd0279</errorID>
      <errorWord>息</errorWord>
      <group>L1_Word</group>
      <groupName>字词问题</groupName>
      <ability>L2_Typo</ability>
      <abilityName>字词错误</abilityName>
      <candidateList>
        <item>息化</item>
      </candidateList>
      <explain/>
      <paraID> 1374032</paraID>
      <start>27</start>
      <end>28</end>
      <status>ignored</status>
      <modifiedWord/>
      <trackRevisions>false</trackRevisions>
    </reviewItem>
    <reviewItem>
      <errorID>3f2b92d8-a764-42dc-a318-12f4936f1d1d</errorID>
      <errorWord>噪音</errorWord>
      <group>L1_Word</group>
      <groupName>字词问题</groupName>
      <ability>L2_Alias</ability>
      <abilityName>也作/曾用词</abilityName>
      <candidateList>
        <item>噪声</item>
      </candidateList>
      <explain>词汇[噪音]为不规范表述或旧称，其规范书面表述为[噪声]。</explain>
      <paraID>37D1638F</paraID>
      <start>7</start>
      <end>9</end>
      <status>ignored</status>
      <modifiedWord/>
      <trackRevisions>false</trackRevisions>
    </reviewItem>
    <reviewItem>
      <errorID>b1fd037c-7305-4dc5-a6e8-b2a569bd92c5</errorID>
      <errorWord>)</errorWord>
      <group>L1_Format</group>
      <groupName>格式问题</groupName>
      <ability>L2_HalfPunc_CN</ability>
      <abilityName/>
      <candidateList>
        <item>）</item>
      </candidateList>
      <explain>文本全半角错误。</explain>
      <paraID>2A7C34C7</paraID>
      <start>51</start>
      <end>52</end>
      <status>modified</status>
      <modifiedWord>）</modifiedWord>
      <trackRevisions>false</trackRevisions>
    </reviewItem>
    <reviewItem>
      <errorID>cb109071-763e-43b6-a820-6dab7a1349ff</errorID>
      <errorWord>)</errorWord>
      <group>L1_Format</group>
      <groupName>格式问题</groupName>
      <ability>L2_HalfPunc_CN</ability>
      <abilityName/>
      <candidateList>
        <item>）</item>
      </candidateList>
      <explain>文本全半角错误。</explain>
      <paraID>4C1959F8</paraID>
      <start>28</start>
      <end>29</end>
      <status>modified</status>
      <modifiedWord>）</modifiedWord>
      <trackRevisions>false</trackRevisions>
    </reviewItem>
    <reviewItem>
      <errorID>538f4b13-06a1-4abb-bd6f-fc83a49385dc</errorID>
      <errorWord>)</errorWord>
      <group>L1_Format</group>
      <groupName>格式问题</groupName>
      <ability>L2_HalfPunc_CN</ability>
      <abilityName/>
      <candidateList>
        <item>）</item>
      </candidateList>
      <explain>文本全半角错误。</explain>
      <paraID> 2301366</paraID>
      <start>51</start>
      <end>52</end>
      <status>modified</status>
      <modifiedWord>）</modifiedWord>
      <trackRevisions>false</trackRevisions>
    </reviewItem>
    <reviewItem>
      <errorID>505570e4-0730-4a59-b10a-1d1d110a2175</errorID>
      <errorWord>(</errorWord>
      <group>L1_Format</group>
      <groupName>格式问题</groupName>
      <ability>L2_HalfPunc_CN</ability>
      <abilityName/>
      <candidateList>
        <item>（</item>
      </candidateList>
      <explain>文本全半角错误。</explain>
      <paraID>1C659F0F</paraID>
      <start>24</start>
      <end>25</end>
      <status>modified</status>
      <modifiedWord>（</modifiedWord>
      <trackRevisions>false</trackRevisions>
    </reviewItem>
    <reviewItem>
      <errorID>be7b41d9-63d9-4523-9350-f5ca9e0310de</errorID>
      <errorWord>)</errorWord>
      <group>L1_Format</group>
      <groupName>格式问题</groupName>
      <ability>L2_HalfPunc_CN</ability>
      <abilityName/>
      <candidateList>
        <item>）</item>
      </candidateList>
      <explain>文本全半角错误。</explain>
      <paraID>1C659F0F</paraID>
      <start>35</start>
      <end>36</end>
      <status>modified</status>
      <modifiedWord>）</modifiedWord>
      <trackRevisions>false</trackRevisions>
    </reviewItem>
    <reviewItem>
      <errorID>fdc26e26-b589-49f0-b6ce-bebf7c054aff</errorID>
      <errorWord>箱式</errorWord>
      <group>L1_Word</group>
      <groupName>字词问题</groupName>
      <ability>L2_Typo</ability>
      <abilityName>字词错误</abilityName>
      <candidateList>
        <item>厢式</item>
      </candidateList>
      <explain/>
      <paraID>74DE65B2</paraID>
      <start>32</start>
      <end>34</end>
      <status>ignored</status>
      <modifiedWord/>
      <trackRevisions>false</trackRevisions>
    </reviewItem>
    <reviewItem>
      <errorID>9307356e-2d2d-4c03-b6f3-3143b2e551f3</errorID>
      <errorWord>仅进</errorWord>
      <group>L1_Word</group>
      <groupName>字词问题</groupName>
      <ability>L2_Typo</ability>
      <abilityName>字词错误</abilityName>
      <candidateList>
        <item>仅</item>
      </candidateList>
      <explain/>
      <paraID> 731F188</paraID>
      <start>9</start>
      <end>10</end>
      <status>modified</status>
      <modifiedWord>仅</modifiedWord>
      <trackRevisions>false</trackRevisions>
    </reviewItem>
    <reviewItem>
      <errorID>fbde6970-c5e4-4cb6-ad2e-1dbeeb2b731b</errorID>
      <errorWord>获</errorWord>
      <group>L1_Word</group>
      <groupName>字词问题</groupName>
      <ability>L2_Typo</ability>
      <abilityName>字词错误</abilityName>
      <candidateList>
        <item>获得</item>
      </candidateList>
      <explain>〈动〉取得；得到（多用于抽象事物）：～好评｜～宝贵的经验｜～显著的成绩。</explain>
      <paraID>27B1C8FA</paraID>
      <start>60</start>
      <end>61</end>
      <status>ignored</status>
      <modifiedWord/>
      <trackRevisions>false</trackRevisions>
    </reviewItem>
    <reviewItem>
      <errorID>ea14c005-a6b2-41a3-beba-6896eb315090</errorID>
      <errorWord>)</errorWord>
      <group>L1_Format</group>
      <groupName>格式问题</groupName>
      <ability>L2_HalfPunc_CN</ability>
      <abilityName/>
      <candidateList>
        <item>）</item>
      </candidateList>
      <explain>文本全半角错误。</explain>
      <paraID>72F074B4</paraID>
      <start>51</start>
      <end>52</end>
      <status>modified</status>
      <modifiedWord>）</modifiedWord>
      <trackRevisions>false</trackRevisions>
    </reviewItem>
    <reviewItem>
      <errorID>5eedd079-3190-4e44-8868-de829046188b</errorID>
      <errorWord>应</errorWord>
      <group>L1_Word</group>
      <groupName>字词问题</groupName>
      <ability>L2_Typo</ability>
      <abilityName>字词错误</abilityName>
      <candidateList>
        <item>应当</item>
      </candidateList>
      <explain/>
      <paraID>6FC104F8</paraID>
      <start>13</start>
      <end>14</end>
      <status>ignored</status>
      <modifiedWord/>
      <trackRevisions>false</trackRevisions>
    </reviewItem>
    <reviewItem>
      <errorID>0f775b12-a7cf-4c44-8fb2-a93f418e393c</errorID>
      <errorWord>，</errorWord>
      <group>L1_Word</group>
      <groupName>字词问题</groupName>
      <ability>L2_Typo</ability>
      <abilityName>字词错误</abilityName>
      <candidateList>
        <item>，对</item>
      </candidateList>
      <explain/>
      <paraID>3BB4CA93</paraID>
      <start>24</start>
      <end>25</end>
      <status>ignored</status>
      <modifiedWord/>
      <trackRevisions>false</trackRevisions>
    </reviewItem>
    <reviewItem>
      <errorID>69477df6-9d66-46d4-980e-573b5165981d</errorID>
      <errorWord>环境污染预防</errorWord>
      <group>L1_Political</group>
      <groupName>政治性问题</groupName>
      <ability>L2_Keyword</ability>
      <abilityName>固定表述</abilityName>
      <candidateList>
        <item>环境污染防治</item>
      </candidateList>
      <explain>词汇“环境污染防治”在特定场景下为固定表述形式，请确认此处的“环境污染预防”是否存在不当。</explain>
      <paraID>1ACF3BC7</paraID>
      <start>12</start>
      <end>18</end>
      <status>ignored</status>
      <modifiedWord/>
      <trackRevisions>false</trackRevisions>
    </reviewItem>
    <reviewItem>
      <errorID>337bac25-63db-456e-b5be-08466c70008f</errorID>
      <errorWord>程</errorWord>
      <group>L1_Word</group>
      <groupName>字词问题</groupName>
      <ability>L2_Typo</ability>
      <abilityName>字词错误</abilityName>
      <candidateList>
        <item>程中</item>
      </candidateList>
      <explain/>
      <paraID>4F3B2505</paraID>
      <start>29</start>
      <end>30</end>
      <status>ignored</status>
      <modifiedWord/>
      <trackRevisions>false</trackRevisions>
    </reviewItem>
    <reviewItem>
      <errorID>ecf5b963-fc30-4e89-a9b1-b0010592b87a</errorID>
      <errorWord>钢铁件</errorWord>
      <group>L1_Word</group>
      <groupName>字词问题</groupName>
      <ability>L2_Typo</ability>
      <abilityName>字词错误</abilityName>
      <candidateList>
        <item>钢铁</item>
      </candidateList>
      <explain/>
      <paraID>6FDF8975</paraID>
      <start>13</start>
      <end>15</end>
      <status>modified</status>
      <modifiedWord>钢铁</modifiedWord>
      <trackRevisions>false</trackRevisions>
    </reviewItem>
    <reviewItem>
      <errorID>d131233b-41fc-46f3-bd0f-efbd33975dec</errorID>
      <errorWord>胶粘剂</errorWord>
      <group>L1_Word</group>
      <groupName>字词问题</groupName>
      <ability>L2_Typo</ability>
      <abilityName>字词错误</abilityName>
      <candidateList>
        <item>胶黏剂</item>
      </candidateList>
      <explain/>
      <paraID>40B2ECD0</paraID>
      <start>283</start>
      <end>286</end>
      <status>ignored</status>
      <modifiedWord/>
      <trackRevisions>false</trackRevisions>
    </reviewItem>
    <reviewItem>
      <errorID>d6d2fc8c-6d67-4bfa-87f5-5b92d4e8f91e</errorID>
      <errorWord>胶粘剂</errorWord>
      <group>L1_Word</group>
      <groupName>字词问题</groupName>
      <ability>L2_Typo</ability>
      <abilityName>字词错误</abilityName>
      <candidateList>
        <item>胶黏剂</item>
      </candidateList>
      <explain/>
      <paraID>4C4E8B04</paraID>
      <start>172</start>
      <end>175</end>
      <status>ignored</status>
      <modifiedWord/>
      <trackRevisions>false</trackRevisions>
    </reviewItem>
    <reviewItem>
      <errorID>f0ec14a8-177d-4522-8159-cbb6d3d44939</errorID>
      <errorWord>减少</errorWord>
      <group>L1_Word</group>
      <groupName>字词问题</groupName>
      <ability>L2_Typo</ability>
      <abilityName>字词错误</abilityName>
      <candidateList>
        <item>建设</item>
      </candidateList>
      <explain>〈动〉创立新事业；增加新设施：经济～｜～家园｜～现代化强国◇组织～｜思想～。</explain>
      <paraID>3E9505EF</paraID>
      <start>32</start>
      <end>34</end>
      <status>modified</status>
      <modifiedWord>建设</modifiedWord>
      <trackRevisions>false</trackRevisions>
    </reviewItem>
    <reviewItem>
      <errorID>bfb826b0-7090-4e2a-9eee-56e0cd08d4bc</errorID>
      <errorWord>“无废”城市</errorWord>
      <group>L1_Political</group>
      <groupName>政治性问题</groupName>
      <ability>L2_Keyword</ability>
      <abilityName>固定表述</abilityName>
      <candidateList>
        <item>“无废城市”</item>
      </candidateList>
      <explain>注意检查当前固定表述标点是否使用规范。</explain>
      <paraID>3E9505EF</paraID>
      <start>34</start>
      <end>40</end>
      <status>modified</status>
      <modifiedWord>“无废城市”</modifiedWord>
      <trackRevisions>false</trackRevisions>
    </reviewItem>
    <reviewItem>
      <errorID>de03ea64-3b28-4afc-99c7-b6411f8d786b</errorID>
      <errorWord>对为</errorWord>
      <group>L1_Word</group>
      <groupName>字词问题</groupName>
      <ability>L2_Typo</ability>
      <abilityName>字词错误</abilityName>
      <candidateList>
        <item>对</item>
      </candidateList>
      <explain>（對）duì❶回答：～答｜无言以～。❷〈动〉对待；对付：～事不～人｜～症下药｜刀～刀，枪～枪。❸〈动〉朝着；向着（常跟“着”）：～着镜子理理头发｜枪口～着敌人。❹二者相对；彼此相向：～调｜～流｜～立｜～抗。❺对面的；敌对的：～岸｜～方｜～手｜作～。❻〈动〉使两个东西配合或接触：～对子｜把门～上｜～个火儿。</explain>
      <paraID>2B976910</paraID>
      <start>21</start>
      <end>22</end>
      <status>modified</status>
      <modifiedWord>对</modifiedWord>
      <trackRevisions>false</trackRevisions>
    </reviewItem>
    <reviewItem>
      <errorID>21fb6cb7-d009-4359-b416-116a611b4aca</errorID>
      <errorWord>强</errorWord>
      <group>L1_Word</group>
      <groupName>字词问题</groupName>
      <ability>L2_Typo</ability>
      <abilityName>字词错误</abilityName>
      <candidateList>
        <item>强对</item>
      </candidateList>
      <explain/>
      <paraID>5E108239</paraID>
      <start>68</start>
      <end>69</end>
      <status>ignored</status>
      <modifiedWord/>
      <trackRevisions>false</trackRevisions>
    </reviewItem>
    <reviewItem>
      <errorID>135c4882-270f-4fcd-8766-1d178a1b1396</errorID>
      <errorWord>)</errorWord>
      <group>L1_Format</group>
      <groupName>格式问题</groupName>
      <ability>L2_HalfPunc_CN</ability>
      <abilityName/>
      <candidateList>
        <item>）</item>
      </candidateList>
      <explain>文本全半角错误。</explain>
      <paraID>613C921E</paraID>
      <start>30</start>
      <end>31</end>
      <status>modified</status>
      <modifiedWord>）</modifiedWord>
      <trackRevisions>false</trackRevisions>
    </reviewItem>
    <reviewItem>
      <errorID>121a578e-614d-46b5-8aa7-f7fc3cab3ed2</errorID>
      <errorWord>备</errorWord>
      <group>L1_Word</group>
      <groupName>字词问题</groupName>
      <ability>L2_Typo</ability>
      <abilityName>字词错误</abilityName>
      <candidateList>
        <item>备和</item>
      </candidateList>
      <explain/>
      <paraID>5EE8729E</paraID>
      <start>46</start>
      <end>47</end>
      <status>ignored</status>
      <modifiedWord/>
      <trackRevisions>false</trackRevisions>
    </reviewItem>
    <reviewItem>
      <errorID>8644e31d-2927-4059-9bb7-9d9d89b4821c</errorID>
      <errorWord>塑料塑料</errorWord>
      <group>L1_Word</group>
      <groupName>字词问题</groupName>
      <ability>L2_Typo</ability>
      <abilityName>字词错误</abilityName>
      <candidateList>
        <item>塑料</item>
      </candidateList>
      <explain/>
      <paraID>5D29C821</paraID>
      <start>74</start>
      <end>76</end>
      <status>modified</status>
      <modifiedWord>塑料</modifiedWord>
      <trackRevisions>false</trackRevisions>
    </reviewItem>
    <reviewItem>
      <errorID>7ed8c7f7-9cd0-49f1-b11e-24089cea7a0d</errorID>
      <errorWord>通过对</errorWord>
      <group>L1_Word</group>
      <groupName>字词问题</groupName>
      <ability>L2_Typo</ability>
      <abilityName>字词错误</abilityName>
      <candidateList>
        <item>通过</item>
      </candidateList>
      <explain>❶（－∥－）〈动〉从一端或一侧到另一端或另一侧；穿过：电流～导线｜队伍～了沙漠｜路太窄，汽车不能～。❷（－∥－）〈动〉议案等经过法定人数的同意而成立：～决议｜该提案以四分之三的多数票获得～。❸〈介〉以人或事物为媒介或手段而达到某种目的：～老艺人收集民间故事｜～座谈会征询意见。❹〈动〉征求有关的人或组织的同意或核准：～组织｜～领导｜这问题要～群众，才能做出决定。</explain>
      <paraID>5D29C821</paraID>
      <start>140</start>
      <end>142</end>
      <status>modified</status>
      <modifiedWord>通过</modifiedWord>
      <trackRevisions>false</trackRevisions>
    </reviewItem>
    <reviewItem>
      <errorID>36d43862-e807-4557-85b6-714d0d2457c6</errorID>
      <errorWord>)</errorWord>
      <group>L1_Format</group>
      <groupName>格式问题</groupName>
      <ability>L2_HalfPunc_CN</ability>
      <abilityName/>
      <candidateList>
        <item>）</item>
      </candidateList>
      <explain>文本全半角错误。</explain>
      <paraID>3F2E8647</paraID>
      <start>34</start>
      <end>35</end>
      <status>modified</status>
      <modifiedWord>）</modifiedWord>
      <trackRevisions>false</trackRevisions>
    </reviewItem>
    <reviewItem>
      <errorID>4488aea8-3f2d-4589-ad00-83db25cbaae6</errorID>
      <errorWord>程</errorWord>
      <group>L1_Word</group>
      <groupName>字词问题</groupName>
      <ability>L2_Typo</ability>
      <abilityName>字词错误</abilityName>
      <candidateList>
        <item>程中</item>
      </candidateList>
      <explain/>
      <paraID>177B3FBB</paraID>
      <start>9</start>
      <end>10</end>
      <status>ignored</status>
      <modifiedWord/>
      <trackRevisions>false</trackRevisions>
    </reviewItem>
    <reviewItem>
      <errorID>65363558-5189-4dae-a137-6ecf29cb7b06</errorID>
      <errorWord>，</errorWord>
      <group>L1_Word</group>
      <groupName>字词问题</groupName>
      <ability>L2_Typo</ability>
      <abilityName>字词错误</abilityName>
      <candidateList>
        <item>，在</item>
      </candidateList>
      <explain/>
      <paraID>4EBE7CB9</paraID>
      <start>21</start>
      <end>23</end>
      <status>modified</status>
      <modifiedWord>，在</modifiedWord>
      <trackRevisions>false</trackRevisions>
    </reviewItem>
    <reviewItem>
      <errorID>77c15ca6-019c-46e0-aab0-75f1dead01b6</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6074C257</paraID>
      <start>126</start>
      <end>127</end>
      <status>ignored</status>
      <modifiedWord/>
      <trackRevisions>false</trackRevisions>
    </reviewItem>
    <reviewItem>
      <errorID>dfdcd35c-473b-4bd7-8aab-5d6734454505</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6074C257</paraID>
      <start>165</start>
      <end>166</end>
      <status>ignored</status>
      <modifiedWord/>
      <trackRevisions>false</trackRevisions>
    </reviewItem>
    <reviewItem>
      <errorID>3e2663e5-29f9-4f36-b21b-70514728b0f7</errorID>
      <errorWord>大气污染防治法</errorWord>
      <group>L1_Knowledge</group>
      <groupName>知识性问题</groupName>
      <ability>L2_Knowledge</ability>
      <abilityName>其他知识</abilityName>
      <candidateList>
        <item>中华人民共和国大气污染防治法</item>
      </candidateList>
      <explain>当前法律法规名称使用简称，请注意是否应当使用全称。</explain>
      <paraID>176EAD40</paraID>
      <start>17</start>
      <end>24</end>
      <status>ignored</status>
      <modifiedWord/>
      <trackRevisions>false</trackRevisions>
    </reviewItem>
    <reviewItem>
      <errorID>76a9bf08-018e-41e7-8bf2-a50dbc1cb2a0</errorID>
      <errorWord>水污染防治法</errorWord>
      <group>L1_Knowledge</group>
      <groupName>知识性问题</groupName>
      <ability>L2_Knowledge</ability>
      <abilityName>其他知识</abilityName>
      <candidateList>
        <item>中华人民共和国水污染防治法</item>
      </candidateList>
      <explain>当前法律法规名称使用简称，请注意是否应当使用全称。</explain>
      <paraID>176EAD40</paraID>
      <start>26</start>
      <end>32</end>
      <status>ignored</status>
      <modifiedWord/>
      <trackRevisions>false</trackRevisions>
    </reviewItem>
    <reviewItem>
      <errorID>4ea30e30-31e7-4ddf-8845-c0980e0d35da</errorID>
      <errorWord>土壤污染防治法</errorWord>
      <group>L1_Knowledge</group>
      <groupName>知识性问题</groupName>
      <ability>L2_Knowledge</ability>
      <abilityName>其他知识</abilityName>
      <candidateList>
        <item>中华人民共和国土壤污染防治法</item>
      </candidateList>
      <explain>当前法律法规名称使用简称，请注意是否应当使用全称。</explain>
      <paraID>176EAD40</paraID>
      <start>34</start>
      <end>41</end>
      <status>ignored</status>
      <modifiedWord/>
      <trackRevisions>false</trackRevisions>
    </reviewItem>
    <reviewItem>
      <errorID>136038c6-2a18-49df-949b-6fb2bbde1dfc</errorID>
      <errorWord>制订了</errorWord>
      <group>L1_Word</group>
      <groupName>字词问题</groupName>
      <ability>L2_Typo</ability>
      <abilityName>字词错误</abilityName>
      <candidateList>
        <item>制定了</item>
      </candidateList>
      <explain/>
      <paraID>28C37C6C</paraID>
      <start>12</start>
      <end>15</end>
      <status>modified</status>
      <modifiedWord>制定了</modifiedWord>
      <trackRevisions>false</trackRevisions>
    </reviewItem>
    <reviewItem>
      <errorID>30612af7-008e-4e61-b1e2-42149dd7e9d3</errorID>
      <errorWord>(一)</errorWord>
      <group>L1_Format</group>
      <groupName>格式问题</groupName>
      <ability>L2_Ordinal</ability>
      <abilityName>序号格式</abilityName>
      <candidateList>
        <item>（一）</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6B24013C</paraID>
      <start>0</start>
      <end>3</end>
      <status>modified</status>
      <modifiedWord>（一）</modifiedWord>
      <trackRevisions>false</trackRevisions>
    </reviewItem>
    <reviewItem>
      <errorID>1df89bb1-d28d-4a9a-b847-d88499257a68</errorID>
      <errorWord>正</errorWord>
      <group>L1_Word</group>
      <groupName>字词问题</groupName>
      <ability>L2_Typo</ability>
      <abilityName>字词错误</abilityName>
      <candidateList>
        <item>正在</item>
      </candidateList>
      <explain/>
      <paraID>1A9F6C0C</paraID>
      <start>11</start>
      <end>13</end>
      <status>modified</status>
      <modifiedWord>正在</modifiedWord>
      <trackRevisions>false</trackRevisions>
    </reviewItem>
    <reviewItem>
      <errorID>a7d77c7a-84f9-4880-9245-61292aa2470b</errorID>
      <errorWord>(二)</errorWord>
      <group>L1_Format</group>
      <groupName>格式问题</groupName>
      <ability>L2_Ordinal</ability>
      <abilityName>序号格式</abilityName>
      <candidateList>
        <item>（二）</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64D682B4</paraID>
      <start>0</start>
      <end>3</end>
      <status>modified</status>
      <modifiedWord>（二）</modifiedWord>
      <trackRevisions>false</trackRevisions>
    </reviewItem>
    <reviewItem>
      <errorID>d8d67021-6610-4cd2-87b7-dc3b74f742a1</errorID>
      <errorWord>环保基础设施建设</errorWord>
      <group>L1_Political</group>
      <groupName>政治性问题</groupName>
      <ability>L2_Keyword</ability>
      <abilityName>固定表述</abilityName>
      <candidateList>
        <item>环境基础设施建设</item>
      </candidateList>
      <explain>词汇“环境基础设施建设”在特定场景下为固定表述形式，请确认此处的“环保基础设施建设”是否存在不当。</explain>
      <paraID>64D682B4</paraID>
      <start>125</start>
      <end>133</end>
      <status>ignored</status>
      <modifiedWord/>
      <trackRevisions>false</trackRevisions>
    </reviewItem>
    <reviewItem>
      <errorID>493d4354-5dc1-4f9a-af6e-4cfe69d58399</errorID>
      <errorWord>城乡结合部</errorWord>
      <group>L1_Word</group>
      <groupName>字词问题</groupName>
      <ability>L2_Typo</ability>
      <abilityName>字词错误</abilityName>
      <candidateList>
        <item>城乡接合部</item>
      </candidateList>
      <explain/>
      <paraID>64D682B4</paraID>
      <start>145</start>
      <end>150</end>
      <status>ignored</status>
      <modifiedWord/>
      <trackRevisions>false</trackRevisions>
    </reviewItem>
    <reviewItem>
      <errorID>edd4c145-9e23-4cf7-98dd-4fad82ebe100</errorID>
      <errorWord>(十)</errorWord>
      <group>L1_Format</group>
      <groupName>格式问题</groupName>
      <ability>L2_Ordinal</ability>
      <abilityName>序号格式</abilityName>
      <candidateList>
        <item>（十）</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34D1EB8B</paraID>
      <start>0</start>
      <end>3</end>
      <status>modified</status>
      <modifiedWord>（十）</modifiedWord>
      <trackRevisions>false</trackRevisions>
    </reviewItem>
    <reviewItem>
      <errorID>871d692a-20e6-42a0-a126-d33278ca6ce2</errorID>
      <errorWord>)</errorWord>
      <group>L1_Format</group>
      <groupName>格式问题</groupName>
      <ability>L2_HalfPunc_CN</ability>
      <abilityName/>
      <candidateList>
        <item>）</item>
      </candidateList>
      <explain>文本全半角错误。</explain>
      <paraID>663F698C</paraID>
      <start>128</start>
      <end>129</end>
      <status>modified</status>
      <modifiedWord>）</modifiedWord>
      <trackRevisions>false</trackRevisions>
    </reviewItem>
    <reviewItem>
      <errorID>8a6b0b33-9394-4f28-8a04-c35923987574</errorID>
      <errorWord>;</errorWord>
      <group>L1_Format</group>
      <groupName>格式问题</groupName>
      <ability>L2_HalfPunc_CN</ability>
      <abilityName/>
      <candidateList>
        <item>；</item>
      </candidateList>
      <explain>文本全半角错误。</explain>
      <paraID>5EC511FB</paraID>
      <start>14</start>
      <end>15</end>
      <status>modified</status>
      <modifiedWord>；</modifiedWord>
      <trackRevisions>false</trackRevisions>
    </reviewItem>
    <reviewItem>
      <errorID>113ba0cf-6f6f-46d0-ba23-d1475ea7a61c</errorID>
      <errorWord>)</errorWord>
      <group>L1_Format</group>
      <groupName>格式问题</groupName>
      <ability>L2_HalfPunc_CN</ability>
      <abilityName/>
      <candidateList>
        <item>）</item>
      </candidateList>
      <explain>文本全半角错误。</explain>
      <paraID>5EC511FB</paraID>
      <start>60</start>
      <end>61</end>
      <status>modified</status>
      <modifiedWord>）</modifiedWord>
      <trackRevisions>false</trackRevisions>
    </reviewItem>
    <reviewItem>
      <errorID>81d48d1d-c136-4411-8dd3-a69161911394</errorID>
      <errorWord>8005约</errorWord>
      <group>L1_Word</group>
      <groupName>字词问题</groupName>
      <ability>L2_Typo</ability>
      <abilityName>字词错误</abilityName>
      <candidateList>
        <item>8005</item>
      </candidateList>
      <explain/>
      <paraID>61BA187A</paraID>
      <start>7</start>
      <end>11</end>
      <status>modified</status>
      <modifiedWord>8005</modifiedWord>
      <trackRevisions>false</trackRevisions>
    </reviewItem>
    <reviewItem>
      <errorID>2f1864e5-41a7-4c57-adf8-cfcf510c9039</errorID>
      <errorWord>件</errorWord>
      <group>L1_Word</group>
      <groupName>字词问题</groupName>
      <ability>L2_Typo</ability>
      <abilityName>字词错误</abilityName>
      <candidateList>
        <item>见</item>
      </candidateList>
      <explain/>
      <paraID> 5C98113</paraID>
      <start>284</start>
      <end>285</end>
      <status>modified</status>
      <modifiedWord>见</modifiedWord>
      <trackRevisions>false</trackRevisions>
    </reviewItem>
    <reviewItem>
      <errorID>0683518f-2b8e-4428-a5fa-01fc118b4dcc</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1D111AB</paraID>
      <start>131</start>
      <end>132</end>
      <status>modified</status>
      <modifiedWord>—</modifiedWord>
      <trackRevisions>false</trackRevisions>
    </reviewItem>
    <reviewItem>
      <errorID>a5a899f9-acbf-47f5-be41-68f35a9ba405</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1D111AB</paraID>
      <start>140</start>
      <end>141</end>
      <status>modified</status>
      <modifiedWord>—</modifiedWord>
      <trackRevisions>false</trackRevisions>
    </reviewItem>
    <reviewItem>
      <errorID>ef35258a-b031-4331-946a-3490a82db280</errorID>
      <errorWord>各种类</errorWord>
      <group>L1_Word</group>
      <groupName>字词问题</groupName>
      <ability>L2_Typo</ability>
      <abilityName>字词错误</abilityName>
      <candidateList>
        <item>各种</item>
      </candidateList>
      <explain/>
      <paraID>1521F2E1</paraID>
      <start>124</start>
      <end>126</end>
      <status>modified</status>
      <modifiedWord>各种</modifiedWord>
      <trackRevisions>false</trackRevisions>
    </reviewItem>
    <reviewItem>
      <errorID>b6d0faf0-e0ac-478d-964d-52338071708a</errorID>
      <errorWord>(</errorWord>
      <group>L1_Format</group>
      <groupName>格式问题</groupName>
      <ability>L2_HalfPunc_CN</ability>
      <abilityName/>
      <candidateList>
        <item>（</item>
      </candidateList>
      <explain>文本全半角错误。</explain>
      <paraID>70645B1F</paraID>
      <start>81</start>
      <end>82</end>
      <status>modified</status>
      <modifiedWord>（</modifiedWord>
      <trackRevisions>false</trackRevisions>
    </reviewItem>
    <reviewItem>
      <errorID>e47014e0-25b6-4e9e-a9eb-2be629fe48ef</errorID>
      <errorWord>)</errorWord>
      <group>L1_Format</group>
      <groupName>格式问题</groupName>
      <ability>L2_HalfPunc_CN</ability>
      <abilityName/>
      <candidateList>
        <item>）</item>
      </candidateList>
      <explain>文本全半角错误。</explain>
      <paraID>70645B1F</paraID>
      <start>86</start>
      <end>87</end>
      <status>modified</status>
      <modifiedWord>）</modifiedWord>
      <trackRevisions>false</trackRevisions>
    </reviewItem>
    <reviewItem>
      <errorID>7045c6c9-7376-442e-8b03-09825e1d22b2</errorID>
      <errorWord>)</errorWord>
      <group>L1_Format</group>
      <groupName>格式问题</groupName>
      <ability>L2_HalfPunc_CN</ability>
      <abilityName/>
      <candidateList>
        <item>）</item>
      </candidateList>
      <explain>文本全半角错误。</explain>
      <paraID>238FC4D4</paraID>
      <start>6</start>
      <end>7</end>
      <status>modified</status>
      <modifiedWord>）</modifiedWord>
      <trackRevisions>false</trackRevisions>
    </reviewItem>
    <reviewItem>
      <errorID>b1138a8d-88c5-4545-b087-5afafa3180f3</errorID>
      <errorWord>(</errorWord>
      <group>L1_Format</group>
      <groupName>格式问题</groupName>
      <ability>L2_HalfPunc_CN</ability>
      <abilityName/>
      <candidateList>
        <item>（</item>
      </candidateList>
      <explain>文本全半角错误。</explain>
      <paraID>2BE6A45C</paraID>
      <start>3</start>
      <end>4</end>
      <status>modified</status>
      <modifiedWord>（</modifiedWord>
      <trackRevisions>false</trackRevisions>
    </reviewItem>
    <reviewItem>
      <errorID>d6867c82-a719-4fc8-9715-545cdaf83ce2</errorID>
      <errorWord>交有</errorWord>
      <group>L1_Word</group>
      <groupName>字词问题</groupName>
      <ability>L2_Typo</ability>
      <abilityName>字词错误</abilityName>
      <candidateList>
        <item>交由</item>
      </candidateList>
      <explain/>
      <paraID>7996F96C</paraID>
      <start>0</start>
      <end>2</end>
      <status>modified</status>
      <modifiedWord>交由</modifiedWord>
      <trackRevisions>false</trackRevisions>
    </reviewItem>
    <reviewItem>
      <errorID>72d517c6-ffdc-4730-b39e-f6cf371119f2</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37C63893</paraID>
      <start>27</start>
      <end>28</end>
      <status>modified</status>
      <modifiedWord>—</modifiedWord>
      <trackRevisions>false</trackRevisions>
    </reviewItem>
    <reviewItem>
      <errorID>55976054-ed3f-4bb0-917d-d6f2876fb22e</errorID>
      <errorWord>，</errorWord>
      <group>L1_Word</group>
      <groupName>字词问题</groupName>
      <ability>L2_Typo</ability>
      <abilityName>字词错误</abilityName>
      <candidateList>
        <item>，本</item>
      </candidateList>
      <explain/>
      <paraID>37C63893</paraID>
      <start>35</start>
      <end>37</end>
      <status>modified</status>
      <modifiedWord>，本</modifiedWord>
      <trackRevisions>false</trackRevisions>
    </reviewItem>
    <reviewItem>
      <errorID>fc47072e-508c-4ecc-97d7-94a802dcc07d</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37C63893</paraID>
      <start>76</start>
      <end>77</end>
      <status>modified</status>
      <modifiedWord>—</modifiedWord>
      <trackRevisions>false</trackRevisions>
    </reviewItem>
    <reviewItem>
      <errorID>00bf597f-9db3-4ba5-ac7a-07f3c7840b16</errorID>
      <errorWord>解</errorWord>
      <group>L1_Word</group>
      <groupName>字词问题</groupName>
      <ability>L2_Typo</ability>
      <abilityName>字词错误</abilityName>
      <candidateList>
        <item>解车</item>
      </candidateList>
      <explain/>
      <paraID>591C7E7A</paraID>
      <start>109</start>
      <end>111</end>
      <status>modified</status>
      <modifiedWord>解车</modifiedWord>
      <trackRevisions>false</trackRevisions>
    </reviewItem>
    <reviewItem>
      <errorID>7b758ebb-f8dd-453b-b91b-1f975fda7240</errorID>
      <errorWord>辆</errorWord>
      <group>L1_Word</group>
      <groupName>字词问题</groupName>
      <ability>L2_Typo</ability>
      <abilityName>字词错误</abilityName>
      <candidateList>
        <item>量</item>
      </candidateList>
      <explain/>
      <paraID>591C7E7A</paraID>
      <start>111</start>
      <end>112</end>
      <status>ignored</status>
      <modifiedWord/>
      <trackRevisions>false</trackRevisions>
    </reviewItem>
    <reviewItem>
      <errorID>939d8122-ccf5-4c10-8f9f-6330362a3318</errorID>
      <errorWord>：</errorWord>
      <group>L1_Format</group>
      <groupName>格式问题</groupName>
      <ability>L2_HalfPunc_CN</ability>
      <abilityName/>
      <candidateList>
        <item>:</item>
      </candidateList>
      <explain>文本全半角错误。</explain>
      <paraID>4B7DE5DD</paraID>
      <start>20</start>
      <end>21</end>
      <status>modified</status>
      <modifiedWord>:</modifiedWord>
      <trackRevisions>false</trackRevisions>
    </reviewItem>
    <reviewItem>
      <errorID>30aa99b9-5129-40c3-8463-d13750ceac70</errorID>
      <errorWord>(</errorWord>
      <group>L1_Format</group>
      <groupName>格式问题</groupName>
      <ability>L2_HalfPunc_CN</ability>
      <abilityName/>
      <candidateList>
        <item>（</item>
      </candidateList>
      <explain>文本全半角错误。</explain>
      <paraID>55B15FE6</paraID>
      <start>24</start>
      <end>25</end>
      <status>modified</status>
      <modifiedWord>（</modifiedWord>
      <trackRevisions>false</trackRevisions>
    </reviewItem>
    <reviewItem>
      <errorID>99e0fa4c-eb48-4210-91e1-a85b7d72033d</errorID>
      <errorWord>)</errorWord>
      <group>L1_Format</group>
      <groupName>格式问题</groupName>
      <ability>L2_HalfPunc_CN</ability>
      <abilityName/>
      <candidateList>
        <item>）</item>
      </candidateList>
      <explain>文本全半角错误。</explain>
      <paraID>55B15FE6</paraID>
      <start>28</start>
      <end>29</end>
      <status>modified</status>
      <modifiedWord>）</modifiedWord>
      <trackRevisions>false</trackRevisions>
    </reviewItem>
    <reviewItem>
      <errorID>f8ce5839-56da-4bf8-9798-9c125fa8edb5</errorID>
      <errorWord>：</errorWord>
      <group>L1_Format</group>
      <groupName>格式问题</groupName>
      <ability>L2_HalfPunc_CN</ability>
      <abilityName/>
      <candidateList>
        <item>:</item>
      </candidateList>
      <explain>文本全半角错误。</explain>
      <paraID>77E57CE7</paraID>
      <start>4</start>
      <end>5</end>
      <status>modified</status>
      <modifiedWord>:</modifiedWord>
      <trackRevisions>false</trackRevisions>
    </reviewItem>
    <reviewItem>
      <errorID>e424fb9e-4bf5-4426-8381-f62d7ffbb9e7</errorID>
      <errorWord>(</errorWord>
      <group>L1_Format</group>
      <groupName>格式问题</groupName>
      <ability>L2_HalfPunc_CN</ability>
      <abilityName/>
      <candidateList>
        <item>（</item>
      </candidateList>
      <explain>文本全半角错误。</explain>
      <paraID>77E57CE7</paraID>
      <start>13</start>
      <end>14</end>
      <status>modified</status>
      <modifiedWord>（</modifiedWord>
      <trackRevisions>false</trackRevisions>
    </reviewItem>
    <reviewItem>
      <errorID>329b33ca-8788-4969-b423-9e2c9d5d53d5</errorID>
      <errorWord>)</errorWord>
      <group>L1_Format</group>
      <groupName>格式问题</groupName>
      <ability>L2_HalfPunc_CN</ability>
      <abilityName/>
      <candidateList>
        <item>）</item>
      </candidateList>
      <explain>文本全半角错误。</explain>
      <paraID>77E57CE7</paraID>
      <start>21</start>
      <end>22</end>
      <status>modified</status>
      <modifiedWord>）</modifiedWord>
      <trackRevisions>false</trackRevisions>
    </reviewItem>
    <reviewItem>
      <errorID>ca3c8ddc-0b5b-4ca7-84e6-f59a2f876f5b</errorID>
      <errorWord>:</errorWord>
      <group>L1_Format</group>
      <groupName>格式问题</groupName>
      <ability>L2_HalfPunc_CN</ability>
      <abilityName/>
      <candidateList>
        <item>：</item>
      </candidateList>
      <explain>文本全半角错误。</explain>
      <paraID>3EEE7D89</paraID>
      <start>21</start>
      <end>22</end>
      <status>modified</status>
      <modifiedWord>：</modifiedWord>
      <trackRevisions>false</trackRevisions>
    </reviewItem>
    <reviewItem>
      <errorID>b23fe6ca-8c80-499d-ac23-216ef91deb29</errorID>
      <errorWord>(</errorWord>
      <group>L1_Format</group>
      <groupName>格式问题</groupName>
      <ability>L2_HalfPunc_CN</ability>
      <abilityName/>
      <candidateList>
        <item>（</item>
      </candidateList>
      <explain>文本全半角错误。</explain>
      <paraID>3EEE7D89</paraID>
      <start>53</start>
      <end>54</end>
      <status>modified</status>
      <modifiedWord>（</modifiedWord>
      <trackRevisions>false</trackRevisions>
    </reviewItem>
    <reviewItem>
      <errorID>e600674a-e8f2-49be-b4ce-256c24352e4f</errorID>
      <errorWord>)</errorWord>
      <group>L1_Format</group>
      <groupName>格式问题</groupName>
      <ability>L2_HalfPunc_CN</ability>
      <abilityName/>
      <candidateList>
        <item>）</item>
      </candidateList>
      <explain>文本全半角错误。</explain>
      <paraID>3EEE7D89</paraID>
      <start>58</start>
      <end>59</end>
      <status>modified</status>
      <modifiedWord>）</modifiedWord>
      <trackRevisions>false</trackRevisions>
    </reviewItem>
    <reviewItem>
      <errorID>3564ea74-12b3-4efc-8ed5-03dae20b6baa</errorID>
      <errorWord>：</errorWord>
      <group>L1_Format</group>
      <groupName>格式问题</groupName>
      <ability>L2_HalfPunc_CN</ability>
      <abilityName/>
      <candidateList>
        <item>:</item>
      </candidateList>
      <explain>文本全半角错误。</explain>
      <paraID>5399E788</paraID>
      <start>49</start>
      <end>50</end>
      <status>modified</status>
      <modifiedWord>:</modifiedWord>
      <trackRevisions>false</trackRevisions>
    </reviewItem>
    <reviewItem>
      <errorID>dc2282c5-ef37-4acc-b7a0-81e3480f2e9e</errorID>
      <errorWord>(</errorWord>
      <group>L1_Format</group>
      <groupName>格式问题</groupName>
      <ability>L2_HalfPunc_CN</ability>
      <abilityName/>
      <candidateList>
        <item>（</item>
      </candidateList>
      <explain>文本全半角错误。</explain>
      <paraID>5399E788</paraID>
      <start>57</start>
      <end>58</end>
      <status>modified</status>
      <modifiedWord>（</modifiedWord>
      <trackRevisions>false</trackRevisions>
    </reviewItem>
    <reviewItem>
      <errorID>7189b2ca-b0ef-4ccc-84dc-9571e6563fff</errorID>
      <errorWord>)</errorWord>
      <group>L1_Format</group>
      <groupName>格式问题</groupName>
      <ability>L2_HalfPunc_CN</ability>
      <abilityName/>
      <candidateList>
        <item>）</item>
      </candidateList>
      <explain>文本全半角错误。</explain>
      <paraID>5399E788</paraID>
      <start>62</start>
      <end>63</end>
      <status>modified</status>
      <modifiedWord>）</modifiedWord>
      <trackRevisions>false</trackRevisions>
    </reviewItem>
    <reviewItem>
      <errorID>80b22c90-edce-422f-92b5-407ae229c060</errorID>
      <errorWord>：</errorWord>
      <group>L1_Format</group>
      <groupName>格式问题</groupName>
      <ability>L2_HalfPunc_CN</ability>
      <abilityName/>
      <candidateList>
        <item>:</item>
      </candidateList>
      <explain>文本全半角错误。</explain>
      <paraID>5399E788</paraID>
      <start>68</start>
      <end>69</end>
      <status>modified</status>
      <modifiedWord>:</modifiedWord>
      <trackRevisions>false</trackRevisions>
    </reviewItem>
    <reviewItem>
      <errorID>e40bcb18-81d3-430e-86d0-a55ad4f4d675</errorID>
      <errorWord>)</errorWord>
      <group>L1_Format</group>
      <groupName>格式问题</groupName>
      <ability>L2_HalfPunc_CN</ability>
      <abilityName/>
      <candidateList>
        <item>）</item>
      </candidateList>
      <explain>文本全半角错误。</explain>
      <paraID>5399E788</paraID>
      <start>84</start>
      <end>85</end>
      <status>modified</status>
      <modifiedWord>）</modifiedWord>
      <trackRevisions>false</trackRevisions>
    </reviewItem>
    <reviewItem>
      <errorID>3bec7ed6-b65d-4deb-9028-88bd19a045a3</errorID>
      <errorWord>)</errorWord>
      <group>L1_Format</group>
      <groupName>格式问题</groupName>
      <ability>L2_HalfPunc_CN</ability>
      <abilityName/>
      <candidateList>
        <item>）</item>
      </candidateList>
      <explain>文本全半角错误。</explain>
      <paraID>5399E788</paraID>
      <start>101</start>
      <end>102</end>
      <status>modified</status>
      <modifiedWord>）</modifiedWord>
      <trackRevisions>false</trackRevisions>
    </reviewItem>
    <reviewItem>
      <errorID>20665999-509a-462b-b941-f45ba7bf21c9</errorID>
      <errorWord>鳄</errorWord>
      <group>L1_Word</group>
      <groupName>字词问题</groupName>
      <ability>L2_Typo</ability>
      <abilityName>字词错误</abilityName>
      <candidateList>
        <item>颚</item>
      </candidateList>
      <explain>存在发音相同字词的误用。</explain>
      <paraID>7C6717AF</paraID>
      <start>0</start>
      <end>1</end>
      <status>modified</status>
      <modifiedWord>颚</modifiedWord>
      <trackRevisions>false</trackRevisions>
    </reviewItem>
    <reviewItem>
      <errorID>19ae2a99-2552-400a-9e62-eef4824596df</errorID>
      <errorWord>计</errorWord>
      <group>L1_Word</group>
      <groupName>字词问题</groupName>
      <ability>L2_Typo</ability>
      <abilityName>字词错误</abilityName>
      <candidateList>
        <item>计算</item>
      </candidateList>
      <explain/>
      <paraID>51EE8BFF</paraID>
      <start>102</start>
      <end>103</end>
      <status>ignored</status>
      <modifiedWord/>
      <trackRevisions>false</trackRevisions>
    </reviewItem>
    <reviewItem>
      <errorID>19532ae3-788c-49e7-8e29-ed66b0c60b3d</errorID>
      <errorWord>其按</errorWord>
      <group>L1_Word</group>
      <groupName>字词问题</groupName>
      <ability>L2_Typo</ability>
      <abilityName>字词错误</abilityName>
      <candidateList>
        <item>其</item>
      </candidateList>
      <explain>词缀：极～｜尤～｜如～。</explain>
      <paraID>6F8E701E</paraID>
      <start>27</start>
      <end>28</end>
      <status>modified</status>
      <modifiedWord>其</modifiedWord>
      <trackRevisions>false</trackRevisions>
    </reviewItem>
    <reviewItem>
      <errorID>9eeae925-c96d-4bba-8897-cc7da5f64ab1</errorID>
      <errorWord>:</errorWord>
      <group>L1_Format</group>
      <groupName>格式问题</groupName>
      <ability>L2_HalfPunc_CN</ability>
      <abilityName/>
      <candidateList>
        <item>：</item>
      </candidateList>
      <explain>文本全半角错误。</explain>
      <paraID>3B70D00B</paraID>
      <start>12</start>
      <end>13</end>
      <status>modified</status>
      <modifiedWord>：</modifiedWord>
      <trackRevisions>false</trackRevisions>
    </reviewItem>
    <reviewItem>
      <errorID>28f3ff3b-d2d5-42c4-8780-b4f4c77bf5b0</errorID>
      <errorWord>:</errorWord>
      <group>L1_Format</group>
      <groupName>格式问题</groupName>
      <ability>L2_HalfPunc_CN</ability>
      <abilityName/>
      <candidateList>
        <item>：</item>
      </candidateList>
      <explain>文本全半角错误。</explain>
      <paraID>3B70D00B</paraID>
      <start>20</start>
      <end>21</end>
      <status>modified</status>
      <modifiedWord>：</modifiedWord>
      <trackRevisions>false</trackRevisions>
    </reviewItem>
    <reviewItem>
      <errorID>a748d8b8-6984-4156-b5b2-2f23fe0e692e</errorID>
      <errorWord>:</errorWord>
      <group>L1_Format</group>
      <groupName>格式问题</groupName>
      <ability>L2_HalfPunc_CN</ability>
      <abilityName/>
      <candidateList>
        <item>：</item>
      </candidateList>
      <explain>文本全半角错误。</explain>
      <paraID>3B70D00B</paraID>
      <start>30</start>
      <end>31</end>
      <status>modified</status>
      <modifiedWord>：</modifiedWord>
      <trackRevisions>false</trackRevisions>
    </reviewItem>
    <reviewItem>
      <errorID>2b75aa4c-cc8c-4707-b4cc-cb2a4669e20e</errorID>
      <errorWord>:</errorWord>
      <group>L1_Format</group>
      <groupName>格式问题</groupName>
      <ability>L2_HalfPunc_CN</ability>
      <abilityName/>
      <candidateList>
        <item>：</item>
      </candidateList>
      <explain>文本全半角错误。</explain>
      <paraID>3B70D00B</paraID>
      <start>38</start>
      <end>39</end>
      <status>modified</status>
      <modifiedWord>：</modifiedWord>
      <trackRevisions>false</trackRevisions>
    </reviewItem>
    <reviewItem>
      <errorID>2dfddbf8-c201-491d-ad87-ff32ce6f0e6c</errorID>
      <errorWord>;</errorWord>
      <group>L1_Format</group>
      <groupName>格式问题</groupName>
      <ability>L2_HalfPunc_CN</ability>
      <abilityName/>
      <candidateList>
        <item>；</item>
      </candidateList>
      <explain>文本全半角错误。</explain>
      <paraID>3B70D00B</paraID>
      <start>44</start>
      <end>45</end>
      <status>modified</status>
      <modifiedWord>；</modifiedWord>
      <trackRevisions>false</trackRevisions>
    </reviewItem>
    <reviewItem>
      <errorID>6f9c5737-bfd9-44d6-8490-2a55a4d0de1a</errorID>
      <errorWord>:</errorWord>
      <group>L1_Format</group>
      <groupName>格式问题</groupName>
      <ability>L2_HalfPunc_CN</ability>
      <abilityName/>
      <candidateList>
        <item>：</item>
      </candidateList>
      <explain>文本全半角错误。</explain>
      <paraID>3B70D00B</paraID>
      <start>47</start>
      <end>48</end>
      <status>modified</status>
      <modifiedWord>：</modifiedWord>
      <trackRevisions>false</trackRevisions>
    </reviewItem>
    <reviewItem>
      <errorID>c56c28cb-d9ed-435c-b717-ab0ae4d9ba63</errorID>
      <errorWord>;</errorWord>
      <group>L1_Format</group>
      <groupName>格式问题</groupName>
      <ability>L2_HalfPunc_CN</ability>
      <abilityName/>
      <candidateList>
        <item>；</item>
      </candidateList>
      <explain>文本全半角错误。</explain>
      <paraID>3B70D00B</paraID>
      <start>52</start>
      <end>53</end>
      <status>modified</status>
      <modifiedWord>；</modifiedWord>
      <trackRevisions>false</trackRevisions>
    </reviewItem>
    <reviewItem>
      <errorID>b242a4dc-aba1-4320-8347-ec69430af0b0</errorID>
      <errorWord>:</errorWord>
      <group>L1_Format</group>
      <groupName>格式问题</groupName>
      <ability>L2_HalfPunc_CN</ability>
      <abilityName/>
      <candidateList>
        <item>：</item>
      </candidateList>
      <explain>文本全半角错误。</explain>
      <paraID>3B70D00B</paraID>
      <start>55</start>
      <end>56</end>
      <status>modified</status>
      <modifiedWord>：</modifiedWord>
      <trackRevisions>false</trackRevisions>
    </reviewItem>
    <reviewItem>
      <errorID>6c286137-b5a1-42b3-a71b-89b1af5f69d3</errorID>
      <errorWord>:</errorWord>
      <group>L1_Format</group>
      <groupName>格式问题</groupName>
      <ability>L2_HalfPunc_CN</ability>
      <abilityName/>
      <candidateList>
        <item>：</item>
      </candidateList>
      <explain>文本全半角错误。</explain>
      <paraID>3B70D00B</paraID>
      <start>63</start>
      <end>64</end>
      <status>modified</status>
      <modifiedWord>：</modifiedWord>
      <trackRevisions>false</trackRevisions>
    </reviewItem>
    <reviewItem>
      <errorID>94669428-f285-4d17-955a-af14e389711c</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7C449A56</paraID>
      <start>0</start>
      <end>3</end>
      <status>modified</status>
      <modifiedWord>（6）</modifiedWord>
      <trackRevisions>false</trackRevisions>
    </reviewItem>
    <reviewItem>
      <errorID>d9152677-2e1d-4a03-8ea8-68ca1b537b36</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684DAA78</paraID>
      <start>0</start>
      <end>3</end>
      <status>modified</status>
      <modifiedWord>（7）</modifiedWord>
      <trackRevisions>false</trackRevisions>
    </reviewItem>
    <reviewItem>
      <errorID>9c39d4b0-433c-4988-8b01-feaf86e3e929</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2ADC9C0F</paraID>
      <start>59</start>
      <end>60</end>
      <status>modified</status>
      <modifiedWord>—</modifiedWord>
      <trackRevisions>false</trackRevisions>
    </reviewItem>
    <reviewItem>
      <errorID>be5f4795-ac4b-49c9-a033-64aae0ddae6f</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7838FB0F</paraID>
      <start>124</start>
      <end>125</end>
      <status>modified</status>
      <modifiedWord>—</modifiedWord>
      <trackRevisions>false</trackRevisions>
    </reviewItem>
    <reviewItem>
      <errorID>b455b0ae-f699-4d27-bbc0-10018bc24abd</errorID>
      <errorWord>厂房内</errorWord>
      <group>L1_Word</group>
      <groupName>字词问题</groupName>
      <ability>L2_Typo</ability>
      <abilityName>字词错误</abilityName>
      <candidateList>
        <item>厂房</item>
      </candidateList>
      <explain/>
      <paraID>24169B82</paraID>
      <start>22</start>
      <end>24</end>
      <status>modified</status>
      <modifiedWord>厂房</modifiedWord>
      <trackRevisions>false</trackRevisions>
    </reviewItem>
    <reviewItem>
      <errorID>530a1431-07a9-4803-97d9-b08bc6d98ad0</errorID>
      <errorWord>（</errorWord>
      <group>L1_Punc</group>
      <groupName>标点问题</groupName>
      <ability>L2_Punc_CN</ability>
      <abilityName/>
      <candidateList>
        <item/>
      </candidateList>
      <explain>同一形式括号套用。</explain>
      <paraID> 3EA3919</paraID>
      <start>14</start>
      <end>15</end>
      <status>ignored</status>
      <modifiedWord/>
      <trackRevisions>false</trackRevisions>
    </reviewItem>
    <reviewItem>
      <errorID>9015a6fc-4f8f-4219-b139-d2e0d6b3dacf</errorID>
      <errorWord>(</errorWord>
      <group>L1_Punc</group>
      <groupName>标点问题</groupName>
      <ability>L2_Punc_CN</ability>
      <abilityName/>
      <candidateList/>
      <explain>同一形式括号套用。</explain>
      <paraID> 3EA3919</paraID>
      <start>20</start>
      <end>21</end>
      <status>ignored</status>
      <modifiedWord/>
      <trackRevisions>false</trackRevisions>
    </reviewItem>
    <reviewItem>
      <errorID>1f16a0be-73f2-463d-9e1a-3a443e42ff43</errorID>
      <errorWord>)</errorWord>
      <group>L1_Punc</group>
      <groupName>标点问题</groupName>
      <ability>L2_Punc_CN</ability>
      <abilityName/>
      <candidateList/>
      <explain>同一形式括号套用。</explain>
      <paraID> 3EA3919</paraID>
      <start>22</start>
      <end>23</end>
      <status>ignored</status>
      <modifiedWord/>
      <trackRevisions>false</trackRevisions>
    </reviewItem>
    <reviewItem>
      <errorID>ecbf8c84-1bab-4197-a724-1eab415097a9</errorID>
      <errorWord>）</errorWord>
      <group>L1_Punc</group>
      <groupName>标点问题</groupName>
      <ability>L2_Punc_CN</ability>
      <abilityName/>
      <candidateList/>
      <explain>同一形式括号套用。</explain>
      <paraID> 3EA3919</paraID>
      <start>23</start>
      <end>24</end>
      <status>ignored</status>
      <modifiedWord/>
      <trackRevisions>false</trackRevisions>
    </reviewItem>
    <reviewItem>
      <errorID>9a5157c3-667c-4c6b-af66-bd1983cea07b</errorID>
      <errorWord>期</errorWord>
      <group>L1_Word</group>
      <groupName>字词问题</groupName>
      <ability>L2_Typo</ability>
      <abilityName>字词错误</abilityName>
      <candidateList>
        <item>期间</item>
      </candidateList>
      <explain>〈名〉某个时期里面：农忙～｜春节～｜抗战～。</explain>
      <paraID>6D233836</paraID>
      <start>41</start>
      <end>42</end>
      <status>ignored</status>
      <modifiedWord/>
      <trackRevisions>false</trackRevisions>
    </reviewItem>
    <reviewItem>
      <errorID>e543efc5-c43b-4548-8fb9-6c5e2c999171</errorID>
      <errorWord>铅</errorWord>
      <group>L1_Word</group>
      <groupName>字词问题</groupName>
      <ability>L2_Typo</ability>
      <abilityName>字词错误</abilityName>
      <candidateList>
        <item>铅酸</item>
      </candidateList>
      <explain/>
      <paraID>4D06A77B</paraID>
      <start>65</start>
      <end>66</end>
      <status>ignored</status>
      <modifiedWord/>
      <trackRevisions>false</trackRevisions>
    </reviewItem>
    <reviewItem>
      <errorID>4d1eed93-38dc-4212-b4d8-c9837b44a520</errorID>
      <errorWord>要</errorWord>
      <group>L1_Word</group>
      <groupName>字词问题</groupName>
      <ability>L2_Typo</ability>
      <abilityName>字词错误</abilityName>
      <candidateList>
        <item>要是</item>
      </candidateList>
      <explain/>
      <paraID>4D06A77B</paraID>
      <start>82</start>
      <end>84</end>
      <status>modified</status>
      <modifiedWord>要是</modifiedWord>
      <trackRevisions>false</trackRevisions>
    </reviewItem>
    <reviewItem>
      <errorID>2437b6cb-2b89-437a-837b-426355b30f9f</errorID>
      <errorWord>鄂式</errorWord>
      <group>L1_Word</group>
      <groupName>字词问题</groupName>
      <ability>L2_Typo</ability>
      <abilityName>字词错误</abilityName>
      <candidateList>
        <item>颚式</item>
      </candidateList>
      <explain/>
      <paraID>488504FE</paraID>
      <start>171</start>
      <end>173</end>
      <status>modified</status>
      <modifiedWord>颚式</modifiedWord>
      <trackRevisions>false</trackRevisions>
    </reviewItem>
    <reviewItem>
      <errorID>ca3f6cec-20bd-4426-b182-fdc89d8fa0c9</errorID>
      <errorWord>~</errorWord>
      <group>L1_Format</group>
      <groupName>格式问题</groupName>
      <ability>L2_HalfPunc_CN</ability>
      <abilityName/>
      <candidateList>
        <item>～</item>
      </candidateList>
      <explain>文本全半角错误。</explain>
      <paraID>7F062F8F</paraID>
      <start>70</start>
      <end>71</end>
      <status>modified</status>
      <modifiedWord>～</modifiedWord>
      <trackRevisions>false</trackRevisions>
    </reviewItem>
    <reviewItem>
      <errorID>44d65cd9-2420-46c4-8b65-3a8dc52ffbb6</errorID>
      <errorWord>~</errorWord>
      <group>L1_Format</group>
      <groupName>格式问题</groupName>
      <ability>L2_HalfPunc_CN</ability>
      <abilityName/>
      <candidateList>
        <item>～</item>
      </candidateList>
      <explain>文本全半角错误。</explain>
      <paraID>7F062F8F</paraID>
      <start>92</start>
      <end>93</end>
      <status>modified</status>
      <modifiedWord>～</modifiedWord>
      <trackRevisions>false</trackRevisions>
    </reviewItem>
    <reviewItem>
      <errorID>c4cd3ab4-e525-41e2-9072-611c727f32ee</errorID>
      <errorWord>鳄</errorWord>
      <group>L1_Word</group>
      <groupName>字词问题</groupName>
      <ability>L2_Typo</ability>
      <abilityName>字词错误</abilityName>
      <candidateList>
        <item>颚</item>
      </candidateList>
      <explain>存在发音相同字词的误用。</explain>
      <paraID>7301D046</paraID>
      <start>0</start>
      <end>1</end>
      <status>modified</status>
      <modifiedWord>颚</modifiedWord>
      <trackRevisions>false</trackRevisions>
    </reviewItem>
    <reviewItem>
      <errorID>9bfcb236-0c80-4995-a39a-eb05175a63be</errorID>
      <errorWord>编制物</errorWord>
      <group>L1_Word</group>
      <groupName>字词问题</groupName>
      <ability>L2_Typo</ability>
      <abilityName>字词错误</abilityName>
      <candidateList>
        <item>编织物</item>
      </candidateList>
      <explain/>
      <paraID>316D5709</paraID>
      <start>32</start>
      <end>35</end>
      <status>ignored</status>
      <modifiedWord/>
      <trackRevisions>false</trackRevisions>
    </reviewItem>
    <reviewItem>
      <errorID>7a303cae-ea70-466e-b0e4-9ba3315faaf9</errorID>
      <errorWord>排除</errorWord>
      <group>L1_Word</group>
      <groupName>字词问题</groupName>
      <ability>L2_Typo</ability>
      <abilityName>字词错误</abilityName>
      <candidateList>
        <item>排出</item>
      </candidateList>
      <explain/>
      <paraID>316D5709</paraID>
      <start>243</start>
      <end>245</end>
      <status>ignored</status>
      <modifiedWord/>
      <trackRevisions>false</trackRevisions>
    </reviewItem>
    <reviewItem>
      <errorID>b990fc94-23af-481e-851e-768d3780b133</errorID>
      <errorWord>排除</errorWord>
      <group>L1_Word</group>
      <groupName>字词问题</groupName>
      <ability>L2_Typo</ability>
      <abilityName>字词错误</abilityName>
      <candidateList>
        <item>排出</item>
      </candidateList>
      <explain/>
      <paraID>316D5709</paraID>
      <start>287</start>
      <end>289</end>
      <status>ignored</status>
      <modifiedWord/>
      <trackRevisions>false</trackRevisions>
    </reviewItem>
    <reviewItem>
      <errorID>dc5b1200-3ab4-4f15-98a5-87c7f5897678</errorID>
      <errorWord>(</errorWord>
      <group>L1_Format</group>
      <groupName>格式问题</groupName>
      <ability>L2_HalfPunc_CN</ability>
      <abilityName/>
      <candidateList>
        <item>（</item>
      </candidateList>
      <explain>文本全半角错误。</explain>
      <paraID>556CD1FA</paraID>
      <start>30</start>
      <end>31</end>
      <status>modified</status>
      <modifiedWord>（</modifiedWord>
      <trackRevisions>false</trackRevisions>
    </reviewItem>
    <reviewItem>
      <errorID>bf039242-57e3-4ddf-ac73-d604c8dbc66c</errorID>
      <errorWord>)</errorWord>
      <group>L1_Format</group>
      <groupName>格式问题</groupName>
      <ability>L2_HalfPunc_CN</ability>
      <abilityName/>
      <candidateList>
        <item>）</item>
      </candidateList>
      <explain>文本全半角错误。</explain>
      <paraID>556CD1FA</paraID>
      <start>41</start>
      <end>42</end>
      <status>modified</status>
      <modifiedWord>）</modifiedWord>
      <trackRevisions>false</trackRevisions>
    </reviewItem>
    <reviewItem>
      <errorID>f61a3713-3cf5-4b01-83d0-d11f135ba055</errorID>
      <errorWord>(</errorWord>
      <group>L1_Format</group>
      <groupName>格式问题</groupName>
      <ability>L2_HalfPunc_CN</ability>
      <abilityName/>
      <candidateList>
        <item>（</item>
      </candidateList>
      <explain>文本全半角错误。</explain>
      <paraID>556CD1FA</paraID>
      <start>54</start>
      <end>55</end>
      <status>modified</status>
      <modifiedWord>（</modifiedWord>
      <trackRevisions>false</trackRevisions>
    </reviewItem>
    <reviewItem>
      <errorID>56582385-3c14-4b19-895f-fbdb1f300c99</errorID>
      <errorWord>)</errorWord>
      <group>L1_Format</group>
      <groupName>格式问题</groupName>
      <ability>L2_HalfPunc_CN</ability>
      <abilityName/>
      <candidateList>
        <item>）</item>
      </candidateList>
      <explain>文本全半角错误。</explain>
      <paraID>556CD1FA</paraID>
      <start>62</start>
      <end>63</end>
      <status>modified</status>
      <modifiedWord>）</modifiedWord>
      <trackRevisions>false</trackRevisions>
    </reviewItem>
    <reviewItem>
      <errorID>fe13f013-4c2e-45fa-8dfc-acb1334f426c</errorID>
      <errorWord>)</errorWord>
      <group>L1_Format</group>
      <groupName>格式问题</groupName>
      <ability>L2_HalfPunc_CN</ability>
      <abilityName/>
      <candidateList>
        <item>）</item>
      </candidateList>
      <explain>文本全半角错误。</explain>
      <paraID>611835D5</paraID>
      <start>104</start>
      <end>105</end>
      <status>modified</status>
      <modifiedWord>）</modifiedWord>
      <trackRevisions>false</trackRevisions>
    </reviewItem>
    <reviewItem>
      <errorID>ffdc88ce-8bee-4162-9e48-1097632f7ab7</errorID>
      <errorWord>满足满足《</errorWord>
      <group>L1_Word</group>
      <groupName>字词问题</groupName>
      <ability>L2_Typo</ability>
      <abilityName>字词错误</abilityName>
      <candidateList>
        <item>满足《</item>
      </candidateList>
      <explain/>
      <paraID>1ABD588B</paraID>
      <start>16</start>
      <end>19</end>
      <status>modified</status>
      <modifiedWord>满足《</modifiedWord>
      <trackRevisions>false</trackRevisions>
    </reviewItem>
    <reviewItem>
      <errorID>5cd3f0b7-43b2-450a-8473-a203b1f2dddb</errorID>
      <errorWord>达</errorWord>
      <group>L1_Word</group>
      <groupName>字词问题</groupName>
      <ability>L2_Typo</ability>
      <abilityName>字词错误</abilityName>
      <candidateList>
        <item>达到</item>
      </candidateList>
      <explain>〈动〉到（多指抽象事物或程度）：达得到｜达不到｜目的没有～｜～国际水平。</explain>
      <paraID>2A9E6071</paraID>
      <start>62</start>
      <end>63</end>
      <status>ignored</status>
      <modifiedWord/>
      <trackRevisions>false</trackRevisions>
    </reviewItem>
    <reviewItem>
      <errorID>d80b32a2-219d-4b23-9833-eec3be7c9a9e</errorID>
      <errorWord>(</errorWord>
      <group>L1_Format</group>
      <groupName>格式问题</groupName>
      <ability>L2_HalfPunc_CN</ability>
      <abilityName/>
      <candidateList>
        <item>（</item>
      </candidateList>
      <explain>文本全半角错误。</explain>
      <paraID>5070EFD4</paraID>
      <start>24</start>
      <end>25</end>
      <status>modified</status>
      <modifiedWord>（</modifiedWord>
      <trackRevisions>false</trackRevisions>
    </reviewItem>
    <reviewItem>
      <errorID>d7efbc68-d3b5-4fda-93c5-97191f3bb335</errorID>
      <errorWord>，</errorWord>
      <group>L1_Format</group>
      <groupName>格式问题</groupName>
      <ability>L2_HalfPunc_CN</ability>
      <abilityName/>
      <candidateList>
        <item>,</item>
      </candidateList>
      <explain>文本全半角错误。</explain>
      <paraID>3B8FFED1</paraID>
      <start>10</start>
      <end>11</end>
      <status>modified</status>
      <modifiedWord>,</modifiedWord>
      <trackRevisions>false</trackRevisions>
    </reviewItem>
    <reviewItem>
      <errorID>1b3681cd-ac15-4511-b6e8-1fc04c9f3327</errorID>
      <errorWord>鳄</errorWord>
      <group>L1_Word</group>
      <groupName>字词问题</groupName>
      <ability>L2_Typo</ability>
      <abilityName>字词错误</abilityName>
      <candidateList>
        <item>颚</item>
      </candidateList>
      <explain>存在发音相同字词的误用。</explain>
      <paraID>1DBDC0B0</paraID>
      <start>0</start>
      <end>1</end>
      <status>modified</status>
      <modifiedWord>颚</modifiedWord>
      <trackRevisions>false</trackRevisions>
    </reviewItem>
    <reviewItem>
      <errorID>49685c3f-cb16-4de6-9f40-78e889a517bd</errorID>
      <errorWord>减震</errorWord>
      <group>L1_Word</group>
      <groupName>字词问题</groupName>
      <ability>L2_Typo</ability>
      <abilityName>字词错误</abilityName>
      <candidateList>
        <item>减振</item>
      </candidateList>
      <explain>存在发音相同字词的误用。</explain>
      <paraID>721BD9E0</paraID>
      <start>5</start>
      <end>7</end>
      <status>ignored</status>
      <modifiedWord/>
      <trackRevisions>false</trackRevisions>
    </reviewItem>
    <reviewItem>
      <errorID>2c99c7a6-270f-4b5d-bf7d-1220bf761313</errorID>
      <errorWord>)</errorWord>
      <group>L1_Format</group>
      <groupName>格式问题</groupName>
      <ability>L2_HalfPunc_CN</ability>
      <abilityName/>
      <candidateList>
        <item>）</item>
      </candidateList>
      <explain>文本全半角错误。</explain>
      <paraID>2F1A2DF4</paraID>
      <start>28</start>
      <end>29</end>
      <status>modified</status>
      <modifiedWord>）</modifiedWord>
      <trackRevisions>false</trackRevisions>
    </reviewItem>
    <reviewItem>
      <errorID>ef059f07-27b5-45a8-bf0d-ce8a7f9a656c</errorID>
      <errorWord>)</errorWord>
      <group>L1_Format</group>
      <groupName>格式问题</groupName>
      <ability>L2_HalfPunc_CN</ability>
      <abilityName/>
      <candidateList>
        <item>）</item>
      </candidateList>
      <explain>文本全半角错误。</explain>
      <paraID>76F0D3C4</paraID>
      <start>29</start>
      <end>30</end>
      <status>modified</status>
      <modifiedWord>）</modifiedWord>
      <trackRevisions>false</trackRevisions>
    </reviewItem>
    <reviewItem>
      <errorID>6d18ca56-b124-4a3e-b901-d829cf0b87f4</errorID>
      <errorWord>总辆</errorWord>
      <group>L1_Word</group>
      <groupName>字词问题</groupName>
      <ability>L2_Typo</ability>
      <abilityName>字词错误</abilityName>
      <candidateList>
        <item>总量</item>
      </candidateList>
      <explain/>
      <paraID>6B7F136D</paraID>
      <start>21</start>
      <end>23</end>
      <status>modified</status>
      <modifiedWord>总量</modifiedWord>
      <trackRevisions>false</trackRevisions>
    </reviewItem>
    <reviewItem>
      <errorID>5263bd76-ffac-4311-937f-85d0c5b313a3</errorID>
      <errorWord>程</errorWord>
      <group>L1_Word</group>
      <groupName>字词问题</groupName>
      <ability>L2_Typo</ability>
      <abilityName>字词错误</abilityName>
      <candidateList>
        <item>程中</item>
      </candidateList>
      <explain/>
      <paraID>29906BDF</paraID>
      <start>38</start>
      <end>40</end>
      <status>modified</status>
      <modifiedWord>程中</modifiedWord>
      <trackRevisions>false</trackRevisions>
    </reviewItem>
    <reviewItem>
      <errorID>3d7b8e05-1fa6-4c25-bc92-9739cd72f50c</errorID>
      <errorWord>10～20%</errorWord>
      <group>L1_Knowledge</group>
      <groupName>知识性问题</groupName>
      <ability>L2_Knowledge</ability>
      <abilityName>其他知识</abilityName>
      <candidateList>
        <item>10%～20%</item>
      </candidateList>
      <explain>1. “10～20%”中的单位“%”仅出现在后一个数字上，容易引起歧义；根据《现代汉语标点符号数字用法规范手册》，数字表示范围两边需要使用统一的格式。2. 根据标点国标 4.13 中的规则，数字、时间或地域连接符应使用（视觉上更长的）“—”或“～”。</explain>
      <paraID>29906BDF</paraID>
      <start>113</start>
      <end>120</end>
      <status>modified</status>
      <modifiedWord>10%～20%</modifiedWord>
      <trackRevisions>false</trackRevisions>
    </reviewItem>
    <reviewItem>
      <errorID>696b233a-fc8b-4ff9-9d38-cad74b7cf8d4</errorID>
      <errorWord>约60%左右</errorWord>
      <group>L1_Word</group>
      <groupName>字词问题</groupName>
      <ability>L2_Typo</ability>
      <abilityName>字词错误</abilityName>
      <candidateList>
        <item>约60%</item>
      </candidateList>
      <explain/>
      <paraID>4B42B293</paraID>
      <start>43</start>
      <end>47</end>
      <status>modified</status>
      <modifiedWord>约60%</modifiedWord>
      <trackRevisions>false</trackRevisions>
    </reviewItem>
    <reviewItem>
      <errorID>c3d2c2ae-ec25-458a-a230-3364820002f7</errorID>
      <errorWord>前</errorWord>
      <group>L1_Word</group>
      <groupName>字词问题</groupName>
      <ability>L2_Typo</ability>
      <abilityName>字词错误</abilityName>
      <candidateList>
        <item>前已</item>
      </candidateList>
      <explain/>
      <paraID>70D1FDA6</paraID>
      <start>20</start>
      <end>21</end>
      <status>ignored</status>
      <modifiedWord/>
      <trackRevisions>false</trackRevisions>
    </reviewItem>
    <reviewItem>
      <errorID>d1dfbb88-8f08-4a52-b7b1-038767f41c2a</errorID>
      <errorWord>(</errorWord>
      <group>L1_Format</group>
      <groupName>格式问题</groupName>
      <ability>L2_HalfPunc_CN</ability>
      <abilityName/>
      <candidateList>
        <item>（</item>
      </candidateList>
      <explain>文本全半角错误。</explain>
      <paraID>446F8D54</paraID>
      <start>51</start>
      <end>52</end>
      <status>modified</status>
      <modifiedWord>（</modifiedWord>
      <trackRevisions>false</trackRevisions>
    </reviewItem>
    <reviewItem>
      <errorID>cabf6604-eaea-4977-a6f1-d69c78eef59e</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446F8D54</paraID>
      <start>61</start>
      <end>62</end>
      <status>modified</status>
      <modifiedWord>—</modifiedWord>
      <trackRevisions>false</trackRevisions>
    </reviewItem>
    <reviewItem>
      <errorID>f98ff46d-1dd6-4bf0-9457-5466d26384e9</errorID>
      <errorWord>)</errorWord>
      <group>L1_Format</group>
      <groupName>格式问题</groupName>
      <ability>L2_HalfPunc_CN</ability>
      <abilityName/>
      <candidateList>
        <item>）</item>
      </candidateList>
      <explain>文本全半角错误。</explain>
      <paraID>446F8D54</paraID>
      <start>68</start>
      <end>69</end>
      <status>modified</status>
      <modifiedWord>）</modifiedWord>
      <trackRevisions>false</trackRevisions>
    </reviewItem>
    <reviewItem>
      <errorID>09359586-4550-4a37-8616-ba7458089a3b</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74BC9BF9</paraID>
      <start>125</start>
      <end>126</end>
      <status>modified</status>
      <modifiedWord>—</modifiedWord>
      <trackRevisions>false</trackRevisions>
    </reviewItem>
    <reviewItem>
      <errorID>604598bb-cdc1-424c-bcaf-e6117bce14f9</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74BC9BF9</paraID>
      <start>164</start>
      <end>165</end>
      <status>modified</status>
      <modifiedWord>—</modifiedWord>
      <trackRevisions>false</trackRevisions>
    </reviewItem>
    <reviewItem>
      <errorID>ef5b240b-0b54-4a88-abde-7f28b49bc745</errorID>
      <errorWord>接受</errorWord>
      <group>L1_Word</group>
      <groupName>字词问题</groupName>
      <ability>L2_Typo</ability>
      <abilityName>字词错误</abilityName>
      <candidateList>
        <item>接收</item>
      </candidateList>
      <explain>存在发音相同字词的误用。</explain>
      <paraID>5FC036BC</paraID>
      <start>87</start>
      <end>89</end>
      <status>ignored</status>
      <modifiedWord/>
      <trackRevisions>false</trackRevisions>
    </reviewItem>
    <reviewItem>
      <errorID>5ccf5aa8-a3fb-4459-85e9-c9ce04735f88</errorID>
      <errorWord>交通部</errorWord>
      <group>L1_Knowledge</group>
      <groupName>知识性问题</groupName>
      <ability>L2_Knowledge</ability>
      <abilityName>其他知识</abilityName>
      <candidateList>
        <item>交通运输部</item>
      </candidateList>
      <explain/>
      <paraID> 5090261</paraID>
      <start>38</start>
      <end>41</end>
      <status>ignored</status>
      <modifiedWord/>
      <trackRevisions>false</trackRevisions>
    </reviewItem>
    <reviewItem>
      <errorID>036efc7e-3c21-4d89-b8d0-89c0f0e8df7a</errorID>
      <errorWord>废废</errorWord>
      <group>L1_Word</group>
      <groupName>字词问题</groupName>
      <ability>L2_Typo</ability>
      <abilityName>字词错误</abilityName>
      <candidateList>
        <item>废</item>
      </candidateList>
      <explain/>
      <paraID> 40EAACF</paraID>
      <start>5</start>
      <end>6</end>
      <status>modified</status>
      <modifiedWord>废</modifiedWord>
      <trackRevisions>false</trackRevisions>
    </reviewItem>
    <reviewItem>
      <errorID>9da837f9-df60-40d6-ac10-9f3780634b27</errorID>
      <errorWord>能</errorWord>
      <group>L1_Word</group>
      <groupName>字词问题</groupName>
      <ability>L2_Typo</ability>
      <abilityName>字词错误</abilityName>
      <candidateList>
        <item>能在</item>
      </candidateList>
      <explain/>
      <paraID>6CB14083</paraID>
      <start>36</start>
      <end>37</end>
      <status>ignored</status>
      <modifiedWord/>
      <trackRevisions>false</trackRevisions>
    </reviewItem>
    <reviewItem>
      <errorID>7eb96ee8-4e36-486c-9633-f0781a9f53f2</errorID>
      <errorWord>对定期</errorWord>
      <group>L1_Word</group>
      <groupName>字词问题</groupName>
      <ability>L2_Typo</ability>
      <abilityName>字词错误</abilityName>
      <candidateList>
        <item>定期</item>
      </candidateList>
      <explain/>
      <paraID>6CB14083</paraID>
      <start>81</start>
      <end>83</end>
      <status>modified</status>
      <modifiedWord>定期</modifiedWord>
      <trackRevisions>false</trackRevisions>
    </reviewItem>
    <reviewItem>
      <errorID>95aadc46-fae5-4ffb-b8f5-9692b969749c</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369D5411</paraID>
      <start>19</start>
      <end>20</end>
      <status>modified</status>
      <modifiedWord>—</modifiedWord>
      <trackRevisions>false</trackRevisions>
    </reviewItem>
    <reviewItem>
      <errorID>599ccb86-84af-44d0-befe-b6b33863dffe</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369D5411</paraID>
      <start>55</start>
      <end>56</end>
      <status>modified</status>
      <modifiedWord>—</modifiedWord>
      <trackRevisions>false</trackRevisions>
    </reviewItem>
    <reviewItem>
      <errorID>69c9a924-2a79-4255-96ce-8803c5e87c80</errorID>
      <errorWord>JB</errorWord>
      <group>L1_Sensitive</group>
      <groupName>敏感问题</groupName>
      <ability>L2_Abuse</ability>
      <abilityName>侮辱言辞</abilityName>
      <candidateList/>
      <explain>【侮辱言辞】句中涉及侮辱性的敏感内容，请注意甄别。</explain>
      <paraID>638C48CC</paraID>
      <start>17</start>
      <end>19</end>
      <status>ignored</status>
      <modifiedWord/>
      <trackRevisions>false</trackRevisions>
    </reviewItem>
    <reviewItem>
      <errorID>e1a9c75e-8ed3-488b-bfe4-5c27d0aaa5f6</errorID>
      <errorWord>流入到</errorWord>
      <group>L1_Word</group>
      <groupName>字词问题</groupName>
      <ability>L2_Typo</ability>
      <abilityName>字词错误</abilityName>
      <candidateList>
        <item>流入</item>
      </candidateList>
      <explain/>
      <paraID>4F03565B</paraID>
      <start>111</start>
      <end>113</end>
      <status>modified</status>
      <modifiedWord>流入</modifiedWord>
      <trackRevisions>false</trackRevisions>
    </reviewItem>
    <reviewItem>
      <errorID>a65becf1-f2ce-4762-8a8d-d01dcc5e2272</errorID>
      <errorWord>-</errorWord>
      <group>L1_Punc</group>
      <groupName>标点问题</groupName>
      <ability>L2_Punc_CN</ability>
      <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C50250C</paraID>
      <start>51</start>
      <end>52</end>
      <status>modified</status>
      <modifiedWord>—</modifiedWord>
      <trackRevisions>false</trackRevisions>
    </reviewItem>
    <reviewItem>
      <errorID>40ec9e74-b628-4c51-a151-9d1c5caf71d5</errorID>
      <errorWord>电子</errorWord>
      <group>L1_Word</group>
      <groupName>字词问题</groupName>
      <ability>L2_Typo</ability>
      <abilityName>字词错误</abilityName>
      <candidateList>
        <item>电动</item>
      </candidateList>
      <explain/>
      <paraID>3BBD74FE</paraID>
      <start>13</start>
      <end>15</end>
      <status>modified</status>
      <modifiedWord>电动</modifiedWord>
      <trackRevisions>false</trackRevisions>
    </reviewItem>
    <reviewItem>
      <errorID>7e18871e-1970-4fb5-bce1-621670fdd546</errorID>
      <errorWord>立及</errorWord>
      <group>L1_Word</group>
      <groupName>字词问题</groupName>
      <ability>L2_Typo</ability>
      <abilityName>字词错误</abilityName>
      <candidateList>
        <item>立即</item>
      </candidateList>
      <explain/>
      <paraID>43CCD1A3</paraID>
      <start>84</start>
      <end>86</end>
      <status>modified</status>
      <modifiedWord>立即</modifiedWord>
      <trackRevisions>false</trackRevisions>
    </reviewItem>
    <reviewItem>
      <errorID>f7a7caf0-7415-4407-aac0-ea8f24de26a3</errorID>
      <errorWord>。。</errorWord>
      <group>L1_Punc</group>
      <groupName>标点问题</groupName>
      <ability>L2_Punc_CN</ability>
      <abilityName/>
      <candidateList>
        <item>。</item>
      </candidateList>
      <explain/>
      <paraID>420B22FB</paraID>
      <start>156</start>
      <end>157</end>
      <status>modified</status>
      <modifiedWord>。</modifiedWord>
      <trackRevisions>false</trackRevisions>
    </reviewItem>
    <reviewItem>
      <errorID>58dc9caf-00e9-4f85-868d-fe5caa6c2249</errorID>
      <errorWord>)</errorWord>
      <group>L1_Format</group>
      <groupName>格式问题</groupName>
      <ability>L2_HalfPunc_CN</ability>
      <abilityName/>
      <candidateList>
        <item>）</item>
      </candidateList>
      <explain>文本全半角错误。</explain>
      <paraID>31937303</paraID>
      <start>22</start>
      <end>23</end>
      <status>modified</status>
      <modifiedWord>）</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89f396c-8d61-49c7-852a-68e049d24336}">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84</Pages>
  <Words>16665</Words>
  <Characters>17338</Characters>
  <Lines>449</Lines>
  <Paragraphs>126</Paragraphs>
  <TotalTime>0</TotalTime>
  <ScaleCrop>false</ScaleCrop>
  <LinksUpToDate>false</LinksUpToDate>
  <CharactersWithSpaces>17414</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2023-05-19T02:07:00Z</dcterms:created>
  <dc:creator>Administrator</dc:creator>
  <cp:lastModifiedBy>薛凡</cp:lastModifiedBy>
  <cp:lastPrinted>2022-11-22T02:35:00Z</cp:lastPrinted>
  <dcterms:modified xsi:type="dcterms:W3CDTF">2026-06-08T01:25:28Z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B3FF5A7585994E5CAB57B11FFD7BAAC5_13</vt:lpwstr>
  </property>
  <property fmtid="{D5CDD505-2E9C-101B-9397-08002B2CF9AE}" pid="4" name="commondata">
    <vt:lpwstr>eyJoZGlkIjoiZjdiYjk5N2E5MWFiMzQ4ZTE5OTRkMzkxZjdmN2FkMGMifQ==</vt:lpwstr>
  </property>
  <property fmtid="{D5CDD505-2E9C-101B-9397-08002B2CF9AE}" pid="5" name="KSOTemplateDocerSaveRecord">
    <vt:lpwstr>eyJoZGlkIjoiMTlmNzczNGIyOGNmMDVjODI3YzlhZDU0N2QxYWZmNjkiLCJ1c2VySWQiOiIyNjgwMzAxNDMifQ==</vt:lpwstr>
  </property>
</Properties>
</file>