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458B">
      <w:pPr>
        <w:keepNext w:val="0"/>
        <w:keepLines w:val="0"/>
        <w:pageBreakBefore w:val="0"/>
        <w:widowControl w:val="0"/>
        <w:wordWrap/>
        <w:overflowPunct/>
        <w:topLinePunct w:val="0"/>
        <w:bidi w:val="0"/>
        <w:rPr>
          <w:rFonts w:hint="eastAsia" w:ascii="方正小标宋简体" w:eastAsia="方正小标宋简体"/>
          <w:sz w:val="44"/>
          <w:szCs w:val="44"/>
        </w:rPr>
      </w:pPr>
    </w:p>
    <w:p w14:paraId="3EB92C02">
      <w:pPr>
        <w:pStyle w:val="15"/>
        <w:keepNext w:val="0"/>
        <w:keepLines w:val="0"/>
        <w:pageBreakBefore w:val="0"/>
        <w:widowControl w:val="0"/>
        <w:wordWrap/>
        <w:overflowPunct/>
        <w:topLinePunct w:val="0"/>
        <w:bidi w:val="0"/>
        <w:ind w:left="0" w:leftChars="0" w:firstLine="0" w:firstLine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淮南市2026年空气质量提升</w:t>
      </w:r>
      <w:r>
        <w:rPr>
          <w:rFonts w:hint="eastAsia" w:ascii="Times New Roman" w:hAnsi="Times New Roman" w:eastAsia="方正小标宋简体"/>
          <w:sz w:val="44"/>
          <w:szCs w:val="44"/>
          <w:lang w:eastAsia="zh-CN"/>
        </w:rPr>
        <w:t>行动</w:t>
      </w:r>
      <w:r>
        <w:rPr>
          <w:rFonts w:hint="eastAsia" w:ascii="Times New Roman" w:hAnsi="Times New Roman" w:eastAsia="方正小标宋简体"/>
          <w:sz w:val="44"/>
          <w:szCs w:val="44"/>
        </w:rPr>
        <w:t>方案</w:t>
      </w:r>
    </w:p>
    <w:p w14:paraId="5383E065">
      <w:pPr>
        <w:pStyle w:val="15"/>
        <w:keepNext w:val="0"/>
        <w:keepLines w:val="0"/>
        <w:pageBreakBefore w:val="0"/>
        <w:widowControl w:val="0"/>
        <w:wordWrap/>
        <w:overflowPunct/>
        <w:topLinePunct w:val="0"/>
        <w:bidi w:val="0"/>
        <w:ind w:left="0" w:leftChars="0" w:firstLine="0" w:firstLineChars="0"/>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（征求意见稿）</w:t>
      </w:r>
    </w:p>
    <w:p w14:paraId="458A11E2">
      <w:pPr>
        <w:pStyle w:val="15"/>
        <w:keepNext w:val="0"/>
        <w:keepLines w:val="0"/>
        <w:pageBreakBefore w:val="0"/>
        <w:widowControl w:val="0"/>
        <w:wordWrap/>
        <w:overflowPunct/>
        <w:topLinePunct w:val="0"/>
        <w:bidi w:val="0"/>
        <w:ind w:firstLine="640" w:firstLineChars="200"/>
        <w:rPr>
          <w:rFonts w:hint="eastAsia"/>
        </w:rPr>
      </w:pPr>
    </w:p>
    <w:p w14:paraId="4C3AB2C3">
      <w:pPr>
        <w:pStyle w:val="15"/>
        <w:keepNext w:val="0"/>
        <w:keepLines w:val="0"/>
        <w:pageBreakBefore w:val="0"/>
        <w:widowControl w:val="0"/>
        <w:wordWrap/>
        <w:overflowPunct/>
        <w:topLinePunct w:val="0"/>
        <w:bidi w:val="0"/>
        <w:ind w:firstLine="640" w:firstLineChars="200"/>
      </w:pPr>
      <w:r>
        <w:rPr>
          <w:rFonts w:hint="eastAsia"/>
        </w:rPr>
        <w:t>为持续深入打好蓝天保卫战</w:t>
      </w:r>
      <w:r>
        <w:t>，</w:t>
      </w:r>
      <w:r>
        <w:rPr>
          <w:rFonts w:hint="eastAsia"/>
        </w:rPr>
        <w:t>认真抓好大气污染防治重点领域突出环境问题分类整治和重点行业深度治理，切实提升人民群众对美丽蓝天建设的获得感、幸福感</w:t>
      </w:r>
      <w:r>
        <w:t>，</w:t>
      </w:r>
      <w:r>
        <w:rPr>
          <w:rFonts w:hint="eastAsia"/>
        </w:rPr>
        <w:t>结合淮南实际，制定本方案</w:t>
      </w:r>
      <w:r>
        <w:t>。</w:t>
      </w:r>
    </w:p>
    <w:p w14:paraId="175630C2">
      <w:pPr>
        <w:keepNext w:val="0"/>
        <w:keepLines w:val="0"/>
        <w:pageBreakBefore w:val="0"/>
        <w:widowControl w:val="0"/>
        <w:numPr>
          <w:ilvl w:val="0"/>
          <w:numId w:val="2"/>
        </w:numPr>
        <w:wordWrap/>
        <w:overflowPunct/>
        <w:topLinePunct w:val="0"/>
        <w:bidi w:val="0"/>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工作目标</w:t>
      </w:r>
    </w:p>
    <w:p w14:paraId="6C9EB4FD">
      <w:pPr>
        <w:pStyle w:val="15"/>
        <w:keepNext w:val="0"/>
        <w:keepLines w:val="0"/>
        <w:pageBreakBefore w:val="0"/>
        <w:widowControl w:val="0"/>
        <w:wordWrap/>
        <w:overflowPunct/>
        <w:topLinePunct w:val="0"/>
        <w:bidi w:val="0"/>
        <w:ind w:firstLine="640" w:firstLineChars="200"/>
      </w:pPr>
      <w:r>
        <w:rPr>
          <w:rFonts w:hint="eastAsia"/>
        </w:rPr>
        <w:t>以空气质量新标准实施为契机，以改善空气质量为核心，以减污降碳试点城市和美丽蓝天建设项目为支撑，抓好</w:t>
      </w:r>
      <w:r>
        <w:t>细颗粒物（PM</w:t>
      </w:r>
      <w:r>
        <w:rPr>
          <w:vertAlign w:val="subscript"/>
        </w:rPr>
        <w:t>2.5</w:t>
      </w:r>
      <w:r>
        <w:t>）浓度降低主线</w:t>
      </w:r>
      <w:r>
        <w:rPr>
          <w:rFonts w:hint="eastAsia"/>
        </w:rPr>
        <w:t>任务</w:t>
      </w:r>
      <w:r>
        <w:t>，统筹推进工业源、移动源、面源污染综合</w:t>
      </w:r>
      <w:r>
        <w:rPr>
          <w:rFonts w:hint="eastAsia"/>
        </w:rPr>
        <w:t>治理，</w:t>
      </w:r>
      <w:r>
        <w:t>完成年度空气质量改善</w:t>
      </w:r>
      <w:r>
        <w:rPr>
          <w:rFonts w:hint="eastAsia"/>
        </w:rPr>
        <w:t>目标</w:t>
      </w:r>
      <w:r>
        <w:t>、污染物减排</w:t>
      </w:r>
      <w:r>
        <w:rPr>
          <w:rFonts w:hint="eastAsia"/>
        </w:rPr>
        <w:t>目标</w:t>
      </w:r>
      <w:r>
        <w:t>、重点项目建设</w:t>
      </w:r>
      <w:r>
        <w:rPr>
          <w:rFonts w:hint="eastAsia"/>
        </w:rPr>
        <w:t>绩效目标、“四整治一保障”工作目标，确保</w:t>
      </w:r>
      <w:r>
        <w:t>“十五五</w:t>
      </w:r>
      <w:r>
        <w:rPr>
          <w:rFonts w:hint="eastAsia"/>
        </w:rPr>
        <w:t>”空气质量持续改善良好开局。</w:t>
      </w:r>
    </w:p>
    <w:p w14:paraId="0442696E">
      <w:pPr>
        <w:pStyle w:val="15"/>
        <w:keepNext w:val="0"/>
        <w:keepLines w:val="0"/>
        <w:pageBreakBefore w:val="0"/>
        <w:widowControl w:val="0"/>
        <w:wordWrap/>
        <w:overflowPunct/>
        <w:topLinePunct w:val="0"/>
        <w:bidi w:val="0"/>
        <w:ind w:firstLine="643" w:firstLineChars="200"/>
        <w:rPr>
          <w:rFonts w:hint="eastAsia"/>
        </w:rPr>
      </w:pPr>
      <w:r>
        <w:rPr>
          <w:rFonts w:hint="eastAsia"/>
          <w:b/>
          <w:bCs/>
          <w:lang w:val="en-US" w:eastAsia="zh-CN"/>
        </w:rPr>
        <w:t>1.</w:t>
      </w:r>
      <w:r>
        <w:rPr>
          <w:rFonts w:hint="eastAsia"/>
          <w:b/>
          <w:bCs/>
        </w:rPr>
        <w:t>空气质量改善</w:t>
      </w:r>
      <w:r>
        <w:rPr>
          <w:b/>
          <w:bCs/>
        </w:rPr>
        <w:t>目标</w:t>
      </w:r>
      <w:r>
        <w:t>：</w:t>
      </w:r>
      <w:r>
        <w:rPr>
          <w:rFonts w:hint="eastAsia"/>
        </w:rPr>
        <w:t>完成PM</w:t>
      </w:r>
      <w:r>
        <w:rPr>
          <w:rFonts w:hint="eastAsia"/>
          <w:vertAlign w:val="subscript"/>
        </w:rPr>
        <w:t>2.5</w:t>
      </w:r>
      <w:r>
        <w:rPr>
          <w:rFonts w:hint="eastAsia"/>
        </w:rPr>
        <w:t>均值浓度36.2ug</w:t>
      </w:r>
      <w:r>
        <w:t>/</w:t>
      </w:r>
      <w:r>
        <w:rPr>
          <w:rFonts w:hint="eastAsia"/>
        </w:rPr>
        <w:t>m</w:t>
      </w:r>
      <w:r>
        <w:t>³</w:t>
      </w:r>
      <w:r>
        <w:rPr>
          <w:rFonts w:hint="eastAsia"/>
        </w:rPr>
        <w:t>约束性指标，力争将PM</w:t>
      </w:r>
      <w:r>
        <w:rPr>
          <w:rFonts w:hint="eastAsia"/>
          <w:vertAlign w:val="subscript"/>
        </w:rPr>
        <w:t>2.5</w:t>
      </w:r>
      <w:r>
        <w:rPr>
          <w:rFonts w:hint="eastAsia"/>
        </w:rPr>
        <w:t>均值浓度控制在35ug</w:t>
      </w:r>
      <w:r>
        <w:t>/</w:t>
      </w:r>
      <w:r>
        <w:rPr>
          <w:rFonts w:hint="eastAsia"/>
        </w:rPr>
        <w:t>m</w:t>
      </w:r>
      <w:r>
        <w:t>³</w:t>
      </w:r>
      <w:r>
        <w:rPr>
          <w:rFonts w:hint="eastAsia"/>
        </w:rPr>
        <w:t>以下。</w:t>
      </w:r>
      <w:r>
        <w:t>优良天数</w:t>
      </w:r>
      <w:r>
        <w:rPr>
          <w:rFonts w:hint="eastAsia"/>
        </w:rPr>
        <w:t>比例稳中有升，</w:t>
      </w:r>
      <w:r>
        <w:t>不出现重污染天气。</w:t>
      </w:r>
    </w:p>
    <w:p w14:paraId="34E12F12">
      <w:pPr>
        <w:pStyle w:val="15"/>
        <w:keepNext w:val="0"/>
        <w:keepLines w:val="0"/>
        <w:pageBreakBefore w:val="0"/>
        <w:widowControl w:val="0"/>
        <w:wordWrap/>
        <w:overflowPunct/>
        <w:topLinePunct w:val="0"/>
        <w:bidi w:val="0"/>
        <w:ind w:firstLine="643" w:firstLineChars="200"/>
        <w:rPr>
          <w:color w:val="FF0000"/>
        </w:rPr>
      </w:pPr>
      <w:r>
        <w:rPr>
          <w:rFonts w:hint="eastAsia"/>
          <w:b/>
          <w:bCs/>
          <w:lang w:val="en-US" w:eastAsia="zh-CN"/>
        </w:rPr>
        <w:t>2.</w:t>
      </w:r>
      <w:r>
        <w:rPr>
          <w:b/>
          <w:bCs/>
        </w:rPr>
        <w:t>污染物减排目标</w:t>
      </w:r>
      <w:r>
        <w:t>：完成工业源氮氧化物（NOx）减排</w:t>
      </w:r>
      <w:r>
        <w:rPr>
          <w:rFonts w:hint="eastAsia"/>
          <w:lang w:val="en-US" w:eastAsia="zh-CN"/>
        </w:rPr>
        <w:t>678</w:t>
      </w:r>
      <w:r>
        <w:t>吨、挥发性有机物（VOCs）减排</w:t>
      </w:r>
      <w:r>
        <w:rPr>
          <w:rFonts w:hint="eastAsia"/>
          <w:lang w:val="en-US" w:eastAsia="zh-CN"/>
        </w:rPr>
        <w:t>80</w:t>
      </w:r>
      <w:r>
        <w:t>吨</w:t>
      </w:r>
      <w:r>
        <w:rPr>
          <w:rFonts w:hint="eastAsia"/>
        </w:rPr>
        <w:t>。</w:t>
      </w:r>
      <w:r>
        <w:t>完成移动源、面源等领域年度减排任务，全面落实省下达的“十五五”减排要求。</w:t>
      </w:r>
    </w:p>
    <w:p w14:paraId="368ADE82">
      <w:pPr>
        <w:pStyle w:val="15"/>
        <w:keepNext w:val="0"/>
        <w:keepLines w:val="0"/>
        <w:pageBreakBefore w:val="0"/>
        <w:widowControl w:val="0"/>
        <w:wordWrap/>
        <w:overflowPunct/>
        <w:topLinePunct w:val="0"/>
        <w:bidi w:val="0"/>
        <w:ind w:firstLine="643" w:firstLineChars="200"/>
      </w:pPr>
      <w:r>
        <w:rPr>
          <w:rFonts w:hint="eastAsia"/>
          <w:b/>
          <w:bCs/>
          <w:lang w:val="en-US" w:eastAsia="zh-CN"/>
        </w:rPr>
        <w:t>3.</w:t>
      </w:r>
      <w:r>
        <w:rPr>
          <w:b/>
          <w:bCs/>
        </w:rPr>
        <w:t>“四整治一保障”目标</w:t>
      </w:r>
      <w:r>
        <w:t>：</w:t>
      </w:r>
      <w:r>
        <w:rPr>
          <w:rFonts w:hint="eastAsia"/>
        </w:rPr>
        <w:t>2026年</w:t>
      </w:r>
      <w:r>
        <w:rPr>
          <w:rFonts w:hint="eastAsia"/>
          <w:lang w:eastAsia="zh-CN"/>
        </w:rPr>
        <w:t>全市</w:t>
      </w:r>
      <w:r>
        <w:rPr>
          <w:rFonts w:hint="eastAsia"/>
        </w:rPr>
        <w:t>餐饮油烟、噪声</w:t>
      </w:r>
      <w:r>
        <w:rPr>
          <w:rFonts w:hint="eastAsia"/>
          <w:lang w:eastAsia="zh-CN"/>
        </w:rPr>
        <w:t>扰民</w:t>
      </w:r>
      <w:r>
        <w:rPr>
          <w:rFonts w:hint="eastAsia"/>
        </w:rPr>
        <w:t>、恶臭异味及道路扬尘问题投诉</w:t>
      </w:r>
      <w:r>
        <w:rPr>
          <w:rFonts w:hint="eastAsia"/>
          <w:lang w:eastAsia="zh-CN"/>
        </w:rPr>
        <w:t>信访</w:t>
      </w:r>
      <w:r>
        <w:rPr>
          <w:rFonts w:hint="eastAsia"/>
        </w:rPr>
        <w:t>数量</w:t>
      </w:r>
      <w:r>
        <w:rPr>
          <w:rFonts w:hint="eastAsia"/>
          <w:lang w:eastAsia="zh-CN"/>
        </w:rPr>
        <w:t>分别</w:t>
      </w:r>
      <w:r>
        <w:rPr>
          <w:rFonts w:hint="eastAsia"/>
        </w:rPr>
        <w:t>同比下降1</w:t>
      </w:r>
      <w:r>
        <w:rPr>
          <w:rFonts w:hint="eastAsia"/>
          <w:lang w:val="en-US" w:eastAsia="zh-CN"/>
        </w:rPr>
        <w:t>2</w:t>
      </w:r>
      <w:r>
        <w:rPr>
          <w:rFonts w:hint="eastAsia"/>
        </w:rPr>
        <w:t>%以上。</w:t>
      </w:r>
    </w:p>
    <w:p w14:paraId="18F891FE">
      <w:pPr>
        <w:pStyle w:val="15"/>
        <w:keepNext w:val="0"/>
        <w:keepLines w:val="0"/>
        <w:pageBreakBefore w:val="0"/>
        <w:widowControl w:val="0"/>
        <w:wordWrap/>
        <w:overflowPunct/>
        <w:topLinePunct w:val="0"/>
        <w:bidi w:val="0"/>
        <w:ind w:firstLine="643" w:firstLineChars="200"/>
      </w:pPr>
      <w:r>
        <w:rPr>
          <w:rFonts w:hint="eastAsia"/>
          <w:b/>
          <w:bCs/>
          <w:lang w:val="en-US" w:eastAsia="zh-CN"/>
        </w:rPr>
        <w:t>4.</w:t>
      </w:r>
      <w:r>
        <w:rPr>
          <w:b/>
          <w:bCs/>
        </w:rPr>
        <w:t>重点项目建设目标</w:t>
      </w:r>
      <w:r>
        <w:t>：完成</w:t>
      </w:r>
      <w:r>
        <w:rPr>
          <w:rFonts w:hint="eastAsia"/>
        </w:rPr>
        <w:t>美丽蓝天建设项目2026年建设任务</w:t>
      </w:r>
      <w:r>
        <w:rPr>
          <w:rFonts w:hint="eastAsia"/>
          <w:lang w:eastAsia="zh-CN"/>
        </w:rPr>
        <w:t>，达成年度绩效目标</w:t>
      </w:r>
      <w:r>
        <w:rPr>
          <w:rFonts w:hint="eastAsia"/>
        </w:rPr>
        <w:t>。</w:t>
      </w:r>
    </w:p>
    <w:p w14:paraId="29FE8DA4">
      <w:pPr>
        <w:keepNext w:val="0"/>
        <w:keepLines w:val="0"/>
        <w:pageBreakBefore w:val="0"/>
        <w:widowControl w:val="0"/>
        <w:numPr>
          <w:ilvl w:val="0"/>
          <w:numId w:val="2"/>
        </w:numPr>
        <w:wordWrap/>
        <w:overflowPunct/>
        <w:topLinePunct w:val="0"/>
        <w:bidi w:val="0"/>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重点任务</w:t>
      </w:r>
    </w:p>
    <w:p w14:paraId="753B3690">
      <w:pPr>
        <w:pStyle w:val="15"/>
        <w:keepNext w:val="0"/>
        <w:keepLines w:val="0"/>
        <w:pageBreakBefore w:val="0"/>
        <w:widowControl w:val="0"/>
        <w:wordWrap/>
        <w:overflowPunct/>
        <w:topLinePunct w:val="0"/>
        <w:bidi w:val="0"/>
        <w:ind w:firstLine="643" w:firstLineChars="200"/>
        <w:outlineLvl w:val="1"/>
        <w:rPr>
          <w:b/>
          <w:bCs/>
        </w:rPr>
      </w:pPr>
      <w:r>
        <w:rPr>
          <w:b/>
          <w:bCs/>
        </w:rPr>
        <w:t>（一）工业源污染综合整治</w:t>
      </w:r>
    </w:p>
    <w:p w14:paraId="1E51675D">
      <w:pPr>
        <w:pStyle w:val="15"/>
        <w:keepNext w:val="0"/>
        <w:keepLines w:val="0"/>
        <w:pageBreakBefore w:val="0"/>
        <w:widowControl w:val="0"/>
        <w:wordWrap/>
        <w:overflowPunct/>
        <w:topLinePunct w:val="0"/>
        <w:bidi w:val="0"/>
        <w:ind w:firstLine="640" w:firstLineChars="200"/>
      </w:pPr>
      <w:r>
        <w:t>以重点行业深度治理、绩效等级提升、</w:t>
      </w:r>
      <w:r>
        <w:rPr>
          <w:rFonts w:hint="eastAsia"/>
          <w:lang w:eastAsia="zh-CN"/>
        </w:rPr>
        <w:t>产业</w:t>
      </w:r>
      <w:r>
        <w:t>集群综合</w:t>
      </w:r>
      <w:r>
        <w:rPr>
          <w:rFonts w:hint="eastAsia"/>
        </w:rPr>
        <w:t>整治</w:t>
      </w:r>
      <w:r>
        <w:t>为</w:t>
      </w:r>
      <w:r>
        <w:rPr>
          <w:rFonts w:hint="eastAsia"/>
        </w:rPr>
        <w:t>抓手</w:t>
      </w:r>
      <w:r>
        <w:t>，全面压实企业治污主体责任，从源头削减工业污染物排放。</w:t>
      </w:r>
    </w:p>
    <w:p w14:paraId="6C9980FE">
      <w:pPr>
        <w:pStyle w:val="15"/>
        <w:keepNext w:val="0"/>
        <w:keepLines w:val="0"/>
        <w:pageBreakBefore w:val="0"/>
        <w:widowControl w:val="0"/>
        <w:numPr>
          <w:ilvl w:val="0"/>
          <w:numId w:val="0"/>
        </w:numPr>
        <w:wordWrap/>
        <w:overflowPunct/>
        <w:topLinePunct w:val="0"/>
        <w:bidi w:val="0"/>
        <w:ind w:firstLine="643" w:firstLineChars="200"/>
        <w:rPr>
          <w:b/>
          <w:bCs/>
        </w:rPr>
      </w:pPr>
      <w:r>
        <w:rPr>
          <w:rFonts w:hint="eastAsia"/>
          <w:b/>
          <w:bCs/>
          <w:lang w:val="en-US" w:eastAsia="zh-CN"/>
        </w:rPr>
        <w:t>1.</w:t>
      </w:r>
      <w:r>
        <w:rPr>
          <w:rFonts w:hint="eastAsia"/>
          <w:b/>
          <w:bCs/>
        </w:rPr>
        <w:t>开展</w:t>
      </w:r>
      <w:r>
        <w:rPr>
          <w:b/>
          <w:bCs/>
        </w:rPr>
        <w:t>低效产能与设施淘汰退出</w:t>
      </w:r>
      <w:r>
        <w:rPr>
          <w:rFonts w:hint="eastAsia"/>
          <w:b/>
          <w:bCs/>
        </w:rPr>
        <w:t>。</w:t>
      </w:r>
      <w:r>
        <w:rPr>
          <w:rFonts w:hint="eastAsia"/>
        </w:rPr>
        <w:t>加快高污染、高能耗产能产线淘汰退出。淘汰关停舜岳水泥熟料生产线</w:t>
      </w:r>
      <w:r>
        <w:rPr>
          <w:rFonts w:hint="eastAsia"/>
          <w:lang w:eastAsia="zh-CN"/>
        </w:rPr>
        <w:t>、</w:t>
      </w:r>
      <w:r>
        <w:rPr>
          <w:rFonts w:hint="eastAsia"/>
        </w:rPr>
        <w:t>翔辰机械高能耗机械铸造生产线，加快亚临界燃煤机组、老旧燃煤发电机组淘汰或转为应急备用。开展砖瓦窑行业淘汰整合准备工作。（</w:t>
      </w:r>
      <w:r>
        <w:rPr>
          <w:rFonts w:hint="eastAsia" w:ascii="楷体" w:hAnsi="楷体" w:eastAsia="楷体" w:cs="楷体"/>
        </w:rPr>
        <w:t>责任单位：市发改委、市工信局、市生态环境局</w:t>
      </w:r>
      <w:r>
        <w:rPr>
          <w:rFonts w:hint="eastAsia" w:ascii="楷体" w:hAnsi="楷体" w:eastAsia="楷体" w:cs="楷体"/>
          <w:lang w:eastAsia="zh-CN"/>
        </w:rPr>
        <w:t>、相关县区政府、园区管委会，各项任务均需各县区政府、园区管委会落实，以下不再重复列出</w:t>
      </w:r>
      <w:r>
        <w:rPr>
          <w:rFonts w:hint="eastAsia"/>
        </w:rPr>
        <w:t>）</w:t>
      </w:r>
    </w:p>
    <w:p w14:paraId="640FB744">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2.</w:t>
      </w:r>
      <w:r>
        <w:rPr>
          <w:b/>
          <w:bCs/>
        </w:rPr>
        <w:t>推进重点行业超低排放与深度治理</w:t>
      </w:r>
      <w:r>
        <w:t>。</w:t>
      </w:r>
      <w:r>
        <w:rPr>
          <w:rFonts w:hint="eastAsia"/>
        </w:rPr>
        <w:t>对照《煤电机组全负荷脱硝改造技术指南》和《燃煤锅炉超低排放评估监测技术指南》的要求，优先推动排放强度大的燃煤发电机组实施全流程超低排放、全负荷脱硝改造。推动</w:t>
      </w:r>
      <w:r>
        <w:t>淮南皖能环保电力有限公司</w:t>
      </w:r>
      <w:r>
        <w:rPr>
          <w:rFonts w:hint="eastAsia"/>
        </w:rPr>
        <w:t>、</w:t>
      </w:r>
      <w:r>
        <w:t>国能寿</w:t>
      </w:r>
      <w:bookmarkStart w:id="0" w:name="_GoBack"/>
      <w:r>
        <w:t>县生物发电有限公司生物质</w:t>
      </w:r>
      <w:r>
        <w:rPr>
          <w:rFonts w:hint="eastAsia"/>
        </w:rPr>
        <w:t>锅炉深度治理</w:t>
      </w:r>
      <w:r>
        <w:t>，污染物排放</w:t>
      </w:r>
      <w:r>
        <w:rPr>
          <w:rFonts w:hint="eastAsia"/>
        </w:rPr>
        <w:t>提前达到</w:t>
      </w:r>
      <w:bookmarkEnd w:id="0"/>
      <w:r>
        <w:rPr>
          <w:rFonts w:hint="eastAsia"/>
        </w:rPr>
        <w:t>即将实施的</w:t>
      </w:r>
      <w:r>
        <w:t>安徽省</w:t>
      </w:r>
      <w:r>
        <w:rPr>
          <w:rFonts w:hint="eastAsia"/>
          <w:lang w:eastAsia="zh-CN"/>
        </w:rPr>
        <w:t>地方标准</w:t>
      </w:r>
      <w:r>
        <w:t>。</w:t>
      </w:r>
      <w:r>
        <w:rPr>
          <w:rFonts w:hint="eastAsia"/>
        </w:rPr>
        <w:t>（</w:t>
      </w:r>
      <w:r>
        <w:rPr>
          <w:rFonts w:hint="eastAsia" w:ascii="楷体" w:hAnsi="楷体" w:eastAsia="楷体" w:cs="楷体"/>
        </w:rPr>
        <w:t>责任单位：市生态环境局、市发改委</w:t>
      </w:r>
      <w:r>
        <w:rPr>
          <w:rFonts w:hint="eastAsia"/>
        </w:rPr>
        <w:t>）</w:t>
      </w:r>
    </w:p>
    <w:p w14:paraId="747FAD48">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3.</w:t>
      </w:r>
      <w:r>
        <w:rPr>
          <w:b/>
          <w:bCs/>
        </w:rPr>
        <w:t>深化重点行业环保绩效等级提升</w:t>
      </w:r>
      <w:r>
        <w:t>。</w:t>
      </w:r>
      <w:r>
        <w:rPr>
          <w:rFonts w:hint="eastAsia"/>
          <w:lang w:eastAsia="zh-CN"/>
        </w:rPr>
        <w:t>结合美丽蓝天工业源治理项目实施，深入排查挖掘重点行业减排潜力，明确重点行业环保治理水平提升路径。全面规范推进水泥、</w:t>
      </w:r>
      <w:r>
        <w:rPr>
          <w:rFonts w:hint="eastAsia"/>
        </w:rPr>
        <w:t>建材</w:t>
      </w:r>
      <w:r>
        <w:rPr>
          <w:rFonts w:hint="eastAsia"/>
          <w:lang w:eastAsia="zh-CN"/>
        </w:rPr>
        <w:t>、</w:t>
      </w:r>
      <w:r>
        <w:rPr>
          <w:rFonts w:hint="eastAsia"/>
        </w:rPr>
        <w:t>化工</w:t>
      </w:r>
      <w:r>
        <w:rPr>
          <w:rFonts w:hint="eastAsia"/>
          <w:lang w:eastAsia="zh-CN"/>
        </w:rPr>
        <w:t>、</w:t>
      </w:r>
      <w:r>
        <w:rPr>
          <w:rFonts w:hint="eastAsia"/>
        </w:rPr>
        <w:t>铸造</w:t>
      </w:r>
      <w:r>
        <w:rPr>
          <w:rFonts w:hint="eastAsia"/>
          <w:lang w:eastAsia="zh-CN"/>
        </w:rPr>
        <w:t>、</w:t>
      </w:r>
      <w:r>
        <w:rPr>
          <w:rFonts w:hint="eastAsia"/>
        </w:rPr>
        <w:t>医药</w:t>
      </w:r>
      <w:r>
        <w:rPr>
          <w:rFonts w:hint="eastAsia"/>
          <w:lang w:eastAsia="zh-CN"/>
        </w:rPr>
        <w:t>制造</w:t>
      </w:r>
      <w:r>
        <w:rPr>
          <w:rFonts w:hint="eastAsia"/>
        </w:rPr>
        <w:t>、工业涂装、包装印刷</w:t>
      </w:r>
      <w:r>
        <w:rPr>
          <w:rFonts w:hint="eastAsia"/>
          <w:lang w:eastAsia="zh-CN"/>
        </w:rPr>
        <w:t>、</w:t>
      </w:r>
      <w:r>
        <w:rPr>
          <w:rFonts w:hint="eastAsia"/>
        </w:rPr>
        <w:t>家具及人造板制造</w:t>
      </w:r>
      <w:r>
        <w:rPr>
          <w:rFonts w:hint="eastAsia"/>
          <w:lang w:eastAsia="zh-CN"/>
        </w:rPr>
        <w:t>等行业</w:t>
      </w:r>
      <w:r>
        <w:rPr>
          <w:rFonts w:hint="eastAsia"/>
        </w:rPr>
        <w:t>环保绩效等级提升，2026年底至少</w:t>
      </w:r>
      <w:r>
        <w:t>完成10家以上</w:t>
      </w:r>
      <w:r>
        <w:rPr>
          <w:rFonts w:hint="eastAsia"/>
          <w:lang w:eastAsia="zh-CN"/>
        </w:rPr>
        <w:t>先进</w:t>
      </w:r>
      <w:r>
        <w:t>绩效</w:t>
      </w:r>
      <w:r>
        <w:rPr>
          <w:rFonts w:hint="eastAsia"/>
          <w:lang w:eastAsia="zh-CN"/>
        </w:rPr>
        <w:t>等级企业创建</w:t>
      </w:r>
      <w:r>
        <w:t>。</w:t>
      </w:r>
      <w:r>
        <w:rPr>
          <w:rFonts w:hint="eastAsia"/>
        </w:rPr>
        <w:t>（</w:t>
      </w:r>
      <w:r>
        <w:rPr>
          <w:rFonts w:hint="eastAsia" w:ascii="楷体" w:hAnsi="楷体" w:eastAsia="楷体" w:cs="楷体"/>
        </w:rPr>
        <w:t>责任单位：市生态环境局</w:t>
      </w:r>
      <w:r>
        <w:rPr>
          <w:rFonts w:hint="eastAsia" w:ascii="楷体" w:hAnsi="楷体" w:eastAsia="楷体" w:cs="楷体"/>
          <w:lang w:eastAsia="zh-CN"/>
        </w:rPr>
        <w:t>、市工信局、市住建局</w:t>
      </w:r>
      <w:r>
        <w:rPr>
          <w:rFonts w:hint="eastAsia"/>
        </w:rPr>
        <w:t>）</w:t>
      </w:r>
    </w:p>
    <w:p w14:paraId="11FCD0DD">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4.</w:t>
      </w:r>
      <w:r>
        <w:rPr>
          <w:b/>
          <w:bCs/>
        </w:rPr>
        <w:t>开展产业集群</w:t>
      </w:r>
      <w:r>
        <w:rPr>
          <w:rFonts w:hint="eastAsia"/>
          <w:b/>
          <w:bCs/>
          <w:lang w:eastAsia="zh-CN"/>
        </w:rPr>
        <w:t>治理</w:t>
      </w:r>
      <w:r>
        <w:rPr>
          <w:b/>
          <w:bCs/>
        </w:rPr>
        <w:t>与“绿岛”建设</w:t>
      </w:r>
      <w:r>
        <w:t>。</w:t>
      </w:r>
      <w:r>
        <w:rPr>
          <w:rFonts w:hint="eastAsia"/>
          <w:lang w:eastAsia="zh-CN"/>
        </w:rPr>
        <w:t>通过抓好突出环境问题整改、主动实施产业集群治理、推动企业环保提升等方式</w:t>
      </w:r>
      <w:r>
        <w:t>推进煤系固废利用产业</w:t>
      </w:r>
      <w:r>
        <w:rPr>
          <w:rFonts w:hint="eastAsia"/>
          <w:lang w:eastAsia="zh-CN"/>
        </w:rPr>
        <w:t>深度整治。加快布局</w:t>
      </w:r>
      <w:r>
        <w:t>集中喷涂</w:t>
      </w:r>
      <w:r>
        <w:rPr>
          <w:rFonts w:hint="eastAsia"/>
          <w:lang w:eastAsia="zh-CN"/>
        </w:rPr>
        <w:t>、吸附剂</w:t>
      </w:r>
      <w:r>
        <w:t>再生</w:t>
      </w:r>
      <w:r>
        <w:rPr>
          <w:rFonts w:hint="eastAsia"/>
          <w:lang w:eastAsia="zh-CN"/>
        </w:rPr>
        <w:t>等类型绿岛项目建设</w:t>
      </w:r>
      <w:r>
        <w:t>，帮助企业降低治污成本，</w:t>
      </w:r>
      <w:r>
        <w:rPr>
          <w:rFonts w:hint="eastAsia"/>
          <w:lang w:eastAsia="zh-CN"/>
        </w:rPr>
        <w:t>提高区域工业生产服务要素保障水平。</w:t>
      </w:r>
      <w:r>
        <w:rPr>
          <w:rFonts w:hint="eastAsia"/>
        </w:rPr>
        <w:t>（</w:t>
      </w:r>
      <w:r>
        <w:rPr>
          <w:rFonts w:hint="eastAsia" w:ascii="楷体" w:hAnsi="楷体" w:eastAsia="楷体" w:cs="楷体"/>
        </w:rPr>
        <w:t>责任单位：市生态环境局</w:t>
      </w:r>
      <w:r>
        <w:rPr>
          <w:rFonts w:hint="eastAsia" w:ascii="楷体" w:hAnsi="楷体" w:eastAsia="楷体" w:cs="楷体"/>
          <w:lang w:eastAsia="zh-CN"/>
        </w:rPr>
        <w:t>、市工信局、市商务局、市发改委</w:t>
      </w:r>
      <w:r>
        <w:rPr>
          <w:rFonts w:hint="eastAsia"/>
        </w:rPr>
        <w:t>）</w:t>
      </w:r>
    </w:p>
    <w:p w14:paraId="4F6FF73F">
      <w:pPr>
        <w:pStyle w:val="15"/>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pPr>
      <w:r>
        <w:rPr>
          <w:rFonts w:hint="eastAsia"/>
          <w:b/>
          <w:bCs/>
          <w:lang w:val="en-US" w:eastAsia="zh-CN"/>
        </w:rPr>
        <w:t>5.</w:t>
      </w:r>
      <w:r>
        <w:rPr>
          <w:b/>
          <w:bCs/>
        </w:rPr>
        <w:t>强化无组织排放全流程管控</w:t>
      </w:r>
      <w:r>
        <w:t>。聚焦包装印刷、钢结构制造、化工产品制造、</w:t>
      </w:r>
      <w:r>
        <w:rPr>
          <w:rFonts w:hint="eastAsia"/>
          <w:lang w:eastAsia="zh-CN"/>
        </w:rPr>
        <w:t>工业</w:t>
      </w:r>
      <w:r>
        <w:t>涂装</w:t>
      </w:r>
      <w:r>
        <w:rPr>
          <w:rFonts w:hint="eastAsia"/>
          <w:lang w:eastAsia="zh-CN"/>
        </w:rPr>
        <w:t>、塑料制品</w:t>
      </w:r>
      <w:r>
        <w:t>等涉VOCs行业，持续开展无组织排放及低效失效设施排查治理</w:t>
      </w:r>
      <w:r>
        <w:rPr>
          <w:rFonts w:hint="eastAsia"/>
          <w:lang w:eastAsia="zh-CN"/>
        </w:rPr>
        <w:t>，稳步提升“三率”指标。</w:t>
      </w:r>
      <w:r>
        <w:t>对使用活性炭吸附、催化燃烧等工艺的企业，督促及时更换活性炭、催化剂</w:t>
      </w:r>
      <w:r>
        <w:rPr>
          <w:rFonts w:hint="eastAsia"/>
          <w:lang w:eastAsia="zh-CN"/>
        </w:rPr>
        <w:t>，全面加强活性炭箱气流短路、活性炭前置箱过滤失活、废气收集处理装置设计缺陷、生产作业场所异味超标等突出问题排查整治，提升废气治理效能，同时保障作业人员身体健康。建立问题整治清单，分类序时推进治理，</w:t>
      </w:r>
      <w:r>
        <w:rPr>
          <w:rFonts w:hint="eastAsia"/>
        </w:rPr>
        <w:t>整改完成前实施生产管控</w:t>
      </w:r>
      <w:r>
        <w:t>。</w:t>
      </w:r>
      <w:r>
        <w:rPr>
          <w:rFonts w:hint="eastAsia"/>
        </w:rPr>
        <w:t>（</w:t>
      </w:r>
      <w:r>
        <w:rPr>
          <w:rFonts w:hint="eastAsia" w:ascii="楷体" w:hAnsi="楷体" w:eastAsia="楷体" w:cs="楷体"/>
        </w:rPr>
        <w:t>责任单位：市生态环境局</w:t>
      </w:r>
      <w:r>
        <w:rPr>
          <w:rFonts w:hint="eastAsia" w:ascii="楷体" w:hAnsi="楷体" w:eastAsia="楷体" w:cs="楷体"/>
          <w:lang w:eastAsia="zh-CN"/>
        </w:rPr>
        <w:t>、市工信局、市卫生健康委</w:t>
      </w:r>
      <w:r>
        <w:rPr>
          <w:rFonts w:hint="eastAsia"/>
        </w:rPr>
        <w:t>）</w:t>
      </w:r>
    </w:p>
    <w:p w14:paraId="739A6F87">
      <w:pPr>
        <w:pStyle w:val="15"/>
        <w:keepNext w:val="0"/>
        <w:keepLines w:val="0"/>
        <w:pageBreakBefore w:val="0"/>
        <w:widowControl w:val="0"/>
        <w:wordWrap/>
        <w:overflowPunct/>
        <w:topLinePunct w:val="0"/>
        <w:bidi w:val="0"/>
        <w:ind w:firstLine="643" w:firstLineChars="200"/>
        <w:outlineLvl w:val="1"/>
        <w:rPr>
          <w:b/>
          <w:bCs/>
        </w:rPr>
      </w:pPr>
      <w:r>
        <w:rPr>
          <w:b/>
          <w:bCs/>
        </w:rPr>
        <w:t>（二）移动源污染精准管控</w:t>
      </w:r>
    </w:p>
    <w:p w14:paraId="6890C976">
      <w:pPr>
        <w:pStyle w:val="15"/>
        <w:keepNext w:val="0"/>
        <w:keepLines w:val="0"/>
        <w:pageBreakBefore w:val="0"/>
        <w:widowControl w:val="0"/>
        <w:wordWrap/>
        <w:overflowPunct/>
        <w:topLinePunct w:val="0"/>
        <w:bidi w:val="0"/>
        <w:ind w:firstLine="640" w:firstLineChars="200"/>
      </w:pPr>
      <w:r>
        <w:t>以“减存量、控增量、提效能”为核心，统筹推进车、船、路、港全链条管控，持续削减移动源污染物排放。</w:t>
      </w:r>
    </w:p>
    <w:p w14:paraId="773D44FE">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6.</w:t>
      </w:r>
      <w:r>
        <w:rPr>
          <w:b/>
          <w:bCs/>
        </w:rPr>
        <w:t>加快老旧车辆与非道路机械淘汰更新</w:t>
      </w:r>
      <w:r>
        <w:t>。</w:t>
      </w:r>
      <w:r>
        <w:rPr>
          <w:rFonts w:hint="eastAsia"/>
          <w:lang w:eastAsia="zh-CN"/>
        </w:rPr>
        <w:t>启动实施</w:t>
      </w:r>
      <w:r>
        <w:t>国二及以下非道路移动机械淘汰更新</w:t>
      </w:r>
      <w:r>
        <w:rPr>
          <w:rFonts w:hint="eastAsia"/>
          <w:lang w:eastAsia="zh-CN"/>
        </w:rPr>
        <w:t>及</w:t>
      </w:r>
      <w:r>
        <w:t>非营运柴油车辆淘汰更新</w:t>
      </w:r>
      <w:r>
        <w:rPr>
          <w:rFonts w:hint="eastAsia"/>
          <w:lang w:eastAsia="zh-CN"/>
        </w:rPr>
        <w:t>工程，通过资金补助的形式引导推动老旧高排机械加快淘汰。点对点面向淘汰机械所有人开展政策宣传引导，</w:t>
      </w:r>
      <w:r>
        <w:t>确保应退尽退，切实削减老旧移动源排放。</w:t>
      </w:r>
      <w:r>
        <w:rPr>
          <w:rFonts w:hint="eastAsia"/>
        </w:rPr>
        <w:t>（</w:t>
      </w:r>
      <w:r>
        <w:rPr>
          <w:rFonts w:hint="eastAsia" w:ascii="楷体" w:hAnsi="楷体" w:eastAsia="楷体" w:cs="楷体"/>
        </w:rPr>
        <w:t>责任单位：市生态环境局、市公安局、市交通运输局</w:t>
      </w:r>
      <w:r>
        <w:rPr>
          <w:rFonts w:hint="eastAsia" w:ascii="楷体" w:hAnsi="楷体" w:eastAsia="楷体" w:cs="楷体"/>
          <w:lang w:eastAsia="zh-CN"/>
        </w:rPr>
        <w:t>、市商务局</w:t>
      </w:r>
      <w:r>
        <w:rPr>
          <w:rFonts w:hint="eastAsia"/>
        </w:rPr>
        <w:t>）</w:t>
      </w:r>
    </w:p>
    <w:p w14:paraId="238E6C83">
      <w:pPr>
        <w:pStyle w:val="15"/>
        <w:keepNext w:val="0"/>
        <w:keepLines w:val="0"/>
        <w:pageBreakBefore w:val="0"/>
        <w:widowControl w:val="0"/>
        <w:numPr>
          <w:ilvl w:val="0"/>
          <w:numId w:val="0"/>
        </w:numPr>
        <w:wordWrap/>
        <w:overflowPunct/>
        <w:topLinePunct w:val="0"/>
        <w:bidi w:val="0"/>
        <w:ind w:firstLine="643" w:firstLineChars="200"/>
        <w:rPr>
          <w:rFonts w:hint="eastAsia"/>
          <w:lang w:val="en-US" w:eastAsia="zh-CN"/>
        </w:rPr>
      </w:pPr>
      <w:r>
        <w:rPr>
          <w:rFonts w:hint="eastAsia"/>
          <w:b/>
          <w:bCs/>
          <w:lang w:val="en-US" w:eastAsia="zh-CN"/>
        </w:rPr>
        <w:t>7.</w:t>
      </w:r>
      <w:r>
        <w:rPr>
          <w:b/>
          <w:bCs/>
        </w:rPr>
        <w:t>推进清洁运输体系建设</w:t>
      </w:r>
      <w:r>
        <w:t>。加快“公转水”“公转铁”重点工程建设，</w:t>
      </w:r>
      <w:r>
        <w:rPr>
          <w:rFonts w:hint="eastAsia"/>
        </w:rPr>
        <w:t>推进淮南港陶圩综合码头工程、淮河凤台新港综合码头工程、淮南港寿县港区新桥综合码头、淮南国际物流港蔡家岗专用线等</w:t>
      </w:r>
      <w:r>
        <w:rPr>
          <w:rFonts w:hint="eastAsia"/>
          <w:lang w:eastAsia="zh-CN"/>
        </w:rPr>
        <w:t>项目</w:t>
      </w:r>
      <w:r>
        <w:t>建设，持续提升铁路货运量、港口吞吐量，2026年大宗货物清洁运输比例达到</w:t>
      </w:r>
      <w:r>
        <w:rPr>
          <w:rFonts w:hint="eastAsia"/>
          <w:lang w:val="en-US" w:eastAsia="zh-CN"/>
        </w:rPr>
        <w:t>54</w:t>
      </w:r>
      <w:r>
        <w:t>%以上，高速服务区快充站覆盖率保持100%。深化船舶污染治理</w:t>
      </w:r>
      <w:r>
        <w:rPr>
          <w:rFonts w:hint="eastAsia"/>
          <w:lang w:eastAsia="zh-CN"/>
        </w:rPr>
        <w:t>，加快</w:t>
      </w:r>
      <w:r>
        <w:t>老旧营运</w:t>
      </w:r>
      <w:r>
        <w:rPr>
          <w:rFonts w:hint="eastAsia"/>
          <w:lang w:eastAsia="zh-CN"/>
        </w:rPr>
        <w:t>燃油</w:t>
      </w:r>
      <w:r>
        <w:t>船舶报废淘汰</w:t>
      </w:r>
      <w:r>
        <w:rPr>
          <w:rFonts w:hint="eastAsia"/>
          <w:lang w:eastAsia="zh-CN"/>
        </w:rPr>
        <w:t>，积极推进</w:t>
      </w:r>
      <w:r>
        <w:t>船舶新能源清洁能源</w:t>
      </w:r>
      <w:r>
        <w:rPr>
          <w:rFonts w:hint="eastAsia"/>
          <w:lang w:eastAsia="zh-CN"/>
        </w:rPr>
        <w:t>动力改造，</w:t>
      </w:r>
      <w:r>
        <w:rPr>
          <w:rFonts w:hint="eastAsia"/>
          <w:lang w:val="en-US" w:eastAsia="zh-CN"/>
        </w:rPr>
        <w:t>2026年</w:t>
      </w:r>
      <w:r>
        <w:rPr>
          <w:rFonts w:hint="eastAsia"/>
          <w:lang w:eastAsia="zh-CN"/>
        </w:rPr>
        <w:t>完成</w:t>
      </w:r>
      <w:r>
        <w:rPr>
          <w:rFonts w:hint="eastAsia"/>
          <w:lang w:val="en-US" w:eastAsia="zh-CN"/>
        </w:rPr>
        <w:t>21艘船舶更新替换。</w:t>
      </w:r>
      <w:r>
        <w:rPr>
          <w:rFonts w:hint="eastAsia" w:ascii="楷体" w:hAnsi="楷体" w:eastAsia="楷体" w:cs="楷体"/>
          <w:lang w:val="en-US" w:eastAsia="zh-CN"/>
        </w:rPr>
        <w:t>（责任单位：市交通运输局、市发改委）</w:t>
      </w:r>
    </w:p>
    <w:p w14:paraId="2DB860DA">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8.</w:t>
      </w:r>
      <w:r>
        <w:rPr>
          <w:b/>
          <w:bCs/>
        </w:rPr>
        <w:t>提升移动源常态化监管能力</w:t>
      </w:r>
      <w:r>
        <w:t>。推动全市重点用车单位</w:t>
      </w:r>
      <w:r>
        <w:rPr>
          <w:rFonts w:hint="eastAsia"/>
          <w:lang w:eastAsia="zh-CN"/>
        </w:rPr>
        <w:t>全部</w:t>
      </w:r>
      <w:r>
        <w:t>按要求安装门禁及视频监控系统并与</w:t>
      </w:r>
      <w:r>
        <w:rPr>
          <w:rFonts w:hint="eastAsia"/>
          <w:lang w:eastAsia="zh-CN"/>
        </w:rPr>
        <w:t>市级平台</w:t>
      </w:r>
      <w:r>
        <w:t>联网</w:t>
      </w:r>
      <w:r>
        <w:rPr>
          <w:rFonts w:hint="eastAsia"/>
          <w:lang w:eastAsia="zh-CN"/>
        </w:rPr>
        <w:t>。常态化开展</w:t>
      </w:r>
      <w:r>
        <w:t>机动车路检路查、非道路移动机械现场检查，严厉打击超标排放、擅自拆除</w:t>
      </w:r>
      <w:r>
        <w:rPr>
          <w:rFonts w:hint="eastAsia"/>
          <w:lang w:eastAsia="zh-CN"/>
        </w:rPr>
        <w:t>治污</w:t>
      </w:r>
      <w:r>
        <w:t>装置等违法行为，实现移动源全流程闭环管控。</w:t>
      </w:r>
      <w:r>
        <w:rPr>
          <w:rFonts w:hint="eastAsia"/>
          <w:lang w:eastAsia="zh-CN"/>
        </w:rPr>
        <w:t>实施非道路移动机械环境管理能力建设项目。</w:t>
      </w:r>
      <w:r>
        <w:rPr>
          <w:rFonts w:hint="eastAsia"/>
        </w:rPr>
        <w:t>（</w:t>
      </w:r>
      <w:r>
        <w:rPr>
          <w:rFonts w:hint="eastAsia" w:ascii="楷体" w:hAnsi="楷体" w:eastAsia="楷体" w:cs="楷体"/>
        </w:rPr>
        <w:t>责任单位：市生态环境局</w:t>
      </w:r>
      <w:r>
        <w:rPr>
          <w:rFonts w:hint="eastAsia"/>
        </w:rPr>
        <w:t>）</w:t>
      </w:r>
    </w:p>
    <w:p w14:paraId="7BCF808C">
      <w:pPr>
        <w:pStyle w:val="15"/>
        <w:keepNext w:val="0"/>
        <w:keepLines w:val="0"/>
        <w:pageBreakBefore w:val="0"/>
        <w:widowControl w:val="0"/>
        <w:wordWrap/>
        <w:overflowPunct/>
        <w:topLinePunct w:val="0"/>
        <w:bidi w:val="0"/>
        <w:ind w:firstLine="643" w:firstLineChars="200"/>
        <w:outlineLvl w:val="1"/>
        <w:rPr>
          <w:b/>
          <w:bCs/>
        </w:rPr>
      </w:pPr>
      <w:r>
        <w:rPr>
          <w:b/>
          <w:bCs/>
        </w:rPr>
        <w:t>（三）面源污染精细化治理</w:t>
      </w:r>
    </w:p>
    <w:p w14:paraId="20BA040E">
      <w:pPr>
        <w:pStyle w:val="15"/>
        <w:keepNext w:val="0"/>
        <w:keepLines w:val="0"/>
        <w:pageBreakBefore w:val="0"/>
        <w:widowControl w:val="0"/>
        <w:wordWrap/>
        <w:overflowPunct/>
        <w:topLinePunct w:val="0"/>
        <w:bidi w:val="0"/>
        <w:ind w:firstLine="640" w:firstLineChars="200"/>
      </w:pPr>
      <w:r>
        <w:t>以群众身边的突出环境问题为导向，聚焦餐饮油烟、恶臭异味、扬尘管控、散煤治理等重点领域，实现面源污染全领域、精细化管控。</w:t>
      </w:r>
    </w:p>
    <w:p w14:paraId="16B41625">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9.</w:t>
      </w:r>
      <w:r>
        <w:rPr>
          <w:rFonts w:hint="eastAsia"/>
          <w:b/>
          <w:bCs/>
          <w:lang w:eastAsia="zh-CN"/>
        </w:rPr>
        <w:t>加强</w:t>
      </w:r>
      <w:r>
        <w:rPr>
          <w:b/>
          <w:bCs/>
        </w:rPr>
        <w:t>餐饮油烟</w:t>
      </w:r>
      <w:r>
        <w:rPr>
          <w:rFonts w:hint="eastAsia"/>
          <w:b/>
          <w:bCs/>
          <w:lang w:eastAsia="zh-CN"/>
        </w:rPr>
        <w:t>污染</w:t>
      </w:r>
      <w:r>
        <w:rPr>
          <w:b/>
          <w:bCs/>
        </w:rPr>
        <w:t>治理</w:t>
      </w:r>
      <w:r>
        <w:t>。</w:t>
      </w:r>
      <w:r>
        <w:rPr>
          <w:rFonts w:hint="eastAsia"/>
          <w:lang w:eastAsia="zh-CN"/>
        </w:rPr>
        <w:t>持续落实城管、生态环境、市监联合监管机制，加强餐饮油烟污染源头管控，严格市场准入管理。对夜市、烧烤街、居民楼下餐饮门店及高频投诉点位实施定点监管，采取错峰夜查、重点值守方式强化监管</w:t>
      </w:r>
      <w:r>
        <w:rPr>
          <w:rFonts w:hint="eastAsia"/>
          <w:lang w:val="en-US" w:eastAsia="zh-CN"/>
        </w:rPr>
        <w:t>。开展餐饮油烟专项整治，</w:t>
      </w:r>
      <w:r>
        <w:rPr>
          <w:rFonts w:hint="eastAsia"/>
          <w:lang w:eastAsia="zh-CN"/>
        </w:rPr>
        <w:t>引导餐饮商户更换</w:t>
      </w:r>
      <w:r>
        <w:rPr>
          <w:rFonts w:hint="eastAsia"/>
          <w:lang w:val="en-US" w:eastAsia="zh-CN"/>
        </w:rPr>
        <w:t>CCEP认证的高效净化设备，依法取缔露天烧烤，对油烟净化设施闲置、直排、运维不到位、排放超标的商户予以处罚，拒不整改的责令停业整顿。建立工作台账，落实核查、整改、复核、销号闭环管理，定期“回头看”，严防问题反弹。</w:t>
      </w:r>
      <w:r>
        <w:rPr>
          <w:rFonts w:hint="eastAsia"/>
          <w:lang w:eastAsia="zh-CN"/>
        </w:rPr>
        <w:t>鼓励餐饮集中区建设油烟处置绿岛，实现油烟相对集中处置。支持田家庵区、潘集区建设</w:t>
      </w:r>
      <w:r>
        <w:rPr>
          <w:rFonts w:hint="eastAsia"/>
        </w:rPr>
        <w:t>餐饮油烟集中治理示范工程，2026年底</w:t>
      </w:r>
      <w:r>
        <w:rPr>
          <w:rFonts w:hint="eastAsia"/>
          <w:lang w:eastAsia="zh-CN"/>
        </w:rPr>
        <w:t>分别完成首批治理工程</w:t>
      </w:r>
      <w:r>
        <w:t>。</w:t>
      </w:r>
      <w:r>
        <w:rPr>
          <w:rFonts w:hint="eastAsia"/>
        </w:rPr>
        <w:t>（</w:t>
      </w:r>
      <w:r>
        <w:rPr>
          <w:rFonts w:hint="eastAsia" w:ascii="楷体" w:hAnsi="楷体" w:eastAsia="楷体" w:cs="楷体"/>
        </w:rPr>
        <w:t>责任单位：市城管局</w:t>
      </w:r>
      <w:r>
        <w:rPr>
          <w:rFonts w:hint="eastAsia" w:ascii="楷体" w:hAnsi="楷体" w:eastAsia="楷体" w:cs="楷体"/>
          <w:lang w:eastAsia="zh-CN"/>
        </w:rPr>
        <w:t>、</w:t>
      </w:r>
      <w:r>
        <w:rPr>
          <w:rFonts w:hint="eastAsia" w:ascii="楷体" w:hAnsi="楷体" w:eastAsia="楷体" w:cs="楷体"/>
        </w:rPr>
        <w:t>市生态环境局、</w:t>
      </w:r>
      <w:r>
        <w:rPr>
          <w:rFonts w:hint="eastAsia" w:ascii="楷体" w:hAnsi="楷体" w:eastAsia="楷体" w:cs="楷体"/>
          <w:lang w:eastAsia="zh-CN"/>
        </w:rPr>
        <w:t>市市场监督管理局</w:t>
      </w:r>
      <w:r>
        <w:rPr>
          <w:rFonts w:hint="eastAsia"/>
        </w:rPr>
        <w:t>）</w:t>
      </w:r>
    </w:p>
    <w:p w14:paraId="7FE26A5B">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10.</w:t>
      </w:r>
      <w:r>
        <w:rPr>
          <w:b/>
          <w:bCs/>
        </w:rPr>
        <w:t>深化恶臭异味综合整治</w:t>
      </w:r>
      <w:r>
        <w:t>。</w:t>
      </w:r>
      <w:r>
        <w:rPr>
          <w:rFonts w:hint="eastAsia"/>
          <w:lang w:eastAsia="zh-CN"/>
        </w:rPr>
        <w:t>持续加强城镇污水治理和农村黑臭水体整治，对污水收集、处理关键节点开展恶臭防治。优化禁限养区管控，推行干清粪、优化日粮减臭、密闭粪污储存、喷淋及生物除臭技术，严查粪污直排、恶臭无组织排放违法行为，</w:t>
      </w:r>
      <w:r>
        <w:t>切实解决群众反映强烈的恶臭异味问题</w:t>
      </w:r>
      <w:r>
        <w:rPr>
          <w:rFonts w:hint="eastAsia"/>
          <w:lang w:eastAsia="zh-CN"/>
        </w:rPr>
        <w:t>。推广第三方集中处理模式，引导养殖粪污制有机肥、制天然气等成熟技术运用。支持</w:t>
      </w:r>
      <w:r>
        <w:t>潘集区</w:t>
      </w:r>
      <w:r>
        <w:rPr>
          <w:rFonts w:hint="eastAsia"/>
          <w:lang w:eastAsia="zh-CN"/>
        </w:rPr>
        <w:t>实施</w:t>
      </w:r>
      <w:r>
        <w:t>养殖恶臭治理示范项目</w:t>
      </w:r>
      <w:r>
        <w:rPr>
          <w:rFonts w:hint="eastAsia"/>
          <w:lang w:eastAsia="zh-CN"/>
        </w:rPr>
        <w:t>、</w:t>
      </w:r>
      <w:r>
        <w:rPr>
          <w:rFonts w:hint="eastAsia"/>
        </w:rPr>
        <w:t>淮南牛肉汤肉牛供应基地恶臭深度治理</w:t>
      </w:r>
      <w:r>
        <w:rPr>
          <w:rFonts w:hint="eastAsia"/>
          <w:lang w:eastAsia="zh-CN"/>
        </w:rPr>
        <w:t>，</w:t>
      </w:r>
      <w:r>
        <w:rPr>
          <w:rFonts w:hint="eastAsia"/>
        </w:rPr>
        <w:t>2026年底</w:t>
      </w:r>
      <w:r>
        <w:rPr>
          <w:rFonts w:hint="eastAsia"/>
          <w:lang w:eastAsia="zh-CN"/>
        </w:rPr>
        <w:t>完成</w:t>
      </w:r>
      <w:r>
        <w:rPr>
          <w:rFonts w:hint="eastAsia"/>
          <w:lang w:val="en-US" w:eastAsia="zh-CN"/>
        </w:rPr>
        <w:t>2家企业试点治理建设任务</w:t>
      </w:r>
      <w:r>
        <w:t>。</w:t>
      </w:r>
      <w:r>
        <w:rPr>
          <w:rFonts w:hint="eastAsia"/>
        </w:rPr>
        <w:t>（</w:t>
      </w:r>
      <w:r>
        <w:rPr>
          <w:rFonts w:hint="eastAsia" w:ascii="楷体" w:hAnsi="楷体" w:eastAsia="楷体" w:cs="楷体"/>
        </w:rPr>
        <w:t>责任单位：市农业农村局、市生态环境局</w:t>
      </w:r>
      <w:r>
        <w:rPr>
          <w:rFonts w:hint="eastAsia"/>
        </w:rPr>
        <w:t>）</w:t>
      </w:r>
    </w:p>
    <w:p w14:paraId="589AAA2D">
      <w:pPr>
        <w:pStyle w:val="15"/>
        <w:keepNext w:val="0"/>
        <w:keepLines w:val="0"/>
        <w:pageBreakBefore w:val="0"/>
        <w:widowControl w:val="0"/>
        <w:numPr>
          <w:ilvl w:val="0"/>
          <w:numId w:val="0"/>
        </w:numPr>
        <w:wordWrap/>
        <w:overflowPunct/>
        <w:topLinePunct w:val="0"/>
        <w:bidi w:val="0"/>
        <w:ind w:firstLine="643" w:firstLineChars="200"/>
        <w:rPr>
          <w:rFonts w:ascii="楷体" w:hAnsi="楷体" w:eastAsia="楷体" w:cs="楷体"/>
        </w:rPr>
      </w:pPr>
      <w:r>
        <w:rPr>
          <w:rFonts w:hint="eastAsia"/>
          <w:b/>
          <w:bCs/>
          <w:lang w:val="en-US" w:eastAsia="zh-CN"/>
        </w:rPr>
        <w:t>11.</w:t>
      </w:r>
      <w:r>
        <w:rPr>
          <w:rFonts w:hint="eastAsia"/>
          <w:b/>
          <w:bCs/>
          <w:lang w:eastAsia="zh-CN"/>
        </w:rPr>
        <w:t>有效推动散煤整治清理</w:t>
      </w:r>
      <w:r>
        <w:t>。</w:t>
      </w:r>
      <w:r>
        <w:rPr>
          <w:rFonts w:hint="eastAsia"/>
          <w:lang w:eastAsia="zh-CN"/>
        </w:rPr>
        <w:t>高污染燃料禁燃区内全面清理整治餐饮、食品加工摊点的燃煤炉具，</w:t>
      </w:r>
      <w:r>
        <w:t>推进散煤全面动态清零</w:t>
      </w:r>
      <w:r>
        <w:rPr>
          <w:rFonts w:hint="eastAsia"/>
          <w:lang w:eastAsia="zh-CN"/>
        </w:rPr>
        <w:t>。禁燃区以外区域，加强散煤加工、销售网点的监管，防止散煤流入禁燃区内，持续排查取缔小型工业燃煤（包括掺燃）炉具，推动食品制造、洗浴、种养殖、农副产品加工等领域经营性燃煤设施清理整治，支持开展清洁能源替代。鼓励支持燃煤、燃生物质、燃油锅炉淘汰或清洁能源替代；燃气锅炉淘汰或改电；生物质锅炉整合替代。</w:t>
      </w:r>
      <w:r>
        <w:rPr>
          <w:rFonts w:hint="eastAsia"/>
        </w:rPr>
        <w:t>（</w:t>
      </w:r>
      <w:r>
        <w:rPr>
          <w:rFonts w:hint="eastAsia" w:ascii="楷体" w:hAnsi="楷体" w:eastAsia="楷体" w:cs="楷体"/>
        </w:rPr>
        <w:t>责任单位：市发改委、市生态环境局、市农业农村局</w:t>
      </w:r>
      <w:r>
        <w:rPr>
          <w:rFonts w:hint="eastAsia" w:ascii="楷体" w:hAnsi="楷体" w:eastAsia="楷体" w:cs="楷体"/>
          <w:lang w:eastAsia="zh-CN"/>
        </w:rPr>
        <w:t>、市市场监督管理局、市城管局、市公安局</w:t>
      </w:r>
      <w:r>
        <w:rPr>
          <w:rFonts w:hint="eastAsia"/>
        </w:rPr>
        <w:t>）</w:t>
      </w:r>
    </w:p>
    <w:p w14:paraId="51FD739C">
      <w:pPr>
        <w:pStyle w:val="15"/>
        <w:keepNext w:val="0"/>
        <w:keepLines w:val="0"/>
        <w:pageBreakBefore w:val="0"/>
        <w:widowControl w:val="0"/>
        <w:numPr>
          <w:ilvl w:val="0"/>
          <w:numId w:val="0"/>
        </w:numPr>
        <w:wordWrap/>
        <w:overflowPunct/>
        <w:topLinePunct w:val="0"/>
        <w:bidi w:val="0"/>
        <w:ind w:firstLine="643" w:firstLineChars="200"/>
      </w:pPr>
      <w:r>
        <w:rPr>
          <w:rFonts w:hint="eastAsia"/>
          <w:b/>
          <w:bCs/>
          <w:lang w:val="en-US" w:eastAsia="zh-CN"/>
        </w:rPr>
        <w:t>12.</w:t>
      </w:r>
      <w:r>
        <w:rPr>
          <w:b/>
          <w:bCs/>
        </w:rPr>
        <w:t>强化扬尘全领域管控</w:t>
      </w:r>
      <w:r>
        <w:t>。</w:t>
      </w:r>
      <w:r>
        <w:rPr>
          <w:rFonts w:hint="eastAsia"/>
          <w:lang w:eastAsia="zh-CN"/>
        </w:rPr>
        <w:t>全面加强房建、交通、水利、拆除、生态修复工程扬尘监管，对照扬尘“十达标”落实精细整治。提升城市道路保洁水平，实施重点道路积尘考核。全面排查整治道路两侧绿化土外溢、涉尘垃圾乱堆乱倒、顽固积渣积尘问题，对破损易起尘路面开展规范修复。加强裸土治理力度。实施城区、城郊涉尘企业规范治理，全面清理整治露天散装物料堆场。推广干雾抑尘、</w:t>
      </w:r>
      <w:r>
        <w:rPr>
          <w:rFonts w:hint="default" w:ascii="Times New Roman" w:hAnsi="Times New Roman" w:eastAsia="仿宋_GB2312" w:cs="Times New Roman"/>
          <w:sz w:val="32"/>
          <w:szCs w:val="32"/>
        </w:rPr>
        <w:t>智能喷雾联动抑尘</w:t>
      </w:r>
      <w:r>
        <w:rPr>
          <w:rFonts w:hint="eastAsia"/>
          <w:lang w:eastAsia="zh-CN"/>
        </w:rPr>
        <w:t>技术</w:t>
      </w:r>
      <w:r>
        <w:t>。</w:t>
      </w:r>
      <w:r>
        <w:rPr>
          <w:rFonts w:hint="eastAsia"/>
        </w:rPr>
        <w:t>（</w:t>
      </w:r>
      <w:r>
        <w:rPr>
          <w:rFonts w:hint="eastAsia" w:ascii="楷体" w:hAnsi="楷体" w:eastAsia="楷体" w:cs="楷体"/>
        </w:rPr>
        <w:t>责任单位：市住建局、</w:t>
      </w:r>
      <w:r>
        <w:rPr>
          <w:rFonts w:hint="eastAsia" w:ascii="楷体" w:hAnsi="楷体" w:eastAsia="楷体" w:cs="楷体"/>
          <w:lang w:eastAsia="zh-CN"/>
        </w:rPr>
        <w:t>市城管局、</w:t>
      </w:r>
      <w:r>
        <w:rPr>
          <w:rFonts w:hint="eastAsia" w:ascii="楷体" w:hAnsi="楷体" w:eastAsia="楷体" w:cs="楷体"/>
        </w:rPr>
        <w:t>市交通运输局、</w:t>
      </w:r>
      <w:r>
        <w:rPr>
          <w:rFonts w:hint="eastAsia" w:ascii="楷体" w:hAnsi="楷体" w:eastAsia="楷体" w:cs="楷体"/>
          <w:lang w:eastAsia="zh-CN"/>
        </w:rPr>
        <w:t>市水利局、市自然资源和规划局、市重点工程管理中心、</w:t>
      </w:r>
      <w:r>
        <w:rPr>
          <w:rFonts w:hint="eastAsia" w:ascii="楷体" w:hAnsi="楷体" w:eastAsia="楷体" w:cs="楷体"/>
        </w:rPr>
        <w:t>市生态环境局</w:t>
      </w:r>
      <w:r>
        <w:rPr>
          <w:rFonts w:hint="eastAsia"/>
        </w:rPr>
        <w:t>）</w:t>
      </w:r>
    </w:p>
    <w:p w14:paraId="0BFD6B8D">
      <w:pPr>
        <w:pStyle w:val="15"/>
        <w:keepNext w:val="0"/>
        <w:keepLines w:val="0"/>
        <w:pageBreakBefore w:val="0"/>
        <w:widowControl w:val="0"/>
        <w:numPr>
          <w:ilvl w:val="0"/>
          <w:numId w:val="0"/>
        </w:numPr>
        <w:wordWrap/>
        <w:overflowPunct/>
        <w:topLinePunct w:val="0"/>
        <w:bidi w:val="0"/>
        <w:ind w:firstLine="643" w:firstLineChars="200"/>
      </w:pPr>
      <w:r>
        <w:rPr>
          <w:rFonts w:hint="eastAsia" w:ascii="Times New Roman" w:hAnsi="Times New Roman" w:cs="Times New Roman"/>
          <w:b/>
          <w:bCs/>
          <w:lang w:val="en-US" w:eastAsia="zh-CN"/>
        </w:rPr>
        <w:t>13.</w:t>
      </w:r>
      <w:r>
        <w:rPr>
          <w:rFonts w:ascii="Times New Roman" w:hAnsi="Times New Roman" w:cs="Times New Roman"/>
          <w:b/>
          <w:bCs/>
        </w:rPr>
        <w:t>强化油品储运销</w:t>
      </w:r>
      <w:r>
        <w:rPr>
          <w:b/>
          <w:bCs/>
          <w:color w:val="333333"/>
          <w:szCs w:val="32"/>
          <w:shd w:val="clear" w:color="auto" w:fill="FFFFFF"/>
        </w:rPr>
        <w:t>VOCs</w:t>
      </w:r>
      <w:r>
        <w:rPr>
          <w:rFonts w:hint="eastAsia" w:ascii="仿宋_GB2312" w:hAnsi="宋体" w:cs="仿宋_GB2312"/>
          <w:b/>
          <w:bCs/>
          <w:color w:val="333333"/>
          <w:szCs w:val="32"/>
          <w:shd w:val="clear" w:color="auto" w:fill="FFFFFF"/>
        </w:rPr>
        <w:t>综合整治。</w:t>
      </w:r>
      <w:r>
        <w:rPr>
          <w:rFonts w:hint="eastAsia" w:ascii="Times New Roman" w:hAnsi="Times New Roman" w:cs="Times New Roman"/>
          <w:lang w:eastAsia="zh-CN"/>
        </w:rPr>
        <w:t>加强地下储油罐、卸油、加油枪油气回收系统运行监管，定期监测</w:t>
      </w:r>
      <w:r>
        <w:rPr>
          <w:rFonts w:hint="eastAsia" w:ascii="Times New Roman" w:hAnsi="Times New Roman" w:cs="Times New Roman"/>
        </w:rPr>
        <w:t>气液比、系统密闭性、管线液阻</w:t>
      </w:r>
      <w:r>
        <w:rPr>
          <w:rFonts w:hint="eastAsia" w:ascii="Times New Roman" w:hAnsi="Times New Roman" w:cs="Times New Roman"/>
          <w:lang w:eastAsia="zh-CN"/>
        </w:rPr>
        <w:t>等关键参数，对闲置、故障不维修回收装置的加油站点依法处罚。综合运用多种手段加大对非法隐蔽储油设施排查力度，从源头整治非法售油行为；严厉打击无证加油船舶、加油车，切断非法油品运输链条；定期抽检汽油、柴油，严查非标油、调和劣质油，销售终端严把油品质量，全过程减少挥发性有机物污染。推动夏季臭氧污染防治重点时段，</w:t>
      </w:r>
      <w:r>
        <w:rPr>
          <w:rFonts w:hint="eastAsia"/>
        </w:rPr>
        <w:t>加油站夜间装卸油</w:t>
      </w:r>
      <w:r>
        <w:rPr>
          <w:rFonts w:hint="eastAsia"/>
          <w:lang w:eastAsia="zh-CN"/>
        </w:rPr>
        <w:t>、夜间加油优惠政策落地。</w:t>
      </w:r>
      <w:r>
        <w:rPr>
          <w:rFonts w:hint="eastAsia"/>
        </w:rPr>
        <w:t>（</w:t>
      </w:r>
      <w:r>
        <w:rPr>
          <w:rFonts w:hint="eastAsia" w:ascii="楷体" w:hAnsi="楷体" w:eastAsia="楷体" w:cs="楷体"/>
        </w:rPr>
        <w:t>责任单位：市商务局</w:t>
      </w:r>
      <w:r>
        <w:rPr>
          <w:rFonts w:hint="eastAsia" w:ascii="楷体" w:hAnsi="楷体" w:eastAsia="楷体" w:cs="楷体"/>
          <w:lang w:eastAsia="zh-CN"/>
        </w:rPr>
        <w:t>、市应急管理局、市市场监督管理局、市生态环境局、市交通运输局、市公安局</w:t>
      </w:r>
      <w:r>
        <w:rPr>
          <w:rFonts w:hint="eastAsia"/>
        </w:rPr>
        <w:t>）</w:t>
      </w:r>
    </w:p>
    <w:p w14:paraId="4DD9E3E1">
      <w:pPr>
        <w:pStyle w:val="15"/>
        <w:keepNext w:val="0"/>
        <w:keepLines w:val="0"/>
        <w:pageBreakBefore w:val="0"/>
        <w:widowControl w:val="0"/>
        <w:numPr>
          <w:ilvl w:val="0"/>
          <w:numId w:val="0"/>
        </w:numPr>
        <w:wordWrap/>
        <w:overflowPunct/>
        <w:topLinePunct w:val="0"/>
        <w:bidi w:val="0"/>
        <w:ind w:firstLine="643" w:firstLineChars="200"/>
        <w:rPr>
          <w:rFonts w:hint="default"/>
          <w:lang w:val="en-US" w:eastAsia="zh-CN"/>
        </w:rPr>
      </w:pPr>
      <w:r>
        <w:rPr>
          <w:rFonts w:hint="eastAsia" w:ascii="Times New Roman" w:hAnsi="Times New Roman" w:cs="Times New Roman"/>
          <w:b/>
          <w:bCs/>
          <w:lang w:val="en-US" w:eastAsia="zh-CN"/>
        </w:rPr>
        <w:t>14.巩固强化</w:t>
      </w:r>
      <w:r>
        <w:rPr>
          <w:rFonts w:ascii="Times New Roman" w:hAnsi="Times New Roman" w:cs="Times New Roman"/>
          <w:b/>
          <w:bCs/>
        </w:rPr>
        <w:t>秸秆禁烧</w:t>
      </w:r>
      <w:r>
        <w:rPr>
          <w:rFonts w:hint="eastAsia" w:ascii="Times New Roman" w:hAnsi="Times New Roman" w:cs="Times New Roman"/>
          <w:b/>
          <w:bCs/>
          <w:lang w:eastAsia="zh-CN"/>
        </w:rPr>
        <w:t>长效机制</w:t>
      </w:r>
      <w:r>
        <w:rPr>
          <w:rFonts w:ascii="Times New Roman" w:hAnsi="Times New Roman" w:cs="Times New Roman"/>
          <w:b/>
          <w:bCs/>
        </w:rPr>
        <w:t>。</w:t>
      </w:r>
      <w:r>
        <w:rPr>
          <w:rFonts w:hint="eastAsia" w:ascii="Times New Roman" w:hAnsi="Times New Roman" w:cs="Times New Roman"/>
          <w:lang w:eastAsia="zh-CN"/>
        </w:rPr>
        <w:t>严格落实</w:t>
      </w:r>
      <w:r>
        <w:rPr>
          <w:rFonts w:hint="eastAsia" w:cs="Times New Roman"/>
          <w:lang w:eastAsia="zh-CN"/>
        </w:rPr>
        <w:t>《淮南市</w:t>
      </w:r>
      <w:r>
        <w:rPr>
          <w:rFonts w:hint="eastAsia" w:cs="Times New Roman"/>
          <w:lang w:val="en-US" w:eastAsia="zh-CN"/>
        </w:rPr>
        <w:t>2026年秸秆禁烧和综合利用工作方案</w:t>
      </w:r>
      <w:r>
        <w:rPr>
          <w:rFonts w:hint="eastAsia" w:cs="Times New Roman"/>
          <w:lang w:eastAsia="zh-CN"/>
        </w:rPr>
        <w:t>》</w:t>
      </w:r>
      <w:r>
        <w:rPr>
          <w:rFonts w:hint="eastAsia" w:ascii="Times New Roman" w:hAnsi="Times New Roman" w:cs="Times New Roman"/>
          <w:lang w:eastAsia="zh-CN"/>
        </w:rPr>
        <w:t>，实行全域全时段秸秆焚烧管控。禁烧管控重点时段，加大对无人机、高塔视频、卫星遥感等技术成果的运用，科学开展禁烧政策普法和科普，依法严厉打击露天焚烧秸秆行为，强化正向宣传引导。</w:t>
      </w:r>
      <w:r>
        <w:rPr>
          <w:rFonts w:hint="eastAsia" w:ascii="Times New Roman" w:hAnsi="Times New Roman" w:cs="Times New Roman"/>
          <w:lang w:val="en-US" w:eastAsia="zh-CN"/>
        </w:rPr>
        <w:t>积极学习推广先进秸秆收储和综合利用模式，探索根据不同地形及耕种条件将全市乡镇划分成秸秆离田、秸秆还田主导地区，通过政策引导、产业培育，推动农业生产模式和禁烧监管标准化。积极引进秸秆基料化、能源化利用的建设项目，</w:t>
      </w:r>
      <w:r>
        <w:rPr>
          <w:rFonts w:hint="eastAsia"/>
          <w:lang w:eastAsia="zh-CN"/>
        </w:rPr>
        <w:t>鼓励建设</w:t>
      </w:r>
      <w:r>
        <w:t>生物质能集中供热工程</w:t>
      </w:r>
      <w:r>
        <w:rPr>
          <w:rFonts w:hint="eastAsia"/>
          <w:lang w:eastAsia="zh-CN"/>
        </w:rPr>
        <w:t>，支持开展超低排放改造</w:t>
      </w:r>
      <w:r>
        <w:t>。</w:t>
      </w:r>
      <w:r>
        <w:rPr>
          <w:rFonts w:hint="eastAsia" w:ascii="Times New Roman" w:hAnsi="Times New Roman" w:cs="Times New Roman"/>
          <w:lang w:val="en-US" w:eastAsia="zh-CN"/>
        </w:rPr>
        <w:t>培育壮大一批掌握核心技术、附加值较高、综合利用量大、服务带动能力强的秸秆离田</w:t>
      </w:r>
      <w:r>
        <w:rPr>
          <w:rFonts w:hint="eastAsia" w:cs="Times New Roman"/>
          <w:lang w:val="en-US" w:eastAsia="zh-CN"/>
        </w:rPr>
        <w:t>龙头</w:t>
      </w:r>
      <w:r>
        <w:rPr>
          <w:rFonts w:hint="eastAsia" w:ascii="Times New Roman" w:hAnsi="Times New Roman" w:cs="Times New Roman"/>
          <w:lang w:val="en-US" w:eastAsia="zh-CN"/>
        </w:rPr>
        <w:t>企业。推动生物质电厂加大对本市秸秆收储力度。（</w:t>
      </w:r>
      <w:r>
        <w:rPr>
          <w:rFonts w:hint="eastAsia" w:ascii="楷体" w:hAnsi="楷体" w:eastAsia="楷体" w:cs="楷体"/>
        </w:rPr>
        <w:t>责任单位：</w:t>
      </w:r>
      <w:r>
        <w:rPr>
          <w:rFonts w:hint="eastAsia" w:ascii="楷体" w:hAnsi="楷体" w:eastAsia="楷体" w:cs="楷体"/>
          <w:lang w:eastAsia="zh-CN"/>
        </w:rPr>
        <w:t>市生态环境局、</w:t>
      </w:r>
      <w:r>
        <w:rPr>
          <w:rFonts w:hint="eastAsia" w:ascii="楷体" w:hAnsi="楷体" w:eastAsia="楷体" w:cs="楷体"/>
        </w:rPr>
        <w:t>市</w:t>
      </w:r>
      <w:r>
        <w:rPr>
          <w:rFonts w:hint="eastAsia" w:ascii="楷体" w:hAnsi="楷体" w:eastAsia="楷体" w:cs="楷体"/>
          <w:lang w:eastAsia="zh-CN"/>
        </w:rPr>
        <w:t>农业农村局、市发改委</w:t>
      </w:r>
      <w:r>
        <w:rPr>
          <w:rFonts w:hint="eastAsia" w:ascii="Times New Roman" w:hAnsi="Times New Roman" w:cs="Times New Roman"/>
          <w:lang w:val="en-US" w:eastAsia="zh-CN"/>
        </w:rPr>
        <w:t>）</w:t>
      </w:r>
    </w:p>
    <w:p w14:paraId="43C247D1">
      <w:pPr>
        <w:pStyle w:val="15"/>
        <w:keepNext w:val="0"/>
        <w:keepLines w:val="0"/>
        <w:pageBreakBefore w:val="0"/>
        <w:widowControl w:val="0"/>
        <w:wordWrap/>
        <w:overflowPunct/>
        <w:topLinePunct w:val="0"/>
        <w:bidi w:val="0"/>
        <w:ind w:firstLine="643" w:firstLineChars="200"/>
        <w:outlineLvl w:val="1"/>
        <w:rPr>
          <w:b/>
          <w:bCs/>
        </w:rPr>
      </w:pPr>
      <w:r>
        <w:rPr>
          <w:b/>
          <w:bCs/>
        </w:rPr>
        <w:t>（四）重污染天气应对能力提升</w:t>
      </w:r>
    </w:p>
    <w:p w14:paraId="572055B8">
      <w:pPr>
        <w:pStyle w:val="15"/>
        <w:keepNext w:val="0"/>
        <w:keepLines w:val="0"/>
        <w:pageBreakBefore w:val="0"/>
        <w:widowControl w:val="0"/>
        <w:wordWrap/>
        <w:overflowPunct/>
        <w:topLinePunct w:val="0"/>
        <w:bidi w:val="0"/>
        <w:ind w:firstLine="640" w:firstLineChars="200"/>
      </w:pPr>
      <w:r>
        <w:t>以“提前预警、精准管控、有效减排”为核心，完善重污染天气应对全流程机制，全力削减重污染天气对空气质量的影响。</w:t>
      </w:r>
    </w:p>
    <w:p w14:paraId="70DCB2AD">
      <w:pPr>
        <w:pStyle w:val="15"/>
        <w:keepNext w:val="0"/>
        <w:keepLines w:val="0"/>
        <w:pageBreakBefore w:val="0"/>
        <w:widowControl w:val="0"/>
        <w:numPr>
          <w:ilvl w:val="0"/>
          <w:numId w:val="0"/>
        </w:numPr>
        <w:wordWrap/>
        <w:overflowPunct/>
        <w:topLinePunct w:val="0"/>
        <w:bidi w:val="0"/>
        <w:ind w:firstLine="643" w:firstLineChars="200"/>
      </w:pPr>
      <w:r>
        <w:rPr>
          <w:rFonts w:hint="eastAsia" w:ascii="Times New Roman" w:hAnsi="Times New Roman" w:cs="Times New Roman"/>
          <w:b/>
          <w:bCs/>
          <w:lang w:val="en-US" w:eastAsia="zh-CN"/>
        </w:rPr>
        <w:t>15.</w:t>
      </w:r>
      <w:r>
        <w:rPr>
          <w:rFonts w:hint="eastAsia" w:ascii="Times New Roman" w:hAnsi="Times New Roman" w:cs="Times New Roman"/>
          <w:b/>
          <w:bCs/>
          <w:lang w:eastAsia="zh-CN"/>
        </w:rPr>
        <w:t>优化应急减排清单。</w:t>
      </w:r>
      <w:r>
        <w:t>全覆盖核查修订完善全市重污染天气应急减排清单</w:t>
      </w:r>
      <w:r>
        <w:rPr>
          <w:rFonts w:hint="eastAsia"/>
          <w:lang w:eastAsia="zh-CN"/>
        </w:rPr>
        <w:t>，</w:t>
      </w:r>
      <w:r>
        <w:t>核查重污染应急预警措施的可行性、针对性和</w:t>
      </w:r>
      <w:r>
        <w:rPr>
          <w:rFonts w:hint="eastAsia"/>
          <w:lang w:eastAsia="zh-CN"/>
        </w:rPr>
        <w:t>实效</w:t>
      </w:r>
      <w:r>
        <w:t>性</w:t>
      </w:r>
      <w:r>
        <w:rPr>
          <w:rFonts w:hint="eastAsia"/>
          <w:lang w:eastAsia="zh-CN"/>
        </w:rPr>
        <w:t>，细化电厂、煤矿等重点企业应急减排措施。夏季臭氧污染时段，结合企业VOCs排放特征精准划定重点减排企业，实施差异化协商减排。</w:t>
      </w:r>
      <w:r>
        <w:rPr>
          <w:rFonts w:hint="eastAsia" w:ascii="楷体" w:hAnsi="楷体" w:eastAsia="楷体" w:cs="楷体"/>
        </w:rPr>
        <w:t>（责任单位：市生态环境局）</w:t>
      </w:r>
    </w:p>
    <w:p w14:paraId="348D09A2">
      <w:pPr>
        <w:pStyle w:val="15"/>
        <w:keepNext w:val="0"/>
        <w:keepLines w:val="0"/>
        <w:pageBreakBefore w:val="0"/>
        <w:widowControl w:val="0"/>
        <w:numPr>
          <w:ilvl w:val="0"/>
          <w:numId w:val="0"/>
        </w:numPr>
        <w:wordWrap/>
        <w:overflowPunct/>
        <w:topLinePunct w:val="0"/>
        <w:bidi w:val="0"/>
        <w:ind w:firstLine="643" w:firstLineChars="200"/>
        <w:rPr>
          <w:rFonts w:hint="eastAsia" w:ascii="楷体" w:hAnsi="楷体" w:eastAsia="楷体" w:cs="楷体"/>
        </w:rPr>
      </w:pPr>
      <w:r>
        <w:rPr>
          <w:rFonts w:hint="eastAsia" w:ascii="Times New Roman" w:hAnsi="Times New Roman" w:cs="Times New Roman"/>
          <w:b/>
          <w:bCs/>
          <w:lang w:val="en-US" w:eastAsia="zh-CN"/>
        </w:rPr>
        <w:t>16.</w:t>
      </w:r>
      <w:r>
        <w:rPr>
          <w:rFonts w:hint="eastAsia" w:ascii="Times New Roman" w:hAnsi="Times New Roman" w:cs="Times New Roman"/>
          <w:b/>
          <w:bCs/>
          <w:lang w:eastAsia="zh-CN"/>
        </w:rPr>
        <w:t>深化绩效分级差异化监管。</w:t>
      </w:r>
      <w:r>
        <w:t>进一步加强和规范重点行业大气环</w:t>
      </w:r>
      <w:r>
        <w:rPr>
          <w:rFonts w:ascii="Times New Roman" w:hAnsi="Times New Roman" w:cs="Times New Roman"/>
        </w:rPr>
        <w:t>境绩效分级管理，</w:t>
      </w:r>
      <w:r>
        <w:rPr>
          <w:rFonts w:hint="eastAsia" w:ascii="Times New Roman" w:hAnsi="Times New Roman" w:cs="Times New Roman"/>
          <w:lang w:eastAsia="zh-CN"/>
        </w:rPr>
        <w:t>对不同绩效等级企业实行更有效、更有约束力的差异化管理。</w:t>
      </w:r>
      <w:r>
        <w:rPr>
          <w:rFonts w:hint="eastAsia" w:ascii="Times New Roman" w:hAnsi="Times New Roman" w:cs="Times New Roman"/>
          <w:lang w:val="en-US" w:eastAsia="zh-CN"/>
        </w:rPr>
        <w:t>秋冬季</w:t>
      </w:r>
      <w:r>
        <w:rPr>
          <w:rFonts w:hint="eastAsia" w:cs="Times New Roman"/>
          <w:lang w:val="en-US" w:eastAsia="zh-CN"/>
        </w:rPr>
        <w:t>期间，</w:t>
      </w:r>
      <w:r>
        <w:rPr>
          <w:rFonts w:hint="eastAsia" w:ascii="Times New Roman" w:hAnsi="Times New Roman" w:cs="Times New Roman"/>
          <w:lang w:eastAsia="zh-CN"/>
        </w:rPr>
        <w:t>砖瓦窑</w:t>
      </w:r>
      <w:r>
        <w:rPr>
          <w:rFonts w:hint="eastAsia" w:ascii="Times New Roman" w:hAnsi="Times New Roman" w:cs="Times New Roman"/>
          <w:lang w:val="en-US" w:eastAsia="zh-CN"/>
        </w:rPr>
        <w:t>A级</w:t>
      </w:r>
      <w:r>
        <w:rPr>
          <w:rFonts w:hint="eastAsia" w:cs="Times New Roman"/>
          <w:lang w:val="en-US" w:eastAsia="zh-CN"/>
        </w:rPr>
        <w:t>企业自主减排，</w:t>
      </w:r>
      <w:r>
        <w:rPr>
          <w:rFonts w:hint="eastAsia" w:ascii="Times New Roman" w:hAnsi="Times New Roman" w:cs="Times New Roman"/>
          <w:lang w:val="en-US" w:eastAsia="zh-CN"/>
        </w:rPr>
        <w:t>B级企业错峰停产不少于</w:t>
      </w:r>
      <w:r>
        <w:rPr>
          <w:rFonts w:hint="eastAsia" w:cs="Times New Roman"/>
          <w:highlight w:val="none"/>
          <w:lang w:val="en-US" w:eastAsia="zh-CN"/>
        </w:rPr>
        <w:t>60</w:t>
      </w:r>
      <w:r>
        <w:rPr>
          <w:rFonts w:hint="eastAsia" w:ascii="Times New Roman" w:hAnsi="Times New Roman" w:cs="Times New Roman"/>
          <w:lang w:val="en-US" w:eastAsia="zh-CN"/>
        </w:rPr>
        <w:t>天；C级企业错峰停产不少于120天；D级企业错峰停产</w:t>
      </w:r>
      <w:r>
        <w:rPr>
          <w:rFonts w:hint="eastAsia" w:cs="Times New Roman"/>
          <w:lang w:val="en-US" w:eastAsia="zh-CN"/>
        </w:rPr>
        <w:t>不少于</w:t>
      </w:r>
      <w:r>
        <w:rPr>
          <w:rFonts w:hint="eastAsia" w:ascii="Times New Roman" w:hAnsi="Times New Roman" w:cs="Times New Roman"/>
          <w:lang w:val="en-US" w:eastAsia="zh-CN"/>
        </w:rPr>
        <w:t>180天。</w:t>
      </w:r>
      <w:r>
        <w:rPr>
          <w:rFonts w:hint="eastAsia" w:ascii="楷体" w:hAnsi="楷体" w:eastAsia="楷体" w:cs="楷体"/>
        </w:rPr>
        <w:t>（责任单位：市生态环境局</w:t>
      </w:r>
      <w:r>
        <w:rPr>
          <w:rFonts w:hint="eastAsia" w:ascii="楷体" w:hAnsi="楷体" w:eastAsia="楷体" w:cs="楷体"/>
          <w:lang w:eastAsia="zh-CN"/>
        </w:rPr>
        <w:t>、市工信局</w:t>
      </w:r>
      <w:r>
        <w:rPr>
          <w:rFonts w:hint="eastAsia" w:ascii="楷体" w:hAnsi="楷体" w:eastAsia="楷体" w:cs="楷体"/>
        </w:rPr>
        <w:t>）</w:t>
      </w:r>
    </w:p>
    <w:p w14:paraId="487CA54E">
      <w:pPr>
        <w:pStyle w:val="15"/>
        <w:keepNext w:val="0"/>
        <w:keepLines w:val="0"/>
        <w:pageBreakBefore w:val="0"/>
        <w:widowControl w:val="0"/>
        <w:wordWrap/>
        <w:overflowPunct/>
        <w:topLinePunct w:val="0"/>
        <w:bidi w:val="0"/>
        <w:ind w:firstLine="643" w:firstLineChars="200"/>
        <w:outlineLvl w:val="1"/>
        <w:rPr>
          <w:rFonts w:hint="default" w:ascii="Times New Roman" w:hAnsi="Times New Roman" w:cs="Times New Roman"/>
          <w:b/>
          <w:bCs/>
          <w:lang w:val="en-US" w:eastAsia="zh-CN"/>
        </w:rPr>
      </w:pPr>
      <w:r>
        <w:rPr>
          <w:rFonts w:hint="eastAsia" w:ascii="Times New Roman" w:hAnsi="Times New Roman" w:cs="Times New Roman"/>
          <w:b/>
          <w:bCs/>
          <w:lang w:eastAsia="zh-CN"/>
        </w:rPr>
        <w:t>（五）科学谋划强化规划引领</w:t>
      </w:r>
    </w:p>
    <w:p w14:paraId="7B8BB59E">
      <w:pPr>
        <w:pStyle w:val="15"/>
        <w:keepNext w:val="0"/>
        <w:keepLines w:val="0"/>
        <w:pageBreakBefore w:val="0"/>
        <w:widowControl w:val="0"/>
        <w:numPr>
          <w:ilvl w:val="0"/>
          <w:numId w:val="0"/>
        </w:numPr>
        <w:wordWrap/>
        <w:overflowPunct/>
        <w:topLinePunct w:val="0"/>
        <w:bidi w:val="0"/>
        <w:ind w:firstLine="643" w:firstLineChars="200"/>
      </w:pPr>
      <w:r>
        <w:rPr>
          <w:rFonts w:hint="eastAsia" w:ascii="Times New Roman" w:hAnsi="Times New Roman" w:cs="Times New Roman"/>
          <w:b/>
          <w:bCs/>
          <w:lang w:val="en-US" w:eastAsia="zh-CN"/>
        </w:rPr>
        <w:t>17.编制完善大气治理规划</w:t>
      </w:r>
      <w:r>
        <w:rPr>
          <w:rFonts w:hint="eastAsia" w:ascii="Times New Roman" w:hAnsi="Times New Roman" w:cs="Times New Roman"/>
          <w:b/>
          <w:bCs/>
          <w:lang w:eastAsia="zh-CN"/>
        </w:rPr>
        <w:t>。</w:t>
      </w:r>
      <w:r>
        <w:rPr>
          <w:rFonts w:hint="eastAsia"/>
          <w:lang w:eastAsia="zh-CN"/>
        </w:rPr>
        <w:t>编制淮南市大气环境质量限期达标规划，以重点章节明确“十五五”大气污染防治重点任务，明确分阶段减排路径，统筹发展与治污，协同推进减污、降碳、扩绿、增长，科学稳步推动空气质量达标</w:t>
      </w:r>
      <w:r>
        <w:t>。</w:t>
      </w:r>
      <w:r>
        <w:rPr>
          <w:rFonts w:hint="eastAsia"/>
          <w:lang w:eastAsia="zh-CN"/>
        </w:rPr>
        <w:t>寿县、凤台县同步编制县级空气质量限期达标规划。</w:t>
      </w:r>
      <w:r>
        <w:rPr>
          <w:rFonts w:hint="eastAsia" w:ascii="楷体" w:hAnsi="楷体" w:eastAsia="楷体" w:cs="楷体"/>
        </w:rPr>
        <w:t>（责任单位：市生态环境局</w:t>
      </w:r>
      <w:r>
        <w:rPr>
          <w:rFonts w:hint="eastAsia" w:ascii="楷体" w:hAnsi="楷体" w:eastAsia="楷体" w:cs="楷体"/>
          <w:lang w:eastAsia="zh-CN"/>
        </w:rPr>
        <w:t>、市发改委、寿县、凤台县政府</w:t>
      </w:r>
      <w:r>
        <w:rPr>
          <w:rFonts w:hint="eastAsia" w:ascii="楷体" w:hAnsi="楷体" w:eastAsia="楷体" w:cs="楷体"/>
        </w:rPr>
        <w:t>）</w:t>
      </w:r>
    </w:p>
    <w:p w14:paraId="05964B7C">
      <w:pPr>
        <w:keepNext w:val="0"/>
        <w:keepLines w:val="0"/>
        <w:pageBreakBefore w:val="0"/>
        <w:widowControl w:val="0"/>
        <w:numPr>
          <w:ilvl w:val="0"/>
          <w:numId w:val="2"/>
        </w:numPr>
        <w:wordWrap/>
        <w:overflowPunct/>
        <w:topLinePunct w:val="0"/>
        <w:bidi w:val="0"/>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保障措施</w:t>
      </w:r>
    </w:p>
    <w:p w14:paraId="11169B91">
      <w:pPr>
        <w:pStyle w:val="15"/>
        <w:keepNext w:val="0"/>
        <w:keepLines w:val="0"/>
        <w:pageBreakBefore w:val="0"/>
        <w:widowControl w:val="0"/>
        <w:wordWrap/>
        <w:overflowPunct/>
        <w:topLinePunct w:val="0"/>
        <w:bidi w:val="0"/>
        <w:ind w:firstLine="643" w:firstLineChars="200"/>
        <w:outlineLvl w:val="1"/>
        <w:rPr>
          <w:rFonts w:hint="default" w:ascii="Times New Roman" w:hAnsi="Times New Roman" w:cs="Times New Roman"/>
          <w:lang w:val="en-US" w:eastAsia="zh-CN"/>
        </w:rPr>
      </w:pPr>
      <w:r>
        <w:rPr>
          <w:b/>
          <w:bCs/>
        </w:rPr>
        <w:t>（一）</w:t>
      </w:r>
      <w:r>
        <w:rPr>
          <w:rFonts w:hint="eastAsia"/>
          <w:b/>
          <w:bCs/>
          <w:lang w:eastAsia="zh-CN"/>
        </w:rPr>
        <w:t>加强组织领导。</w:t>
      </w:r>
      <w:r>
        <w:rPr>
          <w:rFonts w:hint="eastAsia" w:ascii="Times New Roman" w:hAnsi="Times New Roman" w:cs="Times New Roman"/>
          <w:lang w:eastAsia="zh-CN"/>
        </w:rPr>
        <w:t>锚定空气质量改善目标</w:t>
      </w:r>
      <w:r>
        <w:rPr>
          <w:rFonts w:hint="eastAsia" w:cs="Times New Roman"/>
          <w:lang w:eastAsia="zh-CN"/>
        </w:rPr>
        <w:t>及支撑目标完成的各项重点任务</w:t>
      </w:r>
      <w:r>
        <w:rPr>
          <w:rFonts w:hint="eastAsia" w:ascii="Times New Roman" w:hAnsi="Times New Roman" w:cs="Times New Roman"/>
          <w:lang w:eastAsia="zh-CN"/>
        </w:rPr>
        <w:t>，压实地方政府</w:t>
      </w:r>
      <w:r>
        <w:rPr>
          <w:rFonts w:hint="eastAsia" w:cs="Times New Roman"/>
          <w:lang w:eastAsia="zh-CN"/>
        </w:rPr>
        <w:t>（管委会）</w:t>
      </w:r>
      <w:r>
        <w:rPr>
          <w:rFonts w:hint="eastAsia" w:ascii="Times New Roman" w:hAnsi="Times New Roman" w:cs="Times New Roman"/>
          <w:lang w:eastAsia="zh-CN"/>
        </w:rPr>
        <w:t>责任。市政府</w:t>
      </w:r>
      <w:r>
        <w:rPr>
          <w:rFonts w:hint="eastAsia" w:cs="Times New Roman"/>
          <w:lang w:eastAsia="zh-CN"/>
        </w:rPr>
        <w:t>强化</w:t>
      </w:r>
      <w:r>
        <w:rPr>
          <w:rFonts w:hint="eastAsia" w:ascii="Times New Roman" w:hAnsi="Times New Roman" w:cs="Times New Roman"/>
          <w:lang w:eastAsia="zh-CN"/>
        </w:rPr>
        <w:t>对重点任务的统筹协调、调度督办与考核评价，重点调度市直部门工作落实情况，形成部门牵头负责，属地具体落实工作体系。</w:t>
      </w:r>
    </w:p>
    <w:p w14:paraId="53B0CA34">
      <w:pPr>
        <w:pStyle w:val="15"/>
        <w:keepNext w:val="0"/>
        <w:keepLines w:val="0"/>
        <w:pageBreakBefore w:val="0"/>
        <w:widowControl w:val="0"/>
        <w:wordWrap/>
        <w:overflowPunct/>
        <w:topLinePunct w:val="0"/>
        <w:bidi w:val="0"/>
        <w:ind w:firstLine="643" w:firstLineChars="200"/>
        <w:outlineLvl w:val="1"/>
        <w:rPr>
          <w:rFonts w:hint="eastAsia"/>
          <w:lang w:eastAsia="zh-CN"/>
        </w:rPr>
      </w:pPr>
      <w:r>
        <w:rPr>
          <w:b/>
          <w:bCs/>
        </w:rPr>
        <w:t>（二</w:t>
      </w:r>
      <w:r>
        <w:rPr>
          <w:rFonts w:hint="eastAsia"/>
          <w:b/>
          <w:bCs/>
          <w:lang w:eastAsia="zh-CN"/>
        </w:rPr>
        <w:t>）落实项目支撑。</w:t>
      </w:r>
      <w:r>
        <w:rPr>
          <w:rFonts w:hint="eastAsia"/>
          <w:lang w:eastAsia="zh-CN"/>
        </w:rPr>
        <w:t>依托</w:t>
      </w:r>
      <w:r>
        <w:t>美丽蓝天建设项目</w:t>
      </w:r>
      <w:r>
        <w:rPr>
          <w:rFonts w:hint="eastAsia"/>
          <w:lang w:eastAsia="zh-CN"/>
        </w:rPr>
        <w:t>及“两新”政策，充分发挥中央资金撬动引导作用，保障</w:t>
      </w:r>
      <w:r>
        <w:t>市级财政</w:t>
      </w:r>
      <w:r>
        <w:rPr>
          <w:rFonts w:hint="eastAsia"/>
          <w:lang w:eastAsia="zh-CN"/>
        </w:rPr>
        <w:t>配套</w:t>
      </w:r>
      <w:r>
        <w:t>，</w:t>
      </w:r>
      <w:r>
        <w:rPr>
          <w:rFonts w:hint="eastAsia"/>
          <w:lang w:eastAsia="zh-CN"/>
        </w:rPr>
        <w:t>为高排移动源淘汰更新、重点行业</w:t>
      </w:r>
      <w:r>
        <w:t>深度治理</w:t>
      </w:r>
      <w:r>
        <w:rPr>
          <w:rFonts w:hint="eastAsia"/>
          <w:lang w:eastAsia="zh-CN"/>
        </w:rPr>
        <w:t>及绩效提级、非重点行业环保水平提升、与大气改善密切相关“绿岛”及示范治理工程建设，提供有效资金支持。</w:t>
      </w:r>
    </w:p>
    <w:p w14:paraId="066BC4F5">
      <w:pPr>
        <w:pStyle w:val="15"/>
        <w:keepNext w:val="0"/>
        <w:keepLines w:val="0"/>
        <w:pageBreakBefore w:val="0"/>
        <w:widowControl w:val="0"/>
        <w:wordWrap/>
        <w:overflowPunct/>
        <w:topLinePunct w:val="0"/>
        <w:bidi w:val="0"/>
        <w:ind w:firstLine="643" w:firstLineChars="200"/>
        <w:outlineLvl w:val="1"/>
        <w:rPr>
          <w:rFonts w:hint="default"/>
          <w:lang w:val="en-US" w:eastAsia="zh-CN"/>
        </w:rPr>
      </w:pPr>
      <w:r>
        <w:rPr>
          <w:b/>
          <w:bCs/>
        </w:rPr>
        <w:t>（三）</w:t>
      </w:r>
      <w:r>
        <w:rPr>
          <w:rFonts w:hint="eastAsia"/>
          <w:b/>
          <w:bCs/>
          <w:lang w:eastAsia="zh-CN"/>
        </w:rPr>
        <w:t>强化</w:t>
      </w:r>
      <w:r>
        <w:rPr>
          <w:b/>
          <w:bCs/>
        </w:rPr>
        <w:t>技术保障</w:t>
      </w:r>
      <w:r>
        <w:rPr>
          <w:rFonts w:hint="eastAsia"/>
          <w:b/>
          <w:bCs/>
          <w:lang w:eastAsia="zh-CN"/>
        </w:rPr>
        <w:t>。</w:t>
      </w:r>
      <w:r>
        <w:t>依托</w:t>
      </w:r>
      <w:r>
        <w:rPr>
          <w:rFonts w:hint="eastAsia"/>
          <w:lang w:eastAsia="zh-CN"/>
        </w:rPr>
        <w:t>省环科院合作资源、专业技术团队及各类监测、污染溯源、组分分析装备，为大气治理和企业治污</w:t>
      </w:r>
      <w:r>
        <w:t>提供专业指导</w:t>
      </w:r>
      <w:r>
        <w:rPr>
          <w:rFonts w:hint="eastAsia"/>
          <w:lang w:eastAsia="zh-CN"/>
        </w:rPr>
        <w:t>。常态化抓好大气防治攻坚，坚持日会商、周复盘、月调度工作机制，发现问题及时研究解决，动态调整部署、完善工作机制。</w:t>
      </w:r>
    </w:p>
    <w:p w14:paraId="7A4A4B12">
      <w:pPr>
        <w:pStyle w:val="15"/>
        <w:keepNext w:val="0"/>
        <w:keepLines w:val="0"/>
        <w:pageBreakBefore w:val="0"/>
        <w:widowControl w:val="0"/>
        <w:wordWrap/>
        <w:overflowPunct/>
        <w:topLinePunct w:val="0"/>
        <w:bidi w:val="0"/>
        <w:ind w:firstLine="643" w:firstLineChars="200"/>
        <w:outlineLvl w:val="1"/>
      </w:pPr>
      <w:r>
        <w:rPr>
          <w:b/>
          <w:bCs/>
        </w:rPr>
        <w:t>（四）</w:t>
      </w:r>
      <w:r>
        <w:rPr>
          <w:rFonts w:hint="eastAsia"/>
          <w:b/>
          <w:bCs/>
          <w:lang w:eastAsia="zh-CN"/>
        </w:rPr>
        <w:t>加强执法监督。</w:t>
      </w:r>
      <w:r>
        <w:t>深化“双随机、一公开”监管，加大对重点企业、重点时段的执法检查力度，严厉打击</w:t>
      </w:r>
      <w:r>
        <w:rPr>
          <w:rFonts w:hint="eastAsia"/>
          <w:lang w:eastAsia="zh-CN"/>
        </w:rPr>
        <w:t>直排</w:t>
      </w:r>
      <w:r>
        <w:t>超标、偷排漏排、</w:t>
      </w:r>
      <w:r>
        <w:rPr>
          <w:rFonts w:hint="eastAsia"/>
          <w:lang w:eastAsia="zh-CN"/>
        </w:rPr>
        <w:t>应停未停、</w:t>
      </w:r>
      <w:r>
        <w:t>擅自停运污染治理设施等环境违法行为</w:t>
      </w:r>
      <w:r>
        <w:rPr>
          <w:rFonts w:hint="eastAsia"/>
          <w:lang w:eastAsia="zh-CN"/>
        </w:rPr>
        <w:t>。</w:t>
      </w:r>
      <w:r>
        <w:t>强化在线监测、</w:t>
      </w:r>
      <w:r>
        <w:rPr>
          <w:rFonts w:hint="eastAsia"/>
          <w:lang w:eastAsia="zh-CN"/>
        </w:rPr>
        <w:t>雷达扫描、污染走航、震动</w:t>
      </w:r>
      <w:r>
        <w:t>监控、大数据分析等</w:t>
      </w:r>
      <w:r>
        <w:rPr>
          <w:rFonts w:hint="eastAsia"/>
          <w:lang w:eastAsia="zh-CN"/>
        </w:rPr>
        <w:t>非现场监管手段</w:t>
      </w:r>
      <w:r>
        <w:t>应用，实现重点污染源全时段、全覆盖监管，提升监管效能</w:t>
      </w:r>
      <w:r>
        <w:rPr>
          <w:rFonts w:hint="eastAsia"/>
          <w:lang w:eastAsia="zh-CN"/>
        </w:rPr>
        <w:t>。</w:t>
      </w:r>
      <w:r>
        <w:t>畅通12345热线等群众投诉举报渠道，按月梳理群众反映的</w:t>
      </w:r>
      <w:r>
        <w:rPr>
          <w:rFonts w:hint="eastAsia"/>
          <w:lang w:eastAsia="zh-CN"/>
        </w:rPr>
        <w:t>生态环境</w:t>
      </w:r>
      <w:r>
        <w:t>问题，</w:t>
      </w:r>
      <w:r>
        <w:rPr>
          <w:rFonts w:hint="eastAsia"/>
          <w:lang w:eastAsia="zh-CN"/>
        </w:rPr>
        <w:t>实行</w:t>
      </w:r>
      <w:r>
        <w:t>清单化</w:t>
      </w:r>
      <w:r>
        <w:rPr>
          <w:rFonts w:hint="eastAsia"/>
          <w:lang w:eastAsia="zh-CN"/>
        </w:rPr>
        <w:t>、</w:t>
      </w:r>
      <w:r>
        <w:t>闭环式整改，切实解决群众身边的突出环境问题。</w:t>
      </w:r>
    </w:p>
    <w:p w14:paraId="0AD32417">
      <w:pPr>
        <w:pStyle w:val="15"/>
        <w:keepNext w:val="0"/>
        <w:keepLines w:val="0"/>
        <w:pageBreakBefore w:val="0"/>
        <w:widowControl w:val="0"/>
        <w:wordWrap/>
        <w:overflowPunct/>
        <w:topLinePunct w:val="0"/>
        <w:bidi w:val="0"/>
        <w:ind w:firstLine="643" w:firstLineChars="200"/>
        <w:outlineLvl w:val="1"/>
      </w:pPr>
      <w:r>
        <w:rPr>
          <w:b/>
          <w:bCs/>
        </w:rPr>
        <w:t>（五）</w:t>
      </w:r>
      <w:r>
        <w:rPr>
          <w:rFonts w:hint="eastAsia"/>
          <w:b/>
          <w:bCs/>
          <w:lang w:eastAsia="zh-CN"/>
        </w:rPr>
        <w:t>严格目标考核。</w:t>
      </w:r>
      <w:r>
        <w:t>2026年度空气质量提升行动目标</w:t>
      </w:r>
      <w:r>
        <w:rPr>
          <w:rFonts w:hint="eastAsia"/>
          <w:lang w:eastAsia="zh-CN"/>
        </w:rPr>
        <w:t>是</w:t>
      </w:r>
      <w:r>
        <w:t>各县区、园区和市直相关单位年度生态环境保护</w:t>
      </w:r>
      <w:r>
        <w:rPr>
          <w:rFonts w:hint="eastAsia"/>
          <w:lang w:eastAsia="zh-CN"/>
        </w:rPr>
        <w:t>考核</w:t>
      </w:r>
      <w:r>
        <w:t>目标</w:t>
      </w:r>
      <w:r>
        <w:rPr>
          <w:rFonts w:hint="eastAsia"/>
          <w:lang w:eastAsia="zh-CN"/>
        </w:rPr>
        <w:t>的重要内容，</w:t>
      </w:r>
      <w:r>
        <w:t>对</w:t>
      </w:r>
      <w:r>
        <w:rPr>
          <w:rFonts w:hint="eastAsia"/>
        </w:rPr>
        <w:t>工作推进迟缓</w:t>
      </w:r>
      <w:r>
        <w:t>、未完成年度目标任务、空气质量持续恶化的，予以</w:t>
      </w:r>
      <w:r>
        <w:rPr>
          <w:rFonts w:hint="eastAsia"/>
          <w:lang w:eastAsia="zh-CN"/>
        </w:rPr>
        <w:t>警示</w:t>
      </w:r>
      <w:r>
        <w:t>约谈、通报</w:t>
      </w:r>
      <w:r>
        <w:rPr>
          <w:rFonts w:hint="eastAsia"/>
          <w:lang w:eastAsia="zh-CN"/>
        </w:rPr>
        <w:t>批评。因履职不力导致全市年度目标未完成的，依规严肃追究责任</w:t>
      </w:r>
      <w:r>
        <w:t>。</w:t>
      </w:r>
    </w:p>
    <w:p w14:paraId="5581EE5C">
      <w:pPr>
        <w:pStyle w:val="15"/>
        <w:keepNext w:val="0"/>
        <w:keepLines w:val="0"/>
        <w:pageBreakBefore w:val="0"/>
        <w:widowControl w:val="0"/>
        <w:wordWrap/>
        <w:overflowPunct/>
        <w:topLinePunct w:val="0"/>
        <w:bidi w:val="0"/>
        <w:ind w:firstLine="640" w:firstLineChars="200"/>
        <w:outlineLvl w:val="1"/>
      </w:pPr>
    </w:p>
    <w:p w14:paraId="71333E5C">
      <w:pPr>
        <w:pStyle w:val="15"/>
        <w:keepNext w:val="0"/>
        <w:keepLines w:val="0"/>
        <w:pageBreakBefore w:val="0"/>
        <w:widowControl w:val="0"/>
        <w:wordWrap/>
        <w:overflowPunct/>
        <w:topLinePunct w:val="0"/>
        <w:bidi w:val="0"/>
        <w:ind w:left="1918" w:leftChars="304" w:hanging="1280" w:hangingChars="400"/>
        <w:outlineLvl w:val="1"/>
        <w:rPr>
          <w:rFonts w:hint="eastAsia"/>
          <w:lang w:val="en-US" w:eastAsia="zh-CN"/>
        </w:rPr>
      </w:pPr>
      <w:r>
        <w:rPr>
          <w:rFonts w:hint="eastAsia"/>
          <w:b w:val="0"/>
          <w:bCs w:val="0"/>
          <w:lang w:eastAsia="zh-CN"/>
        </w:rPr>
        <w:t>附件</w:t>
      </w:r>
      <w:r>
        <w:rPr>
          <w:rFonts w:hint="eastAsia"/>
          <w:b/>
          <w:bCs/>
          <w:lang w:eastAsia="zh-CN"/>
        </w:rPr>
        <w:t>：</w:t>
      </w:r>
      <w:r>
        <w:rPr>
          <w:rFonts w:hint="eastAsia"/>
          <w:lang w:val="en-US" w:eastAsia="zh-CN"/>
        </w:rPr>
        <w:t>1.淮南市2026年县区空气质量目标表</w:t>
      </w:r>
    </w:p>
    <w:p w14:paraId="3EF0E962">
      <w:pPr>
        <w:pStyle w:val="15"/>
        <w:keepNext w:val="0"/>
        <w:keepLines w:val="0"/>
        <w:pageBreakBefore w:val="0"/>
        <w:widowControl w:val="0"/>
        <w:wordWrap/>
        <w:overflowPunct/>
        <w:topLinePunct w:val="0"/>
        <w:bidi w:val="0"/>
        <w:ind w:left="1916" w:leftChars="760" w:hanging="320" w:hangingChars="100"/>
        <w:outlineLvl w:val="1"/>
        <w:rPr>
          <w:rFonts w:hint="eastAsia"/>
          <w:lang w:val="en-US" w:eastAsia="zh-CN"/>
        </w:rPr>
      </w:pPr>
      <w:r>
        <w:rPr>
          <w:rFonts w:hint="eastAsia"/>
          <w:lang w:val="en-US" w:eastAsia="zh-CN"/>
        </w:rPr>
        <w:t>2.淮南市2026年工业源排放大气主要污染物减排目标任务分解表</w:t>
      </w:r>
    </w:p>
    <w:p w14:paraId="7DD86B01">
      <w:pPr>
        <w:pStyle w:val="15"/>
        <w:keepNext w:val="0"/>
        <w:keepLines w:val="0"/>
        <w:pageBreakBefore w:val="0"/>
        <w:widowControl w:val="0"/>
        <w:wordWrap/>
        <w:overflowPunct/>
        <w:topLinePunct w:val="0"/>
        <w:bidi w:val="0"/>
        <w:ind w:left="1916" w:leftChars="760" w:hanging="320" w:hangingChars="100"/>
        <w:outlineLvl w:val="1"/>
        <w:rPr>
          <w:rFonts w:hint="eastAsia"/>
          <w:lang w:val="en-US" w:eastAsia="zh-CN"/>
        </w:rPr>
      </w:pPr>
      <w:r>
        <w:rPr>
          <w:rFonts w:hint="eastAsia"/>
          <w:lang w:val="en-US" w:eastAsia="zh-CN"/>
        </w:rPr>
        <w:t>3.淮南市2026年“四整治一保障”投诉举报数量下降目标任务分解表</w:t>
      </w:r>
    </w:p>
    <w:p w14:paraId="4067CE52">
      <w:pPr>
        <w:pStyle w:val="15"/>
        <w:keepNext w:val="0"/>
        <w:keepLines w:val="0"/>
        <w:pageBreakBefore w:val="0"/>
        <w:widowControl w:val="0"/>
        <w:wordWrap/>
        <w:overflowPunct/>
        <w:topLinePunct w:val="0"/>
        <w:bidi w:val="0"/>
        <w:ind w:firstLine="1600" w:firstLineChars="500"/>
        <w:outlineLvl w:val="1"/>
        <w:rPr>
          <w:rFonts w:hint="default"/>
          <w:lang w:val="en-US" w:eastAsia="zh-CN"/>
        </w:rPr>
      </w:pPr>
      <w:r>
        <w:rPr>
          <w:rFonts w:hint="eastAsia"/>
          <w:lang w:val="en-US" w:eastAsia="zh-CN"/>
        </w:rPr>
        <w:t>4.美丽蓝天建设项目2026年计划实施任务表</w:t>
      </w:r>
    </w:p>
    <w:p w14:paraId="34963244">
      <w:pPr>
        <w:keepNext w:val="0"/>
        <w:keepLines w:val="0"/>
        <w:pageBreakBefore w:val="0"/>
        <w:widowControl w:val="0"/>
        <w:wordWrap/>
        <w:overflowPunct/>
        <w:topLinePunct w:val="0"/>
        <w:bidi w:val="0"/>
        <w:ind w:firstLine="420" w:firstLineChars="200"/>
      </w:pPr>
      <w:r>
        <w:br w:type="page"/>
      </w:r>
    </w:p>
    <w:p w14:paraId="46494ACF">
      <w:pPr>
        <w:pStyle w:val="15"/>
        <w:keepNext w:val="0"/>
        <w:keepLines w:val="0"/>
        <w:pageBreakBefore w:val="0"/>
        <w:widowControl w:val="0"/>
        <w:wordWrap/>
        <w:overflowPunct/>
        <w:topLinePunct w:val="0"/>
        <w:bidi w:val="0"/>
        <w:ind w:left="0" w:leftChars="0" w:firstLine="0" w:firstLineChars="0"/>
        <w:outlineLvl w:val="0"/>
        <w:rPr>
          <w:rFonts w:ascii="黑体" w:hAnsi="黑体" w:eastAsia="黑体"/>
        </w:rPr>
      </w:pPr>
      <w:r>
        <w:rPr>
          <w:rFonts w:ascii="黑体" w:hAnsi="黑体" w:eastAsia="黑体"/>
        </w:rPr>
        <w:t>附件1</w:t>
      </w:r>
    </w:p>
    <w:p w14:paraId="1C758D29">
      <w:pPr>
        <w:pStyle w:val="15"/>
        <w:keepNext w:val="0"/>
        <w:keepLines w:val="0"/>
        <w:pageBreakBefore w:val="0"/>
        <w:widowControl w:val="0"/>
        <w:wordWrap/>
        <w:overflowPunct/>
        <w:topLinePunct w:val="0"/>
        <w:bidi w:val="0"/>
        <w:ind w:left="0" w:leftChars="0" w:firstLine="0" w:firstLineChars="0"/>
        <w:jc w:val="center"/>
        <w:outlineLvl w:val="0"/>
        <w:rPr>
          <w:rFonts w:hint="eastAsia" w:ascii="Times New Roman" w:hAnsi="Times New Roman" w:eastAsia="方正小标宋简体" w:cs="方正小标宋简体"/>
          <w:kern w:val="2"/>
          <w:sz w:val="36"/>
          <w:szCs w:val="36"/>
          <w:lang w:val="en-US" w:eastAsia="zh-CN" w:bidi="ar-SA"/>
        </w:rPr>
      </w:pPr>
      <w:r>
        <w:rPr>
          <w:rFonts w:hint="eastAsia" w:ascii="Times New Roman" w:hAnsi="Times New Roman" w:eastAsia="方正小标宋简体" w:cs="方正小标宋简体"/>
          <w:kern w:val="2"/>
          <w:sz w:val="36"/>
          <w:szCs w:val="36"/>
          <w:lang w:val="en-US" w:eastAsia="zh-CN" w:bidi="ar-SA"/>
        </w:rPr>
        <w:t>淮南市2026年县区空气质量目标表</w:t>
      </w:r>
    </w:p>
    <w:tbl>
      <w:tblPr>
        <w:tblStyle w:val="11"/>
        <w:tblW w:w="4974" w:type="pct"/>
        <w:tblInd w:w="0" w:type="dxa"/>
        <w:tblLayout w:type="autofit"/>
        <w:tblCellMar>
          <w:top w:w="0" w:type="dxa"/>
          <w:left w:w="108" w:type="dxa"/>
          <w:bottom w:w="0" w:type="dxa"/>
          <w:right w:w="108" w:type="dxa"/>
        </w:tblCellMar>
      </w:tblPr>
      <w:tblGrid>
        <w:gridCol w:w="2719"/>
        <w:gridCol w:w="3104"/>
        <w:gridCol w:w="3191"/>
      </w:tblGrid>
      <w:tr w14:paraId="20916D5A">
        <w:tblPrEx>
          <w:tblCellMar>
            <w:top w:w="0" w:type="dxa"/>
            <w:left w:w="108" w:type="dxa"/>
            <w:bottom w:w="0" w:type="dxa"/>
            <w:right w:w="108" w:type="dxa"/>
          </w:tblCellMar>
        </w:tblPrEx>
        <w:trPr>
          <w:trHeight w:val="599"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C73F">
            <w:pPr>
              <w:keepNext w:val="0"/>
              <w:keepLines w:val="0"/>
              <w:pageBreakBefore w:val="0"/>
              <w:widowControl w:val="0"/>
              <w:wordWrap/>
              <w:overflowPunct/>
              <w:topLinePunct w:val="0"/>
              <w:bidi w:val="0"/>
              <w:jc w:val="center"/>
              <w:textAlignment w:val="center"/>
              <w:rPr>
                <w:rFonts w:ascii="Times New Roman" w:hAnsi="Times New Roman" w:eastAsia="微软雅黑" w:cs="Times New Roman"/>
                <w:b w:val="0"/>
                <w:bCs w:val="0"/>
                <w:color w:val="000000"/>
                <w:kern w:val="0"/>
                <w:sz w:val="28"/>
                <w:szCs w:val="28"/>
              </w:rPr>
            </w:pPr>
            <w:r>
              <w:rPr>
                <w:rFonts w:hint="eastAsia" w:ascii="Times New Roman" w:hAnsi="Times New Roman" w:eastAsia="微软雅黑" w:cs="Times New Roman"/>
                <w:b w:val="0"/>
                <w:bCs w:val="0"/>
                <w:color w:val="000000"/>
                <w:kern w:val="0"/>
                <w:sz w:val="28"/>
                <w:szCs w:val="28"/>
              </w:rPr>
              <w:t>县区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E746">
            <w:pPr>
              <w:keepNext w:val="0"/>
              <w:keepLines w:val="0"/>
              <w:pageBreakBefore w:val="0"/>
              <w:widowControl w:val="0"/>
              <w:wordWrap/>
              <w:overflowPunct/>
              <w:topLinePunct w:val="0"/>
              <w:bidi w:val="0"/>
              <w:jc w:val="center"/>
              <w:textAlignment w:val="center"/>
              <w:rPr>
                <w:rFonts w:hint="eastAsia" w:ascii="Times New Roman" w:hAnsi="Times New Roman" w:eastAsia="微软雅黑" w:cs="Times New Roman"/>
                <w:b w:val="0"/>
                <w:bCs w:val="0"/>
                <w:color w:val="000000"/>
                <w:kern w:val="0"/>
                <w:sz w:val="28"/>
                <w:szCs w:val="28"/>
                <w:lang w:eastAsia="zh-CN"/>
              </w:rPr>
            </w:pPr>
            <w:r>
              <w:rPr>
                <w:rFonts w:hint="eastAsia" w:ascii="Times New Roman" w:hAnsi="Times New Roman" w:eastAsia="微软雅黑" w:cs="Times New Roman"/>
                <w:b w:val="0"/>
                <w:bCs w:val="0"/>
                <w:color w:val="000000"/>
                <w:kern w:val="0"/>
                <w:sz w:val="28"/>
                <w:szCs w:val="28"/>
              </w:rPr>
              <w:t>PM</w:t>
            </w:r>
            <w:r>
              <w:rPr>
                <w:rFonts w:hint="eastAsia" w:ascii="Times New Roman" w:hAnsi="Times New Roman" w:eastAsia="微软雅黑" w:cs="Times New Roman"/>
                <w:b w:val="0"/>
                <w:bCs w:val="0"/>
                <w:color w:val="000000"/>
                <w:kern w:val="0"/>
                <w:sz w:val="28"/>
                <w:szCs w:val="28"/>
                <w:vertAlign w:val="subscript"/>
              </w:rPr>
              <w:t>2.5</w:t>
            </w:r>
            <w:r>
              <w:rPr>
                <w:rFonts w:hint="eastAsia" w:ascii="Times New Roman" w:hAnsi="Times New Roman" w:eastAsia="微软雅黑" w:cs="Times New Roman"/>
                <w:b w:val="0"/>
                <w:bCs w:val="0"/>
                <w:color w:val="000000"/>
                <w:kern w:val="0"/>
                <w:sz w:val="28"/>
                <w:szCs w:val="28"/>
                <w:lang w:eastAsia="zh-CN"/>
              </w:rPr>
              <w:t>年均值</w:t>
            </w:r>
            <w:r>
              <w:rPr>
                <w:rFonts w:hint="eastAsia" w:ascii="Times New Roman" w:hAnsi="Times New Roman" w:eastAsia="微软雅黑" w:cs="Times New Roman"/>
                <w:b w:val="0"/>
                <w:bCs w:val="0"/>
                <w:color w:val="000000"/>
                <w:kern w:val="0"/>
                <w:sz w:val="28"/>
                <w:szCs w:val="28"/>
              </w:rPr>
              <w:t>目标</w:t>
            </w:r>
            <w:r>
              <w:rPr>
                <w:rFonts w:hint="eastAsia" w:ascii="Times New Roman" w:hAnsi="Times New Roman" w:eastAsia="微软雅黑" w:cs="Times New Roman"/>
                <w:b w:val="0"/>
                <w:bCs w:val="0"/>
                <w:color w:val="000000"/>
                <w:kern w:val="0"/>
                <w:sz w:val="28"/>
                <w:szCs w:val="28"/>
                <w:lang w:eastAsia="zh-CN"/>
              </w:rPr>
              <w:t>（微克</w:t>
            </w:r>
            <w:r>
              <w:rPr>
                <w:rFonts w:hint="eastAsia" w:ascii="Times New Roman" w:hAnsi="Times New Roman" w:eastAsia="微软雅黑" w:cs="Times New Roman"/>
                <w:b w:val="0"/>
                <w:bCs w:val="0"/>
                <w:color w:val="000000"/>
                <w:kern w:val="0"/>
                <w:sz w:val="28"/>
                <w:szCs w:val="28"/>
                <w:lang w:val="en-US" w:eastAsia="zh-CN"/>
              </w:rPr>
              <w:t>/立方米</w:t>
            </w:r>
            <w:r>
              <w:rPr>
                <w:rFonts w:hint="eastAsia" w:ascii="Times New Roman" w:hAnsi="Times New Roman" w:eastAsia="微软雅黑" w:cs="Times New Roman"/>
                <w:b w:val="0"/>
                <w:bCs w:val="0"/>
                <w:color w:val="000000"/>
                <w:kern w:val="0"/>
                <w:sz w:val="28"/>
                <w:szCs w:val="28"/>
                <w:lang w:eastAsia="zh-CN"/>
              </w:rPr>
              <w:t>）</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A209">
            <w:pPr>
              <w:keepNext w:val="0"/>
              <w:keepLines w:val="0"/>
              <w:pageBreakBefore w:val="0"/>
              <w:widowControl w:val="0"/>
              <w:wordWrap/>
              <w:overflowPunct/>
              <w:topLinePunct w:val="0"/>
              <w:bidi w:val="0"/>
              <w:jc w:val="center"/>
              <w:textAlignment w:val="center"/>
              <w:rPr>
                <w:rFonts w:hint="eastAsia" w:ascii="Times New Roman" w:hAnsi="Times New Roman" w:eastAsia="微软雅黑" w:cs="Times New Roman"/>
                <w:b w:val="0"/>
                <w:bCs w:val="0"/>
                <w:color w:val="000000"/>
                <w:kern w:val="0"/>
                <w:sz w:val="28"/>
                <w:szCs w:val="28"/>
                <w:lang w:eastAsia="zh-CN"/>
              </w:rPr>
            </w:pPr>
            <w:r>
              <w:rPr>
                <w:rFonts w:hint="eastAsia" w:ascii="Times New Roman" w:hAnsi="Times New Roman" w:eastAsia="微软雅黑" w:cs="Times New Roman"/>
                <w:b w:val="0"/>
                <w:bCs w:val="0"/>
                <w:color w:val="000000"/>
                <w:kern w:val="0"/>
                <w:sz w:val="28"/>
                <w:szCs w:val="28"/>
              </w:rPr>
              <w:t>优良</w:t>
            </w:r>
            <w:r>
              <w:rPr>
                <w:rFonts w:hint="eastAsia" w:ascii="Times New Roman" w:hAnsi="Times New Roman" w:eastAsia="微软雅黑" w:cs="Times New Roman"/>
                <w:b w:val="0"/>
                <w:bCs w:val="0"/>
                <w:color w:val="000000"/>
                <w:kern w:val="0"/>
                <w:sz w:val="28"/>
                <w:szCs w:val="28"/>
                <w:lang w:eastAsia="zh-CN"/>
              </w:rPr>
              <w:t>天数比例目标（</w:t>
            </w:r>
            <w:r>
              <w:rPr>
                <w:rFonts w:hint="eastAsia" w:ascii="Times New Roman" w:hAnsi="Times New Roman" w:eastAsia="微软雅黑" w:cs="Times New Roman"/>
                <w:b w:val="0"/>
                <w:bCs w:val="0"/>
                <w:color w:val="000000"/>
                <w:kern w:val="0"/>
                <w:sz w:val="28"/>
                <w:szCs w:val="28"/>
                <w:lang w:val="en-US" w:eastAsia="zh-CN"/>
              </w:rPr>
              <w:t>%</w:t>
            </w:r>
            <w:r>
              <w:rPr>
                <w:rFonts w:hint="eastAsia" w:ascii="Times New Roman" w:hAnsi="Times New Roman" w:eastAsia="微软雅黑" w:cs="Times New Roman"/>
                <w:b w:val="0"/>
                <w:bCs w:val="0"/>
                <w:color w:val="000000"/>
                <w:kern w:val="0"/>
                <w:sz w:val="28"/>
                <w:szCs w:val="28"/>
                <w:lang w:eastAsia="zh-CN"/>
              </w:rPr>
              <w:t>）</w:t>
            </w:r>
          </w:p>
        </w:tc>
      </w:tr>
      <w:tr w14:paraId="0279F9E4">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39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寿县</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DC8">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170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83.5</w:t>
            </w:r>
          </w:p>
        </w:tc>
      </w:tr>
      <w:tr w14:paraId="2661AD40">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506B">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凤台县</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ABF6">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7E8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81.6</w:t>
            </w:r>
          </w:p>
        </w:tc>
      </w:tr>
      <w:tr w14:paraId="52BC22E1">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C453">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大通区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E68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FA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75.7</w:t>
            </w:r>
          </w:p>
        </w:tc>
      </w:tr>
      <w:tr w14:paraId="52BB17A4">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298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田家庵区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04A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174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73.6</w:t>
            </w:r>
          </w:p>
        </w:tc>
      </w:tr>
      <w:tr w14:paraId="4DEEC7D0">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F393">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谢家集区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D97">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2D6">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77.3</w:t>
            </w:r>
          </w:p>
        </w:tc>
      </w:tr>
      <w:tr w14:paraId="40C02645">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96F1">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八公山区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CA9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D1B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76.6</w:t>
            </w:r>
          </w:p>
        </w:tc>
      </w:tr>
      <w:tr w14:paraId="56D40215">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704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潘集区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63">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DA9F">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66.8</w:t>
            </w:r>
          </w:p>
        </w:tc>
      </w:tr>
      <w:tr w14:paraId="158773D1">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830">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毛集实验区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AD71">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85D6">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85.9</w:t>
            </w:r>
          </w:p>
        </w:tc>
      </w:tr>
      <w:tr w14:paraId="01E3EFDC">
        <w:tblPrEx>
          <w:tblCellMar>
            <w:top w:w="0" w:type="dxa"/>
            <w:left w:w="108" w:type="dxa"/>
            <w:bottom w:w="0" w:type="dxa"/>
            <w:right w:w="108" w:type="dxa"/>
          </w:tblCellMar>
        </w:tblPrEx>
        <w:trPr>
          <w:trHeight w:val="69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DDE8">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高新区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D40E">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33.5</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A36">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71.9</w:t>
            </w:r>
          </w:p>
        </w:tc>
      </w:tr>
      <w:tr w14:paraId="6B64EA42">
        <w:tblPrEx>
          <w:tblCellMar>
            <w:top w:w="0" w:type="dxa"/>
            <w:left w:w="108" w:type="dxa"/>
            <w:bottom w:w="0" w:type="dxa"/>
            <w:right w:w="108" w:type="dxa"/>
          </w:tblCellMar>
        </w:tblPrEx>
        <w:trPr>
          <w:trHeight w:val="717" w:hRule="atLeast"/>
        </w:trPr>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C28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经开区</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AE4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33.5</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3E7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75.7</w:t>
            </w:r>
          </w:p>
        </w:tc>
      </w:tr>
    </w:tbl>
    <w:p w14:paraId="0014E8F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cs="Times New Roman" w:eastAsiaTheme="minorEastAsia"/>
          <w:i w:val="0"/>
          <w:iCs w:val="0"/>
          <w:color w:val="000000"/>
          <w:kern w:val="0"/>
          <w:sz w:val="28"/>
          <w:szCs w:val="28"/>
          <w:u w:val="none"/>
          <w:lang w:val="en-US" w:eastAsia="zh-CN" w:bidi="ar"/>
        </w:rPr>
      </w:pPr>
      <w:r>
        <w:rPr>
          <w:rFonts w:hint="eastAsia" w:ascii="黑体" w:hAnsi="黑体" w:eastAsia="黑体"/>
          <w:sz w:val="28"/>
          <w:szCs w:val="28"/>
          <w:lang w:eastAsia="zh-CN"/>
        </w:rPr>
        <w:t>注：</w:t>
      </w:r>
      <w:r>
        <w:rPr>
          <w:rFonts w:hint="default" w:ascii="Times New Roman" w:hAnsi="Times New Roman" w:eastAsia="仿宋_GB2312" w:cs="Times New Roman"/>
          <w:sz w:val="28"/>
          <w:szCs w:val="28"/>
          <w:lang w:eastAsia="zh-CN"/>
        </w:rPr>
        <w:t>以上</w:t>
      </w:r>
      <w:r>
        <w:rPr>
          <w:rFonts w:hint="eastAsia" w:ascii="Times New Roman" w:hAnsi="Times New Roman" w:eastAsia="仿宋_GB2312" w:cs="Times New Roman"/>
          <w:sz w:val="28"/>
          <w:szCs w:val="28"/>
          <w:lang w:eastAsia="zh-CN"/>
        </w:rPr>
        <w:t>各县区</w:t>
      </w:r>
      <w:r>
        <w:rPr>
          <w:rFonts w:hint="default" w:ascii="Times New Roman" w:hAnsi="Times New Roman" w:eastAsia="仿宋_GB2312" w:cs="Times New Roman"/>
          <w:sz w:val="28"/>
          <w:szCs w:val="28"/>
          <w:lang w:eastAsia="zh-CN"/>
        </w:rPr>
        <w:t>PM</w:t>
      </w:r>
      <w:r>
        <w:rPr>
          <w:rFonts w:hint="default" w:ascii="Times New Roman" w:hAnsi="Times New Roman" w:eastAsia="仿宋_GB2312" w:cs="Times New Roman"/>
          <w:sz w:val="28"/>
          <w:szCs w:val="28"/>
          <w:vertAlign w:val="subscript"/>
          <w:lang w:eastAsia="zh-CN"/>
        </w:rPr>
        <w:t>2.5</w:t>
      </w:r>
      <w:r>
        <w:rPr>
          <w:rFonts w:hint="eastAsia" w:ascii="Times New Roman" w:hAnsi="Times New Roman" w:eastAsia="仿宋_GB2312" w:cs="Times New Roman"/>
          <w:sz w:val="28"/>
          <w:szCs w:val="28"/>
          <w:vertAlign w:val="baseline"/>
          <w:lang w:eastAsia="zh-CN"/>
        </w:rPr>
        <w:t>浓度</w:t>
      </w:r>
      <w:r>
        <w:rPr>
          <w:rFonts w:hint="default" w:ascii="Times New Roman" w:hAnsi="Times New Roman" w:eastAsia="仿宋_GB2312" w:cs="Times New Roman"/>
          <w:sz w:val="28"/>
          <w:szCs w:val="28"/>
          <w:lang w:eastAsia="zh-CN"/>
        </w:rPr>
        <w:t>年均值目标是以</w:t>
      </w:r>
      <w:r>
        <w:rPr>
          <w:rFonts w:hint="eastAsia" w:ascii="Times New Roman" w:hAnsi="Times New Roman" w:eastAsia="仿宋_GB2312" w:cs="Times New Roman"/>
          <w:sz w:val="28"/>
          <w:szCs w:val="28"/>
          <w:lang w:eastAsia="zh-CN"/>
        </w:rPr>
        <w:t>全市实现PM</w:t>
      </w:r>
      <w:r>
        <w:rPr>
          <w:rFonts w:hint="eastAsia" w:ascii="Times New Roman" w:hAnsi="Times New Roman" w:eastAsia="仿宋_GB2312" w:cs="Times New Roman"/>
          <w:sz w:val="28"/>
          <w:szCs w:val="28"/>
          <w:vertAlign w:val="subscript"/>
          <w:lang w:eastAsia="zh-CN"/>
        </w:rPr>
        <w:t>2.5</w:t>
      </w:r>
      <w:r>
        <w:rPr>
          <w:rFonts w:hint="eastAsia" w:ascii="Times New Roman" w:hAnsi="Times New Roman" w:eastAsia="仿宋_GB2312" w:cs="Times New Roman"/>
          <w:sz w:val="28"/>
          <w:szCs w:val="28"/>
          <w:vertAlign w:val="baseline"/>
          <w:lang w:eastAsia="zh-CN"/>
        </w:rPr>
        <w:t>浓度</w:t>
      </w:r>
      <w:r>
        <w:rPr>
          <w:rFonts w:hint="eastAsia" w:ascii="Times New Roman" w:hAnsi="Times New Roman" w:eastAsia="仿宋_GB2312" w:cs="Times New Roman"/>
          <w:sz w:val="28"/>
          <w:szCs w:val="28"/>
          <w:lang w:eastAsia="zh-CN"/>
        </w:rPr>
        <w:t>年均值</w:t>
      </w:r>
      <w:r>
        <w:rPr>
          <w:rFonts w:hint="default" w:ascii="Times New Roman" w:hAnsi="Times New Roman" w:eastAsia="仿宋_GB2312" w:cs="Times New Roman"/>
          <w:sz w:val="28"/>
          <w:szCs w:val="28"/>
          <w:lang w:eastAsia="zh-CN"/>
        </w:rPr>
        <w:t>35</w:t>
      </w:r>
      <w:r>
        <w:rPr>
          <w:rFonts w:hint="eastAsia" w:ascii="Times New Roman" w:hAnsi="Times New Roman" w:eastAsia="仿宋_GB2312" w:cs="Times New Roman"/>
          <w:sz w:val="28"/>
          <w:szCs w:val="28"/>
          <w:lang w:eastAsia="zh-CN"/>
        </w:rPr>
        <w:t>微克</w:t>
      </w:r>
      <w:r>
        <w:rPr>
          <w:rFonts w:hint="eastAsia" w:ascii="Times New Roman" w:hAnsi="Times New Roman" w:eastAsia="仿宋_GB2312" w:cs="Times New Roman"/>
          <w:sz w:val="28"/>
          <w:szCs w:val="28"/>
          <w:lang w:val="en-US" w:eastAsia="zh-CN"/>
        </w:rPr>
        <w:t>/立方米</w:t>
      </w:r>
      <w:r>
        <w:rPr>
          <w:rFonts w:hint="eastAsia" w:ascii="Times New Roman" w:hAnsi="Times New Roman" w:eastAsia="仿宋_GB2312" w:cs="Times New Roman"/>
          <w:sz w:val="28"/>
          <w:szCs w:val="28"/>
          <w:lang w:eastAsia="zh-CN"/>
        </w:rPr>
        <w:t>目标进行分解。</w:t>
      </w:r>
    </w:p>
    <w:p w14:paraId="5C8DCF07">
      <w:pPr>
        <w:keepNext w:val="0"/>
        <w:keepLines w:val="0"/>
        <w:pageBreakBefore w:val="0"/>
        <w:widowControl w:val="0"/>
        <w:wordWrap/>
        <w:overflowPunct/>
        <w:topLinePunct w:val="0"/>
        <w:bidi w:val="0"/>
        <w:rPr>
          <w:rFonts w:ascii="黑体" w:hAnsi="黑体" w:eastAsia="黑体"/>
        </w:rPr>
      </w:pPr>
      <w:r>
        <w:rPr>
          <w:rFonts w:ascii="黑体" w:hAnsi="黑体" w:eastAsia="黑体"/>
        </w:rPr>
        <w:br w:type="page"/>
      </w:r>
    </w:p>
    <w:p w14:paraId="07D0DF18">
      <w:pPr>
        <w:pStyle w:val="15"/>
        <w:keepNext w:val="0"/>
        <w:keepLines w:val="0"/>
        <w:pageBreakBefore w:val="0"/>
        <w:widowControl w:val="0"/>
        <w:wordWrap/>
        <w:overflowPunct/>
        <w:topLinePunct w:val="0"/>
        <w:bidi w:val="0"/>
        <w:ind w:left="0" w:leftChars="0" w:firstLine="0" w:firstLineChars="0"/>
        <w:outlineLvl w:val="0"/>
        <w:rPr>
          <w:rFonts w:ascii="黑体" w:hAnsi="黑体" w:eastAsia="黑体"/>
        </w:rPr>
      </w:pPr>
      <w:r>
        <w:rPr>
          <w:rFonts w:ascii="黑体" w:hAnsi="黑体" w:eastAsia="黑体"/>
        </w:rPr>
        <w:t>附件2</w:t>
      </w:r>
    </w:p>
    <w:p w14:paraId="43D64927">
      <w:pPr>
        <w:keepNext w:val="0"/>
        <w:keepLines w:val="0"/>
        <w:pageBreakBefore w:val="0"/>
        <w:widowControl w:val="0"/>
        <w:wordWrap/>
        <w:overflowPunct/>
        <w:topLinePunct w:val="0"/>
        <w:bidi w:val="0"/>
        <w:jc w:val="center"/>
        <w:rPr>
          <w:rFonts w:hint="eastAsia" w:ascii="Times New Roman" w:hAnsi="Times New Roman" w:eastAsia="方正小标宋简体" w:cs="方正小标宋简体"/>
          <w:sz w:val="36"/>
          <w:szCs w:val="36"/>
          <w:lang w:eastAsia="zh-CN"/>
        </w:rPr>
      </w:pPr>
      <w:r>
        <w:rPr>
          <w:rFonts w:hint="eastAsia" w:ascii="Times New Roman" w:hAnsi="Times New Roman" w:eastAsia="方正小标宋简体" w:cs="方正小标宋简体"/>
          <w:sz w:val="36"/>
          <w:szCs w:val="36"/>
        </w:rPr>
        <w:t>淮南市2026年</w:t>
      </w:r>
      <w:r>
        <w:rPr>
          <w:rFonts w:hint="eastAsia" w:ascii="Times New Roman" w:hAnsi="Times New Roman" w:eastAsia="方正小标宋简体" w:cs="方正小标宋简体"/>
          <w:sz w:val="36"/>
          <w:szCs w:val="36"/>
          <w:lang w:eastAsia="zh-CN"/>
        </w:rPr>
        <w:t>大气主要污染物减排目标任务分解表</w:t>
      </w:r>
    </w:p>
    <w:tbl>
      <w:tblPr>
        <w:tblStyle w:val="11"/>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9"/>
        <w:gridCol w:w="2691"/>
        <w:gridCol w:w="2650"/>
      </w:tblGrid>
      <w:tr w14:paraId="5B9F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57D7F92A">
            <w:pPr>
              <w:keepNext w:val="0"/>
              <w:keepLines w:val="0"/>
              <w:pageBreakBefore w:val="0"/>
              <w:widowControl w:val="0"/>
              <w:wordWrap/>
              <w:overflowPunct/>
              <w:topLinePunct w:val="0"/>
              <w:bidi w:val="0"/>
              <w:jc w:val="center"/>
              <w:textAlignment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县区</w:t>
            </w:r>
          </w:p>
        </w:tc>
        <w:tc>
          <w:tcPr>
            <w:tcW w:w="1499" w:type="pct"/>
            <w:tcBorders>
              <w:tl2br w:val="nil"/>
              <w:tr2bl w:val="nil"/>
            </w:tcBorders>
            <w:shd w:val="clear" w:color="auto" w:fill="auto"/>
            <w:noWrap/>
            <w:vAlign w:val="center"/>
          </w:tcPr>
          <w:p w14:paraId="61DD7B56">
            <w:pPr>
              <w:keepNext w:val="0"/>
              <w:keepLines w:val="0"/>
              <w:pageBreakBefore w:val="0"/>
              <w:widowControl w:val="0"/>
              <w:wordWrap/>
              <w:overflowPunct/>
              <w:topLinePunct w:val="0"/>
              <w:bidi w:val="0"/>
              <w:jc w:val="center"/>
              <w:textAlignment w:val="center"/>
              <w:rPr>
                <w:rFonts w:hint="eastAsia" w:ascii="Times New Roman" w:hAnsi="Times New Roman" w:eastAsia="黑体" w:cs="Times New Roman"/>
                <w:b w:val="0"/>
                <w:bCs w:val="0"/>
                <w:color w:val="000000"/>
                <w:kern w:val="0"/>
                <w:sz w:val="28"/>
                <w:szCs w:val="28"/>
                <w:lang w:eastAsia="zh-CN"/>
              </w:rPr>
            </w:pPr>
            <w:r>
              <w:rPr>
                <w:rFonts w:hint="eastAsia" w:ascii="Times New Roman" w:hAnsi="Times New Roman" w:eastAsia="黑体" w:cs="Times New Roman"/>
                <w:b w:val="0"/>
                <w:bCs w:val="0"/>
                <w:color w:val="000000"/>
                <w:kern w:val="0"/>
                <w:sz w:val="28"/>
                <w:szCs w:val="28"/>
                <w:lang w:eastAsia="zh-CN"/>
              </w:rPr>
              <w:t>挥发性有机物（吨）</w:t>
            </w:r>
          </w:p>
        </w:tc>
        <w:tc>
          <w:tcPr>
            <w:tcW w:w="1477" w:type="pct"/>
            <w:tcBorders>
              <w:tl2br w:val="nil"/>
              <w:tr2bl w:val="nil"/>
            </w:tcBorders>
            <w:shd w:val="clear" w:color="auto" w:fill="auto"/>
            <w:noWrap/>
            <w:vAlign w:val="center"/>
          </w:tcPr>
          <w:p w14:paraId="3889FFD9">
            <w:pPr>
              <w:keepNext w:val="0"/>
              <w:keepLines w:val="0"/>
              <w:pageBreakBefore w:val="0"/>
              <w:widowControl w:val="0"/>
              <w:wordWrap/>
              <w:overflowPunct/>
              <w:topLinePunct w:val="0"/>
              <w:bidi w:val="0"/>
              <w:jc w:val="center"/>
              <w:textAlignment w:val="center"/>
              <w:rPr>
                <w:rFonts w:hint="default" w:ascii="Times New Roman" w:hAnsi="Times New Roman" w:eastAsia="黑体" w:cs="Times New Roman"/>
                <w:b w:val="0"/>
                <w:bCs w:val="0"/>
                <w:color w:val="000000"/>
                <w:kern w:val="0"/>
                <w:sz w:val="28"/>
                <w:szCs w:val="28"/>
                <w:lang w:val="en-US" w:eastAsia="zh-CN"/>
              </w:rPr>
            </w:pPr>
            <w:r>
              <w:rPr>
                <w:rFonts w:hint="eastAsia" w:ascii="Times New Roman" w:hAnsi="Times New Roman" w:eastAsia="黑体" w:cs="Times New Roman"/>
                <w:b w:val="0"/>
                <w:bCs w:val="0"/>
                <w:color w:val="000000"/>
                <w:kern w:val="0"/>
                <w:sz w:val="28"/>
                <w:szCs w:val="28"/>
                <w:lang w:val="en-US" w:eastAsia="zh-CN"/>
              </w:rPr>
              <w:t>氮氧化物</w:t>
            </w:r>
            <w:r>
              <w:rPr>
                <w:rFonts w:hint="eastAsia" w:ascii="Times New Roman" w:hAnsi="Times New Roman" w:eastAsia="黑体" w:cs="Times New Roman"/>
                <w:b w:val="0"/>
                <w:bCs w:val="0"/>
                <w:color w:val="000000"/>
                <w:kern w:val="0"/>
                <w:sz w:val="28"/>
                <w:szCs w:val="28"/>
                <w:vertAlign w:val="baseline"/>
                <w:lang w:val="en-US" w:eastAsia="zh-CN"/>
              </w:rPr>
              <w:t>（吨）</w:t>
            </w:r>
          </w:p>
        </w:tc>
      </w:tr>
      <w:tr w14:paraId="2BAC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440DA776">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寿县</w:t>
            </w:r>
          </w:p>
        </w:tc>
        <w:tc>
          <w:tcPr>
            <w:tcW w:w="1499" w:type="pct"/>
            <w:tcBorders>
              <w:tl2br w:val="nil"/>
              <w:tr2bl w:val="nil"/>
            </w:tcBorders>
            <w:shd w:val="clear" w:color="auto" w:fill="auto"/>
            <w:noWrap/>
            <w:vAlign w:val="center"/>
          </w:tcPr>
          <w:p w14:paraId="27C090C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15</w:t>
            </w:r>
          </w:p>
        </w:tc>
        <w:tc>
          <w:tcPr>
            <w:tcW w:w="2493" w:type="dxa"/>
            <w:tcBorders>
              <w:tl2br w:val="nil"/>
              <w:tr2bl w:val="nil"/>
            </w:tcBorders>
            <w:shd w:val="clear" w:color="auto" w:fill="auto"/>
            <w:noWrap/>
            <w:vAlign w:val="center"/>
          </w:tcPr>
          <w:p w14:paraId="0788270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128</w:t>
            </w:r>
          </w:p>
        </w:tc>
      </w:tr>
      <w:tr w14:paraId="2485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51F29E80">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凤台县</w:t>
            </w:r>
          </w:p>
        </w:tc>
        <w:tc>
          <w:tcPr>
            <w:tcW w:w="1499" w:type="pct"/>
            <w:tcBorders>
              <w:tl2br w:val="nil"/>
              <w:tr2bl w:val="nil"/>
            </w:tcBorders>
            <w:shd w:val="clear" w:color="auto" w:fill="auto"/>
            <w:noWrap/>
            <w:vAlign w:val="center"/>
          </w:tcPr>
          <w:p w14:paraId="796B7ED2">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12</w:t>
            </w:r>
          </w:p>
        </w:tc>
        <w:tc>
          <w:tcPr>
            <w:tcW w:w="2493" w:type="dxa"/>
            <w:tcBorders>
              <w:tl2br w:val="nil"/>
              <w:tr2bl w:val="nil"/>
            </w:tcBorders>
            <w:shd w:val="clear" w:color="auto" w:fill="auto"/>
            <w:noWrap/>
            <w:vAlign w:val="center"/>
          </w:tcPr>
          <w:p w14:paraId="1794E153">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100</w:t>
            </w:r>
          </w:p>
        </w:tc>
      </w:tr>
      <w:tr w14:paraId="5CC3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5C75FAB9">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大通区</w:t>
            </w:r>
          </w:p>
        </w:tc>
        <w:tc>
          <w:tcPr>
            <w:tcW w:w="1499" w:type="pct"/>
            <w:tcBorders>
              <w:tl2br w:val="nil"/>
              <w:tr2bl w:val="nil"/>
            </w:tcBorders>
            <w:shd w:val="clear" w:color="auto" w:fill="auto"/>
            <w:noWrap/>
            <w:vAlign w:val="center"/>
          </w:tcPr>
          <w:p w14:paraId="31DE643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2493" w:type="dxa"/>
            <w:tcBorders>
              <w:tl2br w:val="nil"/>
              <w:tr2bl w:val="nil"/>
            </w:tcBorders>
            <w:shd w:val="clear" w:color="auto" w:fill="auto"/>
            <w:noWrap/>
            <w:vAlign w:val="center"/>
          </w:tcPr>
          <w:p w14:paraId="7112979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25</w:t>
            </w:r>
          </w:p>
        </w:tc>
      </w:tr>
      <w:tr w14:paraId="1FA7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6C664421">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田家庵区</w:t>
            </w:r>
          </w:p>
        </w:tc>
        <w:tc>
          <w:tcPr>
            <w:tcW w:w="1499" w:type="pct"/>
            <w:tcBorders>
              <w:tl2br w:val="nil"/>
              <w:tr2bl w:val="nil"/>
            </w:tcBorders>
            <w:shd w:val="clear" w:color="auto" w:fill="auto"/>
            <w:noWrap/>
            <w:vAlign w:val="center"/>
          </w:tcPr>
          <w:p w14:paraId="06DC1AA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w:t>
            </w:r>
          </w:p>
        </w:tc>
        <w:tc>
          <w:tcPr>
            <w:tcW w:w="2493" w:type="dxa"/>
            <w:tcBorders>
              <w:tl2br w:val="nil"/>
              <w:tr2bl w:val="nil"/>
            </w:tcBorders>
            <w:shd w:val="clear" w:color="auto" w:fill="auto"/>
            <w:noWrap/>
            <w:vAlign w:val="center"/>
          </w:tcPr>
          <w:p w14:paraId="05E03CA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8</w:t>
            </w:r>
          </w:p>
        </w:tc>
      </w:tr>
      <w:tr w14:paraId="72D1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22891EAC">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谢家集区</w:t>
            </w:r>
          </w:p>
        </w:tc>
        <w:tc>
          <w:tcPr>
            <w:tcW w:w="1499" w:type="pct"/>
            <w:tcBorders>
              <w:tl2br w:val="nil"/>
              <w:tr2bl w:val="nil"/>
            </w:tcBorders>
            <w:shd w:val="clear" w:color="auto" w:fill="auto"/>
            <w:noWrap/>
            <w:vAlign w:val="center"/>
          </w:tcPr>
          <w:p w14:paraId="411FEF6F">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2.5</w:t>
            </w:r>
          </w:p>
        </w:tc>
        <w:tc>
          <w:tcPr>
            <w:tcW w:w="2493" w:type="dxa"/>
            <w:tcBorders>
              <w:tl2br w:val="nil"/>
              <w:tr2bl w:val="nil"/>
            </w:tcBorders>
            <w:shd w:val="clear" w:color="auto" w:fill="auto"/>
            <w:noWrap/>
            <w:vAlign w:val="center"/>
          </w:tcPr>
          <w:p w14:paraId="5703EA0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18</w:t>
            </w:r>
          </w:p>
        </w:tc>
      </w:tr>
      <w:tr w14:paraId="62B2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4E907F5F">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八公山区</w:t>
            </w:r>
          </w:p>
        </w:tc>
        <w:tc>
          <w:tcPr>
            <w:tcW w:w="1499" w:type="pct"/>
            <w:tcBorders>
              <w:tl2br w:val="nil"/>
              <w:tr2bl w:val="nil"/>
            </w:tcBorders>
            <w:shd w:val="clear" w:color="auto" w:fill="auto"/>
            <w:noWrap/>
            <w:vAlign w:val="center"/>
          </w:tcPr>
          <w:p w14:paraId="5D59495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1.5</w:t>
            </w:r>
          </w:p>
        </w:tc>
        <w:tc>
          <w:tcPr>
            <w:tcW w:w="2493" w:type="dxa"/>
            <w:tcBorders>
              <w:tl2br w:val="nil"/>
              <w:tr2bl w:val="nil"/>
            </w:tcBorders>
            <w:shd w:val="clear" w:color="auto" w:fill="auto"/>
            <w:noWrap/>
            <w:vAlign w:val="center"/>
          </w:tcPr>
          <w:p w14:paraId="3DAA5680">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11</w:t>
            </w:r>
          </w:p>
        </w:tc>
      </w:tr>
      <w:tr w14:paraId="5E31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7EFB14B7">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潘集区</w:t>
            </w:r>
          </w:p>
        </w:tc>
        <w:tc>
          <w:tcPr>
            <w:tcW w:w="1499" w:type="pct"/>
            <w:tcBorders>
              <w:tl2br w:val="nil"/>
              <w:tr2bl w:val="nil"/>
            </w:tcBorders>
            <w:shd w:val="clear" w:color="auto" w:fill="auto"/>
            <w:noWrap/>
            <w:vAlign w:val="center"/>
          </w:tcPr>
          <w:p w14:paraId="10365A2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16</w:t>
            </w:r>
          </w:p>
        </w:tc>
        <w:tc>
          <w:tcPr>
            <w:tcW w:w="2493" w:type="dxa"/>
            <w:tcBorders>
              <w:tl2br w:val="nil"/>
              <w:tr2bl w:val="nil"/>
            </w:tcBorders>
            <w:shd w:val="clear" w:color="auto" w:fill="auto"/>
            <w:noWrap/>
            <w:vAlign w:val="center"/>
          </w:tcPr>
          <w:p w14:paraId="47C28DDE">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145</w:t>
            </w:r>
          </w:p>
        </w:tc>
      </w:tr>
      <w:tr w14:paraId="2CCD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442F030D">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毛集实验区</w:t>
            </w:r>
          </w:p>
        </w:tc>
        <w:tc>
          <w:tcPr>
            <w:tcW w:w="1499" w:type="pct"/>
            <w:tcBorders>
              <w:tl2br w:val="nil"/>
              <w:tr2bl w:val="nil"/>
            </w:tcBorders>
            <w:shd w:val="clear" w:color="auto" w:fill="auto"/>
            <w:noWrap/>
            <w:vAlign w:val="center"/>
          </w:tcPr>
          <w:p w14:paraId="2B1856C7">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1.5</w:t>
            </w:r>
          </w:p>
        </w:tc>
        <w:tc>
          <w:tcPr>
            <w:tcW w:w="2493" w:type="dxa"/>
            <w:tcBorders>
              <w:tl2br w:val="nil"/>
              <w:tr2bl w:val="nil"/>
            </w:tcBorders>
            <w:shd w:val="clear" w:color="auto" w:fill="auto"/>
            <w:noWrap/>
            <w:vAlign w:val="center"/>
          </w:tcPr>
          <w:p w14:paraId="1035FB3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8</w:t>
            </w:r>
          </w:p>
        </w:tc>
      </w:tr>
      <w:tr w14:paraId="508B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0D6FFCCD">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高新区</w:t>
            </w:r>
          </w:p>
        </w:tc>
        <w:tc>
          <w:tcPr>
            <w:tcW w:w="1499" w:type="pct"/>
            <w:tcBorders>
              <w:tl2br w:val="nil"/>
              <w:tr2bl w:val="nil"/>
            </w:tcBorders>
            <w:shd w:val="clear" w:color="auto" w:fill="auto"/>
            <w:noWrap/>
            <w:vAlign w:val="center"/>
          </w:tcPr>
          <w:p w14:paraId="6E466ECC">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0.5</w:t>
            </w:r>
          </w:p>
        </w:tc>
        <w:tc>
          <w:tcPr>
            <w:tcW w:w="2493" w:type="dxa"/>
            <w:tcBorders>
              <w:tl2br w:val="nil"/>
              <w:tr2bl w:val="nil"/>
            </w:tcBorders>
            <w:shd w:val="clear" w:color="auto" w:fill="auto"/>
            <w:noWrap/>
            <w:vAlign w:val="center"/>
          </w:tcPr>
          <w:p w14:paraId="01131CD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5</w:t>
            </w:r>
          </w:p>
        </w:tc>
      </w:tr>
      <w:tr w14:paraId="2753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5566F6B6">
            <w:pPr>
              <w:keepNext w:val="0"/>
              <w:keepLines w:val="0"/>
              <w:pageBreakBefore w:val="0"/>
              <w:widowControl w:val="0"/>
              <w:suppressLineNumbers w:val="0"/>
              <w:wordWrap/>
              <w:overflowPunct/>
              <w:topLinePunct w:val="0"/>
              <w:bidi w:val="0"/>
              <w:jc w:val="center"/>
              <w:textAlignment w:val="center"/>
              <w:rPr>
                <w:rFonts w:hint="default" w:ascii="Times New Roman" w:hAnsi="Times New Roman" w:eastAsia="仿宋_GB2312" w:cs="Times New Roman"/>
                <w:color w:val="000000"/>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经开区</w:t>
            </w:r>
          </w:p>
        </w:tc>
        <w:tc>
          <w:tcPr>
            <w:tcW w:w="1499" w:type="pct"/>
            <w:tcBorders>
              <w:tl2br w:val="nil"/>
              <w:tr2bl w:val="nil"/>
            </w:tcBorders>
            <w:shd w:val="clear" w:color="auto" w:fill="auto"/>
            <w:noWrap/>
            <w:vAlign w:val="center"/>
          </w:tcPr>
          <w:p w14:paraId="59C01F1D">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10</w:t>
            </w:r>
          </w:p>
        </w:tc>
        <w:tc>
          <w:tcPr>
            <w:tcW w:w="2493" w:type="dxa"/>
            <w:tcBorders>
              <w:tl2br w:val="nil"/>
              <w:tr2bl w:val="nil"/>
            </w:tcBorders>
            <w:shd w:val="clear" w:color="auto" w:fill="auto"/>
            <w:noWrap/>
            <w:vAlign w:val="center"/>
          </w:tcPr>
          <w:p w14:paraId="06CA73C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86</w:t>
            </w:r>
          </w:p>
        </w:tc>
      </w:tr>
      <w:tr w14:paraId="1B92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22" w:type="pct"/>
            <w:tcBorders>
              <w:tl2br w:val="nil"/>
              <w:tr2bl w:val="nil"/>
            </w:tcBorders>
            <w:shd w:val="clear" w:color="auto" w:fill="auto"/>
            <w:noWrap/>
            <w:vAlign w:val="center"/>
          </w:tcPr>
          <w:p w14:paraId="072DAAAD">
            <w:pPr>
              <w:keepNext w:val="0"/>
              <w:keepLines w:val="0"/>
              <w:pageBreakBefore w:val="0"/>
              <w:widowControl w:val="0"/>
              <w:suppressLineNumbers w:val="0"/>
              <w:wordWrap/>
              <w:overflowPunct/>
              <w:topLinePunct w:val="0"/>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煤化工园区</w:t>
            </w:r>
          </w:p>
        </w:tc>
        <w:tc>
          <w:tcPr>
            <w:tcW w:w="1499" w:type="pct"/>
            <w:tcBorders>
              <w:tl2br w:val="nil"/>
              <w:tr2bl w:val="nil"/>
            </w:tcBorders>
            <w:shd w:val="clear" w:color="auto" w:fill="auto"/>
            <w:noWrap/>
            <w:vAlign w:val="center"/>
          </w:tcPr>
          <w:p w14:paraId="64468D0A">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17</w:t>
            </w:r>
          </w:p>
        </w:tc>
        <w:tc>
          <w:tcPr>
            <w:tcW w:w="2493" w:type="dxa"/>
            <w:tcBorders>
              <w:tl2br w:val="nil"/>
              <w:tr2bl w:val="nil"/>
            </w:tcBorders>
            <w:shd w:val="clear" w:color="auto" w:fill="auto"/>
            <w:noWrap/>
            <w:vAlign w:val="center"/>
          </w:tcPr>
          <w:p w14:paraId="631380B1">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144</w:t>
            </w:r>
          </w:p>
        </w:tc>
      </w:tr>
      <w:tr w14:paraId="082E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22" w:type="pct"/>
            <w:tcBorders>
              <w:tl2br w:val="nil"/>
              <w:tr2bl w:val="nil"/>
            </w:tcBorders>
            <w:shd w:val="clear" w:color="auto" w:fill="auto"/>
            <w:noWrap/>
            <w:vAlign w:val="center"/>
          </w:tcPr>
          <w:p w14:paraId="661DB869">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sz w:val="28"/>
                <w:szCs w:val="28"/>
              </w:rPr>
            </w:pPr>
            <w:r>
              <w:rPr>
                <w:rFonts w:hint="eastAsia" w:ascii="黑体" w:hAnsi="黑体" w:eastAsia="黑体" w:cs="黑体"/>
                <w:color w:val="000000"/>
                <w:kern w:val="0"/>
                <w:sz w:val="28"/>
                <w:szCs w:val="28"/>
              </w:rPr>
              <w:t>总计</w:t>
            </w:r>
          </w:p>
        </w:tc>
        <w:tc>
          <w:tcPr>
            <w:tcW w:w="1499" w:type="pct"/>
            <w:tcBorders>
              <w:tl2br w:val="nil"/>
              <w:tr2bl w:val="nil"/>
            </w:tcBorders>
            <w:shd w:val="clear" w:color="auto" w:fill="auto"/>
            <w:noWrap/>
            <w:vAlign w:val="center"/>
          </w:tcPr>
          <w:p w14:paraId="70E737A2">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kern w:val="0"/>
                <w:sz w:val="28"/>
                <w:szCs w:val="28"/>
                <w:lang w:val="en-US" w:eastAsia="zh-CN"/>
              </w:rPr>
              <w:t>80</w:t>
            </w:r>
          </w:p>
        </w:tc>
        <w:tc>
          <w:tcPr>
            <w:tcW w:w="1477" w:type="pct"/>
            <w:tcBorders>
              <w:tl2br w:val="nil"/>
              <w:tr2bl w:val="nil"/>
            </w:tcBorders>
            <w:shd w:val="clear" w:color="auto" w:fill="auto"/>
            <w:noWrap/>
            <w:vAlign w:val="center"/>
          </w:tcPr>
          <w:p w14:paraId="59D1C7A4">
            <w:pPr>
              <w:keepNext w:val="0"/>
              <w:keepLines w:val="0"/>
              <w:pageBreakBefore w:val="0"/>
              <w:widowControl w:val="0"/>
              <w:wordWrap/>
              <w:overflowPunct/>
              <w:topLinePunct w:val="0"/>
              <w:bidi w:val="0"/>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kern w:val="0"/>
                <w:sz w:val="28"/>
                <w:szCs w:val="28"/>
                <w:lang w:val="en-US" w:eastAsia="zh-CN"/>
              </w:rPr>
              <w:t>678</w:t>
            </w:r>
          </w:p>
        </w:tc>
      </w:tr>
    </w:tbl>
    <w:p w14:paraId="023BDFA2">
      <w:pPr>
        <w:pStyle w:val="15"/>
        <w:keepNext w:val="0"/>
        <w:keepLines w:val="0"/>
        <w:pageBreakBefore w:val="0"/>
        <w:widowControl w:val="0"/>
        <w:wordWrap/>
        <w:overflowPunct/>
        <w:topLinePunct w:val="0"/>
        <w:bidi w:val="0"/>
        <w:ind w:left="0" w:leftChars="0" w:firstLine="0" w:firstLineChars="0"/>
        <w:outlineLvl w:val="0"/>
        <w:rPr>
          <w:rFonts w:ascii="黑体" w:hAnsi="黑体" w:eastAsia="黑体"/>
        </w:rPr>
      </w:pPr>
    </w:p>
    <w:p w14:paraId="516B596D">
      <w:pPr>
        <w:keepNext w:val="0"/>
        <w:keepLines w:val="0"/>
        <w:pageBreakBefore w:val="0"/>
        <w:widowControl w:val="0"/>
        <w:wordWrap/>
        <w:overflowPunct/>
        <w:topLinePunct w:val="0"/>
        <w:bidi w:val="0"/>
        <w:ind w:firstLine="420" w:firstLineChars="200"/>
        <w:rPr>
          <w:rFonts w:ascii="黑体" w:hAnsi="黑体" w:eastAsia="黑体"/>
        </w:rPr>
      </w:pPr>
    </w:p>
    <w:p w14:paraId="28059D28">
      <w:pPr>
        <w:pStyle w:val="15"/>
        <w:keepNext w:val="0"/>
        <w:keepLines w:val="0"/>
        <w:pageBreakBefore w:val="0"/>
        <w:widowControl w:val="0"/>
        <w:wordWrap/>
        <w:overflowPunct/>
        <w:topLinePunct w:val="0"/>
        <w:bidi w:val="0"/>
        <w:ind w:firstLine="640" w:firstLineChars="200"/>
        <w:outlineLvl w:val="0"/>
        <w:rPr>
          <w:rFonts w:ascii="黑体" w:hAnsi="黑体" w:eastAsia="黑体"/>
        </w:rPr>
        <w:sectPr>
          <w:footerReference r:id="rId3" w:type="default"/>
          <w:pgSz w:w="11906" w:h="16838"/>
          <w:pgMar w:top="2098" w:right="1474" w:bottom="1984" w:left="1587" w:header="851" w:footer="1417" w:gutter="0"/>
          <w:pgNumType w:fmt="decimal"/>
          <w:cols w:space="425" w:num="1"/>
          <w:docGrid w:type="lines" w:linePitch="312" w:charSpace="0"/>
        </w:sectPr>
      </w:pPr>
    </w:p>
    <w:p w14:paraId="7FDEFA03">
      <w:pPr>
        <w:pStyle w:val="15"/>
        <w:keepNext w:val="0"/>
        <w:keepLines w:val="0"/>
        <w:pageBreakBefore w:val="0"/>
        <w:widowControl w:val="0"/>
        <w:wordWrap/>
        <w:overflowPunct/>
        <w:topLinePunct w:val="0"/>
        <w:bidi w:val="0"/>
        <w:ind w:left="0" w:leftChars="0" w:firstLine="0" w:firstLineChars="0"/>
        <w:outlineLvl w:val="0"/>
        <w:rPr>
          <w:rFonts w:ascii="黑体" w:hAnsi="黑体" w:eastAsia="黑体"/>
        </w:rPr>
      </w:pPr>
      <w:r>
        <w:rPr>
          <w:rFonts w:ascii="黑体" w:hAnsi="黑体" w:eastAsia="黑体"/>
        </w:rPr>
        <w:t>附件3</w:t>
      </w:r>
    </w:p>
    <w:p w14:paraId="249F86A2">
      <w:pPr>
        <w:pStyle w:val="15"/>
        <w:keepNext w:val="0"/>
        <w:keepLines w:val="0"/>
        <w:pageBreakBefore w:val="0"/>
        <w:widowControl w:val="0"/>
        <w:wordWrap/>
        <w:overflowPunct/>
        <w:topLinePunct w:val="0"/>
        <w:bidi w:val="0"/>
        <w:ind w:firstLine="720" w:firstLineChars="200"/>
        <w:jc w:val="center"/>
        <w:outlineLvl w:val="0"/>
        <w:rPr>
          <w:rFonts w:hint="eastAsia" w:ascii="Times New Roman" w:hAnsi="Times New Roman" w:eastAsia="方正小标宋简体" w:cs="方正小标宋简体"/>
          <w:kern w:val="2"/>
          <w:sz w:val="36"/>
          <w:szCs w:val="36"/>
          <w:lang w:val="en-US" w:eastAsia="zh-CN" w:bidi="ar-SA"/>
        </w:rPr>
      </w:pPr>
      <w:r>
        <w:rPr>
          <w:rFonts w:hint="eastAsia" w:ascii="Times New Roman" w:hAnsi="Times New Roman" w:eastAsia="方正小标宋简体" w:cs="方正小标宋简体"/>
          <w:kern w:val="2"/>
          <w:sz w:val="36"/>
          <w:szCs w:val="36"/>
          <w:lang w:val="en-US" w:eastAsia="zh-CN" w:bidi="ar-SA"/>
        </w:rPr>
        <w:t>淮南市2026年“四整治一保障”投诉举报数量下降目标任务分解表</w:t>
      </w:r>
    </w:p>
    <w:tbl>
      <w:tblPr>
        <w:tblStyle w:val="11"/>
        <w:tblW w:w="14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8"/>
        <w:gridCol w:w="1619"/>
        <w:gridCol w:w="1611"/>
        <w:gridCol w:w="1619"/>
        <w:gridCol w:w="1611"/>
        <w:gridCol w:w="1619"/>
        <w:gridCol w:w="1611"/>
        <w:gridCol w:w="1619"/>
        <w:gridCol w:w="1611"/>
      </w:tblGrid>
      <w:tr w14:paraId="52BD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7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53B0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县区</w:t>
            </w:r>
          </w:p>
        </w:tc>
        <w:tc>
          <w:tcPr>
            <w:tcW w:w="3230" w:type="dxa"/>
            <w:gridSpan w:val="2"/>
            <w:tcBorders>
              <w:top w:val="single" w:color="000000" w:sz="8" w:space="0"/>
              <w:left w:val="nil"/>
              <w:bottom w:val="single" w:color="000000" w:sz="8" w:space="0"/>
              <w:right w:val="single" w:color="000000" w:sz="8" w:space="0"/>
            </w:tcBorders>
            <w:shd w:val="clear" w:color="auto" w:fill="auto"/>
            <w:vAlign w:val="center"/>
          </w:tcPr>
          <w:p w14:paraId="2393FD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噪声</w:t>
            </w:r>
          </w:p>
        </w:tc>
        <w:tc>
          <w:tcPr>
            <w:tcW w:w="3230" w:type="dxa"/>
            <w:gridSpan w:val="2"/>
            <w:tcBorders>
              <w:top w:val="single" w:color="000000" w:sz="8" w:space="0"/>
              <w:left w:val="nil"/>
              <w:bottom w:val="single" w:color="000000" w:sz="8" w:space="0"/>
              <w:right w:val="single" w:color="000000" w:sz="8" w:space="0"/>
            </w:tcBorders>
            <w:shd w:val="clear" w:color="auto" w:fill="auto"/>
            <w:vAlign w:val="center"/>
          </w:tcPr>
          <w:p w14:paraId="684058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油烟</w:t>
            </w:r>
          </w:p>
        </w:tc>
        <w:tc>
          <w:tcPr>
            <w:tcW w:w="3230" w:type="dxa"/>
            <w:gridSpan w:val="2"/>
            <w:tcBorders>
              <w:top w:val="single" w:color="000000" w:sz="8" w:space="0"/>
              <w:left w:val="nil"/>
              <w:bottom w:val="single" w:color="000000" w:sz="8" w:space="0"/>
              <w:right w:val="single" w:color="000000" w:sz="8" w:space="0"/>
            </w:tcBorders>
            <w:shd w:val="clear" w:color="auto" w:fill="auto"/>
            <w:vAlign w:val="center"/>
          </w:tcPr>
          <w:p w14:paraId="7568E56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异味</w:t>
            </w:r>
          </w:p>
        </w:tc>
        <w:tc>
          <w:tcPr>
            <w:tcW w:w="3230" w:type="dxa"/>
            <w:gridSpan w:val="2"/>
            <w:tcBorders>
              <w:top w:val="single" w:color="000000" w:sz="8" w:space="0"/>
              <w:left w:val="nil"/>
              <w:bottom w:val="single" w:color="000000" w:sz="8" w:space="0"/>
              <w:right w:val="single" w:color="000000" w:sz="8" w:space="0"/>
            </w:tcBorders>
            <w:shd w:val="clear" w:color="auto" w:fill="auto"/>
            <w:vAlign w:val="center"/>
          </w:tcPr>
          <w:p w14:paraId="251E94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扬尘</w:t>
            </w:r>
          </w:p>
        </w:tc>
      </w:tr>
      <w:tr w14:paraId="6162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77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3509FE">
            <w:pPr>
              <w:keepNext w:val="0"/>
              <w:keepLines w:val="0"/>
              <w:pageBreakBefore w:val="0"/>
              <w:widowControl w:val="0"/>
              <w:kinsoku/>
              <w:wordWrap/>
              <w:overflowPunct/>
              <w:topLinePunct w:val="0"/>
              <w:autoSpaceDE/>
              <w:autoSpaceDN/>
              <w:bidi w:val="0"/>
              <w:adjustRightInd/>
              <w:snapToGrid/>
              <w:jc w:val="center"/>
              <w:rPr>
                <w:rFonts w:hint="eastAsia" w:ascii="黑体" w:hAnsi="黑体" w:eastAsia="黑体" w:cs="黑体"/>
                <w:i w:val="0"/>
                <w:color w:val="000000"/>
                <w:sz w:val="24"/>
                <w:szCs w:val="24"/>
                <w:u w:val="none"/>
              </w:rPr>
            </w:pPr>
          </w:p>
        </w:tc>
        <w:tc>
          <w:tcPr>
            <w:tcW w:w="1619" w:type="dxa"/>
            <w:tcBorders>
              <w:top w:val="nil"/>
              <w:left w:val="nil"/>
              <w:bottom w:val="single" w:color="000000" w:sz="8" w:space="0"/>
              <w:right w:val="single" w:color="000000" w:sz="8" w:space="0"/>
            </w:tcBorders>
            <w:shd w:val="clear" w:color="auto" w:fill="auto"/>
            <w:vAlign w:val="center"/>
          </w:tcPr>
          <w:p w14:paraId="05AAE01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2025年基数</w:t>
            </w:r>
          </w:p>
        </w:tc>
        <w:tc>
          <w:tcPr>
            <w:tcW w:w="1611" w:type="dxa"/>
            <w:tcBorders>
              <w:top w:val="nil"/>
              <w:left w:val="nil"/>
              <w:bottom w:val="single" w:color="000000" w:sz="8" w:space="0"/>
              <w:right w:val="single" w:color="000000" w:sz="8" w:space="0"/>
            </w:tcBorders>
            <w:shd w:val="clear" w:color="auto" w:fill="auto"/>
            <w:vAlign w:val="center"/>
          </w:tcPr>
          <w:p w14:paraId="63C596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下降目标</w:t>
            </w:r>
          </w:p>
        </w:tc>
        <w:tc>
          <w:tcPr>
            <w:tcW w:w="1619" w:type="dxa"/>
            <w:tcBorders>
              <w:top w:val="nil"/>
              <w:left w:val="nil"/>
              <w:bottom w:val="single" w:color="000000" w:sz="8" w:space="0"/>
              <w:right w:val="single" w:color="000000" w:sz="8" w:space="0"/>
            </w:tcBorders>
            <w:shd w:val="clear" w:color="auto" w:fill="auto"/>
            <w:vAlign w:val="center"/>
          </w:tcPr>
          <w:p w14:paraId="769953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rPr>
            </w:pPr>
            <w:r>
              <w:rPr>
                <w:rFonts w:hint="eastAsia" w:ascii="黑体" w:hAnsi="黑体" w:eastAsia="黑体" w:cs="黑体"/>
                <w:i w:val="0"/>
                <w:color w:val="000000"/>
                <w:kern w:val="0"/>
                <w:sz w:val="24"/>
                <w:szCs w:val="24"/>
                <w:u w:val="none"/>
                <w:lang w:val="en-US" w:eastAsia="zh-CN" w:bidi="ar"/>
              </w:rPr>
              <w:t>2025年基数</w:t>
            </w:r>
          </w:p>
        </w:tc>
        <w:tc>
          <w:tcPr>
            <w:tcW w:w="1611" w:type="dxa"/>
            <w:tcBorders>
              <w:top w:val="nil"/>
              <w:left w:val="nil"/>
              <w:bottom w:val="single" w:color="000000" w:sz="8" w:space="0"/>
              <w:right w:val="single" w:color="000000" w:sz="8" w:space="0"/>
            </w:tcBorders>
            <w:shd w:val="clear" w:color="auto" w:fill="auto"/>
            <w:vAlign w:val="center"/>
          </w:tcPr>
          <w:p w14:paraId="62E16D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下降目标</w:t>
            </w:r>
          </w:p>
        </w:tc>
        <w:tc>
          <w:tcPr>
            <w:tcW w:w="1619" w:type="dxa"/>
            <w:tcBorders>
              <w:top w:val="nil"/>
              <w:left w:val="nil"/>
              <w:bottom w:val="single" w:color="000000" w:sz="8" w:space="0"/>
              <w:right w:val="single" w:color="000000" w:sz="8" w:space="0"/>
            </w:tcBorders>
            <w:shd w:val="clear" w:color="auto" w:fill="auto"/>
            <w:vAlign w:val="center"/>
          </w:tcPr>
          <w:p w14:paraId="01947B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2025年基数</w:t>
            </w:r>
          </w:p>
        </w:tc>
        <w:tc>
          <w:tcPr>
            <w:tcW w:w="1611" w:type="dxa"/>
            <w:tcBorders>
              <w:top w:val="single" w:color="000000" w:sz="8" w:space="0"/>
              <w:left w:val="nil"/>
              <w:bottom w:val="single" w:color="000000" w:sz="8" w:space="0"/>
              <w:right w:val="single" w:color="000000" w:sz="8" w:space="0"/>
            </w:tcBorders>
            <w:shd w:val="clear" w:color="auto" w:fill="auto"/>
            <w:vAlign w:val="center"/>
          </w:tcPr>
          <w:p w14:paraId="00EC386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下降目标</w:t>
            </w:r>
          </w:p>
        </w:tc>
        <w:tc>
          <w:tcPr>
            <w:tcW w:w="1619" w:type="dxa"/>
            <w:tcBorders>
              <w:top w:val="single" w:color="000000" w:sz="8" w:space="0"/>
              <w:left w:val="nil"/>
              <w:bottom w:val="single" w:color="000000" w:sz="8" w:space="0"/>
              <w:right w:val="single" w:color="000000" w:sz="8" w:space="0"/>
            </w:tcBorders>
            <w:shd w:val="clear" w:color="auto" w:fill="auto"/>
            <w:vAlign w:val="center"/>
          </w:tcPr>
          <w:p w14:paraId="11B72C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2025年基数</w:t>
            </w:r>
          </w:p>
        </w:tc>
        <w:tc>
          <w:tcPr>
            <w:tcW w:w="1611" w:type="dxa"/>
            <w:tcBorders>
              <w:top w:val="single" w:color="000000" w:sz="8" w:space="0"/>
              <w:left w:val="nil"/>
              <w:bottom w:val="single" w:color="000000" w:sz="8" w:space="0"/>
              <w:right w:val="single" w:color="000000" w:sz="8" w:space="0"/>
            </w:tcBorders>
            <w:shd w:val="clear" w:color="auto" w:fill="auto"/>
            <w:vAlign w:val="center"/>
          </w:tcPr>
          <w:p w14:paraId="2CC731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下降目标</w:t>
            </w:r>
          </w:p>
        </w:tc>
      </w:tr>
      <w:tr w14:paraId="7F3E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747B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寿县</w:t>
            </w:r>
          </w:p>
        </w:tc>
        <w:tc>
          <w:tcPr>
            <w:tcW w:w="1619" w:type="dxa"/>
            <w:tcBorders>
              <w:top w:val="nil"/>
              <w:left w:val="nil"/>
              <w:bottom w:val="single" w:color="000000" w:sz="8" w:space="0"/>
              <w:right w:val="single" w:color="000000" w:sz="8" w:space="0"/>
            </w:tcBorders>
            <w:shd w:val="clear" w:color="auto" w:fill="auto"/>
            <w:vAlign w:val="center"/>
          </w:tcPr>
          <w:p w14:paraId="55A35C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2397</w:t>
            </w:r>
          </w:p>
        </w:tc>
        <w:tc>
          <w:tcPr>
            <w:tcW w:w="1611" w:type="dxa"/>
            <w:tcBorders>
              <w:top w:val="nil"/>
              <w:left w:val="nil"/>
              <w:bottom w:val="single" w:color="000000" w:sz="8" w:space="0"/>
              <w:right w:val="single" w:color="000000" w:sz="8" w:space="0"/>
            </w:tcBorders>
            <w:shd w:val="clear" w:color="auto" w:fill="auto"/>
            <w:vAlign w:val="center"/>
          </w:tcPr>
          <w:p w14:paraId="516C3C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3</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67ABBB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208</w:t>
            </w:r>
          </w:p>
        </w:tc>
        <w:tc>
          <w:tcPr>
            <w:tcW w:w="1611" w:type="dxa"/>
            <w:tcBorders>
              <w:top w:val="nil"/>
              <w:left w:val="nil"/>
              <w:bottom w:val="single" w:color="000000" w:sz="8" w:space="0"/>
              <w:right w:val="single" w:color="000000" w:sz="8" w:space="0"/>
            </w:tcBorders>
            <w:shd w:val="clear" w:color="auto" w:fill="auto"/>
            <w:vAlign w:val="center"/>
          </w:tcPr>
          <w:p w14:paraId="177ECB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528965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443</w:t>
            </w:r>
          </w:p>
        </w:tc>
        <w:tc>
          <w:tcPr>
            <w:tcW w:w="1611" w:type="dxa"/>
            <w:tcBorders>
              <w:top w:val="nil"/>
              <w:left w:val="nil"/>
              <w:bottom w:val="single" w:color="000000" w:sz="8" w:space="0"/>
              <w:right w:val="single" w:color="000000" w:sz="8" w:space="0"/>
            </w:tcBorders>
            <w:shd w:val="clear" w:color="auto" w:fill="auto"/>
            <w:vAlign w:val="center"/>
          </w:tcPr>
          <w:p w14:paraId="109AF84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27CE10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71</w:t>
            </w:r>
          </w:p>
        </w:tc>
        <w:tc>
          <w:tcPr>
            <w:tcW w:w="1611" w:type="dxa"/>
            <w:tcBorders>
              <w:top w:val="nil"/>
              <w:left w:val="nil"/>
              <w:bottom w:val="single" w:color="000000" w:sz="8" w:space="0"/>
              <w:right w:val="single" w:color="000000" w:sz="8" w:space="0"/>
            </w:tcBorders>
            <w:shd w:val="clear" w:color="auto" w:fill="auto"/>
            <w:vAlign w:val="center"/>
          </w:tcPr>
          <w:p w14:paraId="251B22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w:t>
            </w:r>
            <w:r>
              <w:rPr>
                <w:rFonts w:hint="default" w:ascii="Times New Roman" w:hAnsi="Times New Roman" w:eastAsia="宋体" w:cs="Times New Roman"/>
                <w:i w:val="0"/>
                <w:color w:val="000000"/>
                <w:kern w:val="0"/>
                <w:sz w:val="24"/>
                <w:szCs w:val="24"/>
                <w:u w:val="none"/>
                <w:lang w:val="en-US" w:eastAsia="zh-CN" w:bidi="ar"/>
              </w:rPr>
              <w:t>%</w:t>
            </w:r>
          </w:p>
        </w:tc>
      </w:tr>
      <w:tr w14:paraId="7D0D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D3EB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凤台县</w:t>
            </w:r>
          </w:p>
        </w:tc>
        <w:tc>
          <w:tcPr>
            <w:tcW w:w="1619" w:type="dxa"/>
            <w:tcBorders>
              <w:top w:val="nil"/>
              <w:left w:val="nil"/>
              <w:bottom w:val="single" w:color="000000" w:sz="8" w:space="0"/>
              <w:right w:val="single" w:color="000000" w:sz="8" w:space="0"/>
            </w:tcBorders>
            <w:shd w:val="clear" w:color="auto" w:fill="auto"/>
            <w:vAlign w:val="center"/>
          </w:tcPr>
          <w:p w14:paraId="4392DE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1922</w:t>
            </w:r>
          </w:p>
        </w:tc>
        <w:tc>
          <w:tcPr>
            <w:tcW w:w="1611" w:type="dxa"/>
            <w:tcBorders>
              <w:top w:val="nil"/>
              <w:left w:val="nil"/>
              <w:bottom w:val="single" w:color="000000" w:sz="8" w:space="0"/>
              <w:right w:val="single" w:color="000000" w:sz="8" w:space="0"/>
            </w:tcBorders>
            <w:shd w:val="clear" w:color="auto" w:fill="auto"/>
            <w:vAlign w:val="center"/>
          </w:tcPr>
          <w:p w14:paraId="0A1D29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c>
          <w:tcPr>
            <w:tcW w:w="1619" w:type="dxa"/>
            <w:tcBorders>
              <w:top w:val="nil"/>
              <w:left w:val="nil"/>
              <w:bottom w:val="single" w:color="000000" w:sz="8" w:space="0"/>
              <w:right w:val="single" w:color="000000" w:sz="8" w:space="0"/>
            </w:tcBorders>
            <w:shd w:val="clear" w:color="auto" w:fill="auto"/>
            <w:vAlign w:val="center"/>
          </w:tcPr>
          <w:p w14:paraId="598046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149</w:t>
            </w:r>
          </w:p>
        </w:tc>
        <w:tc>
          <w:tcPr>
            <w:tcW w:w="1611" w:type="dxa"/>
            <w:tcBorders>
              <w:top w:val="nil"/>
              <w:left w:val="nil"/>
              <w:bottom w:val="single" w:color="000000" w:sz="8" w:space="0"/>
              <w:right w:val="single" w:color="000000" w:sz="8" w:space="0"/>
            </w:tcBorders>
            <w:shd w:val="clear" w:color="auto" w:fill="auto"/>
            <w:vAlign w:val="center"/>
          </w:tcPr>
          <w:p w14:paraId="0C9CA9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w:t>
            </w:r>
          </w:p>
        </w:tc>
        <w:tc>
          <w:tcPr>
            <w:tcW w:w="1619" w:type="dxa"/>
            <w:tcBorders>
              <w:top w:val="nil"/>
              <w:left w:val="nil"/>
              <w:bottom w:val="single" w:color="000000" w:sz="8" w:space="0"/>
              <w:right w:val="single" w:color="000000" w:sz="8" w:space="0"/>
            </w:tcBorders>
            <w:shd w:val="clear" w:color="auto" w:fill="auto"/>
            <w:vAlign w:val="center"/>
          </w:tcPr>
          <w:p w14:paraId="743C45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438</w:t>
            </w:r>
          </w:p>
        </w:tc>
        <w:tc>
          <w:tcPr>
            <w:tcW w:w="1611" w:type="dxa"/>
            <w:tcBorders>
              <w:top w:val="nil"/>
              <w:left w:val="nil"/>
              <w:bottom w:val="single" w:color="000000" w:sz="8" w:space="0"/>
              <w:right w:val="single" w:color="000000" w:sz="8" w:space="0"/>
            </w:tcBorders>
            <w:shd w:val="clear" w:color="auto" w:fill="auto"/>
            <w:vAlign w:val="center"/>
          </w:tcPr>
          <w:p w14:paraId="141248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639260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618</w:t>
            </w:r>
          </w:p>
        </w:tc>
        <w:tc>
          <w:tcPr>
            <w:tcW w:w="1611" w:type="dxa"/>
            <w:tcBorders>
              <w:top w:val="nil"/>
              <w:left w:val="nil"/>
              <w:bottom w:val="single" w:color="000000" w:sz="8" w:space="0"/>
              <w:right w:val="single" w:color="000000" w:sz="8" w:space="0"/>
            </w:tcBorders>
            <w:shd w:val="clear" w:color="auto" w:fill="auto"/>
            <w:vAlign w:val="center"/>
          </w:tcPr>
          <w:p w14:paraId="3228C6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r>
      <w:tr w14:paraId="2D2E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C365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大通区</w:t>
            </w:r>
          </w:p>
        </w:tc>
        <w:tc>
          <w:tcPr>
            <w:tcW w:w="1619" w:type="dxa"/>
            <w:tcBorders>
              <w:top w:val="nil"/>
              <w:left w:val="nil"/>
              <w:bottom w:val="single" w:color="000000" w:sz="8" w:space="0"/>
              <w:right w:val="single" w:color="000000" w:sz="8" w:space="0"/>
            </w:tcBorders>
            <w:shd w:val="clear" w:color="auto" w:fill="auto"/>
            <w:vAlign w:val="center"/>
          </w:tcPr>
          <w:p w14:paraId="5666CF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703</w:t>
            </w:r>
          </w:p>
        </w:tc>
        <w:tc>
          <w:tcPr>
            <w:tcW w:w="1611" w:type="dxa"/>
            <w:tcBorders>
              <w:top w:val="nil"/>
              <w:left w:val="nil"/>
              <w:bottom w:val="single" w:color="000000" w:sz="8" w:space="0"/>
              <w:right w:val="single" w:color="000000" w:sz="8" w:space="0"/>
            </w:tcBorders>
            <w:shd w:val="clear" w:color="auto" w:fill="auto"/>
            <w:vAlign w:val="center"/>
          </w:tcPr>
          <w:p w14:paraId="1BCB9B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11A92D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65</w:t>
            </w:r>
          </w:p>
        </w:tc>
        <w:tc>
          <w:tcPr>
            <w:tcW w:w="1611" w:type="dxa"/>
            <w:tcBorders>
              <w:top w:val="nil"/>
              <w:left w:val="nil"/>
              <w:bottom w:val="single" w:color="000000" w:sz="8" w:space="0"/>
              <w:right w:val="single" w:color="000000" w:sz="8" w:space="0"/>
            </w:tcBorders>
            <w:shd w:val="clear" w:color="auto" w:fill="auto"/>
            <w:vAlign w:val="center"/>
          </w:tcPr>
          <w:p w14:paraId="3700B8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693498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56</w:t>
            </w:r>
          </w:p>
        </w:tc>
        <w:tc>
          <w:tcPr>
            <w:tcW w:w="1611" w:type="dxa"/>
            <w:tcBorders>
              <w:top w:val="nil"/>
              <w:left w:val="nil"/>
              <w:bottom w:val="single" w:color="000000" w:sz="8" w:space="0"/>
              <w:right w:val="single" w:color="000000" w:sz="8" w:space="0"/>
            </w:tcBorders>
            <w:shd w:val="clear" w:color="auto" w:fill="auto"/>
            <w:vAlign w:val="center"/>
          </w:tcPr>
          <w:p w14:paraId="38A0DA6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619" w:type="dxa"/>
            <w:tcBorders>
              <w:top w:val="nil"/>
              <w:left w:val="nil"/>
              <w:bottom w:val="single" w:color="000000" w:sz="8" w:space="0"/>
              <w:right w:val="single" w:color="000000" w:sz="8" w:space="0"/>
            </w:tcBorders>
            <w:shd w:val="clear" w:color="auto" w:fill="auto"/>
            <w:vAlign w:val="center"/>
          </w:tcPr>
          <w:p w14:paraId="415B30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181</w:t>
            </w:r>
          </w:p>
        </w:tc>
        <w:tc>
          <w:tcPr>
            <w:tcW w:w="1611" w:type="dxa"/>
            <w:tcBorders>
              <w:top w:val="nil"/>
              <w:left w:val="nil"/>
              <w:bottom w:val="single" w:color="000000" w:sz="8" w:space="0"/>
              <w:right w:val="single" w:color="000000" w:sz="8" w:space="0"/>
            </w:tcBorders>
            <w:shd w:val="clear" w:color="auto" w:fill="auto"/>
            <w:vAlign w:val="center"/>
          </w:tcPr>
          <w:p w14:paraId="3C7ED8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r>
      <w:tr w14:paraId="1174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0F84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田家庵区</w:t>
            </w:r>
          </w:p>
        </w:tc>
        <w:tc>
          <w:tcPr>
            <w:tcW w:w="1619" w:type="dxa"/>
            <w:tcBorders>
              <w:top w:val="nil"/>
              <w:left w:val="nil"/>
              <w:bottom w:val="single" w:color="000000" w:sz="8" w:space="0"/>
              <w:right w:val="single" w:color="000000" w:sz="8" w:space="0"/>
            </w:tcBorders>
            <w:shd w:val="clear" w:color="auto" w:fill="auto"/>
            <w:vAlign w:val="center"/>
          </w:tcPr>
          <w:p w14:paraId="3A5D87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6881</w:t>
            </w:r>
          </w:p>
        </w:tc>
        <w:tc>
          <w:tcPr>
            <w:tcW w:w="1611" w:type="dxa"/>
            <w:tcBorders>
              <w:top w:val="nil"/>
              <w:left w:val="nil"/>
              <w:bottom w:val="single" w:color="000000" w:sz="8" w:space="0"/>
              <w:right w:val="single" w:color="000000" w:sz="8" w:space="0"/>
            </w:tcBorders>
            <w:shd w:val="clear" w:color="auto" w:fill="auto"/>
            <w:vAlign w:val="center"/>
          </w:tcPr>
          <w:p w14:paraId="35F228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1619" w:type="dxa"/>
            <w:tcBorders>
              <w:top w:val="nil"/>
              <w:left w:val="nil"/>
              <w:bottom w:val="single" w:color="000000" w:sz="8" w:space="0"/>
              <w:right w:val="single" w:color="000000" w:sz="8" w:space="0"/>
            </w:tcBorders>
            <w:shd w:val="clear" w:color="auto" w:fill="auto"/>
            <w:vAlign w:val="center"/>
          </w:tcPr>
          <w:p w14:paraId="4E019DF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533</w:t>
            </w:r>
          </w:p>
        </w:tc>
        <w:tc>
          <w:tcPr>
            <w:tcW w:w="1611" w:type="dxa"/>
            <w:tcBorders>
              <w:top w:val="nil"/>
              <w:left w:val="nil"/>
              <w:bottom w:val="single" w:color="000000" w:sz="8" w:space="0"/>
              <w:right w:val="single" w:color="000000" w:sz="8" w:space="0"/>
            </w:tcBorders>
            <w:shd w:val="clear" w:color="auto" w:fill="auto"/>
            <w:vAlign w:val="center"/>
          </w:tcPr>
          <w:p w14:paraId="353A8E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270290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323</w:t>
            </w:r>
          </w:p>
        </w:tc>
        <w:tc>
          <w:tcPr>
            <w:tcW w:w="1611" w:type="dxa"/>
            <w:tcBorders>
              <w:top w:val="nil"/>
              <w:left w:val="nil"/>
              <w:bottom w:val="single" w:color="000000" w:sz="8" w:space="0"/>
              <w:right w:val="single" w:color="000000" w:sz="8" w:space="0"/>
            </w:tcBorders>
            <w:shd w:val="clear" w:color="auto" w:fill="auto"/>
            <w:vAlign w:val="center"/>
          </w:tcPr>
          <w:p w14:paraId="7A0FAB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331F79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821</w:t>
            </w:r>
          </w:p>
        </w:tc>
        <w:tc>
          <w:tcPr>
            <w:tcW w:w="1611" w:type="dxa"/>
            <w:tcBorders>
              <w:top w:val="nil"/>
              <w:left w:val="nil"/>
              <w:bottom w:val="single" w:color="000000" w:sz="8" w:space="0"/>
              <w:right w:val="single" w:color="000000" w:sz="8" w:space="0"/>
            </w:tcBorders>
            <w:shd w:val="clear" w:color="auto" w:fill="auto"/>
            <w:vAlign w:val="center"/>
          </w:tcPr>
          <w:p w14:paraId="74D274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w:t>
            </w:r>
          </w:p>
        </w:tc>
      </w:tr>
      <w:tr w14:paraId="190D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9A48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谢家集区</w:t>
            </w:r>
          </w:p>
        </w:tc>
        <w:tc>
          <w:tcPr>
            <w:tcW w:w="1619" w:type="dxa"/>
            <w:tcBorders>
              <w:top w:val="nil"/>
              <w:left w:val="nil"/>
              <w:bottom w:val="single" w:color="000000" w:sz="8" w:space="0"/>
              <w:right w:val="single" w:color="000000" w:sz="8" w:space="0"/>
            </w:tcBorders>
            <w:shd w:val="clear" w:color="auto" w:fill="auto"/>
            <w:vAlign w:val="center"/>
          </w:tcPr>
          <w:p w14:paraId="78C974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958</w:t>
            </w:r>
          </w:p>
        </w:tc>
        <w:tc>
          <w:tcPr>
            <w:tcW w:w="1611" w:type="dxa"/>
            <w:tcBorders>
              <w:top w:val="nil"/>
              <w:left w:val="nil"/>
              <w:bottom w:val="single" w:color="000000" w:sz="8" w:space="0"/>
              <w:right w:val="single" w:color="000000" w:sz="8" w:space="0"/>
            </w:tcBorders>
            <w:shd w:val="clear" w:color="auto" w:fill="auto"/>
            <w:vAlign w:val="center"/>
          </w:tcPr>
          <w:p w14:paraId="180125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0A90B2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123</w:t>
            </w:r>
          </w:p>
        </w:tc>
        <w:tc>
          <w:tcPr>
            <w:tcW w:w="1611" w:type="dxa"/>
            <w:tcBorders>
              <w:top w:val="nil"/>
              <w:left w:val="nil"/>
              <w:bottom w:val="single" w:color="000000" w:sz="8" w:space="0"/>
              <w:right w:val="single" w:color="000000" w:sz="8" w:space="0"/>
            </w:tcBorders>
            <w:shd w:val="clear" w:color="auto" w:fill="auto"/>
            <w:vAlign w:val="center"/>
          </w:tcPr>
          <w:p w14:paraId="352A21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1619" w:type="dxa"/>
            <w:tcBorders>
              <w:top w:val="nil"/>
              <w:left w:val="nil"/>
              <w:bottom w:val="single" w:color="000000" w:sz="8" w:space="0"/>
              <w:right w:val="single" w:color="000000" w:sz="8" w:space="0"/>
            </w:tcBorders>
            <w:shd w:val="clear" w:color="auto" w:fill="auto"/>
            <w:vAlign w:val="center"/>
          </w:tcPr>
          <w:p w14:paraId="55DA4A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196</w:t>
            </w:r>
          </w:p>
        </w:tc>
        <w:tc>
          <w:tcPr>
            <w:tcW w:w="1611" w:type="dxa"/>
            <w:tcBorders>
              <w:top w:val="nil"/>
              <w:left w:val="nil"/>
              <w:bottom w:val="single" w:color="000000" w:sz="8" w:space="0"/>
              <w:right w:val="single" w:color="000000" w:sz="8" w:space="0"/>
            </w:tcBorders>
            <w:shd w:val="clear" w:color="auto" w:fill="auto"/>
            <w:vAlign w:val="center"/>
          </w:tcPr>
          <w:p w14:paraId="5BC95D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1619" w:type="dxa"/>
            <w:tcBorders>
              <w:top w:val="nil"/>
              <w:left w:val="nil"/>
              <w:bottom w:val="single" w:color="000000" w:sz="8" w:space="0"/>
              <w:right w:val="single" w:color="000000" w:sz="8" w:space="0"/>
            </w:tcBorders>
            <w:shd w:val="clear" w:color="auto" w:fill="auto"/>
            <w:vAlign w:val="center"/>
          </w:tcPr>
          <w:p w14:paraId="7B0530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296</w:t>
            </w:r>
          </w:p>
        </w:tc>
        <w:tc>
          <w:tcPr>
            <w:tcW w:w="1611" w:type="dxa"/>
            <w:tcBorders>
              <w:top w:val="nil"/>
              <w:left w:val="nil"/>
              <w:bottom w:val="single" w:color="000000" w:sz="8" w:space="0"/>
              <w:right w:val="single" w:color="000000" w:sz="8" w:space="0"/>
            </w:tcBorders>
            <w:shd w:val="clear" w:color="auto" w:fill="auto"/>
            <w:vAlign w:val="center"/>
          </w:tcPr>
          <w:p w14:paraId="6F0C41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r>
      <w:tr w14:paraId="4388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C061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八公山区</w:t>
            </w:r>
          </w:p>
        </w:tc>
        <w:tc>
          <w:tcPr>
            <w:tcW w:w="1619" w:type="dxa"/>
            <w:tcBorders>
              <w:top w:val="nil"/>
              <w:left w:val="nil"/>
              <w:bottom w:val="single" w:color="000000" w:sz="8" w:space="0"/>
              <w:right w:val="single" w:color="000000" w:sz="8" w:space="0"/>
            </w:tcBorders>
            <w:shd w:val="clear" w:color="auto" w:fill="auto"/>
            <w:vAlign w:val="center"/>
          </w:tcPr>
          <w:p w14:paraId="2B9C75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564</w:t>
            </w:r>
          </w:p>
        </w:tc>
        <w:tc>
          <w:tcPr>
            <w:tcW w:w="1611" w:type="dxa"/>
            <w:tcBorders>
              <w:top w:val="nil"/>
              <w:left w:val="nil"/>
              <w:bottom w:val="single" w:color="000000" w:sz="8" w:space="0"/>
              <w:right w:val="single" w:color="000000" w:sz="8" w:space="0"/>
            </w:tcBorders>
            <w:shd w:val="clear" w:color="auto" w:fill="auto"/>
            <w:vAlign w:val="center"/>
          </w:tcPr>
          <w:p w14:paraId="57E762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1699D3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56</w:t>
            </w:r>
          </w:p>
        </w:tc>
        <w:tc>
          <w:tcPr>
            <w:tcW w:w="1611" w:type="dxa"/>
            <w:tcBorders>
              <w:top w:val="nil"/>
              <w:left w:val="nil"/>
              <w:bottom w:val="single" w:color="000000" w:sz="8" w:space="0"/>
              <w:right w:val="single" w:color="000000" w:sz="8" w:space="0"/>
            </w:tcBorders>
            <w:shd w:val="clear" w:color="auto" w:fill="auto"/>
            <w:vAlign w:val="center"/>
          </w:tcPr>
          <w:p w14:paraId="362F37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c>
          <w:tcPr>
            <w:tcW w:w="1619" w:type="dxa"/>
            <w:tcBorders>
              <w:top w:val="nil"/>
              <w:left w:val="nil"/>
              <w:bottom w:val="single" w:color="000000" w:sz="8" w:space="0"/>
              <w:right w:val="single" w:color="000000" w:sz="8" w:space="0"/>
            </w:tcBorders>
            <w:shd w:val="clear" w:color="auto" w:fill="auto"/>
            <w:vAlign w:val="center"/>
          </w:tcPr>
          <w:p w14:paraId="45CF96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137</w:t>
            </w:r>
          </w:p>
        </w:tc>
        <w:tc>
          <w:tcPr>
            <w:tcW w:w="1611" w:type="dxa"/>
            <w:tcBorders>
              <w:top w:val="nil"/>
              <w:left w:val="nil"/>
              <w:bottom w:val="single" w:color="000000" w:sz="8" w:space="0"/>
              <w:right w:val="single" w:color="000000" w:sz="8" w:space="0"/>
            </w:tcBorders>
            <w:shd w:val="clear" w:color="auto" w:fill="auto"/>
            <w:vAlign w:val="center"/>
          </w:tcPr>
          <w:p w14:paraId="2FFC35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1619" w:type="dxa"/>
            <w:tcBorders>
              <w:top w:val="nil"/>
              <w:left w:val="nil"/>
              <w:bottom w:val="single" w:color="000000" w:sz="8" w:space="0"/>
              <w:right w:val="single" w:color="000000" w:sz="8" w:space="0"/>
            </w:tcBorders>
            <w:shd w:val="clear" w:color="auto" w:fill="auto"/>
            <w:vAlign w:val="center"/>
          </w:tcPr>
          <w:p w14:paraId="48E400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140</w:t>
            </w:r>
          </w:p>
        </w:tc>
        <w:tc>
          <w:tcPr>
            <w:tcW w:w="1611" w:type="dxa"/>
            <w:tcBorders>
              <w:top w:val="nil"/>
              <w:left w:val="nil"/>
              <w:bottom w:val="single" w:color="000000" w:sz="8" w:space="0"/>
              <w:right w:val="single" w:color="000000" w:sz="8" w:space="0"/>
            </w:tcBorders>
            <w:shd w:val="clear" w:color="auto" w:fill="auto"/>
            <w:vAlign w:val="center"/>
          </w:tcPr>
          <w:p w14:paraId="581E59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r>
      <w:tr w14:paraId="3B4A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5979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潘集区</w:t>
            </w:r>
          </w:p>
        </w:tc>
        <w:tc>
          <w:tcPr>
            <w:tcW w:w="1619" w:type="dxa"/>
            <w:tcBorders>
              <w:top w:val="nil"/>
              <w:left w:val="nil"/>
              <w:bottom w:val="single" w:color="000000" w:sz="8" w:space="0"/>
              <w:right w:val="single" w:color="000000" w:sz="8" w:space="0"/>
            </w:tcBorders>
            <w:shd w:val="clear" w:color="auto" w:fill="auto"/>
            <w:vAlign w:val="center"/>
          </w:tcPr>
          <w:p w14:paraId="1667231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1206</w:t>
            </w:r>
          </w:p>
        </w:tc>
        <w:tc>
          <w:tcPr>
            <w:tcW w:w="1611" w:type="dxa"/>
            <w:tcBorders>
              <w:top w:val="nil"/>
              <w:left w:val="nil"/>
              <w:bottom w:val="single" w:color="000000" w:sz="8" w:space="0"/>
              <w:right w:val="single" w:color="000000" w:sz="8" w:space="0"/>
            </w:tcBorders>
            <w:shd w:val="clear" w:color="auto" w:fill="auto"/>
            <w:vAlign w:val="center"/>
          </w:tcPr>
          <w:p w14:paraId="538969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7AE68E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164</w:t>
            </w:r>
          </w:p>
        </w:tc>
        <w:tc>
          <w:tcPr>
            <w:tcW w:w="1611" w:type="dxa"/>
            <w:tcBorders>
              <w:top w:val="nil"/>
              <w:left w:val="nil"/>
              <w:bottom w:val="single" w:color="000000" w:sz="8" w:space="0"/>
              <w:right w:val="single" w:color="000000" w:sz="8" w:space="0"/>
            </w:tcBorders>
            <w:shd w:val="clear" w:color="auto" w:fill="auto"/>
            <w:vAlign w:val="center"/>
          </w:tcPr>
          <w:p w14:paraId="169329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3C8F85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425</w:t>
            </w:r>
          </w:p>
        </w:tc>
        <w:tc>
          <w:tcPr>
            <w:tcW w:w="1611" w:type="dxa"/>
            <w:tcBorders>
              <w:top w:val="nil"/>
              <w:left w:val="nil"/>
              <w:bottom w:val="single" w:color="000000" w:sz="8" w:space="0"/>
              <w:right w:val="single" w:color="000000" w:sz="8" w:space="0"/>
            </w:tcBorders>
            <w:shd w:val="clear" w:color="auto" w:fill="auto"/>
            <w:vAlign w:val="center"/>
          </w:tcPr>
          <w:p w14:paraId="28F845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0DD85C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475</w:t>
            </w:r>
          </w:p>
        </w:tc>
        <w:tc>
          <w:tcPr>
            <w:tcW w:w="1611" w:type="dxa"/>
            <w:tcBorders>
              <w:top w:val="nil"/>
              <w:left w:val="nil"/>
              <w:bottom w:val="single" w:color="000000" w:sz="8" w:space="0"/>
              <w:right w:val="single" w:color="000000" w:sz="8" w:space="0"/>
            </w:tcBorders>
            <w:shd w:val="clear" w:color="auto" w:fill="auto"/>
            <w:vAlign w:val="center"/>
          </w:tcPr>
          <w:p w14:paraId="68E1B0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4</w:t>
            </w:r>
            <w:r>
              <w:rPr>
                <w:rFonts w:hint="default" w:ascii="Times New Roman" w:hAnsi="Times New Roman" w:eastAsia="宋体" w:cs="Times New Roman"/>
                <w:i w:val="0"/>
                <w:color w:val="000000"/>
                <w:kern w:val="0"/>
                <w:sz w:val="24"/>
                <w:szCs w:val="24"/>
                <w:u w:val="none"/>
                <w:lang w:val="en-US" w:eastAsia="zh-CN" w:bidi="ar"/>
              </w:rPr>
              <w:t>%</w:t>
            </w:r>
          </w:p>
        </w:tc>
      </w:tr>
      <w:tr w14:paraId="2628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EF58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经开区</w:t>
            </w:r>
          </w:p>
        </w:tc>
        <w:tc>
          <w:tcPr>
            <w:tcW w:w="1619" w:type="dxa"/>
            <w:tcBorders>
              <w:top w:val="nil"/>
              <w:left w:val="nil"/>
              <w:bottom w:val="single" w:color="000000" w:sz="8" w:space="0"/>
              <w:right w:val="single" w:color="000000" w:sz="8" w:space="0"/>
            </w:tcBorders>
            <w:shd w:val="clear" w:color="auto" w:fill="auto"/>
            <w:vAlign w:val="center"/>
          </w:tcPr>
          <w:p w14:paraId="4C5E9B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734</w:t>
            </w:r>
          </w:p>
        </w:tc>
        <w:tc>
          <w:tcPr>
            <w:tcW w:w="1611" w:type="dxa"/>
            <w:tcBorders>
              <w:top w:val="nil"/>
              <w:left w:val="nil"/>
              <w:bottom w:val="single" w:color="000000" w:sz="8" w:space="0"/>
              <w:right w:val="single" w:color="000000" w:sz="8" w:space="0"/>
            </w:tcBorders>
            <w:shd w:val="clear" w:color="auto" w:fill="auto"/>
            <w:vAlign w:val="center"/>
          </w:tcPr>
          <w:p w14:paraId="7516EB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5EF999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108</w:t>
            </w:r>
          </w:p>
        </w:tc>
        <w:tc>
          <w:tcPr>
            <w:tcW w:w="1611" w:type="dxa"/>
            <w:tcBorders>
              <w:top w:val="nil"/>
              <w:left w:val="nil"/>
              <w:bottom w:val="single" w:color="000000" w:sz="8" w:space="0"/>
              <w:right w:val="single" w:color="000000" w:sz="8" w:space="0"/>
            </w:tcBorders>
            <w:shd w:val="clear" w:color="auto" w:fill="auto"/>
            <w:vAlign w:val="center"/>
          </w:tcPr>
          <w:p w14:paraId="0F1A959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3</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193176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60</w:t>
            </w:r>
          </w:p>
        </w:tc>
        <w:tc>
          <w:tcPr>
            <w:tcW w:w="1611" w:type="dxa"/>
            <w:tcBorders>
              <w:top w:val="nil"/>
              <w:left w:val="nil"/>
              <w:bottom w:val="single" w:color="000000" w:sz="8" w:space="0"/>
              <w:right w:val="single" w:color="000000" w:sz="8" w:space="0"/>
            </w:tcBorders>
            <w:shd w:val="clear" w:color="auto" w:fill="auto"/>
            <w:vAlign w:val="center"/>
          </w:tcPr>
          <w:p w14:paraId="6D8FD4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619" w:type="dxa"/>
            <w:tcBorders>
              <w:top w:val="nil"/>
              <w:left w:val="nil"/>
              <w:bottom w:val="single" w:color="000000" w:sz="8" w:space="0"/>
              <w:right w:val="single" w:color="000000" w:sz="8" w:space="0"/>
            </w:tcBorders>
            <w:shd w:val="clear" w:color="auto" w:fill="auto"/>
            <w:vAlign w:val="center"/>
          </w:tcPr>
          <w:p w14:paraId="29A613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63</w:t>
            </w:r>
          </w:p>
        </w:tc>
        <w:tc>
          <w:tcPr>
            <w:tcW w:w="1611" w:type="dxa"/>
            <w:tcBorders>
              <w:top w:val="nil"/>
              <w:left w:val="nil"/>
              <w:bottom w:val="single" w:color="000000" w:sz="8" w:space="0"/>
              <w:right w:val="single" w:color="000000" w:sz="8" w:space="0"/>
            </w:tcBorders>
            <w:shd w:val="clear" w:color="auto" w:fill="auto"/>
            <w:vAlign w:val="center"/>
          </w:tcPr>
          <w:p w14:paraId="3CC4F4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r>
      <w:tr w14:paraId="5157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CB7D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高新区</w:t>
            </w:r>
          </w:p>
        </w:tc>
        <w:tc>
          <w:tcPr>
            <w:tcW w:w="1619" w:type="dxa"/>
            <w:tcBorders>
              <w:top w:val="nil"/>
              <w:left w:val="nil"/>
              <w:bottom w:val="single" w:color="000000" w:sz="8" w:space="0"/>
              <w:right w:val="single" w:color="000000" w:sz="8" w:space="0"/>
            </w:tcBorders>
            <w:shd w:val="clear" w:color="auto" w:fill="auto"/>
            <w:vAlign w:val="center"/>
          </w:tcPr>
          <w:p w14:paraId="046E85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2679</w:t>
            </w:r>
          </w:p>
        </w:tc>
        <w:tc>
          <w:tcPr>
            <w:tcW w:w="1611" w:type="dxa"/>
            <w:tcBorders>
              <w:top w:val="nil"/>
              <w:left w:val="nil"/>
              <w:bottom w:val="single" w:color="000000" w:sz="8" w:space="0"/>
              <w:right w:val="single" w:color="000000" w:sz="8" w:space="0"/>
            </w:tcBorders>
            <w:shd w:val="clear" w:color="auto" w:fill="auto"/>
            <w:vAlign w:val="center"/>
          </w:tcPr>
          <w:p w14:paraId="4BB6D8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1619" w:type="dxa"/>
            <w:tcBorders>
              <w:top w:val="nil"/>
              <w:left w:val="nil"/>
              <w:bottom w:val="single" w:color="000000" w:sz="8" w:space="0"/>
              <w:right w:val="single" w:color="000000" w:sz="8" w:space="0"/>
            </w:tcBorders>
            <w:shd w:val="clear" w:color="auto" w:fill="auto"/>
            <w:vAlign w:val="center"/>
          </w:tcPr>
          <w:p w14:paraId="114AF6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312</w:t>
            </w:r>
          </w:p>
        </w:tc>
        <w:tc>
          <w:tcPr>
            <w:tcW w:w="1611" w:type="dxa"/>
            <w:tcBorders>
              <w:top w:val="nil"/>
              <w:left w:val="nil"/>
              <w:bottom w:val="single" w:color="000000" w:sz="8" w:space="0"/>
              <w:right w:val="single" w:color="000000" w:sz="8" w:space="0"/>
            </w:tcBorders>
            <w:shd w:val="clear" w:color="auto" w:fill="auto"/>
            <w:vAlign w:val="center"/>
          </w:tcPr>
          <w:p w14:paraId="67BA76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w:t>
            </w:r>
          </w:p>
        </w:tc>
        <w:tc>
          <w:tcPr>
            <w:tcW w:w="1619" w:type="dxa"/>
            <w:tcBorders>
              <w:top w:val="nil"/>
              <w:left w:val="nil"/>
              <w:bottom w:val="single" w:color="000000" w:sz="8" w:space="0"/>
              <w:right w:val="single" w:color="000000" w:sz="8" w:space="0"/>
            </w:tcBorders>
            <w:shd w:val="clear" w:color="auto" w:fill="auto"/>
            <w:vAlign w:val="center"/>
          </w:tcPr>
          <w:p w14:paraId="1A35DB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150</w:t>
            </w:r>
          </w:p>
        </w:tc>
        <w:tc>
          <w:tcPr>
            <w:tcW w:w="1611" w:type="dxa"/>
            <w:tcBorders>
              <w:top w:val="nil"/>
              <w:left w:val="nil"/>
              <w:bottom w:val="single" w:color="000000" w:sz="8" w:space="0"/>
              <w:right w:val="single" w:color="000000" w:sz="8" w:space="0"/>
            </w:tcBorders>
            <w:shd w:val="clear" w:color="auto" w:fill="auto"/>
            <w:vAlign w:val="center"/>
          </w:tcPr>
          <w:p w14:paraId="707507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w:t>
            </w:r>
          </w:p>
        </w:tc>
        <w:tc>
          <w:tcPr>
            <w:tcW w:w="1619" w:type="dxa"/>
            <w:tcBorders>
              <w:top w:val="nil"/>
              <w:left w:val="nil"/>
              <w:bottom w:val="single" w:color="000000" w:sz="8" w:space="0"/>
              <w:right w:val="single" w:color="000000" w:sz="8" w:space="0"/>
            </w:tcBorders>
            <w:shd w:val="clear" w:color="auto" w:fill="auto"/>
            <w:vAlign w:val="center"/>
          </w:tcPr>
          <w:p w14:paraId="59A5F3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182</w:t>
            </w:r>
          </w:p>
        </w:tc>
        <w:tc>
          <w:tcPr>
            <w:tcW w:w="1611" w:type="dxa"/>
            <w:tcBorders>
              <w:top w:val="nil"/>
              <w:left w:val="nil"/>
              <w:bottom w:val="single" w:color="000000" w:sz="8" w:space="0"/>
              <w:right w:val="single" w:color="000000" w:sz="8" w:space="0"/>
            </w:tcBorders>
            <w:shd w:val="clear" w:color="auto" w:fill="auto"/>
            <w:vAlign w:val="center"/>
          </w:tcPr>
          <w:p w14:paraId="56D118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r>
      <w:tr w14:paraId="486C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3DD8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毛集实验区</w:t>
            </w:r>
          </w:p>
        </w:tc>
        <w:tc>
          <w:tcPr>
            <w:tcW w:w="1619" w:type="dxa"/>
            <w:tcBorders>
              <w:top w:val="nil"/>
              <w:left w:val="nil"/>
              <w:bottom w:val="single" w:color="000000" w:sz="8" w:space="0"/>
              <w:right w:val="single" w:color="000000" w:sz="8" w:space="0"/>
            </w:tcBorders>
            <w:shd w:val="clear" w:color="auto" w:fill="auto"/>
            <w:vAlign w:val="center"/>
          </w:tcPr>
          <w:p w14:paraId="5FBADF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535</w:t>
            </w:r>
          </w:p>
        </w:tc>
        <w:tc>
          <w:tcPr>
            <w:tcW w:w="1611" w:type="dxa"/>
            <w:tcBorders>
              <w:top w:val="nil"/>
              <w:left w:val="nil"/>
              <w:bottom w:val="single" w:color="000000" w:sz="8" w:space="0"/>
              <w:right w:val="single" w:color="000000" w:sz="8" w:space="0"/>
            </w:tcBorders>
            <w:shd w:val="clear" w:color="auto" w:fill="auto"/>
            <w:vAlign w:val="center"/>
          </w:tcPr>
          <w:p w14:paraId="5E8519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624614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28</w:t>
            </w:r>
          </w:p>
        </w:tc>
        <w:tc>
          <w:tcPr>
            <w:tcW w:w="1611" w:type="dxa"/>
            <w:tcBorders>
              <w:top w:val="nil"/>
              <w:left w:val="nil"/>
              <w:bottom w:val="single" w:color="000000" w:sz="8" w:space="0"/>
              <w:right w:val="single" w:color="000000" w:sz="8" w:space="0"/>
            </w:tcBorders>
            <w:shd w:val="clear" w:color="auto" w:fill="auto"/>
            <w:vAlign w:val="center"/>
          </w:tcPr>
          <w:p w14:paraId="320918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w:t>
            </w:r>
          </w:p>
        </w:tc>
        <w:tc>
          <w:tcPr>
            <w:tcW w:w="1619" w:type="dxa"/>
            <w:tcBorders>
              <w:top w:val="nil"/>
              <w:left w:val="nil"/>
              <w:bottom w:val="single" w:color="000000" w:sz="8" w:space="0"/>
              <w:right w:val="single" w:color="000000" w:sz="8" w:space="0"/>
            </w:tcBorders>
            <w:shd w:val="clear" w:color="auto" w:fill="auto"/>
            <w:vAlign w:val="center"/>
          </w:tcPr>
          <w:p w14:paraId="622F26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63</w:t>
            </w:r>
          </w:p>
        </w:tc>
        <w:tc>
          <w:tcPr>
            <w:tcW w:w="1611" w:type="dxa"/>
            <w:tcBorders>
              <w:top w:val="nil"/>
              <w:left w:val="nil"/>
              <w:bottom w:val="single" w:color="000000" w:sz="8" w:space="0"/>
              <w:right w:val="single" w:color="000000" w:sz="8" w:space="0"/>
            </w:tcBorders>
            <w:shd w:val="clear" w:color="auto" w:fill="auto"/>
            <w:vAlign w:val="center"/>
          </w:tcPr>
          <w:p w14:paraId="76DE1F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c>
          <w:tcPr>
            <w:tcW w:w="1619" w:type="dxa"/>
            <w:tcBorders>
              <w:top w:val="nil"/>
              <w:left w:val="nil"/>
              <w:bottom w:val="single" w:color="000000" w:sz="8" w:space="0"/>
              <w:right w:val="single" w:color="000000" w:sz="8" w:space="0"/>
            </w:tcBorders>
            <w:shd w:val="clear" w:color="auto" w:fill="auto"/>
            <w:vAlign w:val="center"/>
          </w:tcPr>
          <w:p w14:paraId="5B3B40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611" w:type="dxa"/>
            <w:tcBorders>
              <w:top w:val="nil"/>
              <w:left w:val="nil"/>
              <w:bottom w:val="single" w:color="000000" w:sz="8" w:space="0"/>
              <w:right w:val="single" w:color="000000" w:sz="8" w:space="0"/>
            </w:tcBorders>
            <w:shd w:val="clear" w:color="auto" w:fill="auto"/>
            <w:vAlign w:val="center"/>
          </w:tcPr>
          <w:p w14:paraId="0E74F5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0</w:t>
            </w:r>
            <w:r>
              <w:rPr>
                <w:rFonts w:hint="default" w:ascii="Times New Roman" w:hAnsi="Times New Roman" w:eastAsia="宋体" w:cs="Times New Roman"/>
                <w:i w:val="0"/>
                <w:color w:val="000000"/>
                <w:kern w:val="0"/>
                <w:sz w:val="24"/>
                <w:szCs w:val="24"/>
                <w:u w:val="none"/>
                <w:lang w:val="en-US" w:eastAsia="zh-CN" w:bidi="ar"/>
              </w:rPr>
              <w:t>%</w:t>
            </w:r>
          </w:p>
        </w:tc>
      </w:tr>
    </w:tbl>
    <w:p w14:paraId="21BAA47D">
      <w:pPr>
        <w:pStyle w:val="15"/>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outlineLvl w:val="0"/>
        <w:rPr>
          <w:rFonts w:hint="eastAsia"/>
          <w:sz w:val="28"/>
          <w:szCs w:val="28"/>
          <w:lang w:eastAsia="zh-CN"/>
        </w:rPr>
        <w:sectPr>
          <w:pgSz w:w="16838" w:h="11906" w:orient="landscape"/>
          <w:pgMar w:top="1803" w:right="1440" w:bottom="1803" w:left="1440" w:header="851" w:footer="992" w:gutter="0"/>
          <w:pgNumType w:fmt="decimal"/>
          <w:cols w:space="0" w:num="1"/>
          <w:rtlGutter w:val="0"/>
          <w:docGrid w:type="lines" w:linePitch="319" w:charSpace="0"/>
        </w:sectPr>
      </w:pPr>
    </w:p>
    <w:p w14:paraId="20C652DB">
      <w:pPr>
        <w:pStyle w:val="15"/>
        <w:keepNext w:val="0"/>
        <w:keepLines w:val="0"/>
        <w:pageBreakBefore w:val="0"/>
        <w:widowControl w:val="0"/>
        <w:wordWrap/>
        <w:overflowPunct/>
        <w:topLinePunct w:val="0"/>
        <w:bidi w:val="0"/>
        <w:ind w:left="0" w:leftChars="0" w:firstLine="0" w:firstLineChars="0"/>
        <w:outlineLvl w:val="0"/>
        <w:rPr>
          <w:rFonts w:ascii="黑体" w:hAnsi="黑体" w:eastAsia="黑体"/>
        </w:rPr>
      </w:pPr>
      <w:r>
        <w:rPr>
          <w:rFonts w:ascii="黑体" w:hAnsi="黑体" w:eastAsia="黑体"/>
        </w:rPr>
        <w:t>附件4</w:t>
      </w:r>
    </w:p>
    <w:p w14:paraId="28D9180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center"/>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美丽蓝天建设项目2026年</w:t>
      </w:r>
      <w:r>
        <w:rPr>
          <w:rFonts w:hint="eastAsia" w:ascii="Times New Roman" w:hAnsi="Times New Roman" w:eastAsia="方正小标宋简体" w:cs="Times New Roman"/>
          <w:sz w:val="36"/>
          <w:szCs w:val="36"/>
          <w:lang w:eastAsia="zh-CN"/>
        </w:rPr>
        <w:t>计划</w:t>
      </w:r>
      <w:r>
        <w:rPr>
          <w:rFonts w:hint="default" w:ascii="Times New Roman" w:hAnsi="Times New Roman" w:eastAsia="方正小标宋简体" w:cs="Times New Roman"/>
          <w:sz w:val="36"/>
          <w:szCs w:val="36"/>
        </w:rPr>
        <w:t>实施任务</w:t>
      </w:r>
      <w:r>
        <w:rPr>
          <w:rFonts w:hint="eastAsia" w:ascii="Times New Roman" w:hAnsi="Times New Roman" w:eastAsia="方正小标宋简体" w:cs="Times New Roman"/>
          <w:sz w:val="36"/>
          <w:szCs w:val="36"/>
          <w:lang w:eastAsia="zh-CN"/>
        </w:rPr>
        <w:t>表</w:t>
      </w:r>
    </w:p>
    <w:tbl>
      <w:tblPr>
        <w:tblStyle w:val="11"/>
        <w:tblW w:w="9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2181"/>
        <w:gridCol w:w="2220"/>
        <w:gridCol w:w="2194"/>
        <w:gridCol w:w="1905"/>
      </w:tblGrid>
      <w:tr w14:paraId="66AC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9CADD9D">
            <w:pPr>
              <w:keepNext w:val="0"/>
              <w:keepLines w:val="0"/>
              <w:pageBreakBefore w:val="0"/>
              <w:widowControl w:val="0"/>
              <w:suppressLineNumbers w:val="0"/>
              <w:wordWrap/>
              <w:overflowPunct/>
              <w:topLinePunct w:val="0"/>
              <w:bidi w:val="0"/>
              <w:jc w:val="center"/>
              <w:textAlignment w:val="center"/>
              <w:rPr>
                <w:rFonts w:hint="eastAsia" w:ascii="黑体" w:hAnsi="黑体" w:eastAsia="黑体" w:cs="黑体"/>
                <w:i w:val="0"/>
                <w:iCs w:val="0"/>
                <w:color w:val="000000"/>
                <w:sz w:val="24"/>
                <w:szCs w:val="24"/>
                <w:u w:val="none"/>
              </w:rPr>
            </w:pPr>
            <w:r>
              <w:rPr>
                <w:rStyle w:val="22"/>
                <w:rFonts w:hint="eastAsia" w:ascii="黑体" w:hAnsi="黑体" w:eastAsia="黑体" w:cs="黑体"/>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0290AECD">
            <w:pPr>
              <w:keepNext w:val="0"/>
              <w:keepLines w:val="0"/>
              <w:pageBreakBefore w:val="0"/>
              <w:widowControl w:val="0"/>
              <w:suppressLineNumbers w:val="0"/>
              <w:wordWrap/>
              <w:overflowPunct/>
              <w:topLinePunct w:val="0"/>
              <w:bidi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项目名称</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DDDB895">
            <w:pPr>
              <w:keepNext w:val="0"/>
              <w:keepLines w:val="0"/>
              <w:pageBreakBefore w:val="0"/>
              <w:widowControl w:val="0"/>
              <w:suppressLineNumbers w:val="0"/>
              <w:wordWrap/>
              <w:overflowPunct/>
              <w:topLinePunct w:val="0"/>
              <w:bidi w:val="0"/>
              <w:jc w:val="center"/>
              <w:textAlignment w:val="center"/>
              <w:rPr>
                <w:rFonts w:hint="eastAsia" w:ascii="黑体" w:hAnsi="黑体" w:eastAsia="黑体" w:cs="黑体"/>
                <w:i w:val="0"/>
                <w:iCs w:val="0"/>
                <w:color w:val="000000"/>
                <w:sz w:val="24"/>
                <w:szCs w:val="24"/>
                <w:u w:val="none"/>
              </w:rPr>
            </w:pPr>
            <w:r>
              <w:rPr>
                <w:rStyle w:val="22"/>
                <w:rFonts w:hint="eastAsia" w:ascii="黑体" w:hAnsi="黑体" w:eastAsia="黑体" w:cs="黑体"/>
                <w:lang w:val="en-US" w:eastAsia="zh-CN" w:bidi="ar"/>
              </w:rPr>
              <w:t>实施主体</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376275FF">
            <w:pPr>
              <w:keepNext w:val="0"/>
              <w:keepLines w:val="0"/>
              <w:pageBreakBefore w:val="0"/>
              <w:widowControl w:val="0"/>
              <w:suppressLineNumbers w:val="0"/>
              <w:wordWrap/>
              <w:overflowPunct/>
              <w:topLinePunct w:val="0"/>
              <w:bidi w:val="0"/>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2026年绩效目标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AAF97A">
            <w:pPr>
              <w:keepNext w:val="0"/>
              <w:keepLines w:val="0"/>
              <w:pageBreakBefore w:val="0"/>
              <w:widowControl w:val="0"/>
              <w:suppressLineNumbers w:val="0"/>
              <w:wordWrap/>
              <w:overflowPunct/>
              <w:topLinePunct w:val="0"/>
              <w:bidi w:val="0"/>
              <w:jc w:val="center"/>
              <w:textAlignment w:val="center"/>
              <w:rPr>
                <w:rFonts w:hint="eastAsia" w:ascii="黑体" w:hAnsi="黑体" w:eastAsia="黑体" w:cs="黑体"/>
                <w:i w:val="0"/>
                <w:iCs w:val="0"/>
                <w:color w:val="000000"/>
                <w:sz w:val="24"/>
                <w:szCs w:val="24"/>
                <w:u w:val="none"/>
              </w:rPr>
            </w:pPr>
            <w:r>
              <w:rPr>
                <w:rStyle w:val="22"/>
                <w:rFonts w:hint="eastAsia" w:ascii="黑体" w:hAnsi="黑体" w:eastAsia="黑体" w:cs="黑体"/>
                <w:lang w:val="en-US" w:eastAsia="zh-CN" w:bidi="ar"/>
              </w:rPr>
              <w:t>责任单位</w:t>
            </w:r>
          </w:p>
        </w:tc>
      </w:tr>
      <w:tr w14:paraId="0141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8CA2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A9BF4D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移动源-国二及以下非道路移动机械淘汰更新工程</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75662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3"/>
                <w:rFonts w:hint="default" w:ascii="Times New Roman" w:hAnsi="Times New Roman" w:eastAsia="仿宋_GB2312" w:cs="Times New Roman"/>
                <w:sz w:val="24"/>
                <w:szCs w:val="24"/>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79A1CE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完成绩效目标数量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48368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市生态环境局</w:t>
            </w:r>
          </w:p>
          <w:p w14:paraId="1B0A7D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市商务局</w:t>
            </w:r>
          </w:p>
        </w:tc>
      </w:tr>
      <w:tr w14:paraId="42E4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6DA4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57A40FB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移动源治理-非营运柴油车辆淘汰更新工程</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43412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50010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完成绩效目标数量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D219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市生态环境局</w:t>
            </w:r>
          </w:p>
          <w:p w14:paraId="458481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市公安局</w:t>
            </w:r>
          </w:p>
          <w:p w14:paraId="2D4BA5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市交通运输局</w:t>
            </w:r>
          </w:p>
          <w:p w14:paraId="5947BA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市商务局</w:t>
            </w:r>
          </w:p>
        </w:tc>
      </w:tr>
      <w:tr w14:paraId="111B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5A9D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5E12802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工业源-医药制造业环保提升改造项目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D34E6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安徽新鸿药业有限公司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29B39C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48A10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煤化工园区管委会</w:t>
            </w:r>
          </w:p>
        </w:tc>
      </w:tr>
      <w:tr w14:paraId="717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9AEA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DCD373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工业源-医药制造业环保提升改造项目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3EC41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淮南市健坤制药股份有限公司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FC6D1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D00BB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经开区管委会</w:t>
            </w:r>
          </w:p>
        </w:tc>
      </w:tr>
      <w:tr w14:paraId="0287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3879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62E7D8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工业源-医药制造业环保提升改造项目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3656E2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安徽山河药用辅料股份有限公司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3C34A4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EE5C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经开区管委会</w:t>
            </w:r>
          </w:p>
        </w:tc>
      </w:tr>
      <w:tr w14:paraId="58ED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13DE5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CE1E329">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工业源-家具制造及人造板行业绩效等级提升工程项目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845F8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绿洲森工（淮南）有限公司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1F1C2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D506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7F9A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51BA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BBDE45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工业源-家具制造及人造板行业绩效等级提升工程项目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181435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安徽金亮新型材料有限公司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E2CEA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0C2F6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05D3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D607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1C182EC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工业源-建材企业环保绩效等级提升工程项目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3FB0EF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安徽华诚混凝土有限公司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0D500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C2978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271C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E56B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06CE7F4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工业源-化工领域重点行业环保提升改造工程项目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5FDB4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中安联合煤化有限责任公司煤化工分公司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3FD612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完成2026年建设任务</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756E1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煤化工园区管委会</w:t>
            </w:r>
          </w:p>
        </w:tc>
      </w:tr>
      <w:tr w14:paraId="7D7B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9978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F713E3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工业源-包装印刷行业环保绩效等级提升工程项目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135B4B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淮南市荣庆包装科技有限公司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293799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C1AC7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潘集区政府</w:t>
            </w:r>
          </w:p>
        </w:tc>
      </w:tr>
      <w:tr w14:paraId="5350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674F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27DCA7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工业源-建材企业环保绩效等级提升工程项目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C3FF9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寿县新城商品混凝土有限责任公司</w:t>
            </w:r>
          </w:p>
        </w:tc>
        <w:tc>
          <w:tcPr>
            <w:tcW w:w="2194" w:type="dxa"/>
            <w:tcBorders>
              <w:top w:val="single" w:color="000000" w:sz="4" w:space="0"/>
              <w:left w:val="single" w:color="000000" w:sz="4" w:space="0"/>
              <w:bottom w:val="single" w:color="auto" w:sz="4" w:space="0"/>
              <w:right w:val="single" w:color="000000" w:sz="4" w:space="0"/>
            </w:tcBorders>
            <w:noWrap w:val="0"/>
            <w:vAlign w:val="center"/>
          </w:tcPr>
          <w:p w14:paraId="70C536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auto" w:sz="4" w:space="0"/>
              <w:right w:val="single" w:color="000000" w:sz="4" w:space="0"/>
            </w:tcBorders>
            <w:noWrap w:val="0"/>
            <w:vAlign w:val="center"/>
          </w:tcPr>
          <w:p w14:paraId="625D80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0D63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E221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21991A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工业源-建材企业环保绩效等级提升工程项目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271FF5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寿县新桥混凝土有限公司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759FE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05930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3DC1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70F6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733AE47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422796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3"/>
                <w:rFonts w:hint="default" w:ascii="Times New Roman" w:hAnsi="Times New Roman" w:eastAsia="仿宋_GB2312" w:cs="Times New Roman"/>
                <w:sz w:val="24"/>
                <w:szCs w:val="24"/>
                <w:lang w:val="en-US" w:eastAsia="zh-CN" w:bidi="ar"/>
              </w:rPr>
              <w:t>淮南市众建新型建材有限公司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B7A68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0BF75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大通区政府</w:t>
            </w:r>
          </w:p>
        </w:tc>
      </w:tr>
      <w:tr w14:paraId="40D5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8AB4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4116BCCB">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333F19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安徽畅九衢环保科技有限公司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F7564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E6AD3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八公山区政府</w:t>
            </w:r>
          </w:p>
        </w:tc>
      </w:tr>
      <w:tr w14:paraId="1954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857E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A5CAAF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19BFA0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4"/>
                <w:rFonts w:hint="default" w:ascii="Times New Roman" w:hAnsi="Times New Roman" w:eastAsia="仿宋_GB2312" w:cs="Times New Roman"/>
                <w:sz w:val="24"/>
                <w:szCs w:val="24"/>
                <w:lang w:val="en-US" w:eastAsia="zh-CN" w:bidi="ar"/>
              </w:rPr>
              <w:t>潘集区煤系固废利用产业集群治理项目建设单位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F6FF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w:t>
            </w:r>
            <w:r>
              <w:rPr>
                <w:rStyle w:val="25"/>
                <w:rFonts w:hint="default" w:ascii="Times New Roman" w:hAnsi="Times New Roman" w:eastAsia="仿宋_GB2312" w:cs="Times New Roman"/>
                <w:color w:val="auto"/>
                <w:sz w:val="24"/>
                <w:szCs w:val="24"/>
                <w:lang w:val="en-US" w:eastAsia="zh-CN" w:bidi="ar"/>
              </w:rPr>
              <w:t>2026</w:t>
            </w:r>
            <w:r>
              <w:rPr>
                <w:rFonts w:hint="default" w:ascii="Times New Roman" w:hAnsi="Times New Roman" w:eastAsia="仿宋_GB2312" w:cs="Times New Roman"/>
                <w:i w:val="0"/>
                <w:iCs w:val="0"/>
                <w:color w:val="auto"/>
                <w:kern w:val="0"/>
                <w:sz w:val="24"/>
                <w:szCs w:val="24"/>
                <w:u w:val="none"/>
                <w:lang w:val="en-US" w:eastAsia="zh-CN" w:bidi="ar"/>
              </w:rPr>
              <w:t>年建设任务</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14B75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潘集区政府</w:t>
            </w:r>
          </w:p>
        </w:tc>
      </w:tr>
      <w:tr w14:paraId="7500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34E70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48C827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6FFEB8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淮南钱成新型建材有限公司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EFF2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7D54A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大通区政府</w:t>
            </w:r>
          </w:p>
        </w:tc>
      </w:tr>
      <w:tr w14:paraId="3E6A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38A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6CEC649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7F7D7E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3"/>
                <w:rFonts w:hint="default" w:ascii="Times New Roman" w:hAnsi="Times New Roman" w:eastAsia="仿宋_GB2312" w:cs="Times New Roman"/>
                <w:sz w:val="24"/>
                <w:szCs w:val="24"/>
                <w:lang w:val="en-US" w:eastAsia="zh-CN" w:bidi="ar"/>
              </w:rPr>
              <w:t>淮南市日业新型墙体材料有限公司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117E6B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F9A2E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毛集实验区管委会</w:t>
            </w:r>
          </w:p>
        </w:tc>
      </w:tr>
      <w:tr w14:paraId="3CDD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9386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034EE0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50F5DD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3"/>
                <w:rFonts w:hint="default" w:ascii="Times New Roman" w:hAnsi="Times New Roman" w:eastAsia="仿宋_GB2312" w:cs="Times New Roman"/>
                <w:sz w:val="24"/>
                <w:szCs w:val="24"/>
                <w:lang w:val="en-US" w:eastAsia="zh-CN" w:bidi="ar"/>
              </w:rPr>
              <w:t>淮南市益民新型建材有限公司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B4066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07D89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毛集实验区管委会</w:t>
            </w:r>
          </w:p>
        </w:tc>
      </w:tr>
      <w:tr w14:paraId="1F31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E194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454F776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77D6C4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Style w:val="23"/>
                <w:rFonts w:hint="default" w:ascii="Times New Roman" w:hAnsi="Times New Roman" w:eastAsia="仿宋_GB2312" w:cs="Times New Roman"/>
                <w:sz w:val="24"/>
                <w:szCs w:val="24"/>
                <w:lang w:val="en-US" w:eastAsia="zh-CN" w:bidi="ar"/>
              </w:rPr>
              <w:t>淮南市天瑞新型建材有限公司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E0DB3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51A81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毛集实验区管委会</w:t>
            </w:r>
          </w:p>
        </w:tc>
      </w:tr>
      <w:tr w14:paraId="2A54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A57B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5220B7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063E7E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安徽奋飞新型建材有限公司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ADB8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EC087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5A73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DFB9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302D997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37D2AB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寿县安固建材有限公司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F3629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4D812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7066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auto" w:sz="4" w:space="0"/>
              <w:right w:val="single" w:color="000000" w:sz="4" w:space="0"/>
            </w:tcBorders>
            <w:noWrap w:val="0"/>
            <w:vAlign w:val="center"/>
          </w:tcPr>
          <w:p w14:paraId="100E6F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2181" w:type="dxa"/>
            <w:tcBorders>
              <w:top w:val="single" w:color="000000" w:sz="4" w:space="0"/>
              <w:left w:val="single" w:color="000000" w:sz="4" w:space="0"/>
              <w:bottom w:val="single" w:color="auto" w:sz="4" w:space="0"/>
              <w:right w:val="single" w:color="000000" w:sz="4" w:space="0"/>
            </w:tcBorders>
            <w:noWrap w:val="0"/>
            <w:vAlign w:val="center"/>
          </w:tcPr>
          <w:p w14:paraId="75DE7B1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工业源-煤系固废资源化利用企业环保深度治理项目</w:t>
            </w:r>
          </w:p>
        </w:tc>
        <w:tc>
          <w:tcPr>
            <w:tcW w:w="2220" w:type="dxa"/>
            <w:tcBorders>
              <w:top w:val="single" w:color="000000" w:sz="4" w:space="0"/>
              <w:left w:val="single" w:color="000000" w:sz="4" w:space="0"/>
              <w:bottom w:val="single" w:color="auto" w:sz="4" w:space="0"/>
              <w:right w:val="single" w:color="auto" w:sz="4" w:space="0"/>
            </w:tcBorders>
            <w:noWrap w:val="0"/>
            <w:vAlign w:val="center"/>
          </w:tcPr>
          <w:p w14:paraId="4FCA60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寿县利源新型建材有限公司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AD231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41035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50F0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6EF1A3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D2E18E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工业源-燃煤发电全流程、全负荷超低排放治理项目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D46A0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淮沪电力有限公司田集</w:t>
            </w:r>
            <w:r>
              <w:rPr>
                <w:rFonts w:hint="eastAsia" w:ascii="Times New Roman" w:hAnsi="Times New Roman" w:eastAsia="仿宋_GB2312" w:cs="Times New Roman"/>
                <w:i w:val="0"/>
                <w:iCs w:val="0"/>
                <w:color w:val="000000"/>
                <w:kern w:val="0"/>
                <w:sz w:val="24"/>
                <w:szCs w:val="24"/>
                <w:u w:val="none"/>
                <w:lang w:val="en-US" w:eastAsia="zh-CN" w:bidi="ar"/>
              </w:rPr>
              <w:t>二</w:t>
            </w:r>
            <w:r>
              <w:rPr>
                <w:rFonts w:hint="default" w:ascii="Times New Roman" w:hAnsi="Times New Roman" w:eastAsia="仿宋_GB2312" w:cs="Times New Roman"/>
                <w:i w:val="0"/>
                <w:iCs w:val="0"/>
                <w:color w:val="000000"/>
                <w:kern w:val="0"/>
                <w:sz w:val="24"/>
                <w:szCs w:val="24"/>
                <w:u w:val="none"/>
                <w:lang w:val="en-US" w:eastAsia="zh-CN" w:bidi="ar"/>
              </w:rPr>
              <w:t>发电厂</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B959D1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至少完成1台燃煤机组全流程超低排放改造绩效验收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BEBF2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潘集区政府</w:t>
            </w:r>
          </w:p>
        </w:tc>
      </w:tr>
      <w:tr w14:paraId="44DA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AF589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F4D599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工业源-燃煤发电全流程、全负荷超低排放治理项目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9A4E2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安徽淮南洛能发电有限责任公司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18EA927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至少完成1台燃煤机组全流程超低排放改造绩效验收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45DB7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大通区</w:t>
            </w:r>
            <w:r>
              <w:rPr>
                <w:rFonts w:hint="default" w:ascii="Times New Roman" w:hAnsi="Times New Roman" w:eastAsia="仿宋_GB2312" w:cs="Times New Roman"/>
                <w:i w:val="0"/>
                <w:iCs w:val="0"/>
                <w:color w:val="000000"/>
                <w:kern w:val="0"/>
                <w:sz w:val="24"/>
                <w:szCs w:val="24"/>
                <w:u w:val="none"/>
                <w:lang w:val="en-US" w:eastAsia="zh-CN" w:bidi="ar"/>
              </w:rPr>
              <w:t>政府</w:t>
            </w:r>
          </w:p>
        </w:tc>
      </w:tr>
      <w:tr w14:paraId="0EEF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89" w:type="dxa"/>
            <w:tcBorders>
              <w:top w:val="single" w:color="auto" w:sz="4" w:space="0"/>
              <w:left w:val="single" w:color="000000" w:sz="4" w:space="0"/>
              <w:bottom w:val="single" w:color="000000" w:sz="4" w:space="0"/>
              <w:right w:val="single" w:color="000000" w:sz="4" w:space="0"/>
            </w:tcBorders>
            <w:noWrap w:val="0"/>
            <w:vAlign w:val="center"/>
          </w:tcPr>
          <w:p w14:paraId="526D44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2181" w:type="dxa"/>
            <w:tcBorders>
              <w:top w:val="single" w:color="auto" w:sz="4" w:space="0"/>
              <w:left w:val="single" w:color="000000" w:sz="4" w:space="0"/>
              <w:bottom w:val="single" w:color="000000" w:sz="4" w:space="0"/>
              <w:right w:val="single" w:color="000000" w:sz="4" w:space="0"/>
            </w:tcBorders>
            <w:noWrap w:val="0"/>
            <w:vAlign w:val="center"/>
          </w:tcPr>
          <w:p w14:paraId="4B243445">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工业源-燃煤发电全流程、全负荷超低排放治理项目</w:t>
            </w:r>
          </w:p>
        </w:tc>
        <w:tc>
          <w:tcPr>
            <w:tcW w:w="2220" w:type="dxa"/>
            <w:tcBorders>
              <w:top w:val="single" w:color="auto" w:sz="4" w:space="0"/>
              <w:left w:val="single" w:color="000000" w:sz="4" w:space="0"/>
              <w:bottom w:val="single" w:color="000000" w:sz="4" w:space="0"/>
              <w:right w:val="single" w:color="auto" w:sz="4" w:space="0"/>
            </w:tcBorders>
            <w:noWrap w:val="0"/>
            <w:vAlign w:val="center"/>
          </w:tcPr>
          <w:p w14:paraId="16BF13B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淮浙电力有限责任公司凤台发电分公司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4A7775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至少完成1台燃煤机组全流程超低排放改造绩效验收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3C089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凤台县政府</w:t>
            </w:r>
          </w:p>
        </w:tc>
      </w:tr>
      <w:tr w14:paraId="4886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40A2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D8ED3F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工业源-生活垃圾焚烧发电锅炉深度治理工程项目</w:t>
            </w:r>
          </w:p>
        </w:tc>
        <w:tc>
          <w:tcPr>
            <w:tcW w:w="2220" w:type="dxa"/>
            <w:tcBorders>
              <w:top w:val="single" w:color="000000" w:sz="4" w:space="0"/>
              <w:left w:val="single" w:color="000000" w:sz="4" w:space="0"/>
              <w:bottom w:val="single" w:color="000000" w:sz="4" w:space="0"/>
              <w:right w:val="single" w:color="auto" w:sz="4" w:space="0"/>
            </w:tcBorders>
            <w:noWrap w:val="0"/>
            <w:vAlign w:val="center"/>
          </w:tcPr>
          <w:p w14:paraId="675C86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淮南皖能环保电力有限公司</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ACD66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D3FEC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凤台县政府</w:t>
            </w:r>
          </w:p>
        </w:tc>
      </w:tr>
      <w:tr w14:paraId="3A50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2C20E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71A5AC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工业源-生物质发电行业深度治理工程项目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3FD35C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国能寿县生物发电有限公司</w:t>
            </w:r>
          </w:p>
        </w:tc>
        <w:tc>
          <w:tcPr>
            <w:tcW w:w="2194" w:type="dxa"/>
            <w:tcBorders>
              <w:top w:val="single" w:color="auto" w:sz="4" w:space="0"/>
              <w:left w:val="single" w:color="000000" w:sz="4" w:space="0"/>
              <w:bottom w:val="single" w:color="000000" w:sz="4" w:space="0"/>
              <w:right w:val="single" w:color="000000" w:sz="4" w:space="0"/>
            </w:tcBorders>
            <w:noWrap w:val="0"/>
            <w:vAlign w:val="center"/>
          </w:tcPr>
          <w:p w14:paraId="087B97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auto" w:sz="4" w:space="0"/>
              <w:left w:val="single" w:color="000000" w:sz="4" w:space="0"/>
              <w:bottom w:val="single" w:color="000000" w:sz="4" w:space="0"/>
              <w:right w:val="single" w:color="000000" w:sz="4" w:space="0"/>
            </w:tcBorders>
            <w:noWrap w:val="0"/>
            <w:vAlign w:val="center"/>
          </w:tcPr>
          <w:p w14:paraId="5B0A2A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寿县政府</w:t>
            </w:r>
          </w:p>
        </w:tc>
      </w:tr>
      <w:tr w14:paraId="57D9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9DC89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4D8F8BE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面源-淮南市燃煤（油、生物质、气）设施综合治理项目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1401E0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项目实施单位</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79088D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完成散煤设施治理任务</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B3902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市农业农村局</w:t>
            </w:r>
          </w:p>
          <w:p w14:paraId="6F646E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市生态环境局</w:t>
            </w:r>
          </w:p>
          <w:p w14:paraId="52292B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auto"/>
              </w:rPr>
            </w:pPr>
            <w:r>
              <w:rPr>
                <w:rFonts w:hint="default" w:ascii="Times New Roman" w:hAnsi="Times New Roman" w:eastAsia="仿宋_GB2312" w:cs="Times New Roman"/>
                <w:i w:val="0"/>
                <w:iCs w:val="0"/>
                <w:color w:val="auto"/>
                <w:kern w:val="0"/>
                <w:sz w:val="24"/>
                <w:szCs w:val="24"/>
                <w:u w:val="none"/>
                <w:lang w:val="en-US" w:eastAsia="zh-CN" w:bidi="ar"/>
              </w:rPr>
              <w:t>市发改委</w:t>
            </w:r>
          </w:p>
        </w:tc>
      </w:tr>
      <w:tr w14:paraId="59EC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84899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68B41A2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面源-畜禽养殖恶臭治理示范项目</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C2D2D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安徽众普农业科技有限公司</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12110E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Style w:val="26"/>
                <w:rFonts w:hint="default" w:ascii="Times New Roman" w:hAnsi="Times New Roman" w:eastAsia="仿宋_GB2312" w:cs="Times New Roman"/>
                <w:color w:val="auto"/>
                <w:sz w:val="24"/>
                <w:szCs w:val="24"/>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60FD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市农业农村局、</w:t>
            </w:r>
            <w:r>
              <w:rPr>
                <w:rFonts w:hint="default" w:ascii="Times New Roman" w:hAnsi="Times New Roman" w:eastAsia="仿宋_GB2312" w:cs="Times New Roman"/>
                <w:i w:val="0"/>
                <w:iCs w:val="0"/>
                <w:color w:val="auto"/>
                <w:kern w:val="0"/>
                <w:sz w:val="24"/>
                <w:szCs w:val="24"/>
                <w:u w:val="none"/>
                <w:lang w:val="en-US" w:eastAsia="zh-CN" w:bidi="ar"/>
              </w:rPr>
              <w:t>潘集区政府</w:t>
            </w:r>
          </w:p>
        </w:tc>
      </w:tr>
      <w:tr w14:paraId="373E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125A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00570B56">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面源-国有养殖企业恶臭治理示范工程</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C245B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sz w:val="24"/>
                <w:szCs w:val="24"/>
                <w:u w:val="none"/>
                <w:lang w:eastAsia="zh-CN"/>
              </w:rPr>
            </w:pPr>
            <w:r>
              <w:rPr>
                <w:rFonts w:hint="eastAsia" w:ascii="Times New Roman" w:hAnsi="Times New Roman" w:eastAsia="仿宋_GB2312" w:cs="Times New Roman"/>
                <w:i w:val="0"/>
                <w:iCs w:val="0"/>
                <w:color w:val="000000"/>
                <w:sz w:val="24"/>
                <w:szCs w:val="24"/>
                <w:u w:val="none"/>
                <w:lang w:eastAsia="zh-CN"/>
              </w:rPr>
              <w:t>淮南牛肉汤高品质肉牛供应基地建设单位</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30FC35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完成绩效验收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1D43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潘集区政府</w:t>
            </w:r>
          </w:p>
        </w:tc>
      </w:tr>
      <w:tr w14:paraId="4E9C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6786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266E5A8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面源-潘集区餐饮油烟集中治理示范工程</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5CF25F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潘集区餐饮油烟集中治理示范工程项目建设单位</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5F224E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lang w:val="en-US"/>
              </w:rPr>
            </w:pPr>
            <w:r>
              <w:rPr>
                <w:rStyle w:val="26"/>
                <w:rFonts w:hint="default" w:ascii="Times New Roman" w:hAnsi="Times New Roman" w:eastAsia="仿宋_GB2312" w:cs="Times New Roman"/>
                <w:color w:val="auto"/>
                <w:sz w:val="24"/>
                <w:szCs w:val="24"/>
                <w:lang w:val="en-US" w:eastAsia="zh-CN" w:bidi="ar"/>
              </w:rPr>
              <w:t>完成2026年建设任务</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6895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潘集区政府</w:t>
            </w:r>
          </w:p>
        </w:tc>
      </w:tr>
      <w:tr w14:paraId="3D64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BECF3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6321A79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面源-田家庵区餐饮油烟集中治理示范工程</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C97EA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田家庵区餐饮油烟集中治理示范工程项目建设单位</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2D42F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Style w:val="26"/>
                <w:rFonts w:hint="default" w:ascii="Times New Roman" w:hAnsi="Times New Roman" w:eastAsia="仿宋_GB2312" w:cs="Times New Roman"/>
                <w:color w:val="auto"/>
                <w:sz w:val="24"/>
                <w:szCs w:val="24"/>
                <w:lang w:val="en-US" w:eastAsia="zh-CN" w:bidi="ar"/>
              </w:rPr>
              <w:t>完成2026年建设任务</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108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田家庵区政府</w:t>
            </w:r>
          </w:p>
        </w:tc>
      </w:tr>
    </w:tbl>
    <w:p w14:paraId="09015E5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注：</w:t>
      </w:r>
      <w:r>
        <w:rPr>
          <w:rFonts w:hint="default" w:ascii="Times New Roman" w:hAnsi="Times New Roman" w:eastAsia="仿宋_GB2312" w:cs="Times New Roman"/>
          <w:i w:val="0"/>
          <w:iCs w:val="0"/>
          <w:color w:val="000000"/>
          <w:kern w:val="0"/>
          <w:sz w:val="24"/>
          <w:szCs w:val="24"/>
          <w:u w:val="none"/>
          <w:lang w:val="en-US" w:eastAsia="zh-CN" w:bidi="ar"/>
        </w:rPr>
        <w:t>能否获得中央资金支持及具体</w:t>
      </w:r>
      <w:r>
        <w:rPr>
          <w:rFonts w:hint="eastAsia" w:ascii="Times New Roman" w:hAnsi="Times New Roman" w:eastAsia="仿宋_GB2312" w:cs="Times New Roman"/>
          <w:i w:val="0"/>
          <w:iCs w:val="0"/>
          <w:color w:val="000000"/>
          <w:kern w:val="0"/>
          <w:sz w:val="24"/>
          <w:szCs w:val="24"/>
          <w:u w:val="none"/>
          <w:lang w:val="en-US" w:eastAsia="zh-CN" w:bidi="ar"/>
        </w:rPr>
        <w:t>支持</w:t>
      </w:r>
      <w:r>
        <w:rPr>
          <w:rFonts w:hint="default" w:ascii="Times New Roman" w:hAnsi="Times New Roman" w:eastAsia="仿宋_GB2312" w:cs="Times New Roman"/>
          <w:i w:val="0"/>
          <w:iCs w:val="0"/>
          <w:color w:val="000000"/>
          <w:kern w:val="0"/>
          <w:sz w:val="24"/>
          <w:szCs w:val="24"/>
          <w:u w:val="none"/>
          <w:lang w:val="en-US" w:eastAsia="zh-CN" w:bidi="ar"/>
        </w:rPr>
        <w:t>金额</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最终以市级批复</w:t>
      </w:r>
      <w:r>
        <w:rPr>
          <w:rFonts w:hint="eastAsia" w:ascii="Times New Roman" w:hAnsi="Times New Roman" w:eastAsia="仿宋_GB2312" w:cs="Times New Roman"/>
          <w:i w:val="0"/>
          <w:iCs w:val="0"/>
          <w:color w:val="000000"/>
          <w:kern w:val="0"/>
          <w:sz w:val="24"/>
          <w:szCs w:val="24"/>
          <w:u w:val="none"/>
          <w:lang w:val="en-US" w:eastAsia="zh-CN" w:bidi="ar"/>
        </w:rPr>
        <w:t>文件</w:t>
      </w:r>
      <w:r>
        <w:rPr>
          <w:rFonts w:hint="default" w:ascii="Times New Roman" w:hAnsi="Times New Roman" w:eastAsia="仿宋_GB2312" w:cs="Times New Roman"/>
          <w:i w:val="0"/>
          <w:iCs w:val="0"/>
          <w:color w:val="000000"/>
          <w:kern w:val="0"/>
          <w:sz w:val="24"/>
          <w:szCs w:val="24"/>
          <w:u w:val="none"/>
          <w:lang w:val="en-US" w:eastAsia="zh-CN" w:bidi="ar"/>
        </w:rPr>
        <w:t>为准。</w:t>
      </w:r>
    </w:p>
    <w:p w14:paraId="200DAD09">
      <w:pPr>
        <w:pStyle w:val="15"/>
        <w:keepNext w:val="0"/>
        <w:keepLines w:val="0"/>
        <w:pageBreakBefore w:val="0"/>
        <w:widowControl w:val="0"/>
        <w:wordWrap/>
        <w:overflowPunct/>
        <w:topLinePunct w:val="0"/>
        <w:bidi w:val="0"/>
        <w:ind w:firstLine="0" w:firstLineChars="0"/>
        <w:outlineLvl w:val="0"/>
        <w:rPr>
          <w:rFonts w:ascii="黑体" w:hAnsi="黑体" w:eastAsia="黑体"/>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1DC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CC938">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CC938">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suff w:val="nothing"/>
      <w:lvlText w:val="%1、"/>
      <w:lvlJc w:val="left"/>
      <w:pPr>
        <w:ind w:left="0" w:firstLine="400"/>
      </w:pPr>
      <w:rPr>
        <w:rFonts w:hint="eastAsia" w:eastAsia="黑体"/>
        <w:color w:val="auto"/>
      </w:rPr>
    </w:lvl>
    <w:lvl w:ilvl="1" w:tentative="0">
      <w:start w:val="1"/>
      <w:numFmt w:val="chineseCountingThousand"/>
      <w:pStyle w:val="16"/>
      <w:suff w:val="nothing"/>
      <w:lvlText w:val="（%2）"/>
      <w:lvlJc w:val="left"/>
      <w:pPr>
        <w:ind w:left="572" w:firstLine="420"/>
      </w:pPr>
      <w:rPr>
        <w:rFonts w:hint="eastAsia" w:ascii="Times New Roman" w:hAnsi="Times New Roman" w:cs="Times New Roman"/>
        <w:i w:val="0"/>
        <w:iCs w:val="0"/>
        <w:caps w:val="0"/>
        <w:smallCaps w:val="0"/>
        <w:strike w:val="0"/>
        <w:dstrike w:val="0"/>
        <w:vanish w:val="0"/>
        <w:color w:val="000000"/>
        <w:spacing w:val="0"/>
        <w:position w:val="0"/>
        <w:u w:val="none"/>
        <w:vertAlign w:val="baseline"/>
        <w:lang w:val="en-US"/>
      </w:rPr>
    </w:lvl>
    <w:lvl w:ilvl="2" w:tentative="0">
      <w:start w:val="1"/>
      <w:numFmt w:val="decimal"/>
      <w:suff w:val="nothing"/>
      <w:lvlText w:val="%3."/>
      <w:lvlJc w:val="left"/>
      <w:pPr>
        <w:ind w:left="284" w:firstLine="136"/>
      </w:pPr>
      <w:rPr>
        <w:rFonts w:hint="eastAsia"/>
      </w:rPr>
    </w:lvl>
    <w:lvl w:ilvl="3" w:tentative="0">
      <w:start w:val="1"/>
      <w:numFmt w:val="decimal"/>
      <w:suff w:val="nothing"/>
      <w:lvlText w:val="（%4）"/>
      <w:lvlJc w:val="left"/>
      <w:pPr>
        <w:ind w:left="3692" w:firstLine="420"/>
      </w:pPr>
      <w:rPr>
        <w:rFonts w:hint="eastAsia"/>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060FF20"/>
    <w:multiLevelType w:val="singleLevel"/>
    <w:tmpl w:val="1060FF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ZjU1NjM3MTBiY2RhZjRkOGE0ZWY3ZTIyYmVmYTIifQ=="/>
  </w:docVars>
  <w:rsids>
    <w:rsidRoot w:val="120321FE"/>
    <w:rsid w:val="00140A70"/>
    <w:rsid w:val="00174EE7"/>
    <w:rsid w:val="00410FB3"/>
    <w:rsid w:val="007507BF"/>
    <w:rsid w:val="00883190"/>
    <w:rsid w:val="00EB5E4B"/>
    <w:rsid w:val="073553A0"/>
    <w:rsid w:val="0A0106F5"/>
    <w:rsid w:val="0B643645"/>
    <w:rsid w:val="0C42655D"/>
    <w:rsid w:val="0DB50AE8"/>
    <w:rsid w:val="120321FE"/>
    <w:rsid w:val="12EEE21D"/>
    <w:rsid w:val="15DC3E9D"/>
    <w:rsid w:val="1C2C7853"/>
    <w:rsid w:val="263976BB"/>
    <w:rsid w:val="28293835"/>
    <w:rsid w:val="285DF0EF"/>
    <w:rsid w:val="29772E93"/>
    <w:rsid w:val="2FCF8336"/>
    <w:rsid w:val="3A4EEE00"/>
    <w:rsid w:val="3CFD7077"/>
    <w:rsid w:val="3E672C17"/>
    <w:rsid w:val="3EEF310B"/>
    <w:rsid w:val="3F9E39B7"/>
    <w:rsid w:val="3FF5E25A"/>
    <w:rsid w:val="4F776925"/>
    <w:rsid w:val="5AEB8DB7"/>
    <w:rsid w:val="5AFF56C6"/>
    <w:rsid w:val="5BFFDEE5"/>
    <w:rsid w:val="5F331EF9"/>
    <w:rsid w:val="668179D1"/>
    <w:rsid w:val="6DFD8DF0"/>
    <w:rsid w:val="6EF10029"/>
    <w:rsid w:val="6F3DB27A"/>
    <w:rsid w:val="722F7D6A"/>
    <w:rsid w:val="77E9043E"/>
    <w:rsid w:val="77FEB9F5"/>
    <w:rsid w:val="787F2001"/>
    <w:rsid w:val="7BDD3152"/>
    <w:rsid w:val="7EB7E77F"/>
    <w:rsid w:val="7EBDEB7E"/>
    <w:rsid w:val="7EEA06B6"/>
    <w:rsid w:val="7FFFED0C"/>
    <w:rsid w:val="9BF71D34"/>
    <w:rsid w:val="9DAD0CE2"/>
    <w:rsid w:val="B3FF7753"/>
    <w:rsid w:val="B7A7E879"/>
    <w:rsid w:val="BFBF5948"/>
    <w:rsid w:val="BFDFC6E6"/>
    <w:rsid w:val="C79FB016"/>
    <w:rsid w:val="CC6A3415"/>
    <w:rsid w:val="CE669733"/>
    <w:rsid w:val="D37F5F9A"/>
    <w:rsid w:val="D5B38894"/>
    <w:rsid w:val="EDBC9C40"/>
    <w:rsid w:val="F27F62A5"/>
    <w:rsid w:val="F5BB2223"/>
    <w:rsid w:val="F5FA0D9D"/>
    <w:rsid w:val="F6B3D147"/>
    <w:rsid w:val="F6FDC936"/>
    <w:rsid w:val="F737A06B"/>
    <w:rsid w:val="FAF5C174"/>
    <w:rsid w:val="FBBD2085"/>
    <w:rsid w:val="FC3C840F"/>
    <w:rsid w:val="FCF75BCF"/>
    <w:rsid w:val="FCF9581F"/>
    <w:rsid w:val="FD734106"/>
    <w:rsid w:val="FD9CA355"/>
    <w:rsid w:val="FDED9925"/>
    <w:rsid w:val="FEED1BF6"/>
    <w:rsid w:val="FF2B1B54"/>
    <w:rsid w:val="FF776B78"/>
    <w:rsid w:val="FFBF4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标题1"/>
    <w:qFormat/>
    <w:uiPriority w:val="0"/>
    <w:pPr>
      <w:widowControl w:val="0"/>
      <w:suppressAutoHyphens/>
      <w:spacing w:beforeLines="50" w:afterLines="50" w:line="640" w:lineRule="exact"/>
      <w:jc w:val="both"/>
      <w:outlineLvl w:val="0"/>
    </w:pPr>
    <w:rPr>
      <w:rFonts w:ascii="Times New Roman" w:hAnsi="Times New Roman" w:eastAsia="方正小标宋简体" w:cs="Times New Roman"/>
      <w:kern w:val="2"/>
      <w:sz w:val="44"/>
      <w:szCs w:val="44"/>
      <w:lang w:val="en-US" w:eastAsia="zh-CN" w:bidi="ar-SA"/>
    </w:rPr>
  </w:style>
  <w:style w:type="paragraph" w:styleId="6">
    <w:name w:val="annotation text"/>
    <w:basedOn w:val="1"/>
    <w:qFormat/>
    <w:uiPriority w:val="0"/>
    <w:pPr>
      <w:jc w:val="left"/>
    </w:p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uiPriority w:val="0"/>
    <w:rPr>
      <w:color w:val="0000FF"/>
      <w:u w:val="single"/>
    </w:rPr>
  </w:style>
  <w:style w:type="paragraph" w:customStyle="1" w:styleId="15">
    <w:name w:val="M-正文"/>
    <w:qFormat/>
    <w:uiPriority w:val="0"/>
    <w:pPr>
      <w:spacing w:line="560" w:lineRule="exact"/>
      <w:ind w:firstLine="640" w:firstLineChars="200"/>
      <w:jc w:val="both"/>
    </w:pPr>
    <w:rPr>
      <w:rFonts w:ascii="Times New Roman" w:hAnsi="Times New Roman" w:eastAsia="仿宋_GB2312" w:cs="Times New Roman"/>
      <w:kern w:val="2"/>
      <w:sz w:val="32"/>
      <w:szCs w:val="21"/>
      <w:lang w:val="en-US" w:eastAsia="zh-CN" w:bidi="ar-SA"/>
    </w:rPr>
  </w:style>
  <w:style w:type="paragraph" w:customStyle="1" w:styleId="16">
    <w:name w:val="M-标题2"/>
    <w:next w:val="1"/>
    <w:qFormat/>
    <w:uiPriority w:val="0"/>
    <w:pPr>
      <w:numPr>
        <w:ilvl w:val="1"/>
        <w:numId w:val="1"/>
      </w:numPr>
      <w:spacing w:line="560" w:lineRule="exact"/>
      <w:ind w:left="0" w:firstLine="200" w:firstLineChars="200"/>
      <w:outlineLvl w:val="1"/>
    </w:pPr>
    <w:rPr>
      <w:rFonts w:ascii="Times New Roman" w:hAnsi="Times New Roman" w:eastAsia="楷体_GB2312" w:cs="Times New Roman"/>
      <w:kern w:val="2"/>
      <w:sz w:val="32"/>
      <w:szCs w:val="21"/>
      <w:lang w:val="en-US" w:eastAsia="zh-CN" w:bidi="ar-SA"/>
    </w:rPr>
  </w:style>
  <w:style w:type="character" w:customStyle="1" w:styleId="17">
    <w:name w:val="font21"/>
    <w:basedOn w:val="12"/>
    <w:qFormat/>
    <w:uiPriority w:val="0"/>
    <w:rPr>
      <w:rFonts w:hint="eastAsia" w:ascii="宋体" w:hAnsi="宋体" w:eastAsia="宋体" w:cs="宋体"/>
      <w:color w:val="000000"/>
      <w:sz w:val="22"/>
      <w:szCs w:val="22"/>
      <w:u w:val="none"/>
    </w:rPr>
  </w:style>
  <w:style w:type="paragraph" w:customStyle="1" w:styleId="18">
    <w:name w:val="Table Text"/>
    <w:basedOn w:val="1"/>
    <w:semiHidden/>
    <w:qFormat/>
    <w:uiPriority w:val="0"/>
    <w:rPr>
      <w:rFonts w:ascii="宋体" w:hAnsi="宋体" w:eastAsia="宋体" w:cs="宋体"/>
      <w:sz w:val="24"/>
      <w:szCs w:val="24"/>
      <w:lang w:eastAsia="en-US"/>
    </w:rPr>
  </w:style>
  <w:style w:type="character" w:customStyle="1" w:styleId="19">
    <w:name w:val="页眉 Char"/>
    <w:basedOn w:val="12"/>
    <w:link w:val="8"/>
    <w:qFormat/>
    <w:uiPriority w:val="0"/>
    <w:rPr>
      <w:rFonts w:asciiTheme="minorHAnsi" w:hAnsiTheme="minorHAnsi" w:eastAsiaTheme="minorEastAsia" w:cstheme="minorBidi"/>
      <w:kern w:val="2"/>
      <w:sz w:val="18"/>
      <w:szCs w:val="18"/>
    </w:rPr>
  </w:style>
  <w:style w:type="character" w:customStyle="1" w:styleId="20">
    <w:name w:val="页脚 Char"/>
    <w:basedOn w:val="12"/>
    <w:link w:val="7"/>
    <w:qFormat/>
    <w:uiPriority w:val="0"/>
    <w:rPr>
      <w:rFonts w:asciiTheme="minorHAnsi" w:hAnsiTheme="minorHAnsi" w:eastAsiaTheme="minorEastAsia" w:cstheme="minorBidi"/>
      <w:kern w:val="2"/>
      <w:sz w:val="18"/>
      <w:szCs w:val="18"/>
    </w:rPr>
  </w:style>
  <w:style w:type="paragraph" w:customStyle="1" w:styleId="21">
    <w:name w:val="淮南正文"/>
    <w:basedOn w:val="1"/>
    <w:qFormat/>
    <w:uiPriority w:val="0"/>
    <w:pPr>
      <w:adjustRightInd/>
      <w:textAlignment w:val="auto"/>
    </w:pPr>
    <w:rPr>
      <w:rFonts w:ascii="Times New Roman" w:hAnsi="Times New Roman"/>
      <w:kern w:val="0"/>
    </w:rPr>
  </w:style>
  <w:style w:type="character" w:customStyle="1" w:styleId="22">
    <w:name w:val="font61"/>
    <w:basedOn w:val="12"/>
    <w:qFormat/>
    <w:uiPriority w:val="0"/>
    <w:rPr>
      <w:rFonts w:ascii="黑体" w:hAnsi="宋体" w:eastAsia="黑体" w:cs="黑体"/>
      <w:color w:val="000000"/>
      <w:sz w:val="24"/>
      <w:szCs w:val="24"/>
      <w:u w:val="none"/>
    </w:rPr>
  </w:style>
  <w:style w:type="character" w:customStyle="1" w:styleId="23">
    <w:name w:val="font81"/>
    <w:basedOn w:val="12"/>
    <w:qFormat/>
    <w:uiPriority w:val="0"/>
    <w:rPr>
      <w:rFonts w:hint="eastAsia" w:ascii="宋体" w:hAnsi="宋体" w:eastAsia="宋体" w:cs="宋体"/>
      <w:color w:val="000000"/>
      <w:sz w:val="24"/>
      <w:szCs w:val="24"/>
      <w:u w:val="none"/>
    </w:rPr>
  </w:style>
  <w:style w:type="character" w:customStyle="1" w:styleId="24">
    <w:name w:val="font101"/>
    <w:basedOn w:val="12"/>
    <w:qFormat/>
    <w:uiPriority w:val="0"/>
    <w:rPr>
      <w:rFonts w:hint="eastAsia" w:ascii="宋体" w:hAnsi="宋体" w:eastAsia="宋体" w:cs="宋体"/>
      <w:color w:val="000000"/>
      <w:sz w:val="24"/>
      <w:szCs w:val="24"/>
      <w:u w:val="none"/>
    </w:rPr>
  </w:style>
  <w:style w:type="character" w:customStyle="1" w:styleId="25">
    <w:name w:val="font12"/>
    <w:basedOn w:val="12"/>
    <w:qFormat/>
    <w:uiPriority w:val="0"/>
    <w:rPr>
      <w:rFonts w:hint="default" w:ascii="Times New Roman" w:hAnsi="Times New Roman" w:cs="Times New Roman"/>
      <w:color w:val="000000"/>
      <w:sz w:val="22"/>
      <w:szCs w:val="22"/>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红头"/>
    <w:basedOn w:val="1"/>
    <w:qFormat/>
    <w:uiPriority w:val="0"/>
    <w:pPr>
      <w:jc w:val="center"/>
    </w:pPr>
    <w:rPr>
      <w:rFonts w:ascii="Times New Roman" w:hAnsi="Times New Roman" w:eastAsia="华文中宋" w:cs="Times New Roman"/>
      <w:color w:val="FF0000"/>
      <w:spacing w:val="-6"/>
      <w:w w:val="30"/>
      <w:sz w:val="144"/>
      <w:szCs w:val="1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5585</Words>
  <Characters>5873</Characters>
  <Lines>55</Lines>
  <Paragraphs>15</Paragraphs>
  <TotalTime>26</TotalTime>
  <ScaleCrop>false</ScaleCrop>
  <LinksUpToDate>false</LinksUpToDate>
  <CharactersWithSpaces>5875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2026-06-17T01:57:00Z</dcterms:created>
  <dc:creator>羽飞然</dc:creator>
  <cp:lastModifiedBy>李小乖</cp:lastModifiedBy>
  <dcterms:modified xsi:type="dcterms:W3CDTF">2026-06-24T17:18:57Z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17DD9D90F36E4ED6AA0D16AED848A8C2_13</vt:lpwstr>
  </property>
  <property fmtid="{D5CDD505-2E9C-101B-9397-08002B2CF9AE}" pid="4" name="KSOTemplateDocerSaveRecord">
    <vt:lpwstr>eyJoZGlkIjoiMDk2ZDBmMmUyNDQ2ODA5OTk5YjhiOGI4NTBmNWQ2MGQiLCJ1c2VySWQiOiIyODAzMzQzNjkifQ==</vt:lpwstr>
  </property>
</Properties>
</file>