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C70F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6"/>
          <w:szCs w:val="36"/>
          <w:lang w:eastAsia="zh-CN"/>
        </w:rPr>
      </w:pPr>
      <w:bookmarkStart w:id="0" w:name="_Toc81646394"/>
      <w:bookmarkStart w:id="1" w:name="_Toc67493946"/>
      <w:bookmarkStart w:id="2" w:name="_Toc71811559"/>
    </w:p>
    <w:p w14:paraId="2E0460E9">
      <w:pPr>
        <w:bidi w:val="0"/>
        <w:jc w:val="center"/>
        <w:rPr>
          <w:rFonts w:hint="eastAsia"/>
          <w:b/>
          <w:bCs/>
          <w:sz w:val="32"/>
          <w:szCs w:val="32"/>
        </w:rPr>
      </w:pPr>
    </w:p>
    <w:p w14:paraId="0CC0210C">
      <w:pPr>
        <w:bidi w:val="0"/>
        <w:jc w:val="center"/>
        <w:rPr>
          <w:rFonts w:hint="eastAsia"/>
          <w:b/>
          <w:bCs/>
          <w:sz w:val="24"/>
          <w:szCs w:val="24"/>
        </w:rPr>
      </w:pPr>
    </w:p>
    <w:p w14:paraId="5C221E81">
      <w:pPr>
        <w:keepNext w:val="0"/>
        <w:keepLines w:val="0"/>
        <w:pageBreakBefore w:val="0"/>
        <w:widowControl w:val="0"/>
        <w:kinsoku/>
        <w:wordWrap/>
        <w:overflowPunct/>
        <w:topLinePunct w:val="0"/>
        <w:autoSpaceDE/>
        <w:autoSpaceDN/>
        <w:bidi w:val="0"/>
        <w:adjustRightInd/>
        <w:snapToGrid w:val="0"/>
        <w:spacing w:before="1249" w:beforeLines="400"/>
        <w:jc w:val="center"/>
        <w:textAlignment w:val="auto"/>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8D1E7AA">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color w:val="auto"/>
          <w:sz w:val="44"/>
          <w:szCs w:val="44"/>
        </w:rPr>
        <w:t>（污染影响类）</w:t>
      </w:r>
    </w:p>
    <w:p w14:paraId="45629AE0">
      <w:pPr>
        <w:bidi w:val="0"/>
        <w:jc w:val="center"/>
      </w:pPr>
    </w:p>
    <w:p w14:paraId="6C8C99CA">
      <w:pPr>
        <w:pStyle w:val="21"/>
      </w:pPr>
    </w:p>
    <w:p w14:paraId="33CE84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u w:val="single"/>
        </w:rPr>
      </w:pPr>
    </w:p>
    <w:p w14:paraId="4C7BD2D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rPr>
      </w:pPr>
    </w:p>
    <w:p w14:paraId="55B66A63">
      <w:pPr>
        <w:pStyle w:val="12"/>
      </w:pPr>
    </w:p>
    <w:p w14:paraId="52C5501D"/>
    <w:p w14:paraId="581EFB10">
      <w:pPr>
        <w:keepNext w:val="0"/>
        <w:keepLines w:val="0"/>
        <w:pageBreakBefore w:val="0"/>
        <w:widowControl w:val="0"/>
        <w:kinsoku/>
        <w:wordWrap/>
        <w:overflowPunct/>
        <w:topLinePunct w:val="0"/>
        <w:autoSpaceDE/>
        <w:autoSpaceDN/>
        <w:bidi w:val="0"/>
        <w:spacing w:line="240" w:lineRule="auto"/>
        <w:ind w:firstLine="0"/>
        <w:jc w:val="center"/>
        <w:textAlignment w:val="auto"/>
        <w:rPr>
          <w:rFonts w:eastAsia="仿宋"/>
          <w:sz w:val="52"/>
          <w:szCs w:val="52"/>
        </w:rPr>
      </w:pPr>
    </w:p>
    <w:p w14:paraId="79F20407">
      <w:pPr>
        <w:rPr>
          <w:rFonts w:hint="eastAsia" w:ascii="Times New Roman" w:hAnsi="Times New Roman" w:eastAsia="宋体" w:cs="Times New Roman"/>
          <w:b/>
          <w:sz w:val="32"/>
          <w:szCs w:val="32"/>
          <w:lang w:val="en-US" w:eastAsia="zh-CN"/>
        </w:rPr>
      </w:pPr>
    </w:p>
    <w:p w14:paraId="74304532">
      <w:pPr>
        <w:adjustRightInd w:val="0"/>
        <w:snapToGrid w:val="0"/>
        <w:spacing w:line="288" w:lineRule="auto"/>
        <w:ind w:left="1800" w:hanging="1800" w:hangingChars="500"/>
        <w:rPr>
          <w:rFonts w:hint="default" w:ascii="仿宋_GB2312" w:hAnsi="Times New Roman" w:eastAsia="仿宋_GB2312" w:cs="Times New Roman"/>
          <w:sz w:val="36"/>
          <w:szCs w:val="36"/>
          <w:lang w:val="en-US" w:eastAsia="zh-CN"/>
        </w:rPr>
      </w:pPr>
      <w:r>
        <w:rPr>
          <w:rFonts w:hint="eastAsia" w:ascii="仿宋_GB2312" w:hAnsi="Times New Roman" w:eastAsia="仿宋_GB2312" w:cs="Times New Roman"/>
          <w:sz w:val="36"/>
          <w:szCs w:val="36"/>
          <w:lang w:val="en-US" w:eastAsia="zh-CN"/>
        </w:rPr>
        <w:t>项目名称：</w:t>
      </w:r>
      <w:r>
        <w:rPr>
          <w:rFonts w:hint="eastAsia" w:ascii="仿宋_GB2312" w:hAnsi="Times New Roman" w:eastAsia="仿宋_GB2312" w:cs="Times New Roman"/>
          <w:sz w:val="36"/>
          <w:szCs w:val="36"/>
          <w:u w:val="single"/>
          <w:lang w:val="en-US" w:eastAsia="zh-CN"/>
        </w:rPr>
        <w:t>潘集村股份经济合作社年产10000吨大米生产项目</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lang w:val="en-US" w:eastAsia="zh-CN"/>
        </w:rPr>
        <w:t xml:space="preserve">                                 </w:t>
      </w:r>
    </w:p>
    <w:p w14:paraId="6F8C7DF1">
      <w:pPr>
        <w:adjustRightInd w:val="0"/>
        <w:snapToGrid w:val="0"/>
        <w:spacing w:line="288" w:lineRule="auto"/>
        <w:ind w:left="1800" w:hanging="1800" w:hangingChars="500"/>
        <w:rPr>
          <w:rFonts w:hint="default" w:ascii="仿宋_GB2312" w:hAnsi="Times New Roman" w:eastAsia="仿宋_GB2312" w:cs="Times New Roman"/>
          <w:sz w:val="36"/>
          <w:szCs w:val="36"/>
          <w:lang w:val="en-US" w:eastAsia="zh-CN"/>
        </w:rPr>
      </w:pPr>
      <w:r>
        <w:rPr>
          <w:rFonts w:hint="eastAsia" w:ascii="仿宋_GB2312" w:hAnsi="Times New Roman" w:eastAsia="仿宋_GB2312" w:cs="Times New Roman"/>
          <w:sz w:val="36"/>
          <w:szCs w:val="36"/>
          <w:lang w:val="en-US" w:eastAsia="zh-CN"/>
        </w:rPr>
        <w:t>建设单位（盖章）：</w:t>
      </w:r>
      <w:r>
        <w:rPr>
          <w:rFonts w:hint="eastAsia" w:ascii="仿宋_GB2312" w:hAnsi="Times New Roman" w:eastAsia="仿宋_GB2312" w:cs="Times New Roman"/>
          <w:sz w:val="36"/>
          <w:szCs w:val="36"/>
          <w:u w:val="single"/>
          <w:lang w:val="en-US" w:eastAsia="zh-CN"/>
        </w:rPr>
        <w:t xml:space="preserve"> 淮南市潘集区潘集镇潘集村股份经济合作社  </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lang w:val="en-US" w:eastAsia="zh-CN"/>
        </w:rPr>
        <w:t xml:space="preserve"> </w:t>
      </w:r>
    </w:p>
    <w:p w14:paraId="6E6EB9F1">
      <w:pPr>
        <w:adjustRightInd w:val="0"/>
        <w:snapToGrid w:val="0"/>
        <w:spacing w:line="288" w:lineRule="auto"/>
        <w:ind w:left="1440" w:hanging="1440" w:hangingChars="400"/>
        <w:rPr>
          <w:rFonts w:hint="eastAsia" w:ascii="Times New Roman" w:hAnsi="Times New Roman" w:eastAsia="宋体" w:cs="Times New Roman"/>
          <w:b/>
          <w:sz w:val="32"/>
          <w:szCs w:val="32"/>
          <w:lang w:val="en-US" w:eastAsia="zh-CN"/>
        </w:rPr>
      </w:pPr>
      <w:r>
        <w:rPr>
          <w:rFonts w:hint="eastAsia" w:ascii="仿宋_GB2312" w:hAnsi="Times New Roman" w:eastAsia="仿宋_GB2312" w:cs="Times New Roman"/>
          <w:sz w:val="36"/>
          <w:szCs w:val="36"/>
          <w:lang w:val="en-US" w:eastAsia="zh-CN"/>
        </w:rPr>
        <w:t>编  制  日  期：</w:t>
      </w:r>
      <w:r>
        <w:rPr>
          <w:rFonts w:hint="eastAsia" w:ascii="仿宋_GB2312" w:hAnsi="Times New Roman" w:eastAsia="仿宋_GB2312" w:cs="Times New Roman"/>
          <w:sz w:val="36"/>
          <w:szCs w:val="36"/>
          <w:u w:val="single"/>
          <w:lang w:val="en-US" w:eastAsia="zh-CN"/>
        </w:rPr>
        <w:t xml:space="preserve">       二〇二六年</w:t>
      </w:r>
      <w:r>
        <w:rPr>
          <w:rFonts w:hint="eastAsia" w:ascii="仿宋_GB2312" w:eastAsia="仿宋_GB2312" w:cs="Times New Roman"/>
          <w:sz w:val="36"/>
          <w:szCs w:val="36"/>
          <w:u w:val="single"/>
          <w:lang w:val="en-US" w:eastAsia="zh-CN"/>
        </w:rPr>
        <w:t>七</w:t>
      </w:r>
      <w:bookmarkStart w:id="23" w:name="_GoBack"/>
      <w:bookmarkEnd w:id="23"/>
      <w:r>
        <w:rPr>
          <w:rFonts w:hint="eastAsia" w:ascii="仿宋_GB2312" w:hAnsi="Times New Roman" w:eastAsia="仿宋_GB2312" w:cs="Times New Roman"/>
          <w:sz w:val="36"/>
          <w:szCs w:val="36"/>
          <w:u w:val="single"/>
          <w:lang w:val="en-US" w:eastAsia="zh-CN"/>
        </w:rPr>
        <w:t xml:space="preserve">月             </w:t>
      </w:r>
    </w:p>
    <w:p w14:paraId="232C991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bookmarkStart w:id="3" w:name="_Hlk57884087"/>
    </w:p>
    <w:p w14:paraId="0630AB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2CD892B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75756B3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仿宋_GB2312" w:eastAsia="仿宋_GB2312"/>
          <w:sz w:val="36"/>
          <w:szCs w:val="36"/>
          <w:lang w:val="en-US" w:eastAsia="zh-CN"/>
        </w:rPr>
      </w:pPr>
    </w:p>
    <w:p w14:paraId="506D6B3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仿宋_GB2312" w:eastAsia="仿宋_GB2312"/>
          <w:sz w:val="36"/>
          <w:szCs w:val="36"/>
          <w:lang w:val="en-US" w:eastAsia="zh-CN"/>
        </w:rPr>
      </w:pPr>
    </w:p>
    <w:bookmarkEnd w:id="3"/>
    <w:p w14:paraId="127A5247">
      <w:pPr>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bookmarkEnd w:id="0"/>
    <w:bookmarkEnd w:id="1"/>
    <w:bookmarkEnd w:id="2"/>
    <w:p w14:paraId="069339D5">
      <w:pPr>
        <w:jc w:val="center"/>
        <w:rPr>
          <w:rFonts w:hint="eastAsia" w:ascii="楷体_GB2312" w:eastAsia="楷体_GB2312"/>
          <w:color w:val="auto"/>
          <w:sz w:val="36"/>
          <w:szCs w:val="36"/>
        </w:rPr>
        <w:sectPr>
          <w:headerReference r:id="rId3" w:type="default"/>
          <w:footerReference r:id="rId4"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4" w:name="_Toc2202"/>
    </w:p>
    <w:p w14:paraId="22C4979F">
      <w:pPr>
        <w:spacing w:line="360" w:lineRule="auto"/>
        <w:jc w:val="center"/>
        <w:outlineLvl w:val="0"/>
        <w:rPr>
          <w:rFonts w:eastAsia="黑体"/>
          <w:b/>
          <w:bCs/>
          <w:color w:val="auto"/>
          <w:sz w:val="30"/>
          <w:szCs w:val="24"/>
        </w:rPr>
      </w:pPr>
      <w:r>
        <w:rPr>
          <w:rFonts w:hint="eastAsia" w:eastAsia="黑体"/>
          <w:b/>
          <w:bCs/>
          <w:color w:val="auto"/>
          <w:sz w:val="30"/>
          <w:szCs w:val="24"/>
        </w:rPr>
        <w:t>一、</w:t>
      </w:r>
      <w:r>
        <w:rPr>
          <w:rFonts w:eastAsia="黑体"/>
          <w:b/>
          <w:bCs/>
          <w:color w:val="auto"/>
          <w:sz w:val="30"/>
          <w:szCs w:val="24"/>
        </w:rPr>
        <w:t>建设项目基本情况</w:t>
      </w:r>
      <w:bookmarkEnd w:id="4"/>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909"/>
        <w:gridCol w:w="1621"/>
        <w:gridCol w:w="3285"/>
      </w:tblGrid>
      <w:tr w14:paraId="7D03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10" w:type="pct"/>
            <w:vAlign w:val="center"/>
          </w:tcPr>
          <w:p w14:paraId="3D0348E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4089" w:type="pct"/>
            <w:gridSpan w:val="3"/>
            <w:vAlign w:val="center"/>
          </w:tcPr>
          <w:p w14:paraId="69E94779">
            <w:pPr>
              <w:spacing w:line="276" w:lineRule="auto"/>
              <w:jc w:val="center"/>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sz w:val="24"/>
                <w:szCs w:val="24"/>
                <w:lang w:val="en-US" w:eastAsia="zh-CN"/>
              </w:rPr>
              <w:t>潘集村股份经济合作社年产10000吨大米生产项目</w:t>
            </w:r>
          </w:p>
        </w:tc>
      </w:tr>
      <w:tr w14:paraId="3604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0" w:type="pct"/>
            <w:vAlign w:val="center"/>
          </w:tcPr>
          <w:p w14:paraId="1CE4198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4089" w:type="pct"/>
            <w:gridSpan w:val="3"/>
            <w:vAlign w:val="center"/>
          </w:tcPr>
          <w:p w14:paraId="49FEF9BB">
            <w:pPr>
              <w:spacing w:line="276"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2604-340406-04-01-794474</w:t>
            </w:r>
          </w:p>
        </w:tc>
      </w:tr>
      <w:tr w14:paraId="4AFE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10" w:type="pct"/>
            <w:vAlign w:val="center"/>
          </w:tcPr>
          <w:p w14:paraId="41EE6BD2">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1522" w:type="pct"/>
            <w:vAlign w:val="center"/>
          </w:tcPr>
          <w:p w14:paraId="423617F4">
            <w:pPr>
              <w:spacing w:line="276"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李桂分</w:t>
            </w:r>
          </w:p>
        </w:tc>
        <w:tc>
          <w:tcPr>
            <w:tcW w:w="848" w:type="pct"/>
            <w:vAlign w:val="center"/>
          </w:tcPr>
          <w:p w14:paraId="30D8632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1718" w:type="pct"/>
            <w:vAlign w:val="center"/>
          </w:tcPr>
          <w:p w14:paraId="591D98AF">
            <w:pPr>
              <w:spacing w:line="276"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13855469368</w:t>
            </w:r>
          </w:p>
        </w:tc>
      </w:tr>
      <w:tr w14:paraId="79AF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10" w:type="pct"/>
            <w:vAlign w:val="center"/>
          </w:tcPr>
          <w:p w14:paraId="13323A0C">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4089" w:type="pct"/>
            <w:gridSpan w:val="3"/>
            <w:vAlign w:val="center"/>
          </w:tcPr>
          <w:p w14:paraId="35EBCB09">
            <w:pPr>
              <w:spacing w:line="276" w:lineRule="auto"/>
              <w:jc w:val="center"/>
              <w:rPr>
                <w:rFonts w:hint="default" w:ascii="Times New Roman" w:hAnsi="Times New Roman" w:cs="Times New Roman"/>
                <w:color w:val="auto"/>
                <w:sz w:val="24"/>
                <w:szCs w:val="24"/>
              </w:rPr>
            </w:pPr>
            <w:r>
              <w:rPr>
                <w:rFonts w:hint="eastAsia" w:cs="Times New Roman"/>
                <w:b w:val="0"/>
                <w:bCs w:val="0"/>
                <w:sz w:val="24"/>
                <w:szCs w:val="24"/>
                <w:u w:val="none"/>
                <w:lang w:val="en-US" w:eastAsia="zh-CN"/>
              </w:rPr>
              <w:t>安徽省</w:t>
            </w:r>
            <w:r>
              <w:rPr>
                <w:rFonts w:hint="default" w:ascii="Times New Roman" w:hAnsi="Times New Roman" w:cs="Times New Roman"/>
                <w:b w:val="0"/>
                <w:bCs w:val="0"/>
                <w:sz w:val="24"/>
                <w:szCs w:val="24"/>
                <w:u w:val="none"/>
                <w:lang w:eastAsia="zh-CN"/>
              </w:rPr>
              <w:t>淮南市潘集区潘集镇地销煤路聚旺公司旁</w:t>
            </w:r>
          </w:p>
        </w:tc>
      </w:tr>
      <w:tr w14:paraId="4066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0" w:type="pct"/>
            <w:vAlign w:val="center"/>
          </w:tcPr>
          <w:p w14:paraId="1783CE3B">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4089" w:type="pct"/>
            <w:gridSpan w:val="3"/>
            <w:vAlign w:val="center"/>
          </w:tcPr>
          <w:p w14:paraId="05E713A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lang w:eastAsia="zh-CN"/>
              </w:rPr>
              <w:t>（</w:t>
            </w:r>
            <w:r>
              <w:rPr>
                <w:rFonts w:hint="eastAsia" w:cs="Times New Roman"/>
                <w:b w:val="0"/>
                <w:bCs w:val="0"/>
                <w:color w:val="auto"/>
                <w:sz w:val="24"/>
                <w:szCs w:val="24"/>
                <w:lang w:val="en-US" w:eastAsia="zh-CN"/>
              </w:rPr>
              <w:t>经度</w:t>
            </w:r>
            <w:r>
              <w:rPr>
                <w:rFonts w:hint="default" w:ascii="Times New Roman" w:hAnsi="Times New Roman" w:cs="Times New Roman"/>
                <w:b w:val="0"/>
                <w:bCs w:val="0"/>
                <w:color w:val="auto"/>
                <w:sz w:val="24"/>
                <w:szCs w:val="24"/>
                <w:lang w:eastAsia="zh-CN"/>
              </w:rPr>
              <w:t xml:space="preserve"> </w:t>
            </w:r>
            <w:r>
              <w:rPr>
                <w:rFonts w:hint="default" w:ascii="Times New Roman" w:hAnsi="Times New Roman" w:cs="Times New Roman"/>
                <w:b w:val="0"/>
                <w:bCs w:val="0"/>
                <w:color w:val="auto"/>
                <w:sz w:val="24"/>
                <w:szCs w:val="24"/>
                <w:u w:val="single"/>
                <w:lang w:val="en-US" w:eastAsia="zh-CN"/>
              </w:rPr>
              <w:t>11</w:t>
            </w:r>
            <w:r>
              <w:rPr>
                <w:rFonts w:hint="default" w:ascii="Times New Roman" w:hAnsi="Times New Roman" w:cs="Times New Roman"/>
                <w:b w:val="0"/>
                <w:bCs w:val="0"/>
                <w:sz w:val="24"/>
                <w:szCs w:val="24"/>
                <w:u w:val="single"/>
                <w:lang w:val="en-US" w:eastAsia="zh-CN"/>
              </w:rPr>
              <w:t>6</w:t>
            </w:r>
            <w:r>
              <w:rPr>
                <w:rFonts w:hint="default" w:ascii="Times New Roman" w:hAnsi="Times New Roman" w:cs="Times New Roman"/>
                <w:b w:val="0"/>
                <w:bCs w:val="0"/>
                <w:sz w:val="24"/>
                <w:szCs w:val="24"/>
                <w:lang w:eastAsia="zh-CN"/>
              </w:rPr>
              <w:t xml:space="preserve"> 度</w:t>
            </w:r>
            <w:r>
              <w:rPr>
                <w:rFonts w:hint="default" w:ascii="Times New Roman" w:hAnsi="Times New Roman" w:cs="Times New Roman"/>
                <w:b w:val="0"/>
                <w:bCs w:val="0"/>
                <w:sz w:val="24"/>
                <w:szCs w:val="24"/>
                <w:u w:val="single"/>
                <w:lang w:eastAsia="zh-CN"/>
              </w:rPr>
              <w:t xml:space="preserve"> </w:t>
            </w:r>
            <w:r>
              <w:rPr>
                <w:rFonts w:hint="eastAsia" w:ascii="Times New Roman" w:hAnsi="Times New Roman" w:cs="Times New Roman"/>
                <w:b w:val="0"/>
                <w:bCs w:val="0"/>
                <w:sz w:val="24"/>
                <w:szCs w:val="24"/>
                <w:u w:val="single"/>
                <w:lang w:val="en-US" w:eastAsia="zh-CN"/>
              </w:rPr>
              <w:t>47</w:t>
            </w:r>
            <w:r>
              <w:rPr>
                <w:rFonts w:hint="default" w:ascii="Times New Roman" w:hAnsi="Times New Roman" w:cs="Times New Roman"/>
                <w:b w:val="0"/>
                <w:bCs w:val="0"/>
                <w:sz w:val="24"/>
                <w:szCs w:val="24"/>
                <w:u w:val="single"/>
                <w:lang w:eastAsia="zh-CN"/>
              </w:rPr>
              <w:t xml:space="preserve"> </w:t>
            </w:r>
            <w:r>
              <w:rPr>
                <w:rFonts w:hint="default" w:ascii="Times New Roman" w:hAnsi="Times New Roman" w:cs="Times New Roman"/>
                <w:b w:val="0"/>
                <w:bCs w:val="0"/>
                <w:sz w:val="24"/>
                <w:szCs w:val="24"/>
                <w:lang w:eastAsia="zh-CN"/>
              </w:rPr>
              <w:t xml:space="preserve">分 </w:t>
            </w:r>
            <w:r>
              <w:rPr>
                <w:rFonts w:hint="eastAsia" w:ascii="Times New Roman" w:hAnsi="Times New Roman" w:cs="Times New Roman"/>
                <w:b w:val="0"/>
                <w:bCs w:val="0"/>
                <w:sz w:val="24"/>
                <w:szCs w:val="24"/>
                <w:u w:val="single"/>
                <w:lang w:val="en-US" w:eastAsia="zh-CN"/>
              </w:rPr>
              <w:t>26.434</w:t>
            </w:r>
            <w:r>
              <w:rPr>
                <w:rFonts w:hint="default" w:ascii="Times New Roman" w:hAnsi="Times New Roman" w:cs="Times New Roman"/>
                <w:b w:val="0"/>
                <w:bCs w:val="0"/>
                <w:sz w:val="24"/>
                <w:szCs w:val="24"/>
                <w:u w:val="single"/>
                <w:lang w:eastAsia="zh-CN"/>
              </w:rPr>
              <w:t xml:space="preserve"> </w:t>
            </w:r>
            <w:r>
              <w:rPr>
                <w:rFonts w:hint="default" w:ascii="Times New Roman" w:hAnsi="Times New Roman" w:cs="Times New Roman"/>
                <w:b w:val="0"/>
                <w:bCs w:val="0"/>
                <w:sz w:val="24"/>
                <w:szCs w:val="24"/>
                <w:lang w:eastAsia="zh-CN"/>
              </w:rPr>
              <w:t>秒；</w:t>
            </w:r>
            <w:r>
              <w:rPr>
                <w:rFonts w:hint="eastAsia" w:cs="Times New Roman"/>
                <w:b w:val="0"/>
                <w:bCs w:val="0"/>
                <w:sz w:val="24"/>
                <w:szCs w:val="24"/>
                <w:lang w:val="en-US" w:eastAsia="zh-CN"/>
              </w:rPr>
              <w:t>纬度</w:t>
            </w:r>
            <w:r>
              <w:rPr>
                <w:rFonts w:hint="default" w:ascii="Times New Roman" w:hAnsi="Times New Roman" w:cs="Times New Roman"/>
                <w:b w:val="0"/>
                <w:bCs w:val="0"/>
                <w:sz w:val="24"/>
                <w:szCs w:val="24"/>
                <w:lang w:eastAsia="zh-CN"/>
              </w:rPr>
              <w:t xml:space="preserve"> </w:t>
            </w:r>
            <w:r>
              <w:rPr>
                <w:rFonts w:hint="default" w:ascii="Times New Roman" w:hAnsi="Times New Roman" w:cs="Times New Roman"/>
                <w:b w:val="0"/>
                <w:bCs w:val="0"/>
                <w:sz w:val="24"/>
                <w:szCs w:val="24"/>
                <w:u w:val="single"/>
                <w:lang w:val="en-US" w:eastAsia="zh-CN"/>
              </w:rPr>
              <w:t>32</w:t>
            </w:r>
            <w:r>
              <w:rPr>
                <w:rFonts w:hint="default" w:ascii="Times New Roman" w:hAnsi="Times New Roman" w:cs="Times New Roman"/>
                <w:b w:val="0"/>
                <w:bCs w:val="0"/>
                <w:sz w:val="24"/>
                <w:szCs w:val="24"/>
                <w:u w:val="single"/>
                <w:lang w:eastAsia="zh-CN"/>
              </w:rPr>
              <w:t xml:space="preserve"> </w:t>
            </w:r>
            <w:r>
              <w:rPr>
                <w:rFonts w:hint="default" w:ascii="Times New Roman" w:hAnsi="Times New Roman" w:cs="Times New Roman"/>
                <w:b w:val="0"/>
                <w:bCs w:val="0"/>
                <w:sz w:val="24"/>
                <w:szCs w:val="24"/>
                <w:lang w:eastAsia="zh-CN"/>
              </w:rPr>
              <w:t xml:space="preserve">度 </w:t>
            </w:r>
            <w:r>
              <w:rPr>
                <w:rFonts w:hint="eastAsia" w:ascii="Times New Roman" w:hAnsi="Times New Roman" w:cs="Times New Roman"/>
                <w:b w:val="0"/>
                <w:bCs w:val="0"/>
                <w:sz w:val="24"/>
                <w:szCs w:val="24"/>
                <w:u w:val="single"/>
                <w:lang w:val="en-US" w:eastAsia="zh-CN"/>
              </w:rPr>
              <w:t>50</w:t>
            </w:r>
            <w:r>
              <w:rPr>
                <w:rFonts w:hint="default" w:ascii="Times New Roman" w:hAnsi="Times New Roman" w:cs="Times New Roman"/>
                <w:b w:val="0"/>
                <w:bCs w:val="0"/>
                <w:sz w:val="24"/>
                <w:szCs w:val="24"/>
                <w:u w:val="single"/>
                <w:lang w:eastAsia="zh-CN"/>
              </w:rPr>
              <w:t xml:space="preserve"> </w:t>
            </w:r>
            <w:r>
              <w:rPr>
                <w:rFonts w:hint="default" w:ascii="Times New Roman" w:hAnsi="Times New Roman" w:cs="Times New Roman"/>
                <w:b w:val="0"/>
                <w:bCs w:val="0"/>
                <w:sz w:val="24"/>
                <w:szCs w:val="24"/>
                <w:lang w:eastAsia="zh-CN"/>
              </w:rPr>
              <w:t>分</w:t>
            </w:r>
            <w:r>
              <w:rPr>
                <w:rFonts w:hint="default" w:ascii="Times New Roman" w:hAnsi="Times New Roman" w:cs="Times New Roman"/>
                <w:b w:val="0"/>
                <w:bCs w:val="0"/>
                <w:sz w:val="24"/>
                <w:szCs w:val="24"/>
                <w:u w:val="single"/>
                <w:lang w:eastAsia="zh-CN"/>
              </w:rPr>
              <w:t xml:space="preserve"> </w:t>
            </w:r>
            <w:r>
              <w:rPr>
                <w:rFonts w:hint="default" w:ascii="Times New Roman" w:hAnsi="Times New Roman" w:cs="Times New Roman"/>
                <w:b w:val="0"/>
                <w:bCs w:val="0"/>
                <w:sz w:val="24"/>
                <w:szCs w:val="24"/>
                <w:u w:val="single"/>
                <w:lang w:val="en-US" w:eastAsia="zh-CN"/>
              </w:rPr>
              <w:t>3</w:t>
            </w:r>
            <w:r>
              <w:rPr>
                <w:rFonts w:hint="eastAsia" w:ascii="Times New Roman" w:hAnsi="Times New Roman" w:cs="Times New Roman"/>
                <w:b w:val="0"/>
                <w:bCs w:val="0"/>
                <w:sz w:val="24"/>
                <w:szCs w:val="24"/>
                <w:u w:val="single"/>
                <w:lang w:val="en-US" w:eastAsia="zh-CN"/>
              </w:rPr>
              <w:t>.769</w:t>
            </w:r>
            <w:r>
              <w:rPr>
                <w:rFonts w:hint="default" w:ascii="Times New Roman" w:hAnsi="Times New Roman" w:cs="Times New Roman"/>
                <w:b w:val="0"/>
                <w:bCs w:val="0"/>
                <w:sz w:val="24"/>
                <w:szCs w:val="24"/>
                <w:lang w:eastAsia="zh-CN"/>
              </w:rPr>
              <w:t xml:space="preserve"> 秒）</w:t>
            </w:r>
          </w:p>
        </w:tc>
      </w:tr>
      <w:tr w14:paraId="76B2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69BB1FB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7D5C4375">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522" w:type="pct"/>
            <w:vAlign w:val="center"/>
          </w:tcPr>
          <w:p w14:paraId="7D6936C0">
            <w:pPr>
              <w:spacing w:line="276" w:lineRule="auto"/>
              <w:jc w:val="center"/>
              <w:rPr>
                <w:rFonts w:hint="default" w:ascii="Times New Roman" w:hAnsi="Times New Roman" w:cs="Times New Roman"/>
              </w:rPr>
            </w:pPr>
            <w:r>
              <w:rPr>
                <w:rFonts w:hint="default" w:ascii="Times New Roman" w:hAnsi="Times New Roman" w:eastAsia="宋体" w:cs="Times New Roman"/>
                <w:color w:val="auto"/>
                <w:spacing w:val="0"/>
                <w:kern w:val="0"/>
                <w:sz w:val="24"/>
                <w:szCs w:val="24"/>
                <w:lang w:val="en-US" w:eastAsia="zh-CN"/>
              </w:rPr>
              <w:t>C1</w:t>
            </w:r>
            <w:r>
              <w:rPr>
                <w:rFonts w:hint="default" w:ascii="Times New Roman" w:hAnsi="Times New Roman" w:cs="Times New Roman"/>
                <w:color w:val="auto"/>
                <w:spacing w:val="0"/>
                <w:kern w:val="0"/>
                <w:sz w:val="24"/>
                <w:szCs w:val="24"/>
                <w:lang w:val="en-US" w:eastAsia="zh-CN"/>
              </w:rPr>
              <w:t>311</w:t>
            </w:r>
            <w:r>
              <w:rPr>
                <w:rFonts w:hint="default" w:ascii="Times New Roman" w:hAnsi="Times New Roman" w:eastAsia="宋体" w:cs="Times New Roman"/>
                <w:color w:val="auto"/>
                <w:spacing w:val="0"/>
                <w:kern w:val="0"/>
                <w:sz w:val="24"/>
                <w:szCs w:val="24"/>
                <w:lang w:val="en-US" w:eastAsia="zh-CN"/>
              </w:rPr>
              <w:t xml:space="preserve"> </w:t>
            </w:r>
            <w:r>
              <w:rPr>
                <w:rFonts w:hint="default" w:ascii="Times New Roman" w:hAnsi="Times New Roman" w:cs="Times New Roman"/>
                <w:color w:val="auto"/>
                <w:spacing w:val="0"/>
                <w:kern w:val="0"/>
                <w:sz w:val="24"/>
                <w:szCs w:val="24"/>
                <w:lang w:val="en-US" w:eastAsia="zh-CN"/>
              </w:rPr>
              <w:t>稻谷加工</w:t>
            </w:r>
          </w:p>
        </w:tc>
        <w:tc>
          <w:tcPr>
            <w:tcW w:w="848" w:type="pct"/>
            <w:vAlign w:val="center"/>
          </w:tcPr>
          <w:p w14:paraId="494723F8">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7B9D54A3">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718" w:type="pct"/>
            <w:vAlign w:val="center"/>
          </w:tcPr>
          <w:p w14:paraId="7FEA21C5">
            <w:pPr>
              <w:adjustRightInd w:val="0"/>
              <w:snapToGrid w:val="0"/>
              <w:jc w:val="center"/>
              <w:rPr>
                <w:rFonts w:hint="default" w:ascii="Times New Roman" w:hAnsi="Times New Roman" w:eastAsia="宋体" w:cs="Times New Roman"/>
                <w:color w:val="auto"/>
                <w:spacing w:val="0"/>
                <w:kern w:val="0"/>
                <w:sz w:val="24"/>
                <w:szCs w:val="24"/>
                <w:lang w:val="en-US" w:eastAsia="zh-CN"/>
              </w:rPr>
            </w:pPr>
            <w:r>
              <w:rPr>
                <w:rFonts w:hint="default" w:ascii="Times New Roman" w:hAnsi="Times New Roman" w:eastAsia="宋体" w:cs="Times New Roman"/>
                <w:color w:val="auto"/>
                <w:spacing w:val="0"/>
                <w:kern w:val="0"/>
                <w:sz w:val="24"/>
                <w:szCs w:val="24"/>
                <w:lang w:val="en-US" w:eastAsia="zh-CN"/>
              </w:rPr>
              <w:t>十、</w:t>
            </w:r>
            <w:r>
              <w:rPr>
                <w:rFonts w:hint="default" w:ascii="Times New Roman" w:hAnsi="Times New Roman" w:cs="Times New Roman"/>
                <w:color w:val="auto"/>
                <w:spacing w:val="0"/>
                <w:kern w:val="0"/>
                <w:sz w:val="24"/>
                <w:szCs w:val="24"/>
                <w:lang w:val="en-US" w:eastAsia="zh-CN"/>
              </w:rPr>
              <w:t>农副食品加工业</w:t>
            </w:r>
            <w:r>
              <w:rPr>
                <w:rFonts w:hint="default" w:ascii="Times New Roman" w:hAnsi="Times New Roman" w:eastAsia="宋体" w:cs="Times New Roman"/>
                <w:color w:val="auto"/>
                <w:spacing w:val="0"/>
                <w:kern w:val="0"/>
                <w:sz w:val="24"/>
                <w:szCs w:val="24"/>
                <w:lang w:val="en-US" w:eastAsia="zh-CN"/>
              </w:rPr>
              <w:t xml:space="preserve"> 1</w:t>
            </w:r>
            <w:r>
              <w:rPr>
                <w:rFonts w:hint="default" w:ascii="Times New Roman" w:hAnsi="Times New Roman" w:cs="Times New Roman"/>
                <w:color w:val="auto"/>
                <w:spacing w:val="0"/>
                <w:kern w:val="0"/>
                <w:sz w:val="24"/>
                <w:szCs w:val="24"/>
                <w:lang w:val="en-US" w:eastAsia="zh-CN"/>
              </w:rPr>
              <w:t>3</w:t>
            </w:r>
            <w:r>
              <w:rPr>
                <w:rFonts w:hint="default" w:ascii="Times New Roman" w:hAnsi="Times New Roman" w:eastAsia="宋体" w:cs="Times New Roman"/>
                <w:color w:val="auto"/>
                <w:spacing w:val="0"/>
                <w:kern w:val="0"/>
                <w:sz w:val="24"/>
                <w:szCs w:val="24"/>
                <w:lang w:val="en-US" w:eastAsia="zh-CN"/>
              </w:rPr>
              <w:t>，</w:t>
            </w:r>
          </w:p>
          <w:p w14:paraId="223ADD94">
            <w:pPr>
              <w:spacing w:line="276"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pacing w:val="0"/>
                <w:kern w:val="0"/>
                <w:sz w:val="24"/>
                <w:szCs w:val="24"/>
                <w:lang w:val="en-US" w:eastAsia="zh-CN"/>
              </w:rPr>
              <w:t>15</w:t>
            </w:r>
            <w:r>
              <w:rPr>
                <w:rFonts w:hint="default" w:ascii="Times New Roman" w:hAnsi="Times New Roman" w:eastAsia="宋体" w:cs="Times New Roman"/>
                <w:color w:val="auto"/>
                <w:spacing w:val="0"/>
                <w:kern w:val="0"/>
                <w:sz w:val="24"/>
                <w:szCs w:val="24"/>
                <w:lang w:val="en-US" w:eastAsia="zh-CN"/>
              </w:rPr>
              <w:t xml:space="preserve"> </w:t>
            </w:r>
            <w:r>
              <w:rPr>
                <w:rFonts w:hint="default" w:ascii="Times New Roman" w:hAnsi="Times New Roman" w:cs="Times New Roman"/>
                <w:color w:val="auto"/>
                <w:spacing w:val="0"/>
                <w:kern w:val="0"/>
                <w:sz w:val="24"/>
                <w:szCs w:val="24"/>
                <w:lang w:val="en-US" w:eastAsia="zh-CN"/>
              </w:rPr>
              <w:t>谷物磨制</w:t>
            </w:r>
            <w:r>
              <w:rPr>
                <w:rFonts w:hint="default" w:ascii="Times New Roman" w:hAnsi="Times New Roman" w:eastAsia="宋体" w:cs="Times New Roman"/>
                <w:color w:val="auto"/>
                <w:spacing w:val="0"/>
                <w:kern w:val="0"/>
                <w:sz w:val="24"/>
                <w:szCs w:val="24"/>
                <w:lang w:val="en-US" w:eastAsia="zh-CN"/>
              </w:rPr>
              <w:t xml:space="preserve"> 1</w:t>
            </w:r>
            <w:r>
              <w:rPr>
                <w:rFonts w:hint="default" w:ascii="Times New Roman" w:hAnsi="Times New Roman" w:cs="Times New Roman"/>
                <w:color w:val="auto"/>
                <w:spacing w:val="0"/>
                <w:kern w:val="0"/>
                <w:sz w:val="24"/>
                <w:szCs w:val="24"/>
                <w:lang w:val="en-US" w:eastAsia="zh-CN"/>
              </w:rPr>
              <w:t>31</w:t>
            </w:r>
          </w:p>
        </w:tc>
      </w:tr>
      <w:tr w14:paraId="7472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080F72DD">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522" w:type="pct"/>
            <w:vAlign w:val="center"/>
          </w:tcPr>
          <w:p w14:paraId="5E4944A6">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F052"/>
            </w:r>
            <w:r>
              <w:rPr>
                <w:rFonts w:hint="default" w:ascii="Times New Roman" w:hAnsi="Times New Roman" w:cs="Times New Roman"/>
                <w:color w:val="auto"/>
                <w:sz w:val="24"/>
                <w:szCs w:val="24"/>
              </w:rPr>
              <w:t>新建（迁建）</w:t>
            </w:r>
          </w:p>
          <w:p w14:paraId="04795918">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14:paraId="4F43890C">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14:paraId="65C700D5">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848" w:type="pct"/>
            <w:vAlign w:val="center"/>
          </w:tcPr>
          <w:p w14:paraId="575A41E0">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468EE54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1718" w:type="pct"/>
            <w:vAlign w:val="center"/>
          </w:tcPr>
          <w:p w14:paraId="770A56C5">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F052"/>
            </w:r>
            <w:r>
              <w:rPr>
                <w:rFonts w:hint="default" w:ascii="Times New Roman" w:hAnsi="Times New Roman" w:cs="Times New Roman"/>
                <w:color w:val="auto"/>
                <w:sz w:val="24"/>
                <w:szCs w:val="24"/>
              </w:rPr>
              <w:t>首次申报项目</w:t>
            </w:r>
          </w:p>
          <w:p w14:paraId="51C892F4">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3BCA157D">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□超五年重新审核项目</w:t>
            </w:r>
          </w:p>
          <w:p w14:paraId="678ED44B">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14:paraId="7316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910" w:type="pct"/>
            <w:vAlign w:val="center"/>
          </w:tcPr>
          <w:p w14:paraId="5D04183A">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w:t>
            </w:r>
          </w:p>
        </w:tc>
        <w:tc>
          <w:tcPr>
            <w:tcW w:w="1522" w:type="pct"/>
            <w:vAlign w:val="center"/>
          </w:tcPr>
          <w:p w14:paraId="55DB1860">
            <w:pPr>
              <w:spacing w:line="276" w:lineRule="auto"/>
              <w:jc w:val="center"/>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淮南市潘集区</w:t>
            </w:r>
            <w:r>
              <w:rPr>
                <w:rFonts w:hint="default" w:ascii="Times New Roman" w:hAnsi="Times New Roman" w:eastAsia="宋体" w:cs="Times New Roman"/>
                <w:color w:val="auto"/>
                <w:sz w:val="24"/>
                <w:szCs w:val="24"/>
                <w:lang w:eastAsia="zh-CN"/>
              </w:rPr>
              <w:t>发展和改革委员会</w:t>
            </w:r>
          </w:p>
        </w:tc>
        <w:tc>
          <w:tcPr>
            <w:tcW w:w="848" w:type="pct"/>
            <w:vAlign w:val="center"/>
          </w:tcPr>
          <w:p w14:paraId="3482E98E">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w:t>
            </w:r>
          </w:p>
        </w:tc>
        <w:tc>
          <w:tcPr>
            <w:tcW w:w="1718" w:type="pct"/>
            <w:vAlign w:val="center"/>
          </w:tcPr>
          <w:p w14:paraId="1E091DF9">
            <w:pPr>
              <w:spacing w:line="276"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179C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50DC32A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522" w:type="pct"/>
            <w:vAlign w:val="center"/>
          </w:tcPr>
          <w:p w14:paraId="47CE90EA">
            <w:pPr>
              <w:spacing w:line="276"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kern w:val="0"/>
                <w:sz w:val="24"/>
                <w:szCs w:val="24"/>
                <w:lang w:val="en-US" w:eastAsia="zh-CN"/>
              </w:rPr>
              <w:t>450</w:t>
            </w:r>
          </w:p>
        </w:tc>
        <w:tc>
          <w:tcPr>
            <w:tcW w:w="848" w:type="pct"/>
            <w:vAlign w:val="center"/>
          </w:tcPr>
          <w:p w14:paraId="10D3A95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w:t>
            </w:r>
          </w:p>
          <w:p w14:paraId="01ECDC72">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1718" w:type="pct"/>
            <w:vAlign w:val="center"/>
          </w:tcPr>
          <w:p w14:paraId="5147D212">
            <w:pPr>
              <w:spacing w:line="276"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31</w:t>
            </w:r>
          </w:p>
        </w:tc>
      </w:tr>
      <w:tr w14:paraId="7F2B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3AEC588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522" w:type="pct"/>
            <w:vAlign w:val="center"/>
          </w:tcPr>
          <w:p w14:paraId="7FEA432A">
            <w:pPr>
              <w:spacing w:line="276"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6.89</w:t>
            </w:r>
          </w:p>
        </w:tc>
        <w:tc>
          <w:tcPr>
            <w:tcW w:w="848" w:type="pct"/>
            <w:vAlign w:val="center"/>
          </w:tcPr>
          <w:p w14:paraId="2C711A93">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1718" w:type="pct"/>
            <w:vAlign w:val="center"/>
          </w:tcPr>
          <w:p w14:paraId="2D31A46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个月</w:t>
            </w:r>
          </w:p>
        </w:tc>
      </w:tr>
      <w:tr w14:paraId="5514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0BCA4AE3">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1522" w:type="pct"/>
            <w:vAlign w:val="center"/>
          </w:tcPr>
          <w:p w14:paraId="2E4EEA13">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4F501523">
            <w:pPr>
              <w:spacing w:line="276"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sz w:val="24"/>
                <w:szCs w:val="24"/>
                <w:u w:val="single"/>
              </w:rPr>
              <w:t xml:space="preserve">  </w:t>
            </w:r>
            <w:r>
              <w:rPr>
                <w:rFonts w:hint="default" w:ascii="Times New Roman" w:hAnsi="Times New Roman" w:cs="Times New Roman"/>
                <w:color w:val="000000"/>
                <w:sz w:val="24"/>
                <w:u w:val="single"/>
              </w:rPr>
              <w:t xml:space="preserve"> </w:t>
            </w:r>
          </w:p>
        </w:tc>
        <w:tc>
          <w:tcPr>
            <w:tcW w:w="848" w:type="pct"/>
            <w:vAlign w:val="center"/>
          </w:tcPr>
          <w:p w14:paraId="579C044F">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用地（用海）</w:t>
            </w:r>
          </w:p>
          <w:p w14:paraId="00F64495">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tc>
        <w:tc>
          <w:tcPr>
            <w:tcW w:w="1718" w:type="pct"/>
            <w:vAlign w:val="center"/>
          </w:tcPr>
          <w:p w14:paraId="247B4BFF">
            <w:pPr>
              <w:spacing w:line="276"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7670.7</w:t>
            </w:r>
          </w:p>
        </w:tc>
      </w:tr>
      <w:tr w14:paraId="37DF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pct"/>
            <w:vAlign w:val="center"/>
          </w:tcPr>
          <w:p w14:paraId="693A6203">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专项评价设置情况</w:t>
            </w:r>
          </w:p>
        </w:tc>
        <w:tc>
          <w:tcPr>
            <w:tcW w:w="4089" w:type="pct"/>
            <w:gridSpan w:val="3"/>
            <w:vAlign w:val="center"/>
          </w:tcPr>
          <w:p w14:paraId="2A6D477A">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tc>
      </w:tr>
      <w:tr w14:paraId="1A9F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10" w:type="pct"/>
            <w:vAlign w:val="center"/>
          </w:tcPr>
          <w:p w14:paraId="1978E8C7">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规划情况</w:t>
            </w:r>
          </w:p>
        </w:tc>
        <w:tc>
          <w:tcPr>
            <w:tcW w:w="4089" w:type="pct"/>
            <w:gridSpan w:val="3"/>
            <w:vAlign w:val="center"/>
          </w:tcPr>
          <w:p w14:paraId="007B9EF9">
            <w:pPr>
              <w:spacing w:line="276"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无</w:t>
            </w:r>
          </w:p>
        </w:tc>
      </w:tr>
      <w:tr w14:paraId="53F2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910" w:type="pct"/>
            <w:vAlign w:val="center"/>
          </w:tcPr>
          <w:p w14:paraId="6E1265D2">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规划环境影响评价情况</w:t>
            </w:r>
          </w:p>
        </w:tc>
        <w:tc>
          <w:tcPr>
            <w:tcW w:w="4089" w:type="pct"/>
            <w:gridSpan w:val="3"/>
            <w:vAlign w:val="center"/>
          </w:tcPr>
          <w:p w14:paraId="21428487">
            <w:pPr>
              <w:spacing w:line="276"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无</w:t>
            </w:r>
          </w:p>
        </w:tc>
      </w:tr>
      <w:tr w14:paraId="4E15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0" w:type="pct"/>
            <w:vAlign w:val="center"/>
          </w:tcPr>
          <w:p w14:paraId="7AE151E0">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规划及规划环境影响评价符合性分析</w:t>
            </w:r>
          </w:p>
        </w:tc>
        <w:tc>
          <w:tcPr>
            <w:tcW w:w="4089" w:type="pct"/>
            <w:gridSpan w:val="3"/>
            <w:vAlign w:val="center"/>
          </w:tcPr>
          <w:p w14:paraId="6BD352CE">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无</w:t>
            </w:r>
          </w:p>
        </w:tc>
      </w:tr>
      <w:tr w14:paraId="5860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 w:type="pct"/>
            <w:vAlign w:val="center"/>
          </w:tcPr>
          <w:p w14:paraId="0E757B42">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其他符合性分析</w:t>
            </w:r>
          </w:p>
        </w:tc>
        <w:tc>
          <w:tcPr>
            <w:tcW w:w="4089" w:type="pct"/>
            <w:gridSpan w:val="3"/>
            <w:vAlign w:val="center"/>
          </w:tcPr>
          <w:p w14:paraId="2EFC2838">
            <w:pPr>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选址论证</w:t>
            </w:r>
            <w:r>
              <w:rPr>
                <w:rFonts w:hint="default" w:ascii="Times New Roman" w:hAnsi="Times New Roman" w:cs="Times New Roman"/>
                <w:b/>
                <w:bCs/>
                <w:color w:val="auto"/>
                <w:sz w:val="24"/>
                <w:lang w:val="en-US" w:eastAsia="zh-CN"/>
              </w:rPr>
              <w:t>分析</w:t>
            </w:r>
          </w:p>
          <w:p w14:paraId="5AC9CA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①用地可行性分析</w:t>
            </w:r>
          </w:p>
          <w:p w14:paraId="19FA59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本项目厂址选择在</w:t>
            </w:r>
            <w:r>
              <w:rPr>
                <w:rFonts w:hint="default" w:ascii="Times New Roman" w:hAnsi="Times New Roman" w:cs="Times New Roman"/>
                <w:b w:val="0"/>
                <w:bCs w:val="0"/>
                <w:color w:val="auto"/>
                <w:sz w:val="24"/>
                <w:szCs w:val="24"/>
                <w:lang w:eastAsia="zh-CN"/>
              </w:rPr>
              <w:t>淮南市潘集区潘集镇地销煤路聚旺公司旁</w:t>
            </w:r>
            <w:r>
              <w:rPr>
                <w:rFonts w:hint="default" w:ascii="Times New Roman" w:hAnsi="Times New Roman" w:cs="Times New Roman"/>
                <w:color w:val="auto"/>
                <w:sz w:val="24"/>
                <w:lang w:val="en-US" w:eastAsia="zh-CN"/>
              </w:rPr>
              <w:t>，占地面积</w:t>
            </w:r>
            <w:r>
              <w:rPr>
                <w:rFonts w:hint="eastAsia" w:ascii="Times New Roman" w:hAnsi="Times New Roman" w:cs="Times New Roman"/>
                <w:color w:val="auto"/>
                <w:sz w:val="24"/>
                <w:szCs w:val="24"/>
                <w:lang w:val="en-US" w:eastAsia="zh-CN"/>
              </w:rPr>
              <w:t>7670.7m</w:t>
            </w:r>
            <w:r>
              <w:rPr>
                <w:rFonts w:hint="eastAsia"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lang w:val="en-US" w:eastAsia="zh-CN"/>
              </w:rPr>
              <w:t>，根据</w:t>
            </w:r>
            <w:r>
              <w:rPr>
                <w:rFonts w:hint="eastAsia" w:ascii="Times New Roman" w:hAnsi="Times New Roman" w:cs="Times New Roman"/>
                <w:color w:val="auto"/>
                <w:sz w:val="24"/>
                <w:lang w:val="en-US" w:eastAsia="zh-CN"/>
              </w:rPr>
              <w:t>淮南市自然资源与规划局出具的不动产权证（皖（2025）淮南市不动产权第0037894号）</w:t>
            </w:r>
            <w:r>
              <w:rPr>
                <w:rFonts w:hint="default" w:ascii="Times New Roman" w:hAnsi="Times New Roman" w:cs="Times New Roman"/>
                <w:color w:val="auto"/>
                <w:sz w:val="24"/>
                <w:lang w:val="en-US" w:eastAsia="zh-CN"/>
              </w:rPr>
              <w:t>，项目用地性质为工业用地，符合当地土地利用规划要求。本项目不占用基本农田，建设地点不位于饮用水源保护区范围内。因此项目用地符合当地用地规划。</w:t>
            </w:r>
          </w:p>
          <w:p w14:paraId="0FED25A4">
            <w:pPr>
              <w:pStyle w:val="11"/>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②</w:t>
            </w:r>
            <w:r>
              <w:rPr>
                <w:rFonts w:hint="default" w:ascii="Times New Roman" w:hAnsi="Times New Roman" w:cs="Times New Roman"/>
                <w:b/>
                <w:bCs/>
                <w:color w:val="auto"/>
                <w:sz w:val="24"/>
                <w:lang w:val="en-US" w:eastAsia="zh-CN"/>
              </w:rPr>
              <w:t>基础设施配套可行性分析</w:t>
            </w:r>
          </w:p>
          <w:p w14:paraId="251B68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项目所在地基础设施较完善，进出道路通畅，市政供水管网、供电线路直达厂区，可满足企业生产需要。</w:t>
            </w:r>
          </w:p>
          <w:p w14:paraId="2137FFE0">
            <w:pPr>
              <w:pStyle w:val="11"/>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rPr>
              <w:t>③</w:t>
            </w:r>
            <w:r>
              <w:rPr>
                <w:rFonts w:hint="default" w:ascii="Times New Roman" w:hAnsi="Times New Roman" w:cs="Times New Roman"/>
                <w:b/>
                <w:bCs/>
                <w:color w:val="auto"/>
                <w:sz w:val="24"/>
                <w:lang w:val="en-US" w:eastAsia="zh-CN"/>
              </w:rPr>
              <w:t>与周边企业环境相容性分析</w:t>
            </w:r>
          </w:p>
          <w:p w14:paraId="67B539A6">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kern w:val="0"/>
                <w:sz w:val="24"/>
                <w:lang w:val="en-US" w:eastAsia="zh-CN"/>
              </w:rPr>
            </w:pPr>
            <w:r>
              <w:rPr>
                <w:rFonts w:hint="default" w:ascii="Times New Roman" w:hAnsi="Times New Roman" w:cs="Times New Roman"/>
                <w:bCs/>
                <w:color w:val="auto"/>
                <w:kern w:val="0"/>
                <w:sz w:val="24"/>
                <w:lang w:val="en-US" w:eastAsia="zh-CN"/>
              </w:rPr>
              <w:t>本项目为粮食加工项目，厂址东侧为</w:t>
            </w:r>
            <w:r>
              <w:rPr>
                <w:rFonts w:hint="eastAsia" w:cs="Times New Roman"/>
                <w:bCs/>
                <w:color w:val="auto"/>
                <w:kern w:val="0"/>
                <w:sz w:val="24"/>
                <w:lang w:val="en-US" w:eastAsia="zh-CN"/>
              </w:rPr>
              <w:t>农田</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Cs/>
                <w:color w:val="auto"/>
                <w:kern w:val="0"/>
                <w:sz w:val="24"/>
                <w:lang w:val="en-US" w:eastAsia="zh-CN"/>
              </w:rPr>
              <w:t>南侧为</w:t>
            </w:r>
            <w:r>
              <w:rPr>
                <w:rFonts w:hint="eastAsia" w:ascii="Times New Roman" w:hAnsi="Times New Roman" w:cs="Times New Roman"/>
                <w:bCs/>
                <w:color w:val="auto"/>
                <w:kern w:val="0"/>
                <w:sz w:val="24"/>
                <w:lang w:val="en-US" w:eastAsia="zh-CN"/>
              </w:rPr>
              <w:t>农田</w:t>
            </w:r>
            <w:r>
              <w:rPr>
                <w:rFonts w:hint="default" w:ascii="Times New Roman" w:hAnsi="Times New Roman" w:cs="Times New Roman"/>
                <w:bCs/>
                <w:color w:val="auto"/>
                <w:kern w:val="0"/>
                <w:sz w:val="24"/>
                <w:lang w:val="en-US" w:eastAsia="zh-CN"/>
              </w:rPr>
              <w:t>，西侧</w:t>
            </w:r>
            <w:r>
              <w:rPr>
                <w:rFonts w:hint="eastAsia" w:ascii="Times New Roman" w:hAnsi="Times New Roman" w:cs="Times New Roman"/>
                <w:bCs/>
                <w:color w:val="auto"/>
                <w:kern w:val="0"/>
                <w:sz w:val="24"/>
                <w:lang w:val="en-US" w:eastAsia="zh-CN"/>
              </w:rPr>
              <w:t>为安徽聚旺实业有限公司，北侧为</w:t>
            </w:r>
            <w:r>
              <w:rPr>
                <w:rFonts w:hint="eastAsia" w:cs="Times New Roman"/>
                <w:bCs/>
                <w:color w:val="auto"/>
                <w:kern w:val="0"/>
                <w:sz w:val="24"/>
                <w:lang w:val="en-US" w:eastAsia="zh-CN"/>
              </w:rPr>
              <w:t>潘集村</w:t>
            </w:r>
            <w:r>
              <w:rPr>
                <w:rFonts w:hint="default" w:ascii="Times New Roman" w:hAnsi="Times New Roman" w:cs="Times New Roman"/>
                <w:bCs/>
                <w:color w:val="auto"/>
                <w:kern w:val="0"/>
                <w:sz w:val="24"/>
                <w:lang w:val="en-US" w:eastAsia="zh-CN"/>
              </w:rPr>
              <w:t>，</w:t>
            </w:r>
            <w:r>
              <w:rPr>
                <w:rFonts w:hint="eastAsia" w:cs="Times New Roman"/>
                <w:bCs/>
                <w:color w:val="auto"/>
                <w:kern w:val="0"/>
                <w:sz w:val="24"/>
                <w:lang w:val="en-US" w:eastAsia="zh-CN"/>
              </w:rPr>
              <w:t>本项目已将厂区东侧距离20m的1栋民房、西侧距离40m处的1栋民房租赁用于员工休息使用，</w:t>
            </w:r>
            <w:r>
              <w:rPr>
                <w:rFonts w:hint="default" w:ascii="Times New Roman" w:hAnsi="Times New Roman" w:cs="Times New Roman"/>
                <w:bCs/>
                <w:color w:val="auto"/>
                <w:kern w:val="0"/>
                <w:sz w:val="24"/>
                <w:lang w:val="en-US" w:eastAsia="zh-CN"/>
              </w:rPr>
              <w:t>厂界周边50m范围内</w:t>
            </w:r>
            <w:r>
              <w:rPr>
                <w:rFonts w:hint="eastAsia" w:cs="Times New Roman"/>
                <w:bCs/>
                <w:color w:val="auto"/>
                <w:kern w:val="0"/>
                <w:sz w:val="24"/>
                <w:lang w:val="en-US" w:eastAsia="zh-CN"/>
              </w:rPr>
              <w:t>不涉及</w:t>
            </w:r>
            <w:r>
              <w:rPr>
                <w:rFonts w:hint="default" w:ascii="Times New Roman" w:hAnsi="Times New Roman" w:cs="Times New Roman"/>
                <w:bCs/>
                <w:color w:val="auto"/>
                <w:kern w:val="0"/>
                <w:sz w:val="24"/>
                <w:lang w:val="en-US" w:eastAsia="zh-CN"/>
              </w:rPr>
              <w:t>环境敏感点。本项目产生的废气主要为稻谷卸料粉尘、大米加工过程中产生的粉尘，产生的噪声主要为设备设施运行过程产生的噪声；项目产生的废气采取旋风除尘器+</w:t>
            </w:r>
            <w:r>
              <w:rPr>
                <w:rFonts w:hint="eastAsia" w:cs="Times New Roman"/>
                <w:bCs/>
                <w:color w:val="auto"/>
                <w:kern w:val="0"/>
                <w:sz w:val="24"/>
                <w:lang w:val="en-US" w:eastAsia="zh-CN"/>
              </w:rPr>
              <w:t>脉冲</w:t>
            </w:r>
            <w:r>
              <w:rPr>
                <w:rFonts w:hint="default" w:ascii="Times New Roman" w:hAnsi="Times New Roman" w:cs="Times New Roman"/>
                <w:bCs/>
                <w:color w:val="auto"/>
                <w:kern w:val="0"/>
                <w:sz w:val="24"/>
                <w:lang w:val="en-US" w:eastAsia="zh-CN"/>
              </w:rPr>
              <w:t>除尘器处理后由15m高排气筒达标排放；项目</w:t>
            </w:r>
            <w:r>
              <w:rPr>
                <w:rFonts w:hint="eastAsia" w:cs="Times New Roman"/>
                <w:bCs/>
                <w:color w:val="auto"/>
                <w:kern w:val="0"/>
                <w:sz w:val="24"/>
                <w:lang w:val="en-US" w:eastAsia="zh-CN"/>
              </w:rPr>
              <w:t>噪声</w:t>
            </w:r>
            <w:r>
              <w:rPr>
                <w:rFonts w:hint="default" w:ascii="Times New Roman" w:hAnsi="Times New Roman" w:cs="Times New Roman"/>
                <w:bCs/>
                <w:color w:val="auto"/>
                <w:kern w:val="0"/>
                <w:sz w:val="24"/>
                <w:lang w:val="en-US" w:eastAsia="zh-CN"/>
              </w:rPr>
              <w:t>通过隔声、减振等措施以降低对外环境的影响。因此，项目的建设对周边环境影响较小，与周边环境相容。</w:t>
            </w:r>
          </w:p>
          <w:p w14:paraId="2868B1E6">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rPr>
            </w:pPr>
            <w:r>
              <w:rPr>
                <w:rFonts w:hint="default" w:ascii="Times New Roman" w:hAnsi="Times New Roman" w:cs="Times New Roman"/>
                <w:bCs/>
                <w:color w:val="auto"/>
                <w:kern w:val="0"/>
                <w:sz w:val="24"/>
                <w:lang w:val="en-US" w:eastAsia="zh-CN"/>
              </w:rPr>
              <w:t>综上</w:t>
            </w:r>
            <w:r>
              <w:rPr>
                <w:rFonts w:hint="eastAsia" w:cs="Times New Roman"/>
                <w:bCs/>
                <w:color w:val="auto"/>
                <w:kern w:val="0"/>
                <w:sz w:val="24"/>
                <w:lang w:val="en-US" w:eastAsia="zh-CN"/>
              </w:rPr>
              <w:t>所述</w:t>
            </w:r>
            <w:r>
              <w:rPr>
                <w:rFonts w:hint="default" w:ascii="Times New Roman" w:hAnsi="Times New Roman" w:cs="Times New Roman"/>
                <w:bCs/>
                <w:color w:val="auto"/>
                <w:kern w:val="0"/>
                <w:sz w:val="24"/>
                <w:lang w:val="en-US" w:eastAsia="zh-CN"/>
              </w:rPr>
              <w:t>，项目选址</w:t>
            </w:r>
            <w:r>
              <w:rPr>
                <w:rFonts w:hint="eastAsia" w:cs="Times New Roman"/>
                <w:bCs/>
                <w:color w:val="auto"/>
                <w:kern w:val="0"/>
                <w:sz w:val="24"/>
                <w:lang w:val="en-US" w:eastAsia="zh-CN"/>
              </w:rPr>
              <w:t>是</w:t>
            </w:r>
            <w:r>
              <w:rPr>
                <w:rFonts w:hint="default" w:ascii="Times New Roman" w:hAnsi="Times New Roman" w:cs="Times New Roman"/>
                <w:bCs/>
                <w:color w:val="auto"/>
                <w:kern w:val="0"/>
                <w:sz w:val="24"/>
                <w:lang w:val="en-US" w:eastAsia="zh-CN"/>
              </w:rPr>
              <w:t>可行</w:t>
            </w:r>
            <w:r>
              <w:rPr>
                <w:rFonts w:hint="eastAsia" w:cs="Times New Roman"/>
                <w:bCs/>
                <w:color w:val="auto"/>
                <w:kern w:val="0"/>
                <w:sz w:val="24"/>
                <w:lang w:val="en-US" w:eastAsia="zh-CN"/>
              </w:rPr>
              <w:t>的</w:t>
            </w:r>
            <w:r>
              <w:rPr>
                <w:rFonts w:hint="default" w:ascii="Times New Roman" w:hAnsi="Times New Roman" w:cs="Times New Roman"/>
                <w:bCs/>
                <w:color w:val="auto"/>
                <w:kern w:val="0"/>
                <w:sz w:val="24"/>
                <w:lang w:val="en-US" w:eastAsia="zh-CN"/>
              </w:rPr>
              <w:t>。</w:t>
            </w:r>
          </w:p>
          <w:p w14:paraId="34BBA152">
            <w:pPr>
              <w:spacing w:line="360" w:lineRule="auto"/>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产业政策符合性分析</w:t>
            </w:r>
          </w:p>
          <w:p w14:paraId="49BCDCF8">
            <w:pPr>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w:t>
            </w:r>
            <w:r>
              <w:rPr>
                <w:rFonts w:hint="default" w:ascii="Times New Roman" w:hAnsi="Times New Roman" w:cs="Times New Roman"/>
                <w:bCs/>
                <w:color w:val="auto"/>
                <w:sz w:val="24"/>
                <w:szCs w:val="24"/>
                <w:lang w:eastAsia="zh-CN"/>
              </w:rPr>
              <w:t>本项目为粮食加工项目，</w:t>
            </w:r>
            <w:r>
              <w:rPr>
                <w:rFonts w:hint="default" w:ascii="Times New Roman" w:hAnsi="Times New Roman" w:cs="Times New Roman"/>
                <w:bCs/>
                <w:color w:val="auto"/>
                <w:sz w:val="24"/>
                <w:szCs w:val="24"/>
              </w:rPr>
              <w:t>对照</w:t>
            </w:r>
            <w:r>
              <w:rPr>
                <w:rFonts w:hint="default" w:ascii="Times New Roman" w:hAnsi="Times New Roman" w:cs="Times New Roman"/>
                <w:bCs/>
                <w:color w:val="auto"/>
                <w:sz w:val="24"/>
                <w:szCs w:val="24"/>
                <w:lang w:eastAsia="zh-CN"/>
              </w:rPr>
              <w:t>《产业结构调整指导目录（2024年本）》</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不</w:t>
            </w:r>
            <w:r>
              <w:rPr>
                <w:rFonts w:hint="default" w:ascii="Times New Roman" w:hAnsi="Times New Roman" w:cs="Times New Roman"/>
                <w:bCs/>
                <w:color w:val="auto"/>
                <w:sz w:val="24"/>
                <w:szCs w:val="24"/>
              </w:rPr>
              <w:t>属于其中的</w:t>
            </w:r>
            <w:r>
              <w:rPr>
                <w:rFonts w:hint="default" w:ascii="Times New Roman" w:hAnsi="Times New Roman" w:cs="Times New Roman"/>
                <w:bCs/>
                <w:color w:val="auto"/>
                <w:sz w:val="24"/>
                <w:szCs w:val="24"/>
                <w:lang w:eastAsia="zh-CN"/>
              </w:rPr>
              <w:t>鼓励类、</w:t>
            </w:r>
            <w:r>
              <w:rPr>
                <w:rFonts w:hint="default" w:ascii="Times New Roman" w:hAnsi="Times New Roman" w:cs="Times New Roman"/>
                <w:bCs/>
                <w:color w:val="auto"/>
                <w:sz w:val="24"/>
                <w:szCs w:val="24"/>
              </w:rPr>
              <w:t>淘汰</w:t>
            </w:r>
            <w:r>
              <w:rPr>
                <w:rFonts w:hint="default" w:ascii="Times New Roman" w:hAnsi="Times New Roman" w:cs="Times New Roman"/>
                <w:bCs/>
                <w:color w:val="auto"/>
                <w:sz w:val="24"/>
                <w:szCs w:val="24"/>
                <w:lang w:eastAsia="zh-CN"/>
              </w:rPr>
              <w:t>类</w:t>
            </w:r>
            <w:r>
              <w:rPr>
                <w:rFonts w:hint="default" w:ascii="Times New Roman" w:hAnsi="Times New Roman" w:cs="Times New Roman"/>
                <w:bCs/>
                <w:color w:val="auto"/>
                <w:sz w:val="24"/>
                <w:szCs w:val="24"/>
              </w:rPr>
              <w:t>与限制类范畴，属于</w:t>
            </w:r>
            <w:r>
              <w:rPr>
                <w:rFonts w:hint="default" w:ascii="Times New Roman" w:hAnsi="Times New Roman" w:cs="Times New Roman"/>
                <w:bCs/>
                <w:color w:val="auto"/>
                <w:sz w:val="24"/>
                <w:szCs w:val="24"/>
                <w:lang w:eastAsia="zh-CN"/>
              </w:rPr>
              <w:t>允许类</w:t>
            </w:r>
            <w:r>
              <w:rPr>
                <w:rFonts w:hint="default" w:ascii="Times New Roman" w:hAnsi="Times New Roman" w:cs="Times New Roman"/>
                <w:bCs/>
                <w:color w:val="auto"/>
                <w:sz w:val="24"/>
                <w:szCs w:val="24"/>
              </w:rPr>
              <w:t>，符合产业政策。</w:t>
            </w:r>
          </w:p>
          <w:p w14:paraId="003B47B0">
            <w:pPr>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对照国家发展改革委商务部市场监管总局关于印发《市场准入负面清单</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》的通知，本项目属于</w:t>
            </w:r>
            <w:r>
              <w:rPr>
                <w:rFonts w:hint="default" w:ascii="Times New Roman" w:hAnsi="Times New Roman" w:cs="Times New Roman"/>
                <w:color w:val="auto"/>
                <w:sz w:val="24"/>
                <w:szCs w:val="24"/>
                <w:lang w:eastAsia="zh-CN"/>
              </w:rPr>
              <w:t>农副产品加工业</w:t>
            </w:r>
            <w:r>
              <w:rPr>
                <w:rFonts w:hint="default" w:ascii="Times New Roman" w:hAnsi="Times New Roman" w:cs="Times New Roman"/>
                <w:bCs/>
                <w:color w:val="auto"/>
                <w:sz w:val="24"/>
                <w:szCs w:val="24"/>
              </w:rPr>
              <w:t>，不属于《市场准入负面清单</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》禁止准入类和许可准入类，对市场准入负面清单以外的行业、领域、业务等，各类市场主体皆可依法平等进入。因此，项目符合《市场准入负面清单</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w:t>
            </w:r>
          </w:p>
          <w:p w14:paraId="74D58BC1">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3</w:t>
            </w:r>
            <w:r>
              <w:rPr>
                <w:rFonts w:hint="default" w:ascii="Times New Roman" w:hAnsi="Times New Roman" w:cs="Times New Roman"/>
                <w:bCs/>
                <w:color w:val="auto"/>
                <w:sz w:val="24"/>
                <w:szCs w:val="24"/>
              </w:rPr>
              <w:t>）本项目已于202</w:t>
            </w:r>
            <w:r>
              <w:rPr>
                <w:rFonts w:hint="eastAsia" w:cs="Times New Roman"/>
                <w:bCs/>
                <w:color w:val="auto"/>
                <w:sz w:val="24"/>
                <w:szCs w:val="24"/>
                <w:lang w:val="en-US" w:eastAsia="zh-CN"/>
              </w:rPr>
              <w:t>6</w:t>
            </w:r>
            <w:r>
              <w:rPr>
                <w:rFonts w:hint="default" w:ascii="Times New Roman" w:hAnsi="Times New Roman" w:cs="Times New Roman"/>
                <w:bCs/>
                <w:color w:val="auto"/>
                <w:sz w:val="24"/>
                <w:szCs w:val="24"/>
              </w:rPr>
              <w:t>年</w:t>
            </w:r>
            <w:r>
              <w:rPr>
                <w:rFonts w:hint="eastAsia" w:cs="Times New Roman"/>
                <w:bCs/>
                <w:color w:val="auto"/>
                <w:sz w:val="24"/>
                <w:szCs w:val="24"/>
                <w:lang w:val="en-US" w:eastAsia="zh-CN"/>
              </w:rPr>
              <w:t>4</w:t>
            </w:r>
            <w:r>
              <w:rPr>
                <w:rFonts w:hint="default" w:ascii="Times New Roman" w:hAnsi="Times New Roman" w:cs="Times New Roman"/>
                <w:bCs/>
                <w:color w:val="auto"/>
                <w:sz w:val="24"/>
                <w:szCs w:val="24"/>
              </w:rPr>
              <w:t>月</w:t>
            </w:r>
            <w:r>
              <w:rPr>
                <w:rFonts w:hint="eastAsia" w:cs="Times New Roman"/>
                <w:bCs/>
                <w:color w:val="auto"/>
                <w:sz w:val="24"/>
                <w:szCs w:val="24"/>
                <w:lang w:val="en-US" w:eastAsia="zh-CN"/>
              </w:rPr>
              <w:t>3</w:t>
            </w:r>
            <w:r>
              <w:rPr>
                <w:rFonts w:hint="default" w:ascii="Times New Roman" w:hAnsi="Times New Roman" w:cs="Times New Roman"/>
                <w:bCs/>
                <w:color w:val="auto"/>
                <w:sz w:val="24"/>
                <w:szCs w:val="24"/>
              </w:rPr>
              <w:t>日获得</w:t>
            </w:r>
            <w:r>
              <w:rPr>
                <w:rFonts w:hint="eastAsia" w:cs="Times New Roman"/>
                <w:bCs/>
                <w:color w:val="auto"/>
                <w:sz w:val="24"/>
                <w:szCs w:val="24"/>
                <w:lang w:val="en-US" w:eastAsia="zh-CN"/>
              </w:rPr>
              <w:t>淮南市潘集区</w:t>
            </w:r>
            <w:r>
              <w:rPr>
                <w:rFonts w:hint="default" w:ascii="Times New Roman" w:hAnsi="Times New Roman" w:cs="Times New Roman"/>
                <w:bCs/>
                <w:color w:val="auto"/>
                <w:sz w:val="24"/>
                <w:szCs w:val="24"/>
                <w:lang w:eastAsia="zh-CN"/>
              </w:rPr>
              <w:t>发展和改革委员会</w:t>
            </w:r>
            <w:r>
              <w:rPr>
                <w:rFonts w:hint="default" w:ascii="Times New Roman" w:hAnsi="Times New Roman" w:cs="Times New Roman"/>
                <w:bCs/>
                <w:color w:val="auto"/>
                <w:sz w:val="24"/>
                <w:szCs w:val="24"/>
              </w:rPr>
              <w:t>备案</w:t>
            </w:r>
            <w:r>
              <w:rPr>
                <w:rFonts w:hint="eastAsia" w:cs="Times New Roman"/>
                <w:bCs/>
                <w:color w:val="auto"/>
                <w:sz w:val="24"/>
                <w:szCs w:val="24"/>
                <w:lang w:val="en-US" w:eastAsia="zh-CN"/>
              </w:rPr>
              <w:t>表</w:t>
            </w:r>
            <w:r>
              <w:rPr>
                <w:rFonts w:hint="default" w:ascii="Times New Roman" w:hAnsi="Times New Roman" w:cs="Times New Roman"/>
                <w:bCs/>
                <w:color w:val="auto"/>
                <w:sz w:val="24"/>
                <w:szCs w:val="24"/>
              </w:rPr>
              <w:t>（项目代码：</w:t>
            </w:r>
            <w:r>
              <w:rPr>
                <w:rFonts w:hint="default" w:ascii="Times New Roman" w:hAnsi="Times New Roman" w:cs="Times New Roman"/>
                <w:color w:val="auto"/>
                <w:sz w:val="24"/>
                <w:szCs w:val="24"/>
                <w:lang w:val="en-US" w:eastAsia="zh-CN"/>
              </w:rPr>
              <w:t>2604-340406-04-01-794474</w:t>
            </w:r>
            <w:r>
              <w:rPr>
                <w:rFonts w:hint="default" w:ascii="Times New Roman" w:hAnsi="Times New Roman" w:cs="Times New Roman"/>
                <w:bCs/>
                <w:color w:val="auto"/>
                <w:sz w:val="24"/>
                <w:szCs w:val="24"/>
              </w:rPr>
              <w:t>），因此本项目符合产业政策。</w:t>
            </w:r>
          </w:p>
          <w:p w14:paraId="43D383A1">
            <w:pPr>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综上所述，拟建项目符合国家和地方产业政策。</w:t>
            </w:r>
          </w:p>
          <w:p w14:paraId="237609F7">
            <w:pPr>
              <w:spacing w:line="360" w:lineRule="auto"/>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与</w:t>
            </w:r>
            <w:r>
              <w:rPr>
                <w:rFonts w:hint="default" w:ascii="Times New Roman" w:hAnsi="Times New Roman" w:cs="Times New Roman"/>
                <w:b/>
                <w:color w:val="auto"/>
                <w:sz w:val="24"/>
                <w:szCs w:val="24"/>
                <w:lang w:val="en-US" w:eastAsia="zh-CN"/>
              </w:rPr>
              <w:t>生态环境分区管控相符性分析</w:t>
            </w:r>
          </w:p>
          <w:p w14:paraId="30C732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根据《关于以改善环境质量为核心加强环境影响评价管理的通知》（环环评</w:t>
            </w:r>
            <w:r>
              <w:rPr>
                <w:rFonts w:hint="default" w:ascii="Times New Roman" w:hAnsi="Times New Roman" w:cs="Times New Roman"/>
                <w:color w:val="auto"/>
                <w:sz w:val="24"/>
                <w:szCs w:val="24"/>
                <w:lang w:eastAsia="zh-CN"/>
              </w:rPr>
              <w:t>〔2016〕150号</w:t>
            </w:r>
            <w:r>
              <w:rPr>
                <w:rFonts w:hint="default" w:ascii="Times New Roman" w:hAnsi="Times New Roman" w:eastAsia="宋体" w:cs="Times New Roman"/>
                <w:color w:val="auto"/>
                <w:sz w:val="24"/>
                <w:szCs w:val="24"/>
                <w:lang w:eastAsia="zh-CN"/>
              </w:rPr>
              <w:t>）要求，切实加强环境影响评价管理，落实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生态保护红线、环境质量底线、资源利用上线和环境准入负面清单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约束，建立项目环评审批与规划、现有项目环境管理、区域环境质量联动机制，更好地发挥环评制度从源头防范环境污染和生态破坏的作用</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推进改善环境质量。本项目与</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符合性</w:t>
            </w:r>
            <w:r>
              <w:rPr>
                <w:rFonts w:hint="default" w:ascii="Times New Roman" w:hAnsi="Times New Roman" w:eastAsia="宋体" w:cs="Times New Roman"/>
                <w:color w:val="auto"/>
                <w:sz w:val="24"/>
                <w:szCs w:val="24"/>
                <w:lang w:val="en-US" w:eastAsia="zh-CN"/>
              </w:rPr>
              <w:t>分析</w:t>
            </w:r>
            <w:r>
              <w:rPr>
                <w:rFonts w:hint="default" w:ascii="Times New Roman" w:hAnsi="Times New Roman" w:eastAsia="宋体" w:cs="Times New Roman"/>
                <w:color w:val="auto"/>
                <w:sz w:val="24"/>
                <w:szCs w:val="24"/>
                <w:lang w:eastAsia="zh-CN"/>
              </w:rPr>
              <w:t>见下表。</w:t>
            </w:r>
          </w:p>
          <w:p w14:paraId="6FC17C0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highlight w:val="none"/>
                <w:lang w:val="zh-CN"/>
              </w:rPr>
              <w:t>“三线一单”符合性分析一览表</w:t>
            </w:r>
          </w:p>
          <w:tbl>
            <w:tblPr>
              <w:tblStyle w:val="46"/>
              <w:tblW w:w="7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2973"/>
              <w:gridCol w:w="3397"/>
              <w:gridCol w:w="648"/>
            </w:tblGrid>
            <w:tr w14:paraId="39AF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Align w:val="center"/>
                </w:tcPr>
                <w:p w14:paraId="5138F27A">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内容</w:t>
                  </w:r>
                </w:p>
              </w:tc>
              <w:tc>
                <w:tcPr>
                  <w:tcW w:w="2973" w:type="dxa"/>
                  <w:vAlign w:val="center"/>
                </w:tcPr>
                <w:p w14:paraId="51559D90">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文件要求</w:t>
                  </w:r>
                </w:p>
              </w:tc>
              <w:tc>
                <w:tcPr>
                  <w:tcW w:w="3397" w:type="dxa"/>
                  <w:vAlign w:val="center"/>
                </w:tcPr>
                <w:p w14:paraId="60B7DFE0">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sz w:val="21"/>
                      <w:szCs w:val="21"/>
                    </w:rPr>
                    <w:t>本项目情况</w:t>
                  </w:r>
                </w:p>
              </w:tc>
              <w:tc>
                <w:tcPr>
                  <w:tcW w:w="648" w:type="dxa"/>
                  <w:vAlign w:val="center"/>
                </w:tcPr>
                <w:p w14:paraId="466FF555">
                  <w:pPr>
                    <w:spacing w:line="360" w:lineRule="exact"/>
                    <w:jc w:val="center"/>
                    <w:rPr>
                      <w:rFonts w:hint="eastAsia" w:ascii="Times New Roman" w:hAnsi="Times New Roman" w:eastAsia="宋体" w:cs="Times New Roman"/>
                      <w:b/>
                      <w:bCs w:val="0"/>
                      <w:color w:val="auto"/>
                      <w:kern w:val="0"/>
                      <w:sz w:val="21"/>
                      <w:szCs w:val="21"/>
                      <w:lang w:val="en-US" w:eastAsia="zh-CN"/>
                    </w:rPr>
                  </w:pPr>
                  <w:r>
                    <w:rPr>
                      <w:rFonts w:hint="eastAsia" w:cs="Times New Roman"/>
                      <w:b/>
                      <w:bCs w:val="0"/>
                      <w:color w:val="auto"/>
                      <w:kern w:val="0"/>
                      <w:sz w:val="21"/>
                      <w:szCs w:val="21"/>
                      <w:lang w:val="en-US" w:eastAsia="zh-CN"/>
                    </w:rPr>
                    <w:t>符合性</w:t>
                  </w:r>
                </w:p>
              </w:tc>
            </w:tr>
            <w:tr w14:paraId="61A2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571" w:type="dxa"/>
                  <w:vAlign w:val="center"/>
                </w:tcPr>
                <w:p w14:paraId="22625628">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生态保护红线</w:t>
                  </w:r>
                </w:p>
              </w:tc>
              <w:tc>
                <w:tcPr>
                  <w:tcW w:w="2973" w:type="dxa"/>
                  <w:vAlign w:val="center"/>
                </w:tcPr>
                <w:p w14:paraId="3C4F27F9">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生态保护红线是生态空间范围内具有特殊重要生态功能必须实行强制性严格保护的区域。在生态保护红线范围内，严控各类开发建设活动，依法不予审批新建工业项目和矿产开发</w:t>
                  </w:r>
                </w:p>
              </w:tc>
              <w:tc>
                <w:tcPr>
                  <w:tcW w:w="3397" w:type="dxa"/>
                  <w:vAlign w:val="center"/>
                </w:tcPr>
                <w:p w14:paraId="545B44BB">
                  <w:pPr>
                    <w:spacing w:line="360" w:lineRule="exact"/>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rPr>
                    <w:t>本项目位于</w:t>
                  </w:r>
                  <w:r>
                    <w:rPr>
                      <w:rFonts w:hint="default" w:ascii="Times New Roman" w:hAnsi="Times New Roman" w:cs="Times New Roman"/>
                      <w:bCs/>
                      <w:color w:val="auto"/>
                      <w:kern w:val="0"/>
                      <w:sz w:val="21"/>
                      <w:szCs w:val="21"/>
                      <w:lang w:eastAsia="zh-CN"/>
                    </w:rPr>
                    <w:t>淮南市潘集区潘集镇地销煤路聚旺公司旁</w:t>
                  </w:r>
                  <w:r>
                    <w:rPr>
                      <w:rFonts w:hint="default" w:ascii="Times New Roman" w:hAnsi="Times New Roman" w:eastAsia="宋体" w:cs="Times New Roman"/>
                      <w:bCs/>
                      <w:color w:val="auto"/>
                      <w:kern w:val="0"/>
                      <w:sz w:val="21"/>
                      <w:szCs w:val="21"/>
                    </w:rPr>
                    <w:t>，对照</w:t>
                  </w:r>
                  <w:r>
                    <w:rPr>
                      <w:rFonts w:hint="eastAsia"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三区三线</w:t>
                  </w:r>
                  <w:r>
                    <w:rPr>
                      <w:rFonts w:hint="eastAsia"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划定成果，本项目用地不占用生态保护红线（</w:t>
                  </w:r>
                  <w:r>
                    <w:rPr>
                      <w:rFonts w:hint="default" w:ascii="Times New Roman" w:hAnsi="Times New Roman" w:eastAsia="宋体" w:cs="Times New Roman"/>
                      <w:bCs/>
                      <w:color w:val="auto"/>
                      <w:kern w:val="0"/>
                      <w:sz w:val="21"/>
                      <w:szCs w:val="21"/>
                      <w:lang w:val="en-US" w:eastAsia="zh-CN"/>
                    </w:rPr>
                    <w:t>详见</w:t>
                  </w:r>
                  <w:r>
                    <w:rPr>
                      <w:rFonts w:hint="default" w:ascii="Times New Roman" w:hAnsi="Times New Roman" w:eastAsia="宋体" w:cs="Times New Roman"/>
                      <w:bCs/>
                      <w:color w:val="auto"/>
                      <w:kern w:val="0"/>
                      <w:sz w:val="21"/>
                      <w:szCs w:val="21"/>
                    </w:rPr>
                    <w:t>附图</w:t>
                  </w:r>
                  <w:r>
                    <w:rPr>
                      <w:rFonts w:hint="eastAsia" w:cs="Times New Roman"/>
                      <w:bCs/>
                      <w:color w:val="auto"/>
                      <w:kern w:val="0"/>
                      <w:sz w:val="21"/>
                      <w:szCs w:val="21"/>
                      <w:lang w:val="en-US" w:eastAsia="zh-CN"/>
                    </w:rPr>
                    <w:t>6</w:t>
                  </w: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val="en-US" w:eastAsia="zh-CN"/>
                    </w:rPr>
                    <w:t>因此本项目符合生态保护红线要求</w:t>
                  </w:r>
                  <w:r>
                    <w:rPr>
                      <w:rFonts w:hint="default" w:ascii="Times New Roman" w:hAnsi="Times New Roman" w:eastAsia="宋体" w:cs="Times New Roman"/>
                      <w:bCs/>
                      <w:color w:val="auto"/>
                      <w:kern w:val="0"/>
                      <w:sz w:val="21"/>
                      <w:szCs w:val="21"/>
                    </w:rPr>
                    <w:t>。</w:t>
                  </w:r>
                </w:p>
              </w:tc>
              <w:tc>
                <w:tcPr>
                  <w:tcW w:w="648" w:type="dxa"/>
                  <w:vAlign w:val="center"/>
                </w:tcPr>
                <w:p w14:paraId="3FA51DBA">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13E2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Align w:val="center"/>
                </w:tcPr>
                <w:p w14:paraId="4A923143">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环境质量</w:t>
                  </w:r>
                  <w:r>
                    <w:rPr>
                      <w:rFonts w:hint="default" w:ascii="Times New Roman" w:hAnsi="Times New Roman" w:cs="Times New Roman"/>
                      <w:color w:val="auto"/>
                      <w:sz w:val="21"/>
                      <w:szCs w:val="21"/>
                      <w:lang w:eastAsia="zh-CN"/>
                    </w:rPr>
                    <w:t>底线</w:t>
                  </w:r>
                </w:p>
              </w:tc>
              <w:tc>
                <w:tcPr>
                  <w:tcW w:w="2973" w:type="dxa"/>
                  <w:vAlign w:val="center"/>
                </w:tcPr>
                <w:p w14:paraId="754A06A4">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397" w:type="dxa"/>
                  <w:vAlign w:val="center"/>
                </w:tcPr>
                <w:p w14:paraId="34ADD7D8">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zh-CN" w:eastAsia="zh-CN"/>
                    </w:rPr>
                    <w:t>根据《2024年淮南市环境质量状况公报》统计结果，</w:t>
                  </w: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年淮南市的PM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评价指标不能满足《环境空气质量标准》（GB3095-2012）的二级标准限值要求，项目所在区域为不达标区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年淮南市的</w:t>
                  </w:r>
                  <w:r>
                    <w:rPr>
                      <w:color w:val="auto"/>
                      <w:sz w:val="21"/>
                      <w:szCs w:val="21"/>
                    </w:rPr>
                    <w:t>PM</w:t>
                  </w:r>
                  <w:r>
                    <w:rPr>
                      <w:color w:val="auto"/>
                      <w:sz w:val="21"/>
                      <w:szCs w:val="21"/>
                      <w:vertAlign w:val="subscript"/>
                    </w:rPr>
                    <w:t>10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评价指标不能满足《环境空气质量标准》（</w:t>
                  </w:r>
                  <w:r>
                    <w:rPr>
                      <w:rFonts w:hint="default" w:ascii="Times New Roman" w:hAnsi="Times New Roman" w:eastAsia="宋体" w:cs="Times New Roman"/>
                      <w:color w:val="auto"/>
                      <w:sz w:val="21"/>
                      <w:szCs w:val="21"/>
                      <w:highlight w:val="none"/>
                      <w:lang w:eastAsia="zh-CN"/>
                    </w:rPr>
                    <w:t>GB3095-2026</w:t>
                  </w:r>
                  <w:r>
                    <w:rPr>
                      <w:rFonts w:hint="default" w:ascii="Times New Roman" w:hAnsi="Times New Roman" w:eastAsia="宋体" w:cs="Times New Roman"/>
                      <w:color w:val="auto"/>
                      <w:sz w:val="21"/>
                      <w:szCs w:val="21"/>
                      <w:highlight w:val="none"/>
                    </w:rPr>
                    <w:t>）中</w:t>
                  </w:r>
                  <w:r>
                    <w:rPr>
                      <w:rFonts w:hint="default" w:ascii="Times New Roman" w:hAnsi="Times New Roman" w:eastAsia="宋体" w:cs="Times New Roman"/>
                      <w:color w:val="auto"/>
                      <w:sz w:val="21"/>
                      <w:szCs w:val="21"/>
                      <w:highlight w:val="none"/>
                      <w:lang w:val="en-US" w:eastAsia="zh-CN"/>
                    </w:rPr>
                    <w:t>过渡阶段</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二级标准限值要求，</w:t>
                  </w:r>
                  <w:r>
                    <w:rPr>
                      <w:rFonts w:hint="default" w:ascii="Times New Roman" w:hAnsi="Times New Roman" w:eastAsia="宋体" w:cs="Times New Roman"/>
                      <w:b w:val="0"/>
                      <w:bCs w:val="0"/>
                      <w:color w:val="auto"/>
                      <w:sz w:val="21"/>
                      <w:szCs w:val="21"/>
                      <w:highlight w:val="none"/>
                    </w:rPr>
                    <w:t>二氧化硫、二氧化氮、一氧化碳、臭氧</w:t>
                  </w:r>
                  <w:r>
                    <w:rPr>
                      <w:rFonts w:hint="default" w:ascii="Times New Roman" w:hAnsi="Times New Roman" w:eastAsia="宋体" w:cs="Times New Roman"/>
                      <w:color w:val="auto"/>
                      <w:sz w:val="21"/>
                      <w:szCs w:val="21"/>
                      <w:highlight w:val="none"/>
                      <w:lang w:val="zh-CN" w:eastAsia="zh-CN"/>
                    </w:rPr>
                    <w:t>满足《环境空气质量标准》（GB3095-2026）中过渡阶段的二级标准限值要求</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kern w:val="0"/>
                      <w:sz w:val="21"/>
                      <w:szCs w:val="21"/>
                      <w:lang w:val="zh-CN" w:eastAsia="zh-CN"/>
                    </w:rPr>
                    <w:t>对此淮南市生态环境局采取一系列措施努力做到环境空气质量的改善。</w:t>
                  </w:r>
                  <w:r>
                    <w:rPr>
                      <w:rFonts w:hint="eastAsia" w:cs="Times New Roman"/>
                      <w:bCs/>
                      <w:color w:val="auto"/>
                      <w:kern w:val="0"/>
                      <w:sz w:val="21"/>
                      <w:szCs w:val="21"/>
                      <w:lang w:val="en-US" w:eastAsia="zh-CN"/>
                    </w:rPr>
                    <w:t>泥河</w:t>
                  </w:r>
                  <w:r>
                    <w:rPr>
                      <w:rFonts w:hint="default" w:ascii="Times New Roman" w:hAnsi="Times New Roman" w:eastAsia="宋体" w:cs="Times New Roman"/>
                      <w:bCs/>
                      <w:color w:val="auto"/>
                      <w:kern w:val="0"/>
                      <w:sz w:val="21"/>
                      <w:szCs w:val="21"/>
                      <w:lang w:val="zh-CN" w:eastAsia="zh-CN"/>
                    </w:rPr>
                    <w:t>水质满足《地表水环境质量标准》（GB3838-2002）中</w:t>
                  </w:r>
                  <w:r>
                    <w:rPr>
                      <w:rFonts w:hint="default" w:ascii="Times New Roman" w:hAnsi="Times New Roman" w:cs="Times New Roman"/>
                      <w:bCs/>
                      <w:color w:val="auto"/>
                      <w:kern w:val="0"/>
                      <w:sz w:val="21"/>
                      <w:szCs w:val="21"/>
                      <w:lang w:val="en-US" w:eastAsia="zh-CN"/>
                    </w:rPr>
                    <w:t>Ⅲ</w:t>
                  </w:r>
                  <w:r>
                    <w:rPr>
                      <w:rFonts w:hint="default" w:ascii="Times New Roman" w:hAnsi="Times New Roman" w:eastAsia="宋体" w:cs="Times New Roman"/>
                      <w:bCs/>
                      <w:color w:val="auto"/>
                      <w:kern w:val="0"/>
                      <w:sz w:val="21"/>
                      <w:szCs w:val="21"/>
                      <w:lang w:val="zh-CN" w:eastAsia="zh-CN"/>
                    </w:rPr>
                    <w:t>类标准要求。本项目废水、废气、固体废物均得到合理处置，噪声对周边影响较小，不会突破项目所在地的环境质量底线</w:t>
                  </w:r>
                </w:p>
              </w:tc>
              <w:tc>
                <w:tcPr>
                  <w:tcW w:w="648" w:type="dxa"/>
                  <w:vAlign w:val="center"/>
                </w:tcPr>
                <w:p w14:paraId="54112C48">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5D42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Align w:val="center"/>
                </w:tcPr>
                <w:p w14:paraId="7579A65B">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资源利用上线</w:t>
                  </w:r>
                </w:p>
              </w:tc>
              <w:tc>
                <w:tcPr>
                  <w:tcW w:w="2973" w:type="dxa"/>
                  <w:vAlign w:val="center"/>
                </w:tcPr>
                <w:p w14:paraId="232661AA">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依据有关资源利用上线要求，即各地区能源、水、土地等资源消耗是不得突破的“天花板”</w:t>
                  </w:r>
                </w:p>
              </w:tc>
              <w:tc>
                <w:tcPr>
                  <w:tcW w:w="3397" w:type="dxa"/>
                  <w:vAlign w:val="center"/>
                </w:tcPr>
                <w:p w14:paraId="3491469B">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本项目所使用的资源能源主要为水、电能等，物耗及能耗水平较低。工艺设备选用了高效、先进的设备，提高了生产效率，通过内部管理、设备选择、原辅材料的选用和管理、废物回收利用、污染治理等方面采取合理可行的防治措施，以“节能、降耗、减污”为目标，有效</w:t>
                  </w:r>
                  <w:r>
                    <w:rPr>
                      <w:rFonts w:hint="default" w:ascii="Times New Roman" w:hAnsi="Times New Roman" w:cs="Times New Roman"/>
                      <w:color w:val="auto"/>
                      <w:sz w:val="21"/>
                      <w:szCs w:val="21"/>
                      <w:lang w:eastAsia="zh-CN"/>
                    </w:rPr>
                    <w:t>地</w:t>
                  </w:r>
                  <w:r>
                    <w:rPr>
                      <w:rFonts w:hint="default" w:ascii="Times New Roman" w:hAnsi="Times New Roman" w:eastAsia="宋体" w:cs="Times New Roman"/>
                      <w:color w:val="auto"/>
                      <w:sz w:val="21"/>
                      <w:szCs w:val="21"/>
                    </w:rPr>
                    <w:t>控制污染。项目的水、电等资源利用不会突破区域的资源利用上线</w:t>
                  </w:r>
                </w:p>
              </w:tc>
              <w:tc>
                <w:tcPr>
                  <w:tcW w:w="648" w:type="dxa"/>
                  <w:vAlign w:val="center"/>
                </w:tcPr>
                <w:p w14:paraId="51CCB2F8">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6EC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Align w:val="center"/>
                </w:tcPr>
                <w:p w14:paraId="177D5FE0">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环境准入负面清单</w:t>
                  </w:r>
                </w:p>
              </w:tc>
              <w:tc>
                <w:tcPr>
                  <w:tcW w:w="2973" w:type="dxa"/>
                  <w:vAlign w:val="center"/>
                </w:tcPr>
                <w:p w14:paraId="552CD3F4">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397" w:type="dxa"/>
                  <w:vAlign w:val="center"/>
                </w:tcPr>
                <w:p w14:paraId="011DF09C">
                  <w:pPr>
                    <w:spacing w:line="360" w:lineRule="exact"/>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sz w:val="21"/>
                      <w:szCs w:val="21"/>
                      <w:lang w:eastAsia="zh-CN"/>
                    </w:rPr>
                    <w:t>本项目为</w:t>
                  </w:r>
                  <w:r>
                    <w:rPr>
                      <w:rFonts w:hint="default" w:ascii="Times New Roman" w:hAnsi="Times New Roman" w:eastAsia="宋体" w:cs="Times New Roman"/>
                      <w:color w:val="auto"/>
                      <w:sz w:val="21"/>
                      <w:szCs w:val="21"/>
                      <w:lang w:val="en-US" w:eastAsia="zh-CN"/>
                    </w:rPr>
                    <w:t>C1311稻谷加工，已于2026年4月3日获得淮南市潘集区发展和改革委员会备案表（项目代码：2604-340406-04-01-794474）</w:t>
                  </w:r>
                  <w:r>
                    <w:rPr>
                      <w:rFonts w:hint="default" w:ascii="Times New Roman" w:hAnsi="Times New Roman" w:eastAsia="宋体" w:cs="Times New Roman"/>
                      <w:bCs/>
                      <w:color w:val="auto"/>
                      <w:kern w:val="0"/>
                      <w:sz w:val="21"/>
                      <w:szCs w:val="21"/>
                      <w:lang w:eastAsia="zh-CN"/>
                    </w:rPr>
                    <w:t>。因此，该项目符合国家、地方产业政策。</w:t>
                  </w:r>
                </w:p>
              </w:tc>
              <w:tc>
                <w:tcPr>
                  <w:tcW w:w="648" w:type="dxa"/>
                  <w:vAlign w:val="center"/>
                </w:tcPr>
                <w:p w14:paraId="3EE769CE">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bl>
          <w:p w14:paraId="50E3CA4A">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val="0"/>
                <w:bCs w:val="0"/>
                <w:color w:val="auto"/>
                <w:sz w:val="24"/>
                <w:szCs w:val="24"/>
                <w:lang w:val="en-US"/>
              </w:rPr>
              <w:t>综上，</w:t>
            </w: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rPr>
              <w:t>项目符合《关于以改善环境质量为核心加强环境影响评价管理的通知》（环环评</w:t>
            </w:r>
            <w:r>
              <w:rPr>
                <w:rFonts w:hint="default" w:ascii="Times New Roman" w:hAnsi="Times New Roman" w:cs="Times New Roman"/>
                <w:b w:val="0"/>
                <w:bCs w:val="0"/>
                <w:color w:val="auto"/>
                <w:sz w:val="24"/>
                <w:szCs w:val="24"/>
                <w:lang w:val="en-US" w:eastAsia="zh-CN"/>
              </w:rPr>
              <w:t>〔2016〕150号</w:t>
            </w:r>
            <w:r>
              <w:rPr>
                <w:rFonts w:hint="default" w:ascii="Times New Roman" w:hAnsi="Times New Roman" w:eastAsia="宋体" w:cs="Times New Roman"/>
                <w:b w:val="0"/>
                <w:bCs w:val="0"/>
                <w:color w:val="auto"/>
                <w:sz w:val="24"/>
                <w:szCs w:val="24"/>
                <w:lang w:val="en-US"/>
              </w:rPr>
              <w:t>）中“三线一单”</w:t>
            </w:r>
            <w:r>
              <w:rPr>
                <w:rFonts w:hint="default" w:ascii="Times New Roman" w:hAnsi="Times New Roman" w:eastAsia="宋体" w:cs="Times New Roman"/>
                <w:b w:val="0"/>
                <w:bCs w:val="0"/>
                <w:color w:val="auto"/>
                <w:sz w:val="24"/>
                <w:szCs w:val="24"/>
                <w:lang w:val="en-US" w:eastAsia="zh-CN"/>
              </w:rPr>
              <w:t>的</w:t>
            </w:r>
            <w:r>
              <w:rPr>
                <w:rFonts w:hint="default" w:ascii="Times New Roman" w:hAnsi="Times New Roman" w:eastAsia="宋体" w:cs="Times New Roman"/>
                <w:b w:val="0"/>
                <w:bCs w:val="0"/>
                <w:color w:val="auto"/>
                <w:sz w:val="24"/>
                <w:szCs w:val="24"/>
                <w:lang w:val="en-US"/>
              </w:rPr>
              <w:t>相关要求。</w:t>
            </w:r>
          </w:p>
        </w:tc>
      </w:tr>
    </w:tbl>
    <w:p w14:paraId="580C50FA">
      <w:pPr>
        <w:rPr>
          <w:rFonts w:hint="eastAsia" w:eastAsia="黑体"/>
          <w:b/>
          <w:bCs/>
          <w:color w:val="auto"/>
          <w:sz w:val="30"/>
          <w:szCs w:val="24"/>
        </w:rPr>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linePitch="312" w:charSpace="0"/>
        </w:sectPr>
      </w:pPr>
    </w:p>
    <w:tbl>
      <w:tblPr>
        <w:tblStyle w:val="47"/>
        <w:tblW w:w="13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3201"/>
      </w:tblGrid>
      <w:tr w14:paraId="2C2C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Align w:val="center"/>
          </w:tcPr>
          <w:p w14:paraId="76F375F9">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4"/>
                <w:szCs w:val="32"/>
                <w:vertAlign w:val="baseline"/>
                <w:lang w:val="en-US" w:eastAsia="zh-CN"/>
              </w:rPr>
            </w:pPr>
            <w:r>
              <w:rPr>
                <w:rFonts w:hint="eastAsia"/>
                <w:color w:val="auto"/>
                <w:sz w:val="24"/>
                <w:szCs w:val="24"/>
              </w:rPr>
              <w:t>其他符合性分析</w:t>
            </w:r>
          </w:p>
        </w:tc>
        <w:tc>
          <w:tcPr>
            <w:tcW w:w="13201" w:type="dxa"/>
          </w:tcPr>
          <w:p w14:paraId="516D8CFC">
            <w:pPr>
              <w:pStyle w:val="75"/>
              <w:bidi w:val="0"/>
              <w:spacing w:line="240" w:lineRule="auto"/>
              <w:rPr>
                <w:rFonts w:hint="default" w:ascii="Times New Roman" w:hAnsi="Times New Roman" w:eastAsia="宋体" w:cs="Times New Roman"/>
                <w:b/>
                <w:bCs/>
                <w:color w:val="auto"/>
                <w:sz w:val="21"/>
                <w:szCs w:val="16"/>
                <w:lang w:val="en-US" w:eastAsia="zh-CN"/>
              </w:rPr>
            </w:pPr>
            <w:r>
              <w:rPr>
                <w:rFonts w:hint="default" w:ascii="Times New Roman" w:hAnsi="Times New Roman" w:eastAsia="宋体" w:cs="Times New Roman"/>
                <w:b/>
                <w:bCs/>
                <w:color w:val="auto"/>
                <w:sz w:val="21"/>
                <w:szCs w:val="16"/>
                <w:lang w:val="en-US" w:eastAsia="zh-CN"/>
              </w:rPr>
              <w:t>表1-</w:t>
            </w:r>
            <w:r>
              <w:rPr>
                <w:rFonts w:hint="eastAsia" w:ascii="Times New Roman" w:hAnsi="Times New Roman" w:eastAsia="宋体" w:cs="Times New Roman"/>
                <w:b/>
                <w:bCs/>
                <w:color w:val="auto"/>
                <w:sz w:val="21"/>
                <w:szCs w:val="16"/>
                <w:lang w:val="en-US" w:eastAsia="zh-CN"/>
              </w:rPr>
              <w:t xml:space="preserve">2  </w:t>
            </w:r>
            <w:r>
              <w:rPr>
                <w:rFonts w:hint="default" w:ascii="Times New Roman" w:hAnsi="Times New Roman" w:eastAsia="宋体" w:cs="Times New Roman"/>
                <w:b/>
                <w:bCs/>
                <w:color w:val="auto"/>
                <w:sz w:val="21"/>
                <w:szCs w:val="16"/>
              </w:rPr>
              <w:t>《长江经济带战略环境评价</w:t>
            </w:r>
            <w:r>
              <w:rPr>
                <w:rFonts w:hint="default" w:ascii="Times New Roman" w:hAnsi="Times New Roman" w:eastAsia="宋体" w:cs="Times New Roman"/>
                <w:b/>
                <w:bCs/>
                <w:color w:val="auto"/>
                <w:sz w:val="21"/>
                <w:szCs w:val="16"/>
                <w:lang w:eastAsia="zh-CN"/>
              </w:rPr>
              <w:t>淮南市“</w:t>
            </w:r>
            <w:r>
              <w:rPr>
                <w:rFonts w:hint="default" w:ascii="Times New Roman" w:hAnsi="Times New Roman" w:eastAsia="宋体" w:cs="Times New Roman"/>
                <w:b/>
                <w:bCs/>
                <w:color w:val="auto"/>
                <w:sz w:val="21"/>
                <w:szCs w:val="16"/>
              </w:rPr>
              <w:t>三线一单</w:t>
            </w:r>
            <w:r>
              <w:rPr>
                <w:rFonts w:hint="default" w:ascii="Times New Roman" w:hAnsi="Times New Roman" w:eastAsia="宋体" w:cs="Times New Roman"/>
                <w:b/>
                <w:bCs/>
                <w:color w:val="auto"/>
                <w:sz w:val="21"/>
                <w:szCs w:val="16"/>
                <w:lang w:eastAsia="zh-CN"/>
              </w:rPr>
              <w:t>”</w:t>
            </w:r>
            <w:r>
              <w:rPr>
                <w:rFonts w:hint="default" w:ascii="Times New Roman" w:hAnsi="Times New Roman" w:eastAsia="宋体" w:cs="Times New Roman"/>
                <w:b/>
                <w:bCs/>
                <w:color w:val="auto"/>
                <w:sz w:val="21"/>
                <w:szCs w:val="16"/>
              </w:rPr>
              <w:t>》的符合性</w:t>
            </w:r>
            <w:r>
              <w:rPr>
                <w:rFonts w:hint="eastAsia" w:ascii="Times New Roman" w:hAnsi="Times New Roman" w:eastAsia="宋体" w:cs="Times New Roman"/>
                <w:b/>
                <w:bCs/>
                <w:color w:val="auto"/>
                <w:sz w:val="21"/>
                <w:szCs w:val="16"/>
                <w:lang w:val="en-US" w:eastAsia="zh-CN"/>
              </w:rPr>
              <w:t>分析一览表</w:t>
            </w:r>
          </w:p>
          <w:tbl>
            <w:tblPr>
              <w:tblStyle w:val="46"/>
              <w:tblW w:w="1298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3"/>
              <w:gridCol w:w="680"/>
              <w:gridCol w:w="7534"/>
              <w:gridCol w:w="3428"/>
              <w:gridCol w:w="728"/>
            </w:tblGrid>
            <w:tr w14:paraId="13C1D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blHeader/>
              </w:trPr>
              <w:tc>
                <w:tcPr>
                  <w:tcW w:w="8827" w:type="dxa"/>
                  <w:gridSpan w:val="3"/>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767691F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《长江经济带战略环境评价</w:t>
                  </w:r>
                  <w:r>
                    <w:rPr>
                      <w:rFonts w:hint="default" w:ascii="Times New Roman" w:hAnsi="Times New Roman" w:eastAsia="宋体" w:cs="Times New Roman"/>
                      <w:b/>
                      <w:bCs/>
                      <w:color w:val="auto"/>
                      <w:sz w:val="21"/>
                      <w:szCs w:val="21"/>
                      <w:lang w:eastAsia="zh-CN"/>
                    </w:rPr>
                    <w:t>淮南市“</w:t>
                  </w:r>
                  <w:r>
                    <w:rPr>
                      <w:rFonts w:hint="default" w:ascii="Times New Roman" w:hAnsi="Times New Roman" w:eastAsia="宋体" w:cs="Times New Roman"/>
                      <w:b/>
                      <w:bCs/>
                      <w:color w:val="auto"/>
                      <w:sz w:val="21"/>
                      <w:szCs w:val="21"/>
                    </w:rPr>
                    <w:t>三线一单</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文本》要求</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8B8D20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hAnsi="Times New Roman" w:cs="Times New Roman"/>
                      <w:b/>
                      <w:bCs/>
                      <w:color w:val="auto"/>
                      <w:sz w:val="21"/>
                      <w:szCs w:val="21"/>
                      <w:lang w:val="en-US" w:eastAsia="zh-CN"/>
                    </w:rPr>
                    <w:t>本项目情况</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66B51E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hAnsi="Times New Roman" w:cs="Times New Roman"/>
                      <w:b/>
                      <w:bCs/>
                      <w:color w:val="auto"/>
                      <w:sz w:val="21"/>
                      <w:szCs w:val="21"/>
                      <w:lang w:val="en-US" w:eastAsia="zh-CN"/>
                    </w:rPr>
                    <w:t>符合性</w:t>
                  </w:r>
                </w:p>
              </w:tc>
            </w:tr>
            <w:tr w14:paraId="2FC4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293" w:type="dxa"/>
                  <w:gridSpan w:val="2"/>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434AB6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7534" w:type="dxa"/>
                  <w:tcBorders>
                    <w:top w:val="single" w:color="000000" w:sz="2" w:space="0"/>
                    <w:left w:val="single" w:color="000000" w:sz="2" w:space="0"/>
                    <w:bottom w:val="single" w:color="000000" w:sz="2" w:space="0"/>
                    <w:right w:val="single" w:color="000000" w:sz="2" w:space="0"/>
                  </w:tcBorders>
                  <w:vAlign w:val="center"/>
                </w:tcPr>
                <w:p w14:paraId="1402D49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淮南市的生态保护红线为淮河中下游湖泊洼地生物多样性维护生态保护红线。地理分布：该区沿淮河中下游的安徽段两侧分布，包括淮河两岸的县市，北岸主要有阜南、颍上、凤台、怀远、五河等县的南部，南岸有霍邱、寿县、长丰、凤阳、明光等县市的北部地区，以及淮南和蚌埠市市辖区的大部。红线面积1174.12</w:t>
                  </w:r>
                  <w:r>
                    <w:rPr>
                      <w:rFonts w:hint="default" w:ascii="Times New Roman" w:hAnsi="Times New Roman" w:eastAsia="宋体" w:cs="Times New Roman"/>
                      <w:color w:val="auto"/>
                      <w:sz w:val="21"/>
                      <w:szCs w:val="21"/>
                      <w:lang w:val="en-US" w:eastAsia="zh-CN"/>
                    </w:rPr>
                    <w:t>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，占全省生态保护红线总面积的5.54%。</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6A4B472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w:t>
                  </w:r>
                  <w:r>
                    <w:rPr>
                      <w:rFonts w:hint="eastAsia" w:hAnsi="Times New Roman" w:cs="Times New Roman"/>
                      <w:color w:val="auto"/>
                      <w:sz w:val="21"/>
                      <w:szCs w:val="21"/>
                      <w:lang w:val="en-US" w:eastAsia="zh-CN"/>
                    </w:rPr>
                    <w:t>淮南市潘集区潘集镇地销煤路聚旺公司旁</w:t>
                  </w:r>
                  <w:r>
                    <w:rPr>
                      <w:rFonts w:hint="default" w:ascii="Times New Roman" w:hAnsi="Times New Roman" w:eastAsia="宋体" w:cs="Times New Roman"/>
                      <w:color w:val="auto"/>
                      <w:sz w:val="21"/>
                      <w:szCs w:val="21"/>
                      <w:lang w:val="en-US" w:eastAsia="zh-CN"/>
                    </w:rPr>
                    <w:t>，根据淮南市生态保护红线图，项目不在淮南市生态保护红线范围内，符合生态保护红线管控要求。</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BEEB0D6">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5B42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DDBE12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26ECE2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4D0C19F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成果，水环境管控分区包括优先保护区、重点管控区和一般管控区。其中重点管控区要求如下：</w:t>
                  </w:r>
                </w:p>
                <w:p w14:paraId="1644FA4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区：依据《中华人民共和国水污染防治法》《水污染防治行动计划》《安徽省水污染防治工作方案》及各市水污染防治工作方案对一般管控区实施管控；依据《安徽省淮河流域水污染防治条例》对淮河流域实施管控。</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7D5CC1E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项目位于水环境</w:t>
                  </w:r>
                  <w:r>
                    <w:rPr>
                      <w:rFonts w:hint="eastAsia"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管控区。区域</w:t>
                  </w:r>
                  <w:r>
                    <w:rPr>
                      <w:rFonts w:hint="eastAsia" w:ascii="Times New Roman" w:hAnsi="Times New Roman" w:eastAsia="宋体" w:cs="Times New Roman"/>
                      <w:color w:val="auto"/>
                      <w:sz w:val="21"/>
                      <w:szCs w:val="21"/>
                      <w:lang w:eastAsia="zh-CN"/>
                    </w:rPr>
                    <w:t>雨</w:t>
                  </w:r>
                  <w:r>
                    <w:rPr>
                      <w:rFonts w:hint="default" w:ascii="Times New Roman" w:hAnsi="Times New Roman" w:eastAsia="宋体" w:cs="Times New Roman"/>
                      <w:color w:val="auto"/>
                      <w:sz w:val="21"/>
                      <w:szCs w:val="21"/>
                    </w:rPr>
                    <w:t>污水</w:t>
                  </w:r>
                  <w:r>
                    <w:rPr>
                      <w:rFonts w:hint="eastAsia" w:ascii="Times New Roman" w:hAnsi="Times New Roman" w:eastAsia="宋体" w:cs="Times New Roman"/>
                      <w:color w:val="auto"/>
                      <w:sz w:val="21"/>
                      <w:szCs w:val="21"/>
                      <w:lang w:eastAsia="zh-CN"/>
                    </w:rPr>
                    <w:t>最终</w:t>
                  </w:r>
                  <w:r>
                    <w:rPr>
                      <w:rFonts w:hint="default" w:ascii="Times New Roman" w:hAnsi="Times New Roman" w:eastAsia="宋体" w:cs="Times New Roman"/>
                      <w:color w:val="auto"/>
                      <w:sz w:val="21"/>
                      <w:szCs w:val="21"/>
                    </w:rPr>
                    <w:t>受纳水体为</w:t>
                  </w:r>
                  <w:r>
                    <w:rPr>
                      <w:rFonts w:hint="eastAsia" w:ascii="Times New Roman" w:hAnsi="Times New Roman" w:eastAsia="宋体" w:cs="Times New Roman"/>
                      <w:color w:val="auto"/>
                      <w:sz w:val="21"/>
                      <w:szCs w:val="21"/>
                      <w:lang w:val="en-US" w:eastAsia="zh-CN"/>
                    </w:rPr>
                    <w:t>泥</w:t>
                  </w:r>
                  <w:r>
                    <w:rPr>
                      <w:rFonts w:hint="default" w:ascii="Times New Roman" w:hAnsi="Times New Roman" w:eastAsia="宋体" w:cs="Times New Roman"/>
                      <w:color w:val="auto"/>
                      <w:sz w:val="21"/>
                      <w:szCs w:val="21"/>
                    </w:rPr>
                    <w:t>河，</w:t>
                  </w:r>
                  <w:r>
                    <w:rPr>
                      <w:rFonts w:hint="eastAsia" w:ascii="Times New Roman" w:hAnsi="Times New Roman" w:eastAsia="宋体" w:cs="Times New Roman"/>
                      <w:color w:val="auto"/>
                      <w:sz w:val="21"/>
                      <w:szCs w:val="21"/>
                      <w:lang w:val="en-US" w:eastAsia="zh-CN"/>
                    </w:rPr>
                    <w:t>泥</w:t>
                  </w:r>
                  <w:r>
                    <w:rPr>
                      <w:rFonts w:hint="default" w:ascii="Times New Roman" w:hAnsi="Times New Roman" w:eastAsia="宋体" w:cs="Times New Roman"/>
                      <w:color w:val="auto"/>
                      <w:sz w:val="21"/>
                      <w:szCs w:val="21"/>
                    </w:rPr>
                    <w:t>河</w:t>
                  </w:r>
                  <w:r>
                    <w:rPr>
                      <w:rFonts w:hint="eastAsia" w:ascii="Times New Roman" w:hAnsi="Times New Roman" w:eastAsia="宋体" w:cs="Times New Roman"/>
                      <w:color w:val="auto"/>
                      <w:sz w:val="21"/>
                      <w:szCs w:val="21"/>
                      <w:lang w:val="en-US" w:eastAsia="zh-CN"/>
                    </w:rPr>
                    <w:t>水质</w:t>
                  </w: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lang w:val="zh-CN" w:eastAsia="zh-CN"/>
                    </w:rPr>
                    <w:t>《地表水环境质量标准》</w:t>
                  </w:r>
                  <w:r>
                    <w:rPr>
                      <w:rFonts w:hint="default" w:ascii="Times New Roman" w:hAnsi="Times New Roman" w:eastAsia="宋体" w:cs="Times New Roman"/>
                      <w:color w:val="auto"/>
                      <w:sz w:val="21"/>
                      <w:szCs w:val="21"/>
                    </w:rPr>
                    <w:t>（GB3838-2002）中</w:t>
                  </w:r>
                  <w:r>
                    <w:rPr>
                      <w:rFonts w:hint="default" w:ascii="Times New Roman" w:hAnsi="Times New Roman" w:eastAsia="宋体" w:cs="Times New Roman"/>
                      <w:color w:val="auto"/>
                      <w:sz w:val="21"/>
                      <w:szCs w:val="21"/>
                      <w:lang w:val="zh-CN" w:eastAsia="zh-CN"/>
                    </w:rPr>
                    <w:t>Ⅲ</w:t>
                  </w:r>
                  <w:r>
                    <w:rPr>
                      <w:rFonts w:hint="default" w:ascii="Times New Roman" w:hAnsi="Times New Roman" w:eastAsia="宋体" w:cs="Times New Roman"/>
                      <w:color w:val="auto"/>
                      <w:sz w:val="21"/>
                      <w:szCs w:val="21"/>
                    </w:rPr>
                    <w:t>类标准。</w:t>
                  </w:r>
                  <w:r>
                    <w:rPr>
                      <w:rFonts w:hint="eastAsia"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highlight w:val="none"/>
                      <w:lang w:val="en-US" w:eastAsia="zh-CN"/>
                    </w:rPr>
                    <w:t>生活污水经化粪池处理后</w:t>
                  </w:r>
                  <w:r>
                    <w:rPr>
                      <w:rFonts w:hint="eastAsia" w:hAnsi="Times New Roman" w:cs="Times New Roman"/>
                      <w:color w:val="auto"/>
                      <w:sz w:val="21"/>
                      <w:szCs w:val="21"/>
                      <w:highlight w:val="none"/>
                      <w:lang w:val="en-US" w:eastAsia="zh-CN"/>
                    </w:rPr>
                    <w:t>定期清掏用于农田施肥</w:t>
                  </w:r>
                  <w:r>
                    <w:rPr>
                      <w:rFonts w:hint="eastAsia" w:ascii="Times New Roman" w:hAnsi="Times New Roman" w:eastAsia="宋体" w:cs="Times New Roman"/>
                      <w:color w:val="auto"/>
                      <w:sz w:val="21"/>
                      <w:szCs w:val="21"/>
                      <w:lang w:val="en-US" w:eastAsia="zh-CN"/>
                    </w:rPr>
                    <w:t>，项目的建设对周边水环境影响较小</w:t>
                  </w:r>
                  <w:r>
                    <w:rPr>
                      <w:rFonts w:hint="default" w:ascii="Times New Roman" w:hAnsi="Times New Roman" w:eastAsia="宋体" w:cs="Times New Roman"/>
                      <w:color w:val="auto"/>
                      <w:sz w:val="21"/>
                      <w:szCs w:val="21"/>
                    </w:rPr>
                    <w:t>。</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D96D303">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E817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029AA11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98CEB1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05EBEEA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成果，大气环境管控分区包括优先保护区、重点管控区和一般管控区。其中重点管控区要求如下：</w:t>
                  </w:r>
                </w:p>
                <w:p w14:paraId="490E945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管控区：依据《</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"http://www.so.com/link?m=atqHUsVCrKgKvazQ1diDVK9MSZbKQoCRbJCwaRCjw2QUYOsGw7e0g5ebA0Ym7QAL6wuzl%2BHXq6VmwcazwiBBPgmMY8cBRnT6dyTav3%2FaiJlwyO2WNZ99m3CR7pFV2v0i72jgp9NNJUjqwDwh1PYtiZ%2F5i2BHGs2ruvKdPUtV1dVDG7GLyjrxR%2B8JFtCK0To62u%2Bs1vGD9AcG7JnNs1%2FGWMKE9Lz8%3D"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中华人民共和国大气污染防治法</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》等法律法规和规章对一般管控区实施管控。上年度PM2.5不达标城市新建、改建和扩建项目大气污染物实施“倍量替代”，执行特别排放标准的行业实施提标升级改造。</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5690BD1">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项目位于大气环境</w:t>
                  </w:r>
                  <w:r>
                    <w:rPr>
                      <w:rFonts w:hint="default" w:ascii="Times New Roman" w:hAnsi="Times New Roman" w:cs="Times New Roman"/>
                      <w:color w:val="auto"/>
                      <w:sz w:val="21"/>
                      <w:szCs w:val="21"/>
                      <w:lang w:val="en-US" w:eastAsia="zh-CN"/>
                    </w:rPr>
                    <w:t>一般</w:t>
                  </w:r>
                  <w:r>
                    <w:rPr>
                      <w:rFonts w:hint="default" w:ascii="Times New Roman" w:hAnsi="Times New Roman" w:eastAsia="宋体" w:cs="Times New Roman"/>
                      <w:color w:val="auto"/>
                      <w:sz w:val="21"/>
                      <w:szCs w:val="21"/>
                    </w:rPr>
                    <w:t>管控区。根据《202</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市环境状况公</w:t>
                  </w:r>
                  <w:r>
                    <w:rPr>
                      <w:rFonts w:hint="default" w:ascii="Times New Roman" w:hAnsi="Times New Roman" w:eastAsia="宋体" w:cs="Times New Roman"/>
                      <w:color w:val="auto"/>
                      <w:sz w:val="21"/>
                      <w:szCs w:val="21"/>
                      <w:lang w:val="en-US" w:eastAsia="zh-CN"/>
                    </w:rPr>
                    <w:t>报</w:t>
                  </w:r>
                  <w:r>
                    <w:rPr>
                      <w:rFonts w:hint="default" w:ascii="Times New Roman" w:hAnsi="Times New Roman" w:eastAsia="宋体" w:cs="Times New Roman"/>
                      <w:color w:val="auto"/>
                      <w:sz w:val="21"/>
                      <w:szCs w:val="21"/>
                    </w:rPr>
                    <w:t>》，淮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市属于大气环境质量不达标区域，超标因子为</w:t>
                  </w:r>
                  <w:r>
                    <w:rPr>
                      <w:rStyle w:val="244"/>
                      <w:rFonts w:hint="default" w:ascii="Times New Roman" w:hAnsi="Times New Roman" w:eastAsia="宋体" w:cs="Times New Roman"/>
                      <w:b w:val="0"/>
                      <w:color w:val="auto"/>
                      <w:sz w:val="21"/>
                      <w:szCs w:val="21"/>
                    </w:rPr>
                    <w:t>PM</w:t>
                  </w:r>
                  <w:r>
                    <w:rPr>
                      <w:rStyle w:val="244"/>
                      <w:rFonts w:hint="default" w:ascii="Times New Roman" w:hAnsi="Times New Roman" w:cs="Times New Roman"/>
                      <w:b w:val="0"/>
                      <w:color w:val="auto"/>
                      <w:sz w:val="21"/>
                      <w:szCs w:val="21"/>
                      <w:vertAlign w:val="subscript"/>
                      <w:lang w:val="en-US" w:eastAsia="zh-CN"/>
                    </w:rPr>
                    <w:t>2.5</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本项目不涉及NO</w:t>
                  </w:r>
                  <w:r>
                    <w:rPr>
                      <w:rFonts w:hint="default" w:ascii="Times New Roman" w:hAnsi="Times New Roman" w:cs="Times New Roman"/>
                      <w:color w:val="auto"/>
                      <w:sz w:val="21"/>
                      <w:szCs w:val="21"/>
                      <w:vertAlign w:val="subscript"/>
                      <w:lang w:val="en-US" w:eastAsia="zh-CN"/>
                    </w:rPr>
                    <w:t>X、</w:t>
                  </w: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、VOC</w:t>
                  </w:r>
                  <w:r>
                    <w:rPr>
                      <w:rFonts w:hint="default"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lang w:val="en-US" w:eastAsia="zh-CN"/>
                    </w:rPr>
                    <w:t>等</w:t>
                  </w:r>
                  <w:r>
                    <w:rPr>
                      <w:rFonts w:hint="default" w:ascii="Times New Roman" w:hAnsi="Times New Roman" w:eastAsia="宋体" w:cs="Times New Roman"/>
                      <w:color w:val="auto"/>
                      <w:sz w:val="21"/>
                      <w:szCs w:val="21"/>
                    </w:rPr>
                    <w:t>相关大气污染物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故无需倍量削减。</w:t>
                  </w:r>
                  <w:r>
                    <w:rPr>
                      <w:rFonts w:hint="default" w:ascii="Times New Roman" w:hAnsi="Times New Roman" w:eastAsia="宋体" w:cs="Times New Roman"/>
                      <w:color w:val="auto"/>
                      <w:sz w:val="21"/>
                      <w:szCs w:val="21"/>
                    </w:rPr>
                    <w:t>项目采取严格的废气治理措施，确保污染物达标排放。</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424BE15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B0F4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FE794F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91DCFB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68F17F83">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成果，土壤环境风险防控分区包括优先保护区、土壤环境风险重点防控区和一般防控区。其中一般管控区要求如下：</w:t>
                  </w:r>
                </w:p>
                <w:p w14:paraId="7EF7AC6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一般防控区：依据《中华人民共和国土壤污染防治法》《土壤污染防治行动计划》《安徽省土壤污染防治工作方案》《安徽省</w:t>
                  </w:r>
                  <w:r>
                    <w:rPr>
                      <w:rFonts w:hint="eastAsia" w:hAnsi="Times New Roman"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eastAsia" w:hAnsi="Times New Roman" w:cs="Times New Roman"/>
                      <w:color w:val="auto"/>
                      <w:sz w:val="21"/>
                      <w:szCs w:val="21"/>
                      <w:lang w:eastAsia="zh-CN"/>
                    </w:rPr>
                    <w:t>”</w:t>
                  </w:r>
                  <w:r>
                    <w:rPr>
                      <w:rFonts w:hint="default" w:ascii="Times New Roman" w:hAnsi="Times New Roman" w:eastAsia="宋体" w:cs="Times New Roman"/>
                      <w:color w:val="auto"/>
                      <w:sz w:val="21"/>
                      <w:szCs w:val="21"/>
                    </w:rPr>
                    <w:t>环境保护规划》等要求及各市土壤污染防治工作方案对一般管控区实施管控。</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29814C3">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项目位于土壤环境风险一般防控区。项目</w:t>
                  </w:r>
                  <w:r>
                    <w:rPr>
                      <w:rFonts w:hint="eastAsia" w:ascii="Times New Roman" w:hAnsi="Times New Roman" w:eastAsia="宋体" w:cs="Times New Roman"/>
                      <w:color w:val="auto"/>
                      <w:sz w:val="21"/>
                      <w:szCs w:val="21"/>
                      <w:lang w:val="en-US" w:eastAsia="zh-CN"/>
                    </w:rPr>
                    <w:t>采取</w:t>
                  </w:r>
                  <w:r>
                    <w:rPr>
                      <w:rFonts w:hint="default" w:ascii="Times New Roman" w:hAnsi="Times New Roman" w:eastAsia="宋体" w:cs="Times New Roman"/>
                      <w:color w:val="auto"/>
                      <w:sz w:val="21"/>
                      <w:szCs w:val="21"/>
                      <w:lang w:val="en-US" w:eastAsia="zh-CN"/>
                    </w:rPr>
                    <w:t>分区防渗措施，对周边土壤环境影响较小</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23EA8D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6060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F94A7A1">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CA5E1C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煤炭资源利用上线</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1AE28940">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成果，煤炭资源利用管控分区含重点管控区和一般管控区。其中高污染燃料禁燃区为重点管控区，其余为一般管控区。其中关于一般管控区要求如下</w:t>
                  </w:r>
                  <w:r>
                    <w:rPr>
                      <w:rFonts w:hint="default" w:ascii="Times New Roman" w:hAnsi="Times New Roman" w:eastAsia="宋体" w:cs="Times New Roman"/>
                      <w:color w:val="auto"/>
                      <w:sz w:val="21"/>
                      <w:szCs w:val="21"/>
                      <w:lang w:eastAsia="zh-CN"/>
                    </w:rPr>
                    <w:t>：</w:t>
                  </w:r>
                </w:p>
                <w:p w14:paraId="44F3D7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kern w:val="2"/>
                      <w:sz w:val="21"/>
                      <w:szCs w:val="21"/>
                      <w:lang w:val="en-US" w:eastAsia="zh-CN" w:bidi="ar-SA"/>
                    </w:rPr>
                    <w:t>一般管控区：落实国务院《“十</w:t>
                  </w:r>
                  <w:r>
                    <w:rPr>
                      <w:rFonts w:hint="eastAsia" w:ascii="Times New Roman" w:hAnsi="Times New Roman" w:eastAsia="宋体" w:cs="Times New Roman"/>
                      <w:b w:val="0"/>
                      <w:color w:val="auto"/>
                      <w:kern w:val="2"/>
                      <w:sz w:val="21"/>
                      <w:szCs w:val="21"/>
                      <w:lang w:val="en-US" w:eastAsia="zh-CN" w:bidi="ar-SA"/>
                    </w:rPr>
                    <w:t>四</w:t>
                  </w:r>
                  <w:r>
                    <w:rPr>
                      <w:rFonts w:hint="default" w:ascii="Times New Roman" w:hAnsi="Times New Roman" w:eastAsia="宋体" w:cs="Times New Roman"/>
                      <w:b w:val="0"/>
                      <w:color w:val="auto"/>
                      <w:kern w:val="2"/>
                      <w:sz w:val="21"/>
                      <w:szCs w:val="21"/>
                      <w:lang w:val="en-US" w:eastAsia="zh-CN" w:bidi="ar-SA"/>
                    </w:rPr>
                    <w:t>五”节能减排综合工作方案</w:t>
                  </w:r>
                  <w:r>
                    <w:rPr>
                      <w:rFonts w:hint="eastAsia" w:cs="Times New Roman"/>
                      <w:b w:val="0"/>
                      <w:color w:val="auto"/>
                      <w:kern w:val="2"/>
                      <w:sz w:val="21"/>
                      <w:szCs w:val="21"/>
                      <w:lang w:val="en-US" w:eastAsia="zh-CN" w:bidi="ar-SA"/>
                    </w:rPr>
                    <w:t>》和</w:t>
                  </w:r>
                  <w:r>
                    <w:rPr>
                      <w:rFonts w:hint="default" w:ascii="Times New Roman" w:hAnsi="Times New Roman" w:eastAsia="宋体" w:cs="Times New Roman"/>
                      <w:b w:val="0"/>
                      <w:color w:val="auto"/>
                      <w:kern w:val="2"/>
                      <w:sz w:val="21"/>
                      <w:szCs w:val="21"/>
                      <w:lang w:val="en-US" w:eastAsia="zh-CN" w:bidi="ar-SA"/>
                    </w:rPr>
                    <w:t>《安徽省煤炭消费减量替代工作方案（2018</w:t>
                  </w:r>
                  <w:r>
                    <w:rPr>
                      <w:rFonts w:hint="eastAsia" w:cs="Times New Roman"/>
                      <w:b w:val="0"/>
                      <w:color w:val="auto"/>
                      <w:kern w:val="2"/>
                      <w:sz w:val="21"/>
                      <w:szCs w:val="21"/>
                      <w:lang w:val="en-US" w:eastAsia="zh-CN" w:bidi="ar-SA"/>
                    </w:rPr>
                    <w:t>—</w:t>
                  </w:r>
                  <w:r>
                    <w:rPr>
                      <w:rFonts w:hint="default" w:ascii="Times New Roman" w:hAnsi="Times New Roman" w:eastAsia="宋体" w:cs="Times New Roman"/>
                      <w:b w:val="0"/>
                      <w:color w:val="auto"/>
                      <w:kern w:val="2"/>
                      <w:sz w:val="21"/>
                      <w:szCs w:val="21"/>
                      <w:lang w:val="en-US" w:eastAsia="zh-CN" w:bidi="ar-SA"/>
                    </w:rPr>
                    <w:t>2020年）》要求。</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03A1872">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项目区位于煤炭资源利用一般管控区。项目使用电能作为主要能源，不涉及高污染燃料使用。</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6ED1D84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EB3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735DA6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72D3658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水资源利用上线</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8E2A621">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成果，水资源管控区包括重点管控区和一般管控区。</w:t>
                  </w:r>
                  <w:r>
                    <w:rPr>
                      <w:rFonts w:hint="default" w:ascii="Times New Roman" w:hAnsi="Times New Roman" w:eastAsia="宋体" w:cs="Times New Roman"/>
                      <w:color w:val="auto"/>
                      <w:sz w:val="21"/>
                      <w:szCs w:val="21"/>
                      <w:lang w:val="en-US" w:eastAsia="zh-CN"/>
                    </w:rPr>
                    <w:t>其中管控要求如下：</w:t>
                  </w:r>
                </w:p>
                <w:p w14:paraId="2AB7E258">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落实《国务院办公厅关于印发实行最严格水资源管理制度考核办法的通知》《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水资源消耗总量和强度双控行动方案》《安徽省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水资源消耗总量和强度双控工作方案》《淮南市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水资源消耗总量和强度双控工作方案》等要求。</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EDBDEE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项目位于水资源一般管控区。项目用水由</w:t>
                  </w:r>
                  <w:r>
                    <w:rPr>
                      <w:rFonts w:hint="eastAsia" w:ascii="Times New Roman" w:hAnsi="Times New Roman" w:eastAsia="宋体" w:cs="Times New Roman"/>
                      <w:color w:val="auto"/>
                      <w:sz w:val="21"/>
                      <w:szCs w:val="21"/>
                      <w:lang w:val="en-US" w:eastAsia="zh-CN"/>
                    </w:rPr>
                    <w:t>淮南市潘集区潘集</w:t>
                  </w:r>
                  <w:r>
                    <w:rPr>
                      <w:rFonts w:hint="default" w:ascii="Times New Roman" w:hAnsi="Times New Roman" w:eastAsia="宋体" w:cs="Times New Roman"/>
                      <w:color w:val="auto"/>
                      <w:sz w:val="21"/>
                      <w:szCs w:val="21"/>
                      <w:lang w:val="en-US" w:eastAsia="zh-CN"/>
                    </w:rPr>
                    <w:t>镇</w:t>
                  </w:r>
                  <w:r>
                    <w:rPr>
                      <w:rFonts w:hint="eastAsia" w:ascii="Times New Roman" w:hAnsi="Times New Roman" w:eastAsia="宋体" w:cs="Times New Roman"/>
                      <w:color w:val="auto"/>
                      <w:sz w:val="21"/>
                      <w:szCs w:val="21"/>
                      <w:lang w:val="en-US" w:eastAsia="zh-CN"/>
                    </w:rPr>
                    <w:t>供</w:t>
                  </w:r>
                  <w:r>
                    <w:rPr>
                      <w:rFonts w:hint="default" w:ascii="Times New Roman" w:hAnsi="Times New Roman" w:eastAsia="宋体" w:cs="Times New Roman"/>
                      <w:color w:val="auto"/>
                      <w:sz w:val="21"/>
                      <w:szCs w:val="21"/>
                      <w:lang w:val="en-US" w:eastAsia="zh-CN"/>
                    </w:rPr>
                    <w:t>水管网提供，主要为职工生活用水</w:t>
                  </w:r>
                  <w:r>
                    <w:rPr>
                      <w:rFonts w:hint="eastAsia" w:ascii="Times New Roman" w:hAnsi="Times New Roman" w:cs="Times New Roman"/>
                      <w:color w:val="auto"/>
                      <w:sz w:val="21"/>
                      <w:szCs w:val="21"/>
                      <w:lang w:val="en-US" w:eastAsia="zh-CN"/>
                    </w:rPr>
                    <w:t>、抛光用水</w:t>
                  </w:r>
                  <w:r>
                    <w:rPr>
                      <w:rFonts w:hint="default" w:ascii="Times New Roman" w:hAnsi="Times New Roman" w:eastAsia="宋体" w:cs="Times New Roman"/>
                      <w:color w:val="auto"/>
                      <w:sz w:val="21"/>
                      <w:szCs w:val="21"/>
                      <w:lang w:val="en-US" w:eastAsia="zh-CN"/>
                    </w:rPr>
                    <w:t>，使用量较小。供水能力满足项目新鲜水使用需求，不会突破水资源利用上线。</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23B70A0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4F5F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613"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06BE7B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6EA222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土地资源利用上线</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6AF4ECA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土地资源管控区划分为重点管控区和一般管控区。土地资源分区管控要求如下：落实《淮南市土地利用总体规划（2006</w:t>
                  </w:r>
                  <w:r>
                    <w:rPr>
                      <w:rFonts w:hint="eastAsia" w:hAnsi="Times New Roman" w:cs="Times New Roman"/>
                      <w:color w:val="auto"/>
                      <w:sz w:val="21"/>
                      <w:szCs w:val="21"/>
                      <w:lang w:eastAsia="zh-CN"/>
                    </w:rPr>
                    <w:t>—</w:t>
                  </w:r>
                  <w:r>
                    <w:rPr>
                      <w:rFonts w:hint="default" w:ascii="Times New Roman" w:hAnsi="Times New Roman" w:eastAsia="宋体" w:cs="Times New Roman"/>
                      <w:color w:val="auto"/>
                      <w:sz w:val="21"/>
                      <w:szCs w:val="21"/>
                    </w:rPr>
                    <w:t>2020年）调整方案》《关于落实</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单位国内生产总值建设用地使用面积下降目标的指导意见的通知》《国土资源</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规划纲要》《安徽省国土资源</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规划》等要求。</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789D23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项目位于土地资源一般管控区。</w:t>
                  </w:r>
                  <w:r>
                    <w:rPr>
                      <w:rFonts w:hint="eastAsia" w:hAnsi="Times New Roman" w:cs="Times New Roman"/>
                      <w:color w:val="auto"/>
                      <w:sz w:val="21"/>
                      <w:szCs w:val="21"/>
                      <w:lang w:val="en-US" w:eastAsia="zh-CN"/>
                    </w:rPr>
                    <w:t>本项目</w:t>
                  </w:r>
                  <w:r>
                    <w:rPr>
                      <w:rFonts w:hint="eastAsia" w:hAnsi="Times New Roman" w:cs="Times New Roman"/>
                      <w:color w:val="auto"/>
                      <w:sz w:val="21"/>
                      <w:szCs w:val="21"/>
                      <w:lang w:eastAsia="zh-CN"/>
                    </w:rPr>
                    <w:t>新建</w:t>
                  </w:r>
                  <w:r>
                    <w:rPr>
                      <w:rFonts w:hint="eastAsia" w:ascii="Times New Roman" w:hAnsi="Times New Roman" w:eastAsia="宋体" w:cs="Times New Roman"/>
                      <w:color w:val="auto"/>
                      <w:sz w:val="21"/>
                      <w:szCs w:val="21"/>
                      <w:lang w:val="en-US" w:eastAsia="zh-CN"/>
                    </w:rPr>
                    <w:t>标准化厂房进行生产作业</w:t>
                  </w:r>
                  <w:r>
                    <w:rPr>
                      <w:rFonts w:hint="default" w:ascii="Times New Roman" w:hAnsi="Times New Roman" w:eastAsia="宋体" w:cs="Times New Roman"/>
                      <w:color w:val="auto"/>
                      <w:sz w:val="21"/>
                      <w:szCs w:val="21"/>
                    </w:rPr>
                    <w:t>，不会突破土地资源利用上线。</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00C37CC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B1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1293" w:type="dxa"/>
                  <w:gridSpan w:val="2"/>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57390816">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生态环境准入清单</w:t>
                  </w:r>
                </w:p>
              </w:tc>
              <w:tc>
                <w:tcPr>
                  <w:tcW w:w="7534"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02731646">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成果，生态环境准入清单由优先保护、重点管控、一般管控三大类环境管控单元生态环境准入清单组成。</w:t>
                  </w:r>
                </w:p>
                <w:p w14:paraId="07D7D76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重点管控单元生态环境准入清单针对大气、水、土壤、资源能源及岸线等要素的重点管控区编制，主要从空间布局约束、污染物排放管控、环境风险防控和资源利用效率要求等方面提出要求。</w:t>
                  </w:r>
                </w:p>
                <w:p w14:paraId="5E2FF42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鼓励入园项目：与规划主导产业及兼顾培育的主要产业（优先进入行业）结构相符合的工业项目；与规划主导产业及兼顾培育的主要产业（优先进入行业）相配套低污染、低能耗、低水耗的企业，主要为基础设施建设项目及规模效益好、能源资源消耗少、排污小的企业</w:t>
                  </w:r>
                </w:p>
                <w:p w14:paraId="24493A4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限制发展项目：与主导产业和优先进入行业不符合，低污染、低能耗、低水耗、对周边企业影响、环境质量影响不大的建设项目；与主导产业和优先进入行业相配套，但高污染、高能耗、高水耗、对环境影响较大的建设项目</w:t>
                  </w:r>
                </w:p>
                <w:p w14:paraId="59991EA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③禁止发展项目：国家明令禁止建设或投资的、不符合《产业结构调整指导目录》要求的建设项目不得进入开发区；严禁规模效益差、能源资源消耗大、环境影响严重的企业，严格控制高污染、高能耗、高水耗项目的进入</w:t>
                  </w:r>
                </w:p>
              </w:tc>
              <w:tc>
                <w:tcPr>
                  <w:tcW w:w="34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357EE84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本项目位于</w:t>
                  </w:r>
                  <w:r>
                    <w:rPr>
                      <w:rFonts w:hint="eastAsia" w:hAnsi="Times New Roman" w:cs="Times New Roman"/>
                      <w:color w:val="auto"/>
                      <w:sz w:val="21"/>
                      <w:szCs w:val="21"/>
                      <w:lang w:val="en-US" w:eastAsia="zh-CN"/>
                    </w:rPr>
                    <w:t>淮南市潘集区潘集镇地销煤路聚旺公司旁</w:t>
                  </w:r>
                  <w:r>
                    <w:rPr>
                      <w:rFonts w:hint="default" w:ascii="Times New Roman" w:hAnsi="Times New Roman" w:eastAsia="宋体" w:cs="Times New Roman"/>
                      <w:color w:val="auto"/>
                      <w:sz w:val="21"/>
                      <w:szCs w:val="21"/>
                      <w:lang w:val="en-US" w:eastAsia="zh-CN"/>
                    </w:rPr>
                    <w:t>，目前区域内未制定环境准入负面清单。本项目属于C1311稻谷加工，对照《市场准入负面清单（202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版）》，不属于市场准入负面清单中禁止准入、</w:t>
                  </w:r>
                  <w:r>
                    <w:rPr>
                      <w:rFonts w:hint="eastAsia" w:hAnsi="Times New Roman" w:cs="Times New Roman"/>
                      <w:color w:val="auto"/>
                      <w:sz w:val="21"/>
                      <w:szCs w:val="21"/>
                      <w:lang w:val="en-US" w:eastAsia="zh-CN"/>
                    </w:rPr>
                    <w:t>限</w:t>
                  </w:r>
                  <w:r>
                    <w:rPr>
                      <w:rFonts w:hint="default" w:ascii="Times New Roman" w:hAnsi="Times New Roman" w:eastAsia="宋体" w:cs="Times New Roman"/>
                      <w:color w:val="auto"/>
                      <w:sz w:val="21"/>
                      <w:szCs w:val="21"/>
                      <w:lang w:val="en-US" w:eastAsia="zh-CN"/>
                    </w:rPr>
                    <w:t>制准入类项目，属于产业结构调整指导目录中允许类，项目占地不属于限制和禁止用地。</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vAlign w:val="center"/>
                </w:tcPr>
                <w:p w14:paraId="0306503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00DFD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4"/>
                <w:szCs w:val="24"/>
                <w:lang w:val="en-US" w:eastAsia="zh-CN"/>
              </w:rPr>
              <w:t>本项目</w:t>
            </w:r>
            <w:r>
              <w:rPr>
                <w:rFonts w:hint="default" w:ascii="Times New Roman" w:hAnsi="Times New Roman" w:cs="Times New Roman"/>
                <w:color w:val="auto"/>
                <w:kern w:val="0"/>
                <w:sz w:val="24"/>
                <w:szCs w:val="24"/>
                <w:lang w:val="en-US" w:eastAsia="zh-CN"/>
              </w:rPr>
              <w:t>选址</w:t>
            </w:r>
            <w:r>
              <w:rPr>
                <w:rFonts w:hint="default" w:ascii="Times New Roman" w:hAnsi="Times New Roman" w:cs="Times New Roman"/>
                <w:color w:val="auto"/>
                <w:kern w:val="0"/>
                <w:sz w:val="24"/>
                <w:szCs w:val="24"/>
                <w:lang w:eastAsia="zh-CN"/>
              </w:rPr>
              <w:t>于</w:t>
            </w:r>
            <w:r>
              <w:rPr>
                <w:rFonts w:hint="eastAsia" w:ascii="宋体"/>
                <w:b w:val="0"/>
                <w:bCs w:val="0"/>
                <w:sz w:val="24"/>
                <w:szCs w:val="24"/>
                <w:lang w:eastAsia="zh-CN"/>
              </w:rPr>
              <w:t>淮南市潘集区潘集镇地销煤路聚旺公司旁</w:t>
            </w:r>
            <w:r>
              <w:rPr>
                <w:rFonts w:hint="default" w:ascii="Times New Roman" w:hAnsi="Times New Roman" w:eastAsia="宋体" w:cs="Times New Roman"/>
                <w:b w:val="0"/>
                <w:bCs w:val="0"/>
                <w:color w:val="auto"/>
                <w:sz w:val="24"/>
                <w:szCs w:val="24"/>
                <w:lang w:val="en-US" w:eastAsia="zh-CN"/>
              </w:rPr>
              <w:t>。根据安徽省</w:t>
            </w:r>
            <w:r>
              <w:rPr>
                <w:rFonts w:hint="eastAsia" w:ascii="宋体" w:hAnsi="宋体" w:eastAsia="宋体" w:cs="宋体"/>
                <w:b w:val="0"/>
                <w:bCs w:val="0"/>
                <w:color w:val="auto"/>
                <w:sz w:val="24"/>
                <w:szCs w:val="24"/>
                <w:lang w:val="en-US" w:eastAsia="zh-CN"/>
              </w:rPr>
              <w:t>“三线一单”</w:t>
            </w:r>
            <w:r>
              <w:rPr>
                <w:rFonts w:hint="default" w:ascii="Times New Roman" w:hAnsi="Times New Roman" w:eastAsia="宋体" w:cs="Times New Roman"/>
                <w:b w:val="0"/>
                <w:bCs w:val="0"/>
                <w:color w:val="auto"/>
                <w:sz w:val="24"/>
                <w:szCs w:val="24"/>
                <w:lang w:val="en-US" w:eastAsia="zh-CN"/>
              </w:rPr>
              <w:t>公众服务平台</w:t>
            </w:r>
            <w:r>
              <w:rPr>
                <w:rFonts w:hint="default" w:ascii="Times New Roman" w:hAnsi="Times New Roman" w:eastAsia="宋体" w:cs="Times New Roman"/>
                <w:color w:val="auto"/>
                <w:kern w:val="0"/>
                <w:sz w:val="24"/>
                <w:szCs w:val="24"/>
                <w:lang w:val="en-US" w:eastAsia="zh-CN"/>
              </w:rPr>
              <w:t>，经与</w:t>
            </w:r>
            <w:r>
              <w:rPr>
                <w:rFonts w:hint="eastAsia" w:ascii="宋体" w:hAnsi="宋体" w:eastAsia="宋体" w:cs="宋体"/>
                <w:color w:val="auto"/>
                <w:kern w:val="0"/>
                <w:sz w:val="24"/>
                <w:szCs w:val="24"/>
                <w:lang w:val="en-US" w:eastAsia="zh-CN"/>
              </w:rPr>
              <w:t>“三线一单”成</w:t>
            </w:r>
            <w:r>
              <w:rPr>
                <w:rFonts w:hint="default" w:ascii="Times New Roman" w:hAnsi="Times New Roman" w:eastAsia="宋体" w:cs="Times New Roman"/>
                <w:color w:val="auto"/>
                <w:kern w:val="0"/>
                <w:sz w:val="24"/>
                <w:szCs w:val="24"/>
                <w:lang w:val="en-US" w:eastAsia="zh-CN"/>
              </w:rPr>
              <w:t>果数据分析，项目占地范围</w:t>
            </w:r>
            <w:r>
              <w:rPr>
                <w:rFonts w:hint="eastAsia" w:cs="Times New Roman"/>
                <w:color w:val="auto"/>
                <w:kern w:val="0"/>
                <w:sz w:val="24"/>
                <w:szCs w:val="24"/>
                <w:lang w:val="en-US" w:eastAsia="zh-CN"/>
              </w:rPr>
              <w:t>内涉及</w:t>
            </w:r>
            <w:r>
              <w:rPr>
                <w:rFonts w:hint="default" w:ascii="Times New Roman" w:hAnsi="Times New Roman" w:eastAsia="宋体" w:cs="Times New Roman"/>
                <w:color w:val="auto"/>
                <w:kern w:val="0"/>
                <w:sz w:val="24"/>
                <w:szCs w:val="24"/>
                <w:lang w:val="en-US" w:eastAsia="zh-CN"/>
              </w:rPr>
              <w:t>优先保护类0个，重点管控类</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个，一般管控类</w:t>
            </w:r>
            <w:r>
              <w:rPr>
                <w:rFonts w:hint="eastAsia" w:cs="Times New Roman"/>
                <w:color w:val="auto"/>
                <w:kern w:val="0"/>
                <w:sz w:val="24"/>
                <w:szCs w:val="24"/>
                <w:lang w:val="en-US" w:eastAsia="zh-CN"/>
              </w:rPr>
              <w:t>0</w:t>
            </w:r>
            <w:r>
              <w:rPr>
                <w:rFonts w:hint="default" w:ascii="Times New Roman" w:hAnsi="Times New Roman" w:eastAsia="宋体" w:cs="Times New Roman"/>
                <w:color w:val="auto"/>
                <w:kern w:val="0"/>
                <w:sz w:val="24"/>
                <w:szCs w:val="24"/>
                <w:lang w:val="en-US" w:eastAsia="zh-CN"/>
              </w:rPr>
              <w:t>个。具体管控要求及</w:t>
            </w:r>
            <w:r>
              <w:rPr>
                <w:rFonts w:hint="default" w:ascii="Times New Roman" w:hAnsi="Times New Roman" w:eastAsia="宋体" w:cs="Times New Roman"/>
                <w:b w:val="0"/>
                <w:bCs w:val="0"/>
                <w:color w:val="auto"/>
                <w:sz w:val="24"/>
                <w:szCs w:val="24"/>
                <w:lang w:val="en-US" w:eastAsia="zh-CN"/>
              </w:rPr>
              <w:t>交叠情况详如下表及下图。</w:t>
            </w:r>
          </w:p>
          <w:p w14:paraId="2F503855">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项目所在区管控单元识别结果</w:t>
            </w:r>
          </w:p>
          <w:tbl>
            <w:tblPr>
              <w:tblStyle w:val="46"/>
              <w:tblW w:w="12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128"/>
              <w:gridCol w:w="4668"/>
              <w:gridCol w:w="3529"/>
              <w:gridCol w:w="3645"/>
            </w:tblGrid>
            <w:tr w14:paraId="3BAF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exact"/>
                <w:jc w:val="center"/>
              </w:trPr>
              <w:tc>
                <w:tcPr>
                  <w:tcW w:w="1128" w:type="dxa"/>
                  <w:tcBorders>
                    <w:tl2br w:val="nil"/>
                    <w:tr2bl w:val="nil"/>
                  </w:tcBorders>
                  <w:vAlign w:val="center"/>
                </w:tcPr>
                <w:p w14:paraId="52FC5913">
                  <w:pPr>
                    <w:pStyle w:val="21"/>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668" w:type="dxa"/>
                  <w:tcBorders>
                    <w:tl2br w:val="nil"/>
                    <w:tr2bl w:val="nil"/>
                  </w:tcBorders>
                  <w:vAlign w:val="center"/>
                </w:tcPr>
                <w:p w14:paraId="3F99F977">
                  <w:pPr>
                    <w:pStyle w:val="2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环境管控单元编码</w:t>
                  </w:r>
                </w:p>
              </w:tc>
              <w:tc>
                <w:tcPr>
                  <w:tcW w:w="3529" w:type="dxa"/>
                  <w:tcBorders>
                    <w:tl2br w:val="nil"/>
                    <w:tr2bl w:val="nil"/>
                  </w:tcBorders>
                  <w:vAlign w:val="center"/>
                </w:tcPr>
                <w:p w14:paraId="52E99749">
                  <w:pPr>
                    <w:pStyle w:val="2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环境管控单元名称</w:t>
                  </w:r>
                </w:p>
              </w:tc>
              <w:tc>
                <w:tcPr>
                  <w:tcW w:w="3645" w:type="dxa"/>
                  <w:tcBorders>
                    <w:tl2br w:val="nil"/>
                    <w:tr2bl w:val="nil"/>
                  </w:tcBorders>
                  <w:vAlign w:val="center"/>
                </w:tcPr>
                <w:p w14:paraId="562B9CD9">
                  <w:pPr>
                    <w:pStyle w:val="2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环境管控单元分类</w:t>
                  </w:r>
                </w:p>
              </w:tc>
            </w:tr>
            <w:tr w14:paraId="6BD4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exact"/>
                <w:jc w:val="center"/>
              </w:trPr>
              <w:tc>
                <w:tcPr>
                  <w:tcW w:w="1128" w:type="dxa"/>
                  <w:tcBorders>
                    <w:tl2br w:val="nil"/>
                    <w:tr2bl w:val="nil"/>
                  </w:tcBorders>
                  <w:vAlign w:val="center"/>
                </w:tcPr>
                <w:p w14:paraId="1BAFFDD2">
                  <w:pPr>
                    <w:pStyle w:val="2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68" w:type="dxa"/>
                  <w:tcBorders>
                    <w:tl2br w:val="nil"/>
                    <w:tr2bl w:val="nil"/>
                  </w:tcBorders>
                  <w:vAlign w:val="center"/>
                </w:tcPr>
                <w:p w14:paraId="4B2E1D3A">
                  <w:pPr>
                    <w:pStyle w:val="2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ZH34040620018</w:t>
                  </w:r>
                </w:p>
              </w:tc>
              <w:tc>
                <w:tcPr>
                  <w:tcW w:w="3529" w:type="dxa"/>
                  <w:tcBorders>
                    <w:tl2br w:val="nil"/>
                    <w:tr2bl w:val="nil"/>
                  </w:tcBorders>
                  <w:vAlign w:val="center"/>
                </w:tcPr>
                <w:p w14:paraId="5FDB3282">
                  <w:pPr>
                    <w:pStyle w:val="2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重点</w:t>
                  </w:r>
                  <w:r>
                    <w:rPr>
                      <w:rFonts w:hint="default" w:ascii="Times New Roman" w:hAnsi="Times New Roman" w:eastAsia="宋体" w:cs="Times New Roman"/>
                      <w:b w:val="0"/>
                      <w:bCs w:val="0"/>
                      <w:color w:val="auto"/>
                      <w:sz w:val="21"/>
                      <w:szCs w:val="21"/>
                    </w:rPr>
                    <w:t>管控单元</w:t>
                  </w:r>
                  <w:r>
                    <w:rPr>
                      <w:rFonts w:hint="eastAsia" w:ascii="Times New Roman" w:hAnsi="Times New Roman" w:cs="Times New Roman"/>
                      <w:b w:val="0"/>
                      <w:bCs w:val="0"/>
                      <w:color w:val="auto"/>
                      <w:sz w:val="21"/>
                      <w:szCs w:val="21"/>
                      <w:lang w:val="en-US" w:eastAsia="zh-CN"/>
                    </w:rPr>
                    <w:t>16</w:t>
                  </w:r>
                </w:p>
              </w:tc>
              <w:tc>
                <w:tcPr>
                  <w:tcW w:w="3645" w:type="dxa"/>
                  <w:tcBorders>
                    <w:tl2br w:val="nil"/>
                    <w:tr2bl w:val="nil"/>
                  </w:tcBorders>
                  <w:vAlign w:val="center"/>
                </w:tcPr>
                <w:p w14:paraId="4301F59F">
                  <w:pPr>
                    <w:pStyle w:val="21"/>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重点</w:t>
                  </w:r>
                  <w:r>
                    <w:rPr>
                      <w:rFonts w:hint="default" w:ascii="Times New Roman" w:hAnsi="Times New Roman" w:eastAsia="宋体" w:cs="Times New Roman"/>
                      <w:b w:val="0"/>
                      <w:bCs w:val="0"/>
                      <w:color w:val="auto"/>
                      <w:sz w:val="21"/>
                      <w:szCs w:val="21"/>
                    </w:rPr>
                    <w:t>管控单元</w:t>
                  </w:r>
                </w:p>
              </w:tc>
            </w:tr>
          </w:tbl>
          <w:p w14:paraId="4618DC49">
            <w:pPr>
              <w:rPr>
                <w:color w:val="auto"/>
                <w:sz w:val="21"/>
              </w:rPr>
            </w:pPr>
          </w:p>
          <w:p w14:paraId="59DF49E2">
            <w:r>
              <w:rPr>
                <w:rFonts w:hint="default"/>
                <w:sz w:val="21"/>
              </w:rPr>
              <mc:AlternateContent>
                <mc:Choice Requires="wps">
                  <w:drawing>
                    <wp:anchor distT="0" distB="0" distL="114300" distR="114300" simplePos="0" relativeHeight="251661312" behindDoc="0" locked="0" layoutInCell="1" allowOverlap="1">
                      <wp:simplePos x="0" y="0"/>
                      <wp:positionH relativeFrom="column">
                        <wp:posOffset>3442970</wp:posOffset>
                      </wp:positionH>
                      <wp:positionV relativeFrom="paragraph">
                        <wp:posOffset>1603375</wp:posOffset>
                      </wp:positionV>
                      <wp:extent cx="753110" cy="325120"/>
                      <wp:effectExtent l="12700" t="12700" r="281940" b="386080"/>
                      <wp:wrapNone/>
                      <wp:docPr id="7" name="矩形标注 7"/>
                      <wp:cNvGraphicFramePr/>
                      <a:graphic xmlns:a="http://schemas.openxmlformats.org/drawingml/2006/main">
                        <a:graphicData uri="http://schemas.microsoft.com/office/word/2010/wordprocessingShape">
                          <wps:wsp>
                            <wps:cNvSpPr/>
                            <wps:spPr>
                              <a:xfrm>
                                <a:off x="2490470" y="5921375"/>
                                <a:ext cx="753110" cy="325120"/>
                              </a:xfrm>
                              <a:prstGeom prst="wedgeRectCallout">
                                <a:avLst>
                                  <a:gd name="adj1" fmla="val 84991"/>
                                  <a:gd name="adj2" fmla="val 160742"/>
                                </a:avLst>
                              </a:prstGeom>
                              <a:solidFill>
                                <a:srgbClr val="FFFFFF"/>
                              </a:solidFill>
                              <a:ln w="25400" cap="flat" cmpd="sng" algn="ctr">
                                <a:solidFill>
                                  <a:srgbClr val="000000"/>
                                </a:solidFill>
                                <a:prstDash val="solid"/>
                              </a:ln>
                              <a:effectLst/>
                            </wps:spPr>
                            <wps:txbx>
                              <w:txbxContent>
                                <w:p w14:paraId="0E2B9CA3">
                                  <w:pPr>
                                    <w:jc w:val="center"/>
                                    <w:rPr>
                                      <w:rFonts w:hint="default"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1.1pt;margin-top:126.25pt;height:25.6pt;width:59.3pt;z-index:251661312;v-text-anchor:middle;mso-width-relative:page;mso-height-relative:page;" fillcolor="#FFFFFF" filled="t" stroked="t" coordsize="21600,21600" o:gfxdata="UEsDBAoAAAAAAIdO4kAAAAAAAAAAAAAAAAAEAAAAZHJzL1BLAwQUAAAACACHTuJAg5ALDNsAAAAL&#10;AQAADwAAAGRycy9kb3ducmV2LnhtbE2PTUvEMBRF94L/ITzBjThJM9M61qazEAVBGJk67tMkNsXk&#10;pTSZD/+9caXLxzvce26zOXtHjmaOY0ABxYIBMaiCHnEQsH9/vl0DiUmili6gEfBtImzay4tG1jqc&#10;cGeOXRpIDsFYSwE2pammNCprvIyLMBnMv88we5nyOQ9Uz/KUw72jnLGKejlibrByMo/WqK/u4AWo&#10;+8K+uqeqK/vtfqdu1i8f49tKiOurgj0ASeac/mD41c/q0GanPhxQR+IElCvOMyqAl7wEkomqYnlM&#10;L2DJlndA24b+39D+AFBLAwQUAAAACACHTuJAftP+YrICAABlBQAADgAAAGRycy9lMm9Eb2MueG1s&#10;rVTNbtQwEL4j8Q6W7zQ/zTbdVbPValeLkCpaURBnr2NvgvyH7d1seQEeA8QJzpx5HMprMHbSdlt6&#10;6IEcnHFm8s1833h8crqTAm2Zda1WFc4OUoyYorpu1brC794uXxxj5DxRNRFasQpfMYdPp8+fnXRm&#10;wnLdaFEziwBEuUlnKtx4byZJ4mjDJHEH2jAFTq6tJB62dp3UlnSALkWSp+lR0mlbG6spcw6+Lnon&#10;HhDtUwA15y1lC003kinfo1omiAdKrmmNw9NYLeeM+nPOHfNIVBiY+rhCErBXYU2mJ2SytsQ0LR1K&#10;IE8p4QEnSVoFSW+hFsQTtLHtP1CypVY7zf0B1TLpiURFgEWWPtDmsiGGRS4gtTO3orv/B0tfby8s&#10;ausKlxgpIqHhf778+P3r2/XXz9c/v6MyKNQZN4HAS3Nhh50DM9DdcSvDG4igXYXzYpwWJWh7VeHR&#10;OM8Oy1GvMNt5RCGgHB1mGfgpBBzmoyyPHUjugIx1/iXTEgWjwh2r1+wNdHFOhNAbHzUm2zPno9j1&#10;UDKpP2QYcSmgd1si0HExHmdDb/di8v2Y7CgtizwEQfoBEqybAgK+06Ktl60QcWPXq7mwCPArvIzP&#10;8PO9MKFQB0KMijTQJDAgHA4mmNKAyE6tMSJiDZNHvY1s7v3t9pOk8XksSShyQVzTFxMRhjChQq0s&#10;nnxQKbAL3ev7FSy/W+2GJq50fQXNt7qfCmfosgXgM+L8BbEgJTCAi8Kfw8KFBlp6sDBqtP302PcQ&#10;D6cTvBh1MFZA+eOGWIaReKXg3I6zogBYHzfFqIQDgOy+Z7XvURs51yA3NBeqi2aI9+LG5FbL93Cf&#10;zEJWcBFFIXcv7rCZ+37c4UaibDaLYTB7hvgzdWloAA+SKT3beM3bW8l6dQb9YPriORluijDe+/sY&#10;dXc7T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g5ALDNsAAAALAQAADwAAAAAAAAABACAAAAAi&#10;AAAAZHJzL2Rvd25yZXYueG1sUEsBAhQAFAAAAAgAh07iQH7T/mKyAgAAZQUAAA4AAAAAAAAAAQAg&#10;AAAAKgEAAGRycy9lMm9Eb2MueG1sUEsFBgAAAAAGAAYAWQEAAE4GAAAAAA==&#10;" adj="29158,45520">
                      <v:fill on="t" focussize="0,0"/>
                      <v:stroke weight="2pt" color="#000000" joinstyle="round"/>
                      <v:imagedata o:title=""/>
                      <o:lock v:ext="edit" aspectratio="f"/>
                      <v:textbox>
                        <w:txbxContent>
                          <w:p w14:paraId="0E2B9CA3">
                            <w:pPr>
                              <w:jc w:val="center"/>
                              <w:rPr>
                                <w:rFonts w:hint="default" w:eastAsia="宋体"/>
                                <w:color w:val="FF0000"/>
                                <w:lang w:val="en-US" w:eastAsia="zh-CN"/>
                              </w:rPr>
                            </w:pPr>
                            <w:r>
                              <w:rPr>
                                <w:rFonts w:hint="eastAsia"/>
                                <w:color w:val="FF0000"/>
                                <w:lang w:val="en-US" w:eastAsia="zh-CN"/>
                              </w:rPr>
                              <w:t>项目位置</w:t>
                            </w:r>
                          </w:p>
                        </w:txbxContent>
                      </v:textbox>
                    </v:shape>
                  </w:pict>
                </mc:Fallback>
              </mc:AlternateContent>
            </w:r>
            <w:r>
              <w:drawing>
                <wp:inline distT="0" distB="0" distL="114300" distR="114300">
                  <wp:extent cx="8242300" cy="3641090"/>
                  <wp:effectExtent l="0" t="0" r="2540" b="12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8"/>
                          <a:stretch>
                            <a:fillRect/>
                          </a:stretch>
                        </pic:blipFill>
                        <pic:spPr>
                          <a:xfrm>
                            <a:off x="0" y="0"/>
                            <a:ext cx="8242300" cy="3641090"/>
                          </a:xfrm>
                          <a:prstGeom prst="rect">
                            <a:avLst/>
                          </a:prstGeom>
                          <a:noFill/>
                          <a:ln>
                            <a:noFill/>
                          </a:ln>
                        </pic:spPr>
                      </pic:pic>
                    </a:graphicData>
                  </a:graphic>
                </wp:inline>
              </w:drawing>
            </w:r>
          </w:p>
          <w:p w14:paraId="0FF2AF6C">
            <w:pPr>
              <w:pStyle w:val="64"/>
              <w:bidi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图1-1   项目所在区管控单元识别结果图</w:t>
            </w:r>
          </w:p>
          <w:p w14:paraId="7F428F37">
            <w:pPr>
              <w:rPr>
                <w:rFonts w:hint="eastAsia" w:ascii="Times New Roman" w:hAnsi="Times New Roman" w:eastAsia="宋体" w:cs="Times New Roman"/>
                <w:b/>
                <w:bCs/>
                <w:color w:val="auto"/>
                <w:kern w:val="2"/>
                <w:sz w:val="21"/>
                <w:szCs w:val="21"/>
                <w:lang w:val="en-US" w:eastAsia="zh-CN" w:bidi="ar-SA"/>
              </w:rPr>
            </w:pPr>
          </w:p>
          <w:p w14:paraId="115D2FB2">
            <w:pPr>
              <w:rPr>
                <w:rFonts w:hint="eastAsia" w:ascii="Times New Roman" w:hAnsi="Times New Roman" w:eastAsia="宋体" w:cs="Times New Roman"/>
                <w:b/>
                <w:bCs/>
                <w:color w:val="auto"/>
                <w:kern w:val="2"/>
                <w:sz w:val="21"/>
                <w:szCs w:val="21"/>
                <w:lang w:val="en-US" w:eastAsia="zh-CN" w:bidi="ar-SA"/>
              </w:rPr>
            </w:pPr>
          </w:p>
          <w:p w14:paraId="50179552">
            <w:pPr>
              <w:rPr>
                <w:rFonts w:hint="eastAsia" w:ascii="Times New Roman" w:hAnsi="Times New Roman" w:eastAsia="宋体" w:cs="Times New Roman"/>
                <w:b/>
                <w:bCs/>
                <w:color w:val="auto"/>
                <w:kern w:val="2"/>
                <w:sz w:val="21"/>
                <w:szCs w:val="21"/>
                <w:lang w:val="en-US" w:eastAsia="zh-CN" w:bidi="ar-SA"/>
              </w:rPr>
            </w:pPr>
          </w:p>
          <w:p w14:paraId="06C8952D">
            <w:pPr>
              <w:rPr>
                <w:rFonts w:hint="eastAsia" w:ascii="Times New Roman" w:hAnsi="Times New Roman" w:eastAsia="宋体" w:cs="Times New Roman"/>
                <w:b/>
                <w:bCs/>
                <w:color w:val="auto"/>
                <w:kern w:val="2"/>
                <w:sz w:val="21"/>
                <w:szCs w:val="21"/>
                <w:lang w:val="en-US" w:eastAsia="zh-CN" w:bidi="ar-SA"/>
              </w:rPr>
            </w:pPr>
          </w:p>
          <w:p w14:paraId="51314F4F">
            <w:pPr>
              <w:rPr>
                <w:rFonts w:hint="eastAsia" w:ascii="Times New Roman" w:hAnsi="Times New Roman" w:eastAsia="宋体" w:cs="Times New Roman"/>
                <w:b/>
                <w:bCs/>
                <w:color w:val="auto"/>
                <w:kern w:val="2"/>
                <w:sz w:val="21"/>
                <w:szCs w:val="21"/>
                <w:lang w:val="en-US" w:eastAsia="zh-CN" w:bidi="ar-SA"/>
              </w:rPr>
            </w:pPr>
          </w:p>
          <w:p w14:paraId="665FFA7B">
            <w:pPr>
              <w:rPr>
                <w:rFonts w:hint="eastAsia" w:ascii="Times New Roman" w:hAnsi="Times New Roman" w:eastAsia="宋体" w:cs="Times New Roman"/>
                <w:b/>
                <w:bCs/>
                <w:color w:val="auto"/>
                <w:kern w:val="2"/>
                <w:sz w:val="21"/>
                <w:szCs w:val="21"/>
                <w:lang w:val="en-US" w:eastAsia="zh-CN" w:bidi="ar-SA"/>
              </w:rPr>
            </w:pPr>
          </w:p>
          <w:p w14:paraId="4CC5709E">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p>
          <w:p w14:paraId="1302E400">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p>
          <w:p w14:paraId="42C4C816">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p>
          <w:p w14:paraId="7D199A4B">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p>
          <w:p w14:paraId="4636B094">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p>
          <w:p w14:paraId="5E9A1DAB">
            <w:pPr>
              <w:pStyle w:val="234"/>
              <w:keepNext w:val="0"/>
              <w:keepLines w:val="0"/>
              <w:pageBreakBefore w:val="0"/>
              <w:widowControl w:val="0"/>
              <w:kinsoku/>
              <w:wordWrap w:val="0"/>
              <w:overflowPunct/>
              <w:topLinePunct w:val="0"/>
              <w:autoSpaceDE/>
              <w:autoSpaceDN/>
              <w:bidi w:val="0"/>
              <w:adjustRightInd/>
              <w:snapToGrid w:val="0"/>
              <w:spacing w:line="240" w:lineRule="auto"/>
              <w:ind w:right="0"/>
              <w:jc w:val="center"/>
              <w:textAlignment w:val="baseline"/>
              <w:rPr>
                <w:rFonts w:hint="default" w:ascii="Times New Roman" w:hAnsi="Times New Roman" w:eastAsia="宋体" w:cs="Times New Roman"/>
                <w:b/>
                <w:bCs/>
                <w:spacing w:val="7"/>
                <w:sz w:val="21"/>
                <w:szCs w:val="21"/>
              </w:rPr>
            </w:pPr>
            <w:r>
              <w:rPr>
                <w:rFonts w:hint="default" w:ascii="Times New Roman" w:hAnsi="Times New Roman" w:eastAsia="宋体" w:cs="Times New Roman"/>
                <w:b/>
                <w:bCs/>
                <w:spacing w:val="7"/>
                <w:sz w:val="21"/>
                <w:szCs w:val="21"/>
              </w:rPr>
              <w:t>表1-</w:t>
            </w:r>
            <w:r>
              <w:rPr>
                <w:rFonts w:hint="eastAsia" w:ascii="Times New Roman" w:hAnsi="Times New Roman" w:eastAsia="宋体" w:cs="Times New Roman"/>
                <w:b/>
                <w:bCs/>
                <w:spacing w:val="7"/>
                <w:sz w:val="21"/>
                <w:szCs w:val="21"/>
                <w:lang w:val="en-US" w:eastAsia="zh-CN"/>
              </w:rPr>
              <w:t>4</w:t>
            </w:r>
            <w:r>
              <w:rPr>
                <w:rFonts w:hint="default" w:ascii="Times New Roman" w:hAnsi="Times New Roman" w:eastAsia="宋体" w:cs="Times New Roman"/>
                <w:b/>
                <w:bCs/>
                <w:spacing w:val="7"/>
                <w:sz w:val="21"/>
                <w:szCs w:val="21"/>
              </w:rPr>
              <w:t xml:space="preserve">  本项目与管控单元要求相符性分析一览表</w:t>
            </w:r>
          </w:p>
          <w:tbl>
            <w:tblPr>
              <w:tblStyle w:val="216"/>
              <w:tblW w:w="499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987"/>
              <w:gridCol w:w="8712"/>
              <w:gridCol w:w="1452"/>
              <w:gridCol w:w="765"/>
            </w:tblGrid>
            <w:tr w14:paraId="3DBA2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01" w:type="pct"/>
                  <w:vAlign w:val="center"/>
                </w:tcPr>
                <w:p w14:paraId="46374916">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7"/>
                      <w:sz w:val="21"/>
                      <w:szCs w:val="21"/>
                    </w:rPr>
                    <w:t>环境管控</w:t>
                  </w:r>
                  <w:r>
                    <w:rPr>
                      <w:rFonts w:hint="default" w:ascii="Times New Roman" w:hAnsi="Times New Roman" w:eastAsia="宋体" w:cs="Times New Roman"/>
                      <w:b/>
                      <w:bCs/>
                      <w:spacing w:val="6"/>
                      <w:sz w:val="21"/>
                      <w:szCs w:val="21"/>
                    </w:rPr>
                    <w:t>单元代码</w:t>
                  </w:r>
                </w:p>
              </w:tc>
              <w:tc>
                <w:tcPr>
                  <w:tcW w:w="380" w:type="pct"/>
                  <w:vAlign w:val="center"/>
                </w:tcPr>
                <w:p w14:paraId="49E79531">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管控类别</w:t>
                  </w:r>
                </w:p>
              </w:tc>
              <w:tc>
                <w:tcPr>
                  <w:tcW w:w="3362" w:type="pct"/>
                  <w:vAlign w:val="center"/>
                </w:tcPr>
                <w:p w14:paraId="74F6401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管控要求</w:t>
                  </w:r>
                </w:p>
              </w:tc>
              <w:tc>
                <w:tcPr>
                  <w:tcW w:w="560" w:type="pct"/>
                  <w:vAlign w:val="center"/>
                </w:tcPr>
                <w:p w14:paraId="2FB37261">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pacing w:val="6"/>
                      <w:sz w:val="21"/>
                      <w:szCs w:val="21"/>
                    </w:rPr>
                    <w:t>本项目</w:t>
                  </w:r>
                  <w:r>
                    <w:rPr>
                      <w:rFonts w:hint="eastAsia" w:ascii="Times New Roman" w:hAnsi="Times New Roman" w:eastAsia="宋体" w:cs="Times New Roman"/>
                      <w:b/>
                      <w:bCs/>
                      <w:spacing w:val="6"/>
                      <w:sz w:val="21"/>
                      <w:szCs w:val="21"/>
                      <w:lang w:val="en-US" w:eastAsia="zh-CN"/>
                    </w:rPr>
                    <w:t>情况</w:t>
                  </w:r>
                </w:p>
              </w:tc>
              <w:tc>
                <w:tcPr>
                  <w:tcW w:w="295" w:type="pct"/>
                  <w:vAlign w:val="center"/>
                </w:tcPr>
                <w:p w14:paraId="0621E39B">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相符性</w:t>
                  </w:r>
                </w:p>
              </w:tc>
            </w:tr>
            <w:tr w14:paraId="451A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01" w:type="pct"/>
                  <w:vMerge w:val="restart"/>
                  <w:vAlign w:val="center"/>
                </w:tcPr>
                <w:p w14:paraId="72DDCC34">
                  <w:pPr>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ZH34040620018</w:t>
                  </w:r>
                </w:p>
              </w:tc>
              <w:tc>
                <w:tcPr>
                  <w:tcW w:w="380" w:type="pct"/>
                  <w:vAlign w:val="center"/>
                </w:tcPr>
                <w:p w14:paraId="1F10780A">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空间布局</w:t>
                  </w:r>
                  <w:r>
                    <w:rPr>
                      <w:rFonts w:hint="default" w:ascii="Times New Roman" w:hAnsi="Times New Roman" w:eastAsia="宋体" w:cs="Times New Roman"/>
                      <w:spacing w:val="2"/>
                      <w:sz w:val="21"/>
                      <w:szCs w:val="21"/>
                    </w:rPr>
                    <w:t>约束</w:t>
                  </w:r>
                </w:p>
              </w:tc>
              <w:tc>
                <w:tcPr>
                  <w:tcW w:w="3362" w:type="pct"/>
                  <w:vAlign w:val="center"/>
                </w:tcPr>
                <w:p w14:paraId="18C0E7BA">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1在城市城区及其近郊禁止新建、扩建钢铁、有色、石化 、水泥、化工等重污染企业。 </w:t>
                  </w:r>
                </w:p>
                <w:p w14:paraId="43A6E1C6">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2禁止新建燃料类煤气发生炉（园区现有企业统一建设的清洁煤制气中心除外）。 </w:t>
                  </w:r>
                </w:p>
                <w:p w14:paraId="4EB4BCB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3严禁新增钢铁、焦化、电解铝、铸造、水泥和平板玻璃等产能；严格执行钢铁、水泥、平板玻璃等行业产能置换实施办法。 </w:t>
                  </w:r>
                </w:p>
                <w:p w14:paraId="00D47608">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4严格执行国家关于“两高”产业准入目录和产能总量控制政策措施。严禁新增钢铁、焦化、电解铝、铸造、水泥 和平板玻璃等产能；新、改、扩建涉及大宗物料运输的建设项目，原则上不得采用公路运输。 </w:t>
                  </w:r>
                </w:p>
                <w:p w14:paraId="485084AC">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7非电行业新建项目，禁止配套建设自备纯凝、抽凝燃煤电站。 </w:t>
                  </w:r>
                </w:p>
                <w:p w14:paraId="26611878">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8在城市建成区及居民区、医院、学校等环境敏感区域 ，严禁现场露天灰土拌合。 </w:t>
                  </w:r>
                </w:p>
                <w:p w14:paraId="2E3BD5A2">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9严格控制新增“两高”项目审批，认真分析评估拟建项 目必要性、可行性和对产业高质量发展、能耗双控、碳排放和环境质量的影响，严格审查项目是否符合产业政策、 产业规划、“三线一单”、规划环评要求，是否依法依规 落实产能置换、能耗置换、煤炭消费减量替代、污染物排放区域削减等要求。对已建成投产的存量“两高”项目，有节能减排潜力的加快改造升级，属于落后产能的加快淘汰。 </w:t>
                  </w:r>
                </w:p>
                <w:p w14:paraId="434888C4">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10禁止建设生产和使用高挥发性有机物含量涂料、油墨、胶粘剂、清洗剂等项目。 </w:t>
                  </w:r>
                </w:p>
                <w:p w14:paraId="1A09776E">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11禁止新建不符合国家规定的燃煤发电机组、燃油发电机组和燃煤热电机组。 </w:t>
                  </w:r>
                </w:p>
                <w:p w14:paraId="01CE8957">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12禁止新建、扩建分散燃煤供热锅炉。 </w:t>
                  </w:r>
                </w:p>
                <w:p w14:paraId="65C9FD95">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13在城市规划区内禁止新建、扩建大气污染严重的建设项目。 </w:t>
                  </w:r>
                </w:p>
                <w:p w14:paraId="0B2E6729">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14禁止高灰分、高硫分煤炭进入市场。新建煤矿应当同步建设煤炭洗选设施，已建成的煤矿所采煤炭属于高灰分、高硫分的，应当在国家和省规定的期限内建成配套的煤炭洗选设施，使煤炭中的灰分、硫分达到规定的标准。 </w:t>
                  </w:r>
                </w:p>
                <w:p w14:paraId="78F3C526">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15禁止在人口集中地区、机场周围、交通干线附近以及当地人民政府划定的区域露天焚烧秸秆、落叶、垃圾等产生 烟尘污染的物质。 </w:t>
                  </w:r>
                </w:p>
                <w:p w14:paraId="1CB2022A">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16在燃气管网和集中供热管网覆盖的区域，不得新建、扩 建、改建燃烧煤炭、重油、渣油的供热设施；原有分散的 中小型燃煤供热锅炉应当限期拆除。 </w:t>
                  </w:r>
                </w:p>
                <w:p w14:paraId="331F5CF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17禁止在居民住宅楼、未配套设立专用烟道的商住综合楼、商住综合楼内与居住层相邻的商业楼层内新建、改建、 扩建产生油烟、异味、废气的饮食服务项目。 </w:t>
                  </w:r>
                </w:p>
                <w:p w14:paraId="5A6CE59F">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18任何单位和个人不得在政府划定的禁止露天烧烤区域内 露天烧烤食品或者为露天烧烤食品提供场地。 </w:t>
                  </w:r>
                </w:p>
                <w:p w14:paraId="0322C4B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 xml:space="preserve">19在机关、学校、医院、居民住宅区等人口集中地区和其 他依法需要特殊保护的区域内，禁止从事下列生产活动： （1）橡胶制品生产、经营性喷漆、制骨胶、制骨粉、屠 宰、畜禽养殖、生物发酵等产生恶臭、有毒有害气体的生产经营活动； （2）露天焚烧油毡、沥青、橡胶、塑料、皮革、垃圾或 者其他可能产生恶臭、有毒有害气体的活动。 20严禁钢铁、水泥、电解铝、平板玻璃等行业新增产能，对确有必要新建的必须实施等量或减量置换。 21禁止淘汰落后类的产业进入开发区。 </w:t>
                  </w:r>
                </w:p>
              </w:tc>
              <w:tc>
                <w:tcPr>
                  <w:tcW w:w="560" w:type="pct"/>
                  <w:vAlign w:val="center"/>
                </w:tcPr>
                <w:p w14:paraId="78CFFC7D">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both"/>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本项目位于</w:t>
                  </w:r>
                  <w:r>
                    <w:rPr>
                      <w:rFonts w:hint="eastAsia" w:hAnsi="Times New Roman" w:cs="Times New Roman"/>
                      <w:color w:val="auto"/>
                      <w:sz w:val="21"/>
                      <w:szCs w:val="21"/>
                      <w:lang w:val="en-US" w:eastAsia="zh-CN"/>
                    </w:rPr>
                    <w:t>淮南市潘集区潘集镇地销煤路聚旺公司旁</w:t>
                  </w:r>
                  <w:r>
                    <w:rPr>
                      <w:rFonts w:hint="default" w:ascii="Times New Roman" w:hAnsi="Times New Roman" w:eastAsia="宋体" w:cs="Times New Roman"/>
                      <w:color w:val="auto"/>
                      <w:sz w:val="21"/>
                      <w:szCs w:val="21"/>
                      <w:lang w:val="en-US" w:eastAsia="zh-CN"/>
                    </w:rPr>
                    <w:t>，属于C1311稻谷加工</w:t>
                  </w:r>
                  <w:r>
                    <w:rPr>
                      <w:rFonts w:hint="eastAsia" w:ascii="Times New Roman" w:hAnsi="Times New Roman" w:eastAsia="宋体" w:cs="Times New Roman"/>
                      <w:color w:val="auto"/>
                      <w:sz w:val="21"/>
                      <w:szCs w:val="21"/>
                      <w:lang w:val="en-US" w:eastAsia="zh-CN"/>
                    </w:rPr>
                    <w:t>，不涉及空间布局约束中禁止类项目</w:t>
                  </w:r>
                </w:p>
              </w:tc>
              <w:tc>
                <w:tcPr>
                  <w:tcW w:w="295" w:type="pct"/>
                  <w:vAlign w:val="center"/>
                </w:tcPr>
                <w:p w14:paraId="1E4EBFF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相符</w:t>
                  </w:r>
                </w:p>
              </w:tc>
            </w:tr>
            <w:tr w14:paraId="7A680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401" w:type="pct"/>
                  <w:vMerge w:val="continue"/>
                  <w:vAlign w:val="center"/>
                </w:tcPr>
                <w:p w14:paraId="57F123C4">
                  <w:pPr>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380" w:type="pct"/>
                  <w:tcBorders>
                    <w:left w:val="single" w:color="000000" w:sz="2" w:space="0"/>
                    <w:bottom w:val="single" w:color="auto" w:sz="4" w:space="0"/>
                    <w:right w:val="single" w:color="000000" w:sz="2" w:space="0"/>
                  </w:tcBorders>
                  <w:vAlign w:val="center"/>
                </w:tcPr>
                <w:p w14:paraId="29FD9335">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污染物排放控制</w:t>
                  </w:r>
                </w:p>
              </w:tc>
              <w:tc>
                <w:tcPr>
                  <w:tcW w:w="3362" w:type="pct"/>
                  <w:tcBorders>
                    <w:left w:val="single" w:color="000000" w:sz="2" w:space="0"/>
                    <w:bottom w:val="single" w:color="auto" w:sz="4" w:space="0"/>
                    <w:right w:val="single" w:color="000000" w:sz="2" w:space="0"/>
                  </w:tcBorders>
                  <w:vAlign w:val="center"/>
                </w:tcPr>
                <w:p w14:paraId="49513523">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46环境空气质量持续改善，全省细颗粒物（PM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）浓度总体达标，基本消除重污染天气，优良天数比率进一步提升。</w:t>
                  </w:r>
                </w:p>
                <w:p w14:paraId="4125B2A7">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47化学需氧量、氨氮、氮氧化物、挥发性有机物等4项主要污染物重点工程减排量分别累计达到13.67万吨、0.69万吨、8.3万吨、3.07万吨。 </w:t>
                  </w:r>
                </w:p>
                <w:p w14:paraId="7EB49E51">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48严格合理控制煤炭消费增长，大气污染防治重点区域内新、改、扩建用煤项目实施煤炭消费等量或减量替代。重点削减非电力用煤，各市将减煤目标按年度分解落实到重点耗煤企业，实施“一企一策”减煤诊断。 </w:t>
                  </w:r>
                </w:p>
                <w:p w14:paraId="566D0DD2">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新建、改建、扩建排放重点大气污染物的项目不符合总量控制要求的，不得通过环境影响评价。按照省政府下达给区域各市的允许排放量相关要求执行。全面提升锅炉烟气排放标准。全市燃气锅炉氮氧化物浓度不高于50毫克/立方米；柴油锅炉污染物排放达到或优于燃气锅炉特别排放限值要求。</w:t>
                  </w:r>
                </w:p>
                <w:p w14:paraId="11860334">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50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 </w:t>
                  </w:r>
                </w:p>
                <w:p w14:paraId="21727A69">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51对以煤、石油焦、渣油、重油等为燃料的工业炉窑，加快使用清洁低碳能源以及利用工厂余热、电厂热力等进行替代。 </w:t>
                  </w:r>
                </w:p>
                <w:p w14:paraId="3A936534">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52推动具备条件的省级以上园区全部实施循环化改造。 （责任单位：省发展改革委，配合单位：省经济和信息化 厅等）推动工业园区能源系统整体优化，鼓励工业企业、园区优先使用可再生能源。推进园区电、热、冷</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 xml:space="preserve">气等多种能源协同的综合能源项目建设。 </w:t>
                  </w:r>
                </w:p>
                <w:p w14:paraId="39DD3BE9">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53进一步强化区域协作机制，完善重污染天气应对和重点行业绩效分级管理体系，突出PM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 xml:space="preserve">和臭氧协同控制，加大钢铁、水泥、焦化、玻璃等行业以及工业锅炉、炉窑、移动源氮氧化物减排力度。  </w:t>
                  </w:r>
                </w:p>
              </w:tc>
              <w:tc>
                <w:tcPr>
                  <w:tcW w:w="560" w:type="pct"/>
                  <w:tcBorders>
                    <w:left w:val="single" w:color="000000" w:sz="2" w:space="0"/>
                    <w:bottom w:val="single" w:color="auto" w:sz="4" w:space="0"/>
                    <w:right w:val="single" w:color="000000" w:sz="2" w:space="0"/>
                  </w:tcBorders>
                  <w:vAlign w:val="center"/>
                </w:tcPr>
                <w:p w14:paraId="628C9B05">
                  <w:pPr>
                    <w:pStyle w:val="234"/>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属于C1311稻谷加工</w:t>
                  </w:r>
                  <w:r>
                    <w:rPr>
                      <w:rFonts w:hint="eastAsia" w:ascii="Times New Roman" w:hAnsi="Times New Roman" w:eastAsia="宋体" w:cs="Times New Roman"/>
                      <w:color w:val="auto"/>
                      <w:sz w:val="21"/>
                      <w:szCs w:val="21"/>
                      <w:lang w:val="en-US" w:eastAsia="zh-CN"/>
                    </w:rPr>
                    <w:t>，本项目产生的废气主要为稻谷卸料粉尘、大米加工过程中产生的粉尘，项目产生的废气采取旋风除尘器+</w:t>
                  </w:r>
                  <w:r>
                    <w:rPr>
                      <w:rFonts w:hint="eastAsia" w:eastAsia="宋体" w:cs="Times New Roman"/>
                      <w:color w:val="auto"/>
                      <w:sz w:val="21"/>
                      <w:szCs w:val="21"/>
                      <w:lang w:val="en-US" w:eastAsia="zh-CN"/>
                    </w:rPr>
                    <w:t>脉冲</w:t>
                  </w:r>
                  <w:r>
                    <w:rPr>
                      <w:rFonts w:hint="eastAsia" w:ascii="Times New Roman" w:hAnsi="Times New Roman" w:eastAsia="宋体" w:cs="Times New Roman"/>
                      <w:color w:val="auto"/>
                      <w:sz w:val="21"/>
                      <w:szCs w:val="21"/>
                      <w:lang w:val="en-US" w:eastAsia="zh-CN"/>
                    </w:rPr>
                    <w:t>除尘器处理后由15m高排气筒达标排放，本项目不涉及SO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r>
                    <w:rPr>
                      <w:rFonts w:hint="eastAsia" w:ascii="Times New Roman" w:hAnsi="Times New Roman" w:eastAsia="宋体" w:cs="Times New Roman"/>
                      <w:color w:val="auto"/>
                      <w:sz w:val="21"/>
                      <w:szCs w:val="21"/>
                      <w:lang w:val="en-US" w:eastAsia="zh-CN"/>
                    </w:rPr>
                    <w:t>、VOCs的排放</w:t>
                  </w:r>
                </w:p>
              </w:tc>
              <w:tc>
                <w:tcPr>
                  <w:tcW w:w="295" w:type="pct"/>
                  <w:tcBorders>
                    <w:left w:val="single" w:color="000000" w:sz="2" w:space="0"/>
                    <w:bottom w:val="single" w:color="auto" w:sz="4" w:space="0"/>
                  </w:tcBorders>
                  <w:vAlign w:val="center"/>
                </w:tcPr>
                <w:p w14:paraId="207B70A4">
                  <w:pPr>
                    <w:pStyle w:val="234"/>
                    <w:keepNext w:val="0"/>
                    <w:keepLines w:val="0"/>
                    <w:pageBreakBefore w:val="0"/>
                    <w:widowControl w:val="0"/>
                    <w:kinsoku/>
                    <w:wordWrap w:val="0"/>
                    <w:overflowPunct/>
                    <w:topLinePunct w:val="0"/>
                    <w:autoSpaceDE/>
                    <w:autoSpaceDN/>
                    <w:bidi w:val="0"/>
                    <w:adjustRightInd/>
                    <w:snapToGrid w:val="0"/>
                    <w:spacing w:line="240" w:lineRule="auto"/>
                    <w:ind w:left="0" w:leftChars="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相符</w:t>
                  </w:r>
                </w:p>
              </w:tc>
            </w:tr>
            <w:tr w14:paraId="0E44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01" w:type="pct"/>
                  <w:vMerge w:val="continue"/>
                  <w:vAlign w:val="center"/>
                </w:tcPr>
                <w:p w14:paraId="10B9511F">
                  <w:pPr>
                    <w:keepNext w:val="0"/>
                    <w:keepLines w:val="0"/>
                    <w:pageBreakBefore w:val="0"/>
                    <w:widowControl w:val="0"/>
                    <w:kinsoku/>
                    <w:wordWrap w:val="0"/>
                    <w:overflowPunct/>
                    <w:topLinePunct w:val="0"/>
                    <w:autoSpaceDE/>
                    <w:autoSpaceDN/>
                    <w:bidi w:val="0"/>
                    <w:adjustRightInd/>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380" w:type="pct"/>
                  <w:tcBorders>
                    <w:left w:val="single" w:color="000000" w:sz="2" w:space="0"/>
                    <w:right w:val="single" w:color="000000" w:sz="2" w:space="0"/>
                  </w:tcBorders>
                  <w:vAlign w:val="center"/>
                </w:tcPr>
                <w:p w14:paraId="5AE993A1">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资源开发效率要求</w:t>
                  </w:r>
                </w:p>
              </w:tc>
              <w:tc>
                <w:tcPr>
                  <w:tcW w:w="3362" w:type="pct"/>
                  <w:tcBorders>
                    <w:left w:val="single" w:color="000000" w:sz="2" w:space="0"/>
                    <w:right w:val="single" w:color="000000" w:sz="2" w:space="0"/>
                  </w:tcBorders>
                  <w:vAlign w:val="center"/>
                </w:tcPr>
                <w:p w14:paraId="1DFB833B">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80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 </w:t>
                  </w:r>
                </w:p>
                <w:p w14:paraId="551B985F">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81推动煤电行业实施节能降耗改造、供热改造和灵活性改 造“三改联动”。加快供热管网建设，淘汰管网覆盖范围内的燃煤锅炉和散煤。到2025年，火电平均供电煤耗降至295克标煤/千瓦时，散煤基本清零。</w:t>
                  </w:r>
                </w:p>
                <w:p w14:paraId="3ECE47FC">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p w14:paraId="20FFEA46">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83推动光伏发电规模化发展，充分利用荒山荒坡、采煤沉陷区等未利用空间，建设集中式光伏电站。加快工业园区、公共建筑、居民住宅等屋顶光伏建设，有序推动国家整 县（市、区）屋顶分布式光伏开发试点，因地制宜推进 “光伏+”项目。 </w:t>
                  </w:r>
                </w:p>
                <w:p w14:paraId="3D46B624">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84积极开发风电资源，在皖北平原、皖西南地区建设集中连片风电，持续推进就近接入、就地消纳的分散式风电建设。 </w:t>
                  </w:r>
                </w:p>
                <w:p w14:paraId="0FF57F28">
                  <w:pPr>
                    <w:pStyle w:val="234"/>
                    <w:keepNext w:val="0"/>
                    <w:keepLines w:val="0"/>
                    <w:pageBreakBefore w:val="0"/>
                    <w:widowControl w:val="0"/>
                    <w:kinsoku/>
                    <w:wordWrap w:val="0"/>
                    <w:overflowPunct/>
                    <w:topLinePunct w:val="0"/>
                    <w:autoSpaceDE/>
                    <w:autoSpaceDN/>
                    <w:bidi w:val="0"/>
                    <w:adjustRightInd/>
                    <w:snapToGrid w:val="0"/>
                    <w:spacing w:line="240" w:lineRule="auto"/>
                    <w:ind w:left="0" w:right="0" w:firstLine="0"/>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85大力推广新能源汽车，推动城市公共服务车辆、政府公务用车新能源或清洁能源替代；34 按照省政府下达给区域各市的水资源利用总量及效率要求执行。35 兴建地 下工程设施或者进行地下勘探、采矿等活动，应当采取防 护性措施，防止地下水污染。 36 开采地下水时，对下列含水层应当分层开采，不得混合开采：（一）半咸水、咸水、卤水层；（二）已受污染 的含水层；（三）含有毒有害元素，超过生活饮用水卫生 标准的水层；（四）有医疗价值和特殊经济价值的地下热水、温泉水和矿泉水。 37 淮河流域地下水开采区应当依靠降雨、地下径流、河流和湖泊、水库渗漏等补给地下水。人工回灌补给地下水，不得恶化地下水质。38 按照省政府下达给区域各市 能源利用总量及效率要求执行。39 按照省级清单中禁 燃区要求执行。40 土地资源利用效率按照省政府下达给区域各市的要求执行。69到2025年，全市用水总量控 制在23.02亿m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以内，万元GDP用水量和万元工业增加值 用水量分别比2020年下降18.5%和18%，规模以上工业用水 重复利用率达到93%，全市农田灌溉水有效利用系数提高 到0.60；全市新增县域节水型社会达标县（区）4个，新 增3个省级节水型园区、10家节水型企业、3个节水型灌区 、6家节水型高校。城镇公共供水管网漏损率下降到 10%，非常规水利用率达到25%，非农业用水计量率达到 100%，大中型灌区渠首计量率达到100%。2025年天然气占能源消费比重达到8%以上。2025年非化石能源占能源消费总量的10%以上。 </w:t>
                  </w:r>
                </w:p>
              </w:tc>
              <w:tc>
                <w:tcPr>
                  <w:tcW w:w="560" w:type="pct"/>
                  <w:tcBorders>
                    <w:left w:val="single" w:color="000000" w:sz="2" w:space="0"/>
                    <w:right w:val="single" w:color="000000" w:sz="2" w:space="0"/>
                  </w:tcBorders>
                  <w:vAlign w:val="center"/>
                </w:tcPr>
                <w:p w14:paraId="7E90C4C5">
                  <w:pPr>
                    <w:pStyle w:val="234"/>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firstLine="0" w:firstLineChars="0"/>
                    <w:jc w:val="both"/>
                    <w:rPr>
                      <w:rFonts w:hint="default" w:ascii="Times New Roman" w:hAnsi="Times New Roman" w:eastAsia="宋体" w:cs="Times New Roman"/>
                      <w:color w:val="auto"/>
                      <w:spacing w:val="25"/>
                      <w:sz w:val="21"/>
                      <w:szCs w:val="21"/>
                    </w:rPr>
                  </w:pPr>
                  <w:r>
                    <w:rPr>
                      <w:rFonts w:hint="eastAsia" w:cs="Times New Roman"/>
                      <w:color w:val="auto"/>
                      <w:sz w:val="21"/>
                      <w:szCs w:val="21"/>
                    </w:rPr>
                    <w:t>本项目不属于高耗水新建项目</w:t>
                  </w:r>
                  <w:r>
                    <w:rPr>
                      <w:rFonts w:hint="default" w:ascii="Times New Roman" w:hAnsi="Times New Roman" w:eastAsia="宋体" w:cs="Times New Roman"/>
                      <w:color w:val="auto"/>
                      <w:spacing w:val="5"/>
                      <w:sz w:val="21"/>
                      <w:szCs w:val="21"/>
                    </w:rPr>
                    <w:t>，不开采地</w:t>
                  </w:r>
                  <w:r>
                    <w:rPr>
                      <w:rFonts w:hint="default" w:ascii="Times New Roman" w:hAnsi="Times New Roman" w:eastAsia="宋体" w:cs="Times New Roman"/>
                      <w:color w:val="auto"/>
                      <w:sz w:val="21"/>
                      <w:szCs w:val="21"/>
                    </w:rPr>
                    <w:t>下水，</w:t>
                  </w:r>
                  <w:r>
                    <w:rPr>
                      <w:rFonts w:cs="Times New Roman"/>
                      <w:color w:val="auto"/>
                      <w:sz w:val="21"/>
                      <w:szCs w:val="21"/>
                    </w:rPr>
                    <w:t>主要能源为电能，属于清洁能源，不新建燃煤供热设施</w:t>
                  </w:r>
                  <w:r>
                    <w:rPr>
                      <w:rFonts w:hint="default" w:ascii="Times New Roman" w:hAnsi="Times New Roman" w:eastAsia="宋体" w:cs="Times New Roman"/>
                      <w:color w:val="auto"/>
                      <w:spacing w:val="4"/>
                      <w:sz w:val="21"/>
                      <w:szCs w:val="21"/>
                    </w:rPr>
                    <w:t>。</w:t>
                  </w:r>
                </w:p>
              </w:tc>
              <w:tc>
                <w:tcPr>
                  <w:tcW w:w="295" w:type="pct"/>
                  <w:tcBorders>
                    <w:left w:val="single" w:color="000000" w:sz="2" w:space="0"/>
                  </w:tcBorders>
                  <w:vAlign w:val="center"/>
                </w:tcPr>
                <w:p w14:paraId="1636F70E">
                  <w:pPr>
                    <w:pStyle w:val="234"/>
                    <w:keepNext w:val="0"/>
                    <w:keepLines w:val="0"/>
                    <w:pageBreakBefore w:val="0"/>
                    <w:widowControl w:val="0"/>
                    <w:kinsoku/>
                    <w:wordWrap w:val="0"/>
                    <w:overflowPunct/>
                    <w:topLinePunct w:val="0"/>
                    <w:autoSpaceDE/>
                    <w:autoSpaceDN/>
                    <w:bidi w:val="0"/>
                    <w:adjustRightInd/>
                    <w:snapToGrid w:val="0"/>
                    <w:spacing w:line="240" w:lineRule="auto"/>
                    <w:ind w:left="0" w:leftChars="0" w:right="0" w:firstLine="0"/>
                    <w:jc w:val="center"/>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相符</w:t>
                  </w:r>
                </w:p>
              </w:tc>
            </w:tr>
          </w:tbl>
          <w:p w14:paraId="66FFF137">
            <w:pPr>
              <w:rPr>
                <w:rFonts w:hint="eastAsia" w:ascii="Times New Roman" w:hAnsi="Times New Roman" w:eastAsia="宋体" w:cs="Times New Roman"/>
                <w:b/>
                <w:bCs/>
                <w:color w:val="auto"/>
                <w:kern w:val="2"/>
                <w:sz w:val="21"/>
                <w:szCs w:val="21"/>
                <w:lang w:val="en-US" w:eastAsia="zh-CN" w:bidi="ar-SA"/>
              </w:rPr>
            </w:pPr>
          </w:p>
        </w:tc>
      </w:tr>
    </w:tbl>
    <w:p w14:paraId="1DF79487">
      <w:pPr>
        <w:rPr>
          <w:rFonts w:hint="eastAsia"/>
          <w:b/>
          <w:bCs/>
          <w:color w:val="auto"/>
          <w:sz w:val="24"/>
          <w:szCs w:val="32"/>
          <w:vertAlign w:val="baseline"/>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538"/>
      </w:tblGrid>
      <w:tr w14:paraId="4CC3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7649F710">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4"/>
                <w:szCs w:val="32"/>
                <w:vertAlign w:val="baseline"/>
                <w:lang w:val="en-US" w:eastAsia="zh-CN"/>
              </w:rPr>
            </w:pPr>
            <w:r>
              <w:rPr>
                <w:rFonts w:hint="eastAsia"/>
                <w:color w:val="auto"/>
                <w:sz w:val="24"/>
                <w:szCs w:val="24"/>
              </w:rPr>
              <w:t>其他符合性分析</w:t>
            </w:r>
          </w:p>
        </w:tc>
        <w:tc>
          <w:tcPr>
            <w:tcW w:w="8538" w:type="dxa"/>
          </w:tcPr>
          <w:p w14:paraId="6CEFBA71">
            <w:pPr>
              <w:pStyle w:val="64"/>
              <w:bidi w:val="0"/>
              <w:spacing w:line="360" w:lineRule="auto"/>
              <w:ind w:left="0" w:leftChars="0" w:firstLine="0" w:firstLineChars="0"/>
              <w:rPr>
                <w:color w:val="auto"/>
                <w:sz w:val="24"/>
                <w:szCs w:val="32"/>
                <w:vertAlign w:val="baseline"/>
              </w:rPr>
            </w:pPr>
            <w:r>
              <w:rPr>
                <w:rFonts w:hint="eastAsia"/>
                <w:b/>
                <w:bCs/>
                <w:color w:val="auto"/>
                <w:sz w:val="24"/>
                <w:szCs w:val="32"/>
                <w:vertAlign w:val="baseline"/>
                <w:lang w:val="en-US" w:eastAsia="zh-CN"/>
              </w:rPr>
              <w:t>4、</w:t>
            </w:r>
            <w:r>
              <w:rPr>
                <w:rFonts w:hint="eastAsia"/>
                <w:b/>
                <w:bCs/>
                <w:color w:val="auto"/>
                <w:sz w:val="24"/>
                <w:szCs w:val="32"/>
                <w:vertAlign w:val="baseline"/>
              </w:rPr>
              <w:t>与其他环保政策符合性分析</w:t>
            </w:r>
          </w:p>
          <w:p w14:paraId="7632D230">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eastAsia="宋体"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与相关环保政策相符性分析一览表</w:t>
            </w:r>
          </w:p>
          <w:tbl>
            <w:tblPr>
              <w:tblStyle w:val="46"/>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413"/>
              <w:gridCol w:w="4116"/>
              <w:gridCol w:w="1736"/>
              <w:gridCol w:w="530"/>
            </w:tblGrid>
            <w:tr w14:paraId="787A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Align w:val="center"/>
                </w:tcPr>
                <w:p w14:paraId="3CA9D96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13" w:type="dxa"/>
                  <w:vAlign w:val="center"/>
                </w:tcPr>
                <w:p w14:paraId="58161EC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政策名称</w:t>
                  </w:r>
                </w:p>
              </w:tc>
              <w:tc>
                <w:tcPr>
                  <w:tcW w:w="4116" w:type="dxa"/>
                  <w:vAlign w:val="center"/>
                </w:tcPr>
                <w:p w14:paraId="303F5DB0">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政策要求</w:t>
                  </w:r>
                </w:p>
              </w:tc>
              <w:tc>
                <w:tcPr>
                  <w:tcW w:w="1736" w:type="dxa"/>
                  <w:vAlign w:val="center"/>
                </w:tcPr>
                <w:p w14:paraId="4854345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530" w:type="dxa"/>
                  <w:vAlign w:val="center"/>
                </w:tcPr>
                <w:p w14:paraId="3CBDA573">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0EF3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restart"/>
                  <w:vAlign w:val="center"/>
                </w:tcPr>
                <w:p w14:paraId="3C328758">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13" w:type="dxa"/>
                  <w:vMerge w:val="restart"/>
                  <w:vAlign w:val="center"/>
                </w:tcPr>
                <w:p w14:paraId="76C5666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《中共中央国务院关于深入打好污染防治攻坚战的意见》（2021年11月2日）</w:t>
                  </w:r>
                </w:p>
              </w:tc>
              <w:tc>
                <w:tcPr>
                  <w:tcW w:w="4116" w:type="dxa"/>
                  <w:vAlign w:val="center"/>
                </w:tcPr>
                <w:p w14:paraId="521BA663">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推动能源清洁低碳转型</w:t>
                  </w:r>
                  <w:r>
                    <w:rPr>
                      <w:rFonts w:hint="default" w:ascii="Times New Roman" w:hAnsi="Times New Roman" w:eastAsia="宋体" w:cs="Times New Roman"/>
                      <w:color w:val="auto"/>
                      <w:sz w:val="21"/>
                      <w:szCs w:val="21"/>
                      <w:highlight w:val="none"/>
                    </w:rPr>
                    <w:t>。在保障能源安全的前提下，加快煤炭减量步伐，实施可再生能源替代行动。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增气减煤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同步，新增天然气优先保障居民生活和清洁取暖需求。提高电能占终端能源消费比重。重点区域的平原地区散煤基本清零。有序扩大清洁取暖试点城市范围，稳步提升北方地区清洁取暖水平。</w:t>
                  </w:r>
                </w:p>
              </w:tc>
              <w:tc>
                <w:tcPr>
                  <w:tcW w:w="1736" w:type="dxa"/>
                  <w:vAlign w:val="center"/>
                </w:tcPr>
                <w:p w14:paraId="050FBF20">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本项目所用能源为电能，不使用煤炭作为能源</w:t>
                  </w:r>
                </w:p>
              </w:tc>
              <w:tc>
                <w:tcPr>
                  <w:tcW w:w="530" w:type="dxa"/>
                  <w:vAlign w:val="center"/>
                </w:tcPr>
                <w:p w14:paraId="34CB29EF">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362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continue"/>
                  <w:vAlign w:val="center"/>
                </w:tcPr>
                <w:p w14:paraId="0306B1E4">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413" w:type="dxa"/>
                  <w:vMerge w:val="continue"/>
                  <w:vAlign w:val="center"/>
                </w:tcPr>
                <w:p w14:paraId="5DF3CCB8">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4116" w:type="dxa"/>
                  <w:vAlign w:val="center"/>
                </w:tcPr>
                <w:p w14:paraId="447E317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坚决遏制高耗能高排放项目盲目发展。</w:t>
                  </w:r>
                  <w:r>
                    <w:rPr>
                      <w:rFonts w:hint="default" w:ascii="Times New Roman" w:hAnsi="Times New Roman" w:eastAsia="宋体" w:cs="Times New Roman"/>
                      <w:color w:val="auto"/>
                      <w:sz w:val="21"/>
                      <w:szCs w:val="21"/>
                      <w:highlight w:val="none"/>
                    </w:rPr>
                    <w:t>严把高耗能高排放项目准入关口，严格落实污染物排放区域削减要求，对不符合规定的项目坚决停批停建。依法依规淘汰落后产能和化解过剩产能。推动高炉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转炉长流程炼钢转型为电炉短流程炼钢。重点区域严禁新增钢铁、焦化、水泥熟料、平板玻璃、电解铝、氧化铝、煤化工产能，合理控制煤制油气产能规模，严控新增炼油产能。</w:t>
                  </w:r>
                </w:p>
              </w:tc>
              <w:tc>
                <w:tcPr>
                  <w:tcW w:w="1736" w:type="dxa"/>
                  <w:vAlign w:val="center"/>
                </w:tcPr>
                <w:p w14:paraId="0FC9E3A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本项目为C1311稻谷加工，根据安徽省两高项目管理目录，本项目不属于高耗能、高排放项目。</w:t>
                  </w:r>
                </w:p>
              </w:tc>
              <w:tc>
                <w:tcPr>
                  <w:tcW w:w="530" w:type="dxa"/>
                  <w:vAlign w:val="center"/>
                </w:tcPr>
                <w:p w14:paraId="703A62D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E4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continue"/>
                  <w:vAlign w:val="center"/>
                </w:tcPr>
                <w:p w14:paraId="2A6D0D8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413" w:type="dxa"/>
                  <w:vMerge w:val="continue"/>
                  <w:vAlign w:val="center"/>
                </w:tcPr>
                <w:p w14:paraId="3B18EBD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4116" w:type="dxa"/>
                  <w:vAlign w:val="center"/>
                </w:tcPr>
                <w:p w14:paraId="329EB3A6">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加强生态环境分区管控。</w:t>
                  </w:r>
                  <w:r>
                    <w:rPr>
                      <w:rFonts w:hint="default" w:ascii="Times New Roman" w:hAnsi="Times New Roman" w:eastAsia="宋体" w:cs="Times New Roman"/>
                      <w:color w:val="auto"/>
                      <w:sz w:val="21"/>
                      <w:szCs w:val="21"/>
                      <w:highlight w:val="none"/>
                    </w:rPr>
                    <w:t>衔接国土空间规划分区和用途管制要求，将生态保护红线、环境质量底线、资源利用上线的硬约束落实到环境管控单元，建立差别化的生态环境准入清单，加强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736" w:type="dxa"/>
                  <w:vAlign w:val="center"/>
                </w:tcPr>
                <w:p w14:paraId="46A0243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本项目符合</w:t>
                  </w:r>
                  <w:r>
                    <w:rPr>
                      <w:rFonts w:hint="eastAsia" w:ascii="Times New Roman" w:hAnsi="Times New Roman" w:eastAsia="宋体" w:cs="Times New Roman"/>
                      <w:color w:val="auto"/>
                      <w:sz w:val="21"/>
                      <w:szCs w:val="21"/>
                      <w:highlight w:val="none"/>
                      <w:lang w:val="en-US" w:eastAsia="zh-CN"/>
                    </w:rPr>
                    <w:t>生态环境分区管控</w:t>
                  </w:r>
                  <w:r>
                    <w:rPr>
                      <w:rFonts w:hint="default" w:ascii="Times New Roman" w:hAnsi="Times New Roman" w:eastAsia="宋体" w:cs="Times New Roman"/>
                      <w:color w:val="auto"/>
                      <w:sz w:val="21"/>
                      <w:szCs w:val="21"/>
                      <w:highlight w:val="none"/>
                      <w:lang w:val="en-US" w:eastAsia="zh-CN"/>
                    </w:rPr>
                    <w:t>要求</w:t>
                  </w:r>
                </w:p>
              </w:tc>
              <w:tc>
                <w:tcPr>
                  <w:tcW w:w="530" w:type="dxa"/>
                  <w:vAlign w:val="center"/>
                </w:tcPr>
                <w:p w14:paraId="01AB701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ACA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Align w:val="center"/>
                </w:tcPr>
                <w:p w14:paraId="5897F5F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413" w:type="dxa"/>
                  <w:vAlign w:val="center"/>
                </w:tcPr>
                <w:p w14:paraId="0DFABC9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关于加强高耗能、高排放建设项目生态环境源头防控的指导意见</w:t>
                  </w:r>
                  <w:r>
                    <w:rPr>
                      <w:rFonts w:hint="default" w:ascii="Times New Roman" w:hAnsi="Times New Roman" w:eastAsia="宋体" w:cs="Times New Roman"/>
                      <w:color w:val="auto"/>
                      <w:sz w:val="21"/>
                      <w:szCs w:val="21"/>
                      <w:highlight w:val="none"/>
                      <w:lang w:eastAsia="zh-CN"/>
                    </w:rPr>
                    <w:t>（环环评〔2021〕45号）</w:t>
                  </w:r>
                </w:p>
              </w:tc>
              <w:tc>
                <w:tcPr>
                  <w:tcW w:w="4116" w:type="dxa"/>
                  <w:vAlign w:val="center"/>
                </w:tcPr>
                <w:p w14:paraId="3D4069B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严把建设项目环境准入关。新建、改建、扩建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736" w:type="dxa"/>
                  <w:vAlign w:val="center"/>
                </w:tcPr>
                <w:p w14:paraId="6F971518">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本项目为C1311稻谷加工，根据安徽省两高项目管理目录，本项目不属于高耗能、高排放项目。</w:t>
                  </w:r>
                </w:p>
              </w:tc>
              <w:tc>
                <w:tcPr>
                  <w:tcW w:w="530" w:type="dxa"/>
                  <w:vAlign w:val="center"/>
                </w:tcPr>
                <w:p w14:paraId="1AE3DD0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BD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restart"/>
                  <w:vAlign w:val="center"/>
                </w:tcPr>
                <w:p w14:paraId="7780DE2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3</w:t>
                  </w:r>
                </w:p>
              </w:tc>
              <w:tc>
                <w:tcPr>
                  <w:tcW w:w="1413" w:type="dxa"/>
                  <w:vMerge w:val="restart"/>
                  <w:vAlign w:val="center"/>
                </w:tcPr>
                <w:p w14:paraId="5F20940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《安徽省2021年应对气候变化和大气污染防治重点工作任务》（皖大气办〔2021〕3号）</w:t>
                  </w:r>
                </w:p>
              </w:tc>
              <w:tc>
                <w:tcPr>
                  <w:tcW w:w="4116" w:type="dxa"/>
                  <w:vAlign w:val="center"/>
                </w:tcPr>
                <w:p w14:paraId="7AEA671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9.开展锅炉</w:t>
                  </w:r>
                  <w:r>
                    <w:rPr>
                      <w:rFonts w:hint="eastAsia"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炉窑深度治理。进一步摸排清理现有燃煤小热电和燃煤锅炉，确保区域内35蒸吨/小时以下燃煤锅炉清零。加快推进30万千瓦及以上热电联产机组供热半径30公里范围内燃煤锅炉和低效燃煤小热电关停整合，积极推进陶瓷、玻璃、铸造等行业清洁燃料替代工程；清理整治无法稳定达标排放的工业炉窑锅炉，取缔不达标燃料类煤气发生炉；4月底前，全面摸排生物质锅炉并建立台账，年底前完成建成区生物质锅炉超低排放改造，淘汰不能稳定达标（特排标准）的生物质锅炉和非生物质专用锅炉。</w:t>
                  </w:r>
                </w:p>
              </w:tc>
              <w:tc>
                <w:tcPr>
                  <w:tcW w:w="1736" w:type="dxa"/>
                  <w:vAlign w:val="center"/>
                </w:tcPr>
                <w:p w14:paraId="08236DA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不使用锅炉。</w:t>
                  </w:r>
                </w:p>
              </w:tc>
              <w:tc>
                <w:tcPr>
                  <w:tcW w:w="530" w:type="dxa"/>
                  <w:vAlign w:val="center"/>
                </w:tcPr>
                <w:p w14:paraId="15EE9B9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A58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continue"/>
                  <w:vAlign w:val="center"/>
                </w:tcPr>
                <w:p w14:paraId="2D096CF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rPr>
                  </w:pPr>
                </w:p>
              </w:tc>
              <w:tc>
                <w:tcPr>
                  <w:tcW w:w="1413" w:type="dxa"/>
                  <w:vMerge w:val="continue"/>
                  <w:vAlign w:val="center"/>
                </w:tcPr>
                <w:p w14:paraId="692EBBE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4116" w:type="dxa"/>
                  <w:vAlign w:val="center"/>
                </w:tcPr>
                <w:p w14:paraId="72FCADC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进一步加强区域大气污染防治协作，深入推进长三角地区秋冬季大气污染综合治理，不断完善苏皖鲁豫大气污染联防联控机制，积极参与区域重污染天气联合应对工作，充分发挥区域大气污染防治联防联控作用。积极参与长三角生态环境涉气标准一体化建设。配合做好重大活动空气质量保障工作。</w:t>
                  </w:r>
                </w:p>
              </w:tc>
              <w:tc>
                <w:tcPr>
                  <w:tcW w:w="1736" w:type="dxa"/>
                  <w:vMerge w:val="restart"/>
                  <w:vAlign w:val="center"/>
                </w:tcPr>
                <w:p w14:paraId="15BF6F09">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本项目污染物采取了相应的污染治理措施后，均可达标排放。本项目新增大气污染物，按照污染物排放总量控制的要求严格执行。</w:t>
                  </w:r>
                </w:p>
              </w:tc>
              <w:tc>
                <w:tcPr>
                  <w:tcW w:w="530" w:type="dxa"/>
                  <w:vAlign w:val="center"/>
                </w:tcPr>
                <w:p w14:paraId="34FEBB80">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BC2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Merge w:val="continue"/>
                  <w:vAlign w:val="center"/>
                </w:tcPr>
                <w:p w14:paraId="793CB0C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rPr>
                  </w:pPr>
                </w:p>
              </w:tc>
              <w:tc>
                <w:tcPr>
                  <w:tcW w:w="1413" w:type="dxa"/>
                  <w:vMerge w:val="continue"/>
                  <w:vAlign w:val="center"/>
                </w:tcPr>
                <w:p w14:paraId="7A6EBC8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4116" w:type="dxa"/>
                  <w:vAlign w:val="center"/>
                </w:tcPr>
                <w:p w14:paraId="1788926A">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加强重污染天气预警。推进省级环境空气质量预测预报体系建设扩容提质。探索将夏季臭氧污染纳入重污染天气监测预警，综合考虑臭氧污染程度，制定应急管控措施。完善预警分级标准体系，区分不同区域不同季节应急响应标准。根据重污染天气预警信息，实施应急联动，协作开展人工增雨改善空气质量作业。</w:t>
                  </w:r>
                </w:p>
              </w:tc>
              <w:tc>
                <w:tcPr>
                  <w:tcW w:w="1736" w:type="dxa"/>
                  <w:vMerge w:val="continue"/>
                  <w:vAlign w:val="center"/>
                </w:tcPr>
                <w:p w14:paraId="6D19E2A5">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530" w:type="dxa"/>
                  <w:vAlign w:val="center"/>
                </w:tcPr>
                <w:p w14:paraId="6D30509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C9E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Align w:val="center"/>
                </w:tcPr>
                <w:p w14:paraId="462940BF">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413" w:type="dxa"/>
                  <w:vAlign w:val="center"/>
                </w:tcPr>
                <w:p w14:paraId="1CDA81B2">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国务院《淮河流域水污染防治暂行条例</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安徽省淮河流域水污染防治条例》（2019年1月1日实施）</w:t>
                  </w:r>
                </w:p>
              </w:tc>
              <w:tc>
                <w:tcPr>
                  <w:tcW w:w="4116" w:type="dxa"/>
                  <w:vAlign w:val="center"/>
                </w:tcPr>
                <w:p w14:paraId="12FC0FDF">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r>
                    <w:rPr>
                      <w:rFonts w:hint="default" w:ascii="Times New Roman" w:hAnsi="Times New Roman" w:eastAsia="宋体" w:cs="Times New Roman"/>
                      <w:color w:val="auto"/>
                      <w:sz w:val="21"/>
                      <w:szCs w:val="21"/>
                      <w:highlight w:val="none"/>
                      <w:lang w:eastAsia="zh-CN"/>
                    </w:rPr>
                    <w:t>”</w:t>
                  </w:r>
                </w:p>
              </w:tc>
              <w:tc>
                <w:tcPr>
                  <w:tcW w:w="1736" w:type="dxa"/>
                  <w:vAlign w:val="center"/>
                </w:tcPr>
                <w:p w14:paraId="4DFB21BC">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项目所在区域属于</w:t>
                  </w:r>
                  <w:r>
                    <w:rPr>
                      <w:rFonts w:hint="eastAsia" w:ascii="Times New Roman" w:hAnsi="Times New Roman" w:cs="Times New Roman"/>
                      <w:color w:val="auto"/>
                      <w:sz w:val="21"/>
                      <w:szCs w:val="21"/>
                      <w:highlight w:val="none"/>
                      <w:lang w:val="en-US" w:eastAsia="zh-CN"/>
                    </w:rPr>
                    <w:t>淮河</w:t>
                  </w:r>
                  <w:r>
                    <w:rPr>
                      <w:rFonts w:hint="default" w:ascii="Times New Roman" w:hAnsi="Times New Roman" w:eastAsia="宋体" w:cs="Times New Roman"/>
                      <w:color w:val="auto"/>
                      <w:sz w:val="21"/>
                      <w:szCs w:val="21"/>
                      <w:highlight w:val="none"/>
                    </w:rPr>
                    <w:t>流域，项目</w:t>
                  </w:r>
                  <w:r>
                    <w:rPr>
                      <w:rFonts w:hint="eastAsia"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val="en-US" w:eastAsia="zh-CN"/>
                    </w:rPr>
                    <w:t>C1311稻谷加工</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无生产废水产生，生活污水经化粪池处理后</w:t>
                  </w:r>
                  <w:r>
                    <w:rPr>
                      <w:rFonts w:hint="eastAsia" w:hAnsi="Times New Roman" w:cs="Times New Roman"/>
                      <w:color w:val="auto"/>
                      <w:sz w:val="21"/>
                      <w:szCs w:val="21"/>
                      <w:highlight w:val="none"/>
                      <w:lang w:val="en-US" w:eastAsia="zh-CN"/>
                    </w:rPr>
                    <w:t>定期清掏用于农田施肥</w:t>
                  </w:r>
                  <w:r>
                    <w:rPr>
                      <w:rFonts w:hint="eastAsia" w:ascii="Times New Roman" w:hAnsi="Times New Roman" w:eastAsia="宋体" w:cs="Times New Roman"/>
                      <w:color w:val="auto"/>
                      <w:sz w:val="21"/>
                      <w:szCs w:val="21"/>
                      <w:highlight w:val="none"/>
                      <w:lang w:val="en-US" w:eastAsia="zh-CN"/>
                    </w:rPr>
                    <w:t>，项目废水</w:t>
                  </w:r>
                  <w:r>
                    <w:rPr>
                      <w:rFonts w:hint="default" w:ascii="Times New Roman" w:hAnsi="Times New Roman" w:eastAsia="宋体" w:cs="Times New Roman"/>
                      <w:color w:val="auto"/>
                      <w:sz w:val="21"/>
                      <w:szCs w:val="21"/>
                      <w:highlight w:val="none"/>
                    </w:rPr>
                    <w:t>对外环境造成影响较小</w:t>
                  </w:r>
                  <w:r>
                    <w:rPr>
                      <w:rFonts w:hint="default" w:ascii="Times New Roman" w:hAnsi="Times New Roman" w:eastAsia="宋体" w:cs="Times New Roman"/>
                      <w:color w:val="auto"/>
                      <w:sz w:val="21"/>
                      <w:szCs w:val="21"/>
                      <w:highlight w:val="none"/>
                      <w:lang w:eastAsia="zh-CN"/>
                    </w:rPr>
                    <w:t>。</w:t>
                  </w:r>
                </w:p>
              </w:tc>
              <w:tc>
                <w:tcPr>
                  <w:tcW w:w="530" w:type="dxa"/>
                  <w:vAlign w:val="center"/>
                </w:tcPr>
                <w:p w14:paraId="5463A98B">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82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vAlign w:val="center"/>
                </w:tcPr>
                <w:p w14:paraId="54892C0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413" w:type="dxa"/>
                  <w:vAlign w:val="center"/>
                </w:tcPr>
                <w:p w14:paraId="5C68AD9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关于印发《淮南市“十四五”生态环境保护规划》的通知</w:t>
                  </w:r>
                  <w:r>
                    <w:rPr>
                      <w:rFonts w:hint="default" w:ascii="Times New Roman" w:hAnsi="Times New Roman" w:eastAsia="宋体" w:cs="Times New Roman"/>
                      <w:color w:val="auto"/>
                      <w:sz w:val="21"/>
                      <w:szCs w:val="21"/>
                      <w:highlight w:val="none"/>
                    </w:rPr>
                    <w:t>淮环通〔2022〕46号</w:t>
                  </w:r>
                </w:p>
              </w:tc>
              <w:tc>
                <w:tcPr>
                  <w:tcW w:w="4116" w:type="dxa"/>
                  <w:vAlign w:val="center"/>
                </w:tcPr>
                <w:p w14:paraId="1748547E">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控制煤炭消费总量，加快实施重点用能单位节能低碳行动和重点产业能效提升计划，严格执行高耗能行业产品能耗限额标准体系</w:t>
                  </w:r>
                </w:p>
              </w:tc>
              <w:tc>
                <w:tcPr>
                  <w:tcW w:w="1736" w:type="dxa"/>
                  <w:vAlign w:val="center"/>
                </w:tcPr>
                <w:p w14:paraId="764AF78D">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本项目为C1311稻谷加工，不属于</w:t>
                  </w:r>
                  <w:r>
                    <w:rPr>
                      <w:rFonts w:hint="default" w:ascii="Times New Roman" w:hAnsi="Times New Roman" w:eastAsia="宋体" w:cs="Times New Roman"/>
                      <w:color w:val="auto"/>
                      <w:sz w:val="21"/>
                      <w:szCs w:val="21"/>
                    </w:rPr>
                    <w:t>煤炭、电力、化工、水泥等重点行业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项目无燃煤锅炉，热源为电能。</w:t>
                  </w:r>
                </w:p>
              </w:tc>
              <w:tc>
                <w:tcPr>
                  <w:tcW w:w="530" w:type="dxa"/>
                  <w:vAlign w:val="center"/>
                </w:tcPr>
                <w:p w14:paraId="208B3777">
                  <w:pPr>
                    <w:pStyle w:val="7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329C9D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eastAsia"/>
                <w:b/>
                <w:bCs/>
                <w:color w:val="auto"/>
                <w:kern w:val="0"/>
                <w:sz w:val="24"/>
                <w:szCs w:val="24"/>
              </w:rPr>
            </w:pPr>
            <w:r>
              <w:rPr>
                <w:rFonts w:hint="eastAsia" w:cs="Times New Roman"/>
                <w:b/>
                <w:bCs/>
                <w:color w:val="auto"/>
                <w:kern w:val="0"/>
                <w:sz w:val="24"/>
                <w:szCs w:val="24"/>
                <w:lang w:val="en-US" w:eastAsia="zh-CN" w:bidi="ar-SA"/>
              </w:rPr>
              <w:t>5</w:t>
            </w:r>
            <w:r>
              <w:rPr>
                <w:rFonts w:hint="eastAsia" w:ascii="Times New Roman" w:hAnsi="Times New Roman" w:eastAsia="宋体" w:cs="Times New Roman"/>
                <w:b/>
                <w:bCs/>
                <w:color w:val="auto"/>
                <w:kern w:val="0"/>
                <w:sz w:val="24"/>
                <w:szCs w:val="24"/>
                <w:lang w:val="en-US" w:eastAsia="zh-CN" w:bidi="ar-SA"/>
              </w:rPr>
              <w:t>、</w:t>
            </w:r>
            <w:r>
              <w:rPr>
                <w:rFonts w:hint="eastAsia"/>
                <w:b/>
                <w:bCs/>
                <w:color w:val="auto"/>
                <w:kern w:val="0"/>
                <w:sz w:val="24"/>
                <w:szCs w:val="24"/>
              </w:rPr>
              <w:t>本项目与“</w:t>
            </w:r>
            <w:r>
              <w:rPr>
                <w:rFonts w:hint="eastAsia"/>
                <w:b/>
                <w:bCs/>
                <w:color w:val="auto"/>
                <w:kern w:val="0"/>
                <w:sz w:val="24"/>
                <w:szCs w:val="24"/>
                <w:lang w:val="en-US" w:eastAsia="zh-CN"/>
              </w:rPr>
              <w:t>《食品企业通用卫生规范》（GB14881-2013）</w:t>
            </w:r>
            <w:r>
              <w:rPr>
                <w:rFonts w:hint="eastAsia"/>
                <w:b/>
                <w:bCs/>
                <w:color w:val="auto"/>
                <w:kern w:val="0"/>
                <w:sz w:val="24"/>
                <w:szCs w:val="24"/>
              </w:rPr>
              <w:t>”</w:t>
            </w:r>
            <w:r>
              <w:rPr>
                <w:rFonts w:hint="eastAsia"/>
                <w:b/>
                <w:bCs/>
                <w:color w:val="auto"/>
                <w:kern w:val="0"/>
                <w:sz w:val="24"/>
                <w:szCs w:val="24"/>
                <w:lang w:val="en-US" w:eastAsia="zh-CN"/>
              </w:rPr>
              <w:t>符合性</w:t>
            </w:r>
            <w:r>
              <w:rPr>
                <w:rFonts w:hint="eastAsia"/>
                <w:b/>
                <w:bCs/>
                <w:color w:val="auto"/>
                <w:kern w:val="0"/>
                <w:sz w:val="24"/>
                <w:szCs w:val="24"/>
              </w:rPr>
              <w:t>分析</w:t>
            </w:r>
          </w:p>
          <w:p w14:paraId="4A859C03">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eastAsia="宋体" w:cs="Times New Roman"/>
                <w:b/>
                <w:bCs/>
                <w:color w:val="auto"/>
                <w:kern w:val="2"/>
                <w:sz w:val="21"/>
                <w:szCs w:val="21"/>
                <w:lang w:val="en-US" w:eastAsia="zh-CN" w:bidi="ar-SA"/>
              </w:rPr>
              <w:t xml:space="preserve">5  </w:t>
            </w:r>
            <w:r>
              <w:rPr>
                <w:rFonts w:hint="default" w:ascii="Times New Roman" w:hAnsi="Times New Roman" w:eastAsia="宋体" w:cs="Times New Roman"/>
                <w:b/>
                <w:bCs/>
                <w:color w:val="auto"/>
                <w:kern w:val="2"/>
                <w:sz w:val="21"/>
                <w:szCs w:val="21"/>
                <w:lang w:val="en-US" w:eastAsia="zh-CN" w:bidi="ar-SA"/>
              </w:rPr>
              <w:t>与“《食品企业通用卫生规范》（GB14881-2013）”符合性分析一览表</w:t>
            </w:r>
          </w:p>
          <w:tbl>
            <w:tblPr>
              <w:tblStyle w:val="47"/>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952"/>
              <w:gridCol w:w="3623"/>
              <w:gridCol w:w="906"/>
            </w:tblGrid>
            <w:tr w14:paraId="1D7D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9" w:type="dxa"/>
                  <w:vAlign w:val="center"/>
                </w:tcPr>
                <w:p w14:paraId="68DEB8EA">
                  <w:pPr>
                    <w:pStyle w:val="17"/>
                    <w:spacing w:after="0"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相关标准</w:t>
                  </w:r>
                </w:p>
              </w:tc>
              <w:tc>
                <w:tcPr>
                  <w:tcW w:w="2952" w:type="dxa"/>
                  <w:vAlign w:val="center"/>
                </w:tcPr>
                <w:p w14:paraId="55B5A114">
                  <w:pPr>
                    <w:pStyle w:val="17"/>
                    <w:spacing w:after="0"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标准要求</w:t>
                  </w:r>
                </w:p>
              </w:tc>
              <w:tc>
                <w:tcPr>
                  <w:tcW w:w="3623" w:type="dxa"/>
                  <w:vAlign w:val="center"/>
                </w:tcPr>
                <w:p w14:paraId="6BEF8DC9">
                  <w:pPr>
                    <w:pStyle w:val="17"/>
                    <w:spacing w:after="0"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本项目概况</w:t>
                  </w:r>
                </w:p>
              </w:tc>
              <w:tc>
                <w:tcPr>
                  <w:tcW w:w="906" w:type="dxa"/>
                  <w:vAlign w:val="center"/>
                </w:tcPr>
                <w:p w14:paraId="3671B619">
                  <w:pPr>
                    <w:pStyle w:val="17"/>
                    <w:spacing w:after="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符合性</w:t>
                  </w:r>
                </w:p>
              </w:tc>
            </w:tr>
            <w:tr w14:paraId="19AC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restart"/>
                  <w:vAlign w:val="center"/>
                </w:tcPr>
                <w:p w14:paraId="4BB4285D">
                  <w:pPr>
                    <w:pStyle w:val="17"/>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《食品</w:t>
                  </w:r>
                </w:p>
                <w:p w14:paraId="3A69365B">
                  <w:pPr>
                    <w:pStyle w:val="17"/>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企业</w:t>
                  </w:r>
                </w:p>
                <w:p w14:paraId="5272872B">
                  <w:pPr>
                    <w:pStyle w:val="17"/>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通用</w:t>
                  </w:r>
                </w:p>
                <w:p w14:paraId="4D7782AE">
                  <w:pPr>
                    <w:pStyle w:val="17"/>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卫生</w:t>
                  </w:r>
                </w:p>
                <w:p w14:paraId="4D47C17F">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规范》</w:t>
                  </w:r>
                </w:p>
              </w:tc>
              <w:tc>
                <w:tcPr>
                  <w:tcW w:w="2952" w:type="dxa"/>
                  <w:vAlign w:val="center"/>
                </w:tcPr>
                <w:p w14:paraId="384C8FA2">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厂区不应选择对食品有显著污染的区域。如某地对食品安全和食品宜食用性存在明显的不利影响，且无法通过采取措施加以改善，应避免在该地址建厂。</w:t>
                  </w:r>
                </w:p>
              </w:tc>
              <w:tc>
                <w:tcPr>
                  <w:tcW w:w="3623" w:type="dxa"/>
                  <w:vAlign w:val="center"/>
                </w:tcPr>
                <w:p w14:paraId="73A0DFFF">
                  <w:pPr>
                    <w:pStyle w:val="17"/>
                    <w:spacing w:after="0" w:line="36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位于淮南市潘集区潘集镇地销煤路聚旺公司旁，利用现有生产厂房进行生产作业，西侧聚旺公司不进行生产且仅用于办公使用，周边无污染型工业企业，项目厂址不属于对食品有显著污染的区域，满足厂区建设要求。</w:t>
                  </w:r>
                </w:p>
              </w:tc>
              <w:tc>
                <w:tcPr>
                  <w:tcW w:w="906" w:type="dxa"/>
                  <w:vAlign w:val="center"/>
                </w:tcPr>
                <w:p w14:paraId="6B87DD89">
                  <w:pPr>
                    <w:pStyle w:val="17"/>
                    <w:spacing w:after="0" w:line="36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6532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vMerge w:val="continue"/>
                  <w:vAlign w:val="center"/>
                </w:tcPr>
                <w:p w14:paraId="3ADA722D">
                  <w:pPr>
                    <w:pStyle w:val="17"/>
                    <w:spacing w:after="0" w:line="360" w:lineRule="exact"/>
                    <w:ind w:left="0" w:leftChars="0" w:firstLine="0" w:firstLineChars="0"/>
                    <w:jc w:val="center"/>
                    <w:rPr>
                      <w:rFonts w:hint="default" w:ascii="Times New Roman" w:hAnsi="Times New Roman" w:cs="Times New Roman"/>
                      <w:color w:val="auto"/>
                      <w:sz w:val="21"/>
                      <w:szCs w:val="21"/>
                    </w:rPr>
                  </w:pPr>
                </w:p>
              </w:tc>
              <w:tc>
                <w:tcPr>
                  <w:tcW w:w="2952" w:type="dxa"/>
                  <w:vAlign w:val="center"/>
                </w:tcPr>
                <w:p w14:paraId="0FDDE745">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厂区不应选择有害废弃物以及粉尘、有害气体、放射性物质和其他扩散性污染源不能有效清除的地址。</w:t>
                  </w:r>
                </w:p>
              </w:tc>
              <w:tc>
                <w:tcPr>
                  <w:tcW w:w="3623" w:type="dxa"/>
                  <w:vAlign w:val="center"/>
                </w:tcPr>
                <w:p w14:paraId="317C170A">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项目用地为工业用地，厂区周边无</w:t>
                  </w:r>
                  <w:r>
                    <w:rPr>
                      <w:rFonts w:hint="default" w:ascii="Times New Roman" w:hAnsi="Times New Roman" w:cs="Times New Roman"/>
                      <w:color w:val="auto"/>
                      <w:sz w:val="21"/>
                      <w:szCs w:val="21"/>
                      <w:highlight w:val="none"/>
                    </w:rPr>
                    <w:t>有害废弃物以及粉尘、有害气体、放射性物质和其他扩散性污染源不能有效清除的地址</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项目所在地无原有环境污染问题。</w:t>
                  </w:r>
                </w:p>
              </w:tc>
              <w:tc>
                <w:tcPr>
                  <w:tcW w:w="906" w:type="dxa"/>
                  <w:vAlign w:val="center"/>
                </w:tcPr>
                <w:p w14:paraId="1C79416E">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2335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37B99E2D">
                  <w:pPr>
                    <w:pStyle w:val="17"/>
                    <w:spacing w:after="0" w:line="360" w:lineRule="exact"/>
                    <w:ind w:left="0" w:leftChars="0" w:firstLine="0" w:firstLineChars="0"/>
                    <w:jc w:val="center"/>
                    <w:rPr>
                      <w:rFonts w:hint="default" w:ascii="Times New Roman" w:hAnsi="Times New Roman" w:cs="Times New Roman"/>
                      <w:color w:val="auto"/>
                      <w:sz w:val="21"/>
                      <w:szCs w:val="21"/>
                    </w:rPr>
                  </w:pPr>
                </w:p>
              </w:tc>
              <w:tc>
                <w:tcPr>
                  <w:tcW w:w="2952" w:type="dxa"/>
                  <w:vAlign w:val="center"/>
                </w:tcPr>
                <w:p w14:paraId="0F6659F2">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厂区不宜选择发生洪涝灾害的地区，难以避开时应设计必要的防范措施。</w:t>
                  </w:r>
                </w:p>
              </w:tc>
              <w:tc>
                <w:tcPr>
                  <w:tcW w:w="3623" w:type="dxa"/>
                  <w:vAlign w:val="center"/>
                </w:tcPr>
                <w:p w14:paraId="6BF3C675">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淮南市</w:t>
                  </w:r>
                  <w:r>
                    <w:rPr>
                      <w:rFonts w:hint="default" w:ascii="Times New Roman" w:hAnsi="Times New Roman" w:cs="Times New Roman"/>
                      <w:color w:val="auto"/>
                      <w:sz w:val="21"/>
                      <w:szCs w:val="21"/>
                    </w:rPr>
                    <w:t>属北亚热带季风气候区，夏季降雨天数多，雨量大，</w:t>
                  </w:r>
                  <w:r>
                    <w:rPr>
                      <w:rFonts w:hint="eastAsia" w:ascii="Times New Roman" w:hAnsi="Times New Roman" w:cs="Times New Roman"/>
                      <w:color w:val="auto"/>
                      <w:sz w:val="21"/>
                      <w:szCs w:val="21"/>
                      <w:lang w:val="en-US" w:eastAsia="zh-CN"/>
                    </w:rPr>
                    <w:t>常</w:t>
                  </w:r>
                  <w:r>
                    <w:rPr>
                      <w:rFonts w:hint="default" w:ascii="Times New Roman" w:hAnsi="Times New Roman" w:cs="Times New Roman"/>
                      <w:color w:val="auto"/>
                      <w:sz w:val="21"/>
                      <w:szCs w:val="21"/>
                    </w:rPr>
                    <w:t>出现暴雨形成洪涝灾害。本项目选址位于</w:t>
                  </w:r>
                  <w:r>
                    <w:rPr>
                      <w:rFonts w:hint="eastAsia" w:ascii="Times New Roman" w:hAnsi="Times New Roman" w:cs="Times New Roman"/>
                      <w:color w:val="auto"/>
                      <w:sz w:val="21"/>
                      <w:szCs w:val="21"/>
                      <w:lang w:eastAsia="zh-CN"/>
                    </w:rPr>
                    <w:t>淮南市潘集区潘集镇地销煤路聚旺公司旁</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项目所在地为平原地形，地形开阔，</w:t>
                  </w:r>
                  <w:r>
                    <w:rPr>
                      <w:rFonts w:hint="default" w:ascii="Times New Roman" w:hAnsi="Times New Roman" w:cs="Times New Roman"/>
                      <w:color w:val="auto"/>
                      <w:sz w:val="21"/>
                      <w:szCs w:val="21"/>
                    </w:rPr>
                    <w:t>排水流畅，雨季不会产生洪涝灾害。</w:t>
                  </w:r>
                </w:p>
              </w:tc>
              <w:tc>
                <w:tcPr>
                  <w:tcW w:w="906" w:type="dxa"/>
                  <w:vAlign w:val="center"/>
                </w:tcPr>
                <w:p w14:paraId="7D73EE9C">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728F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3F2FE264">
                  <w:pPr>
                    <w:pStyle w:val="17"/>
                    <w:spacing w:after="0" w:line="360" w:lineRule="exact"/>
                    <w:ind w:left="0" w:leftChars="0" w:firstLine="0" w:firstLineChars="0"/>
                    <w:jc w:val="center"/>
                    <w:rPr>
                      <w:rFonts w:hint="default" w:ascii="Times New Roman" w:hAnsi="Times New Roman" w:cs="Times New Roman"/>
                      <w:color w:val="auto"/>
                      <w:sz w:val="21"/>
                      <w:szCs w:val="21"/>
                    </w:rPr>
                  </w:pPr>
                </w:p>
              </w:tc>
              <w:tc>
                <w:tcPr>
                  <w:tcW w:w="2952" w:type="dxa"/>
                  <w:vAlign w:val="center"/>
                </w:tcPr>
                <w:p w14:paraId="1F1A45CC">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厂区周围不宜有虫害大量孽生的潜在场所，难以避开时应设计必要的防范措施。</w:t>
                  </w:r>
                </w:p>
              </w:tc>
              <w:tc>
                <w:tcPr>
                  <w:tcW w:w="3623" w:type="dxa"/>
                  <w:vAlign w:val="center"/>
                </w:tcPr>
                <w:p w14:paraId="0A04E63C">
                  <w:pPr>
                    <w:pStyle w:val="17"/>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rPr>
                    <w:t>周边无昆虫大量孽生的潜在场所。</w:t>
                  </w:r>
                </w:p>
              </w:tc>
              <w:tc>
                <w:tcPr>
                  <w:tcW w:w="906" w:type="dxa"/>
                  <w:vAlign w:val="center"/>
                </w:tcPr>
                <w:p w14:paraId="431F9B08">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bl>
          <w:p w14:paraId="3CEB3470">
            <w:pPr>
              <w:rPr>
                <w:rFonts w:hint="eastAsia"/>
                <w:b/>
                <w:bCs/>
                <w:color w:val="auto"/>
                <w:sz w:val="24"/>
                <w:szCs w:val="32"/>
                <w:vertAlign w:val="baseline"/>
                <w:lang w:val="en-US" w:eastAsia="zh-CN"/>
              </w:rPr>
            </w:pPr>
          </w:p>
          <w:p w14:paraId="488C123A">
            <w:pPr>
              <w:rPr>
                <w:rFonts w:hint="eastAsia"/>
                <w:b/>
                <w:bCs/>
                <w:color w:val="auto"/>
                <w:sz w:val="24"/>
                <w:szCs w:val="32"/>
                <w:vertAlign w:val="baseline"/>
                <w:lang w:val="en-US" w:eastAsia="zh-CN"/>
              </w:rPr>
            </w:pPr>
          </w:p>
          <w:p w14:paraId="1F0FFBCC">
            <w:pPr>
              <w:rPr>
                <w:rFonts w:hint="eastAsia"/>
                <w:b/>
                <w:bCs/>
                <w:color w:val="auto"/>
                <w:sz w:val="24"/>
                <w:szCs w:val="32"/>
                <w:vertAlign w:val="baseline"/>
                <w:lang w:val="en-US" w:eastAsia="zh-CN"/>
              </w:rPr>
            </w:pPr>
          </w:p>
          <w:p w14:paraId="1986D605">
            <w:pPr>
              <w:rPr>
                <w:rFonts w:hint="eastAsia"/>
                <w:b/>
                <w:bCs/>
                <w:color w:val="auto"/>
                <w:sz w:val="24"/>
                <w:szCs w:val="32"/>
                <w:vertAlign w:val="baseline"/>
                <w:lang w:val="en-US" w:eastAsia="zh-CN"/>
              </w:rPr>
            </w:pPr>
          </w:p>
          <w:p w14:paraId="2AD9F7B7">
            <w:pPr>
              <w:rPr>
                <w:rFonts w:hint="eastAsia"/>
                <w:b/>
                <w:bCs/>
                <w:color w:val="auto"/>
                <w:sz w:val="24"/>
                <w:szCs w:val="32"/>
                <w:vertAlign w:val="baseline"/>
                <w:lang w:val="en-US" w:eastAsia="zh-CN"/>
              </w:rPr>
            </w:pPr>
          </w:p>
        </w:tc>
      </w:tr>
    </w:tbl>
    <w:p w14:paraId="57AA8F84">
      <w:pPr>
        <w:bidi w:val="0"/>
        <w:rPr>
          <w:rFonts w:hint="eastAsia" w:ascii="Times New Roman" w:hAnsi="Times New Roman" w:eastAsia="宋体"/>
          <w:b w:val="0"/>
          <w:bCs w:val="0"/>
          <w:color w:val="auto"/>
          <w:sz w:val="24"/>
          <w:szCs w:val="24"/>
          <w:lang w:val="en-US" w:eastAsia="zh-CN"/>
        </w:rPr>
      </w:pPr>
    </w:p>
    <w:p w14:paraId="66A30D7E">
      <w:pPr>
        <w:bidi w:val="0"/>
        <w:rPr>
          <w:rFonts w:hint="default"/>
          <w:color w:val="auto"/>
          <w:lang w:val="en-US"/>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58A2F96A">
      <w:pPr>
        <w:spacing w:line="360" w:lineRule="auto"/>
        <w:jc w:val="center"/>
        <w:outlineLvl w:val="0"/>
        <w:rPr>
          <w:rFonts w:eastAsia="黑体"/>
          <w:b/>
          <w:bCs/>
          <w:color w:val="auto"/>
          <w:sz w:val="30"/>
          <w:szCs w:val="24"/>
        </w:rPr>
      </w:pPr>
      <w:bookmarkStart w:id="5" w:name="_Toc9463"/>
      <w:bookmarkStart w:id="6" w:name="_Toc26979"/>
      <w:r>
        <w:rPr>
          <w:rFonts w:hint="eastAsia" w:eastAsia="黑体"/>
          <w:b/>
          <w:bCs/>
          <w:color w:val="auto"/>
          <w:sz w:val="30"/>
          <w:szCs w:val="24"/>
        </w:rPr>
        <w:t>二、</w:t>
      </w:r>
      <w:r>
        <w:rPr>
          <w:rFonts w:eastAsia="黑体"/>
          <w:b/>
          <w:bCs/>
          <w:color w:val="auto"/>
          <w:sz w:val="30"/>
          <w:szCs w:val="24"/>
        </w:rPr>
        <w:t>建设项目</w:t>
      </w:r>
      <w:r>
        <w:rPr>
          <w:rFonts w:hint="eastAsia" w:eastAsia="黑体"/>
          <w:b/>
          <w:bCs/>
          <w:color w:val="auto"/>
          <w:sz w:val="30"/>
          <w:szCs w:val="24"/>
        </w:rPr>
        <w:t>工程分析</w:t>
      </w:r>
      <w:bookmarkEnd w:id="5"/>
    </w:p>
    <w:tbl>
      <w:tblPr>
        <w:tblStyle w:val="46"/>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8785"/>
      </w:tblGrid>
      <w:tr w14:paraId="743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9" w:hRule="atLeast"/>
          <w:jc w:val="center"/>
        </w:trPr>
        <w:tc>
          <w:tcPr>
            <w:tcW w:w="569" w:type="dxa"/>
            <w:vAlign w:val="center"/>
          </w:tcPr>
          <w:p w14:paraId="7FBB4770">
            <w:pPr>
              <w:widowControl/>
              <w:spacing w:line="360" w:lineRule="auto"/>
              <w:jc w:val="center"/>
              <w:rPr>
                <w:bCs/>
                <w:color w:val="auto"/>
                <w:szCs w:val="21"/>
              </w:rPr>
            </w:pPr>
            <w:r>
              <w:rPr>
                <w:rFonts w:hint="eastAsia"/>
                <w:bCs/>
                <w:color w:val="auto"/>
                <w:sz w:val="24"/>
                <w:szCs w:val="24"/>
              </w:rPr>
              <w:t>建设内容</w:t>
            </w:r>
          </w:p>
        </w:tc>
        <w:tc>
          <w:tcPr>
            <w:tcW w:w="8676" w:type="dxa"/>
            <w:vAlign w:val="center"/>
          </w:tcPr>
          <w:p w14:paraId="6416BC4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lang w:val="en-US" w:eastAsia="zh-CN"/>
              </w:rPr>
              <w:t>、项目由来</w:t>
            </w:r>
          </w:p>
          <w:p w14:paraId="64C899A8">
            <w:pPr>
              <w:pageBreakBefore w:val="0"/>
              <w:bidi w:val="0"/>
              <w:spacing w:line="360" w:lineRule="auto"/>
              <w:ind w:left="0" w:leftChars="0" w:right="0" w:firstLine="480"/>
              <w:rPr>
                <w:rFonts w:hint="default" w:ascii="Times New Roman" w:hAnsi="Times New Roman" w:eastAsia="宋体" w:cs="Times New Roman"/>
                <w:bCs/>
                <w:color w:val="auto"/>
                <w:spacing w:val="0"/>
                <w:sz w:val="24"/>
                <w:szCs w:val="24"/>
                <w:lang w:val="en-US" w:eastAsia="zh-CN"/>
              </w:rPr>
            </w:pPr>
            <w:r>
              <w:rPr>
                <w:rFonts w:hint="default" w:ascii="Times New Roman" w:hAnsi="Times New Roman" w:cs="Times New Roman"/>
                <w:bCs/>
                <w:color w:val="auto"/>
                <w:sz w:val="24"/>
                <w:lang w:val="en-US" w:eastAsia="zh-CN"/>
              </w:rPr>
              <w:t>淮南市潘集区潘集镇潘集村股份经济合作社</w:t>
            </w:r>
            <w:r>
              <w:rPr>
                <w:rFonts w:hint="default" w:ascii="Times New Roman" w:hAnsi="Times New Roman" w:cs="Times New Roman"/>
                <w:bCs/>
                <w:color w:val="auto"/>
                <w:sz w:val="24"/>
              </w:rPr>
              <w:t>位于</w:t>
            </w:r>
            <w:r>
              <w:rPr>
                <w:rFonts w:hint="default" w:ascii="Times New Roman" w:hAnsi="Times New Roman" w:cs="Times New Roman"/>
                <w:b w:val="0"/>
                <w:bCs w:val="0"/>
                <w:color w:val="auto"/>
                <w:sz w:val="24"/>
                <w:szCs w:val="24"/>
                <w:u w:val="none"/>
                <w:lang w:eastAsia="zh-CN"/>
              </w:rPr>
              <w:t>淮南市潘集区潘集镇地销煤路聚旺公司旁</w:t>
            </w:r>
            <w:r>
              <w:rPr>
                <w:rFonts w:hint="default" w:ascii="Times New Roman" w:hAnsi="Times New Roman" w:cs="Times New Roman"/>
                <w:bCs/>
                <w:color w:val="auto"/>
                <w:sz w:val="24"/>
              </w:rPr>
              <w:t>，项目占地</w:t>
            </w:r>
            <w:r>
              <w:rPr>
                <w:rFonts w:hint="eastAsia" w:ascii="Times New Roman" w:hAnsi="Times New Roman" w:cs="Times New Roman"/>
                <w:color w:val="auto"/>
                <w:sz w:val="24"/>
                <w:szCs w:val="24"/>
                <w:lang w:val="en-US" w:eastAsia="zh-CN"/>
              </w:rPr>
              <w:t>7670.7</w:t>
            </w:r>
            <w:r>
              <w:rPr>
                <w:rFonts w:hint="default" w:ascii="Times New Roman" w:hAnsi="Times New Roman" w:cs="Times New Roman"/>
                <w:bCs/>
                <w:color w:val="auto"/>
                <w:sz w:val="24"/>
              </w:rPr>
              <w:t>m</w:t>
            </w:r>
            <w:r>
              <w:rPr>
                <w:rFonts w:hint="eastAsia" w:ascii="Times New Roman" w:hAnsi="Times New Roman" w:cs="Times New Roman"/>
                <w:bCs/>
                <w:color w:val="auto"/>
                <w:sz w:val="24"/>
                <w:vertAlign w:val="superscript"/>
                <w:lang w:val="en-US" w:eastAsia="zh-CN"/>
              </w:rPr>
              <w:t>2</w:t>
            </w:r>
            <w:r>
              <w:rPr>
                <w:rFonts w:hint="default" w:ascii="Times New Roman" w:hAnsi="Times New Roman" w:cs="Times New Roman"/>
                <w:bCs/>
                <w:color w:val="auto"/>
                <w:sz w:val="24"/>
              </w:rPr>
              <w:t>，项目</w:t>
            </w:r>
            <w:r>
              <w:rPr>
                <w:rFonts w:hint="eastAsia" w:ascii="Times New Roman" w:hAnsi="Times New Roman" w:cs="Times New Roman"/>
                <w:bCs/>
                <w:color w:val="auto"/>
                <w:sz w:val="24"/>
                <w:lang w:val="en-US" w:eastAsia="zh-CN"/>
              </w:rPr>
              <w:t>利用已建1</w:t>
            </w:r>
            <w:r>
              <w:rPr>
                <w:rFonts w:hint="default" w:ascii="Times New Roman" w:hAnsi="Times New Roman" w:cs="Times New Roman"/>
                <w:bCs/>
                <w:color w:val="auto"/>
                <w:sz w:val="24"/>
              </w:rPr>
              <w:t>栋厂房用作大米加工车间、稻壳破碎车间、粮食储备仓等。计划新增</w:t>
            </w:r>
            <w:r>
              <w:rPr>
                <w:rFonts w:hint="default" w:ascii="Times New Roman" w:hAnsi="Times New Roman" w:cs="Times New Roman"/>
                <w:bCs/>
                <w:color w:val="auto"/>
                <w:sz w:val="24"/>
                <w:lang w:val="en-US" w:eastAsia="zh-CN"/>
              </w:rPr>
              <w:t>清理筛</w:t>
            </w:r>
            <w:r>
              <w:rPr>
                <w:rFonts w:hint="eastAsia" w:cs="Times New Roman"/>
                <w:bCs/>
                <w:color w:val="auto"/>
                <w:sz w:val="24"/>
                <w:lang w:val="en-US" w:eastAsia="zh-CN"/>
              </w:rPr>
              <w:t>、</w:t>
            </w:r>
            <w:r>
              <w:rPr>
                <w:rFonts w:hint="default" w:ascii="Times New Roman" w:hAnsi="Times New Roman" w:cs="Times New Roman"/>
                <w:bCs/>
                <w:color w:val="auto"/>
                <w:sz w:val="24"/>
              </w:rPr>
              <w:t>砻谷机、碾</w:t>
            </w:r>
            <w:r>
              <w:rPr>
                <w:rFonts w:hint="eastAsia" w:cs="Times New Roman"/>
                <w:bCs/>
                <w:color w:val="auto"/>
                <w:sz w:val="24"/>
                <w:lang w:val="en-US" w:eastAsia="zh-CN"/>
              </w:rPr>
              <w:t>米</w:t>
            </w:r>
            <w:r>
              <w:rPr>
                <w:rFonts w:hint="default" w:ascii="Times New Roman" w:hAnsi="Times New Roman" w:cs="Times New Roman"/>
                <w:bCs/>
                <w:color w:val="auto"/>
                <w:sz w:val="24"/>
              </w:rPr>
              <w:t>机、</w:t>
            </w:r>
            <w:r>
              <w:rPr>
                <w:rFonts w:hint="eastAsia" w:cs="Times New Roman"/>
                <w:bCs/>
                <w:color w:val="auto"/>
                <w:sz w:val="24"/>
                <w:lang w:val="en-US" w:eastAsia="zh-CN"/>
              </w:rPr>
              <w:t>抛光机、色选机</w:t>
            </w:r>
            <w:r>
              <w:rPr>
                <w:rFonts w:hint="default" w:ascii="Times New Roman" w:hAnsi="Times New Roman" w:cs="Times New Roman"/>
                <w:bCs/>
                <w:color w:val="auto"/>
                <w:sz w:val="24"/>
              </w:rPr>
              <w:t>等配套设施，建设给排水、供配电、道路停车场及景观绿化等工程，实现年产优质大米品</w:t>
            </w:r>
            <w:r>
              <w:rPr>
                <w:rFonts w:hint="eastAsia" w:cs="Times New Roman"/>
                <w:bCs/>
                <w:color w:val="auto"/>
                <w:sz w:val="24"/>
                <w:lang w:val="en-US" w:eastAsia="zh-CN"/>
              </w:rPr>
              <w:t>1</w:t>
            </w:r>
            <w:r>
              <w:rPr>
                <w:rFonts w:hint="default" w:ascii="Times New Roman" w:hAnsi="Times New Roman" w:cs="Times New Roman"/>
                <w:bCs/>
                <w:color w:val="auto"/>
                <w:sz w:val="24"/>
              </w:rPr>
              <w:t>万吨的生产规模。</w:t>
            </w:r>
            <w:r>
              <w:rPr>
                <w:rFonts w:hint="default" w:ascii="Times New Roman" w:hAnsi="Times New Roman" w:cs="Times New Roman"/>
                <w:bCs/>
                <w:color w:val="auto"/>
                <w:sz w:val="24"/>
                <w:szCs w:val="24"/>
              </w:rPr>
              <w:t>202</w:t>
            </w:r>
            <w:r>
              <w:rPr>
                <w:rFonts w:hint="eastAsia" w:cs="Times New Roman"/>
                <w:bCs/>
                <w:color w:val="auto"/>
                <w:sz w:val="24"/>
                <w:szCs w:val="24"/>
                <w:lang w:val="en-US" w:eastAsia="zh-CN"/>
              </w:rPr>
              <w:t>6</w:t>
            </w:r>
            <w:r>
              <w:rPr>
                <w:rFonts w:hint="default" w:ascii="Times New Roman" w:hAnsi="Times New Roman" w:cs="Times New Roman"/>
                <w:bCs/>
                <w:color w:val="auto"/>
                <w:sz w:val="24"/>
                <w:szCs w:val="24"/>
              </w:rPr>
              <w:t>年</w:t>
            </w:r>
            <w:r>
              <w:rPr>
                <w:rFonts w:hint="eastAsia" w:cs="Times New Roman"/>
                <w:bCs/>
                <w:color w:val="auto"/>
                <w:sz w:val="24"/>
                <w:szCs w:val="24"/>
                <w:lang w:val="en-US" w:eastAsia="zh-CN"/>
              </w:rPr>
              <w:t>4</w:t>
            </w:r>
            <w:r>
              <w:rPr>
                <w:rFonts w:hint="default" w:ascii="Times New Roman" w:hAnsi="Times New Roman" w:cs="Times New Roman"/>
                <w:bCs/>
                <w:color w:val="auto"/>
                <w:sz w:val="24"/>
                <w:szCs w:val="24"/>
              </w:rPr>
              <w:t>月</w:t>
            </w:r>
            <w:r>
              <w:rPr>
                <w:rFonts w:hint="eastAsia" w:cs="Times New Roman"/>
                <w:bCs/>
                <w:color w:val="auto"/>
                <w:sz w:val="24"/>
                <w:szCs w:val="24"/>
                <w:lang w:val="en-US" w:eastAsia="zh-CN"/>
              </w:rPr>
              <w:t>3</w:t>
            </w:r>
            <w:r>
              <w:rPr>
                <w:rFonts w:hint="default" w:ascii="Times New Roman" w:hAnsi="Times New Roman" w:cs="Times New Roman"/>
                <w:bCs/>
                <w:color w:val="auto"/>
                <w:sz w:val="24"/>
                <w:szCs w:val="24"/>
              </w:rPr>
              <w:t>日</w:t>
            </w:r>
            <w:r>
              <w:rPr>
                <w:rFonts w:hint="default" w:ascii="Times New Roman" w:hAnsi="Times New Roman" w:cs="Times New Roman"/>
                <w:bCs/>
                <w:color w:val="auto"/>
                <w:sz w:val="24"/>
              </w:rPr>
              <w:t>该项目由淮南市潘集区发展和改革委员会备案，项目代码</w:t>
            </w:r>
            <w:r>
              <w:rPr>
                <w:rFonts w:hint="default" w:ascii="Times New Roman" w:hAnsi="Times New Roman" w:cs="Times New Roman"/>
                <w:color w:val="auto"/>
                <w:sz w:val="24"/>
                <w:szCs w:val="24"/>
                <w:lang w:val="en-US" w:eastAsia="zh-CN"/>
              </w:rPr>
              <w:t>2604-340406-04-01-794474</w:t>
            </w:r>
            <w:r>
              <w:rPr>
                <w:rFonts w:hint="default" w:ascii="Times New Roman" w:hAnsi="Times New Roman" w:cs="Times New Roman"/>
                <w:bCs/>
                <w:color w:val="auto"/>
                <w:sz w:val="24"/>
              </w:rPr>
              <w:t>。项目立项备案内容为</w:t>
            </w:r>
            <w:r>
              <w:rPr>
                <w:rFonts w:hint="eastAsia" w:cs="Times New Roman"/>
                <w:bCs/>
                <w:color w:val="auto"/>
                <w:sz w:val="24"/>
                <w:lang w:eastAsia="zh-CN"/>
              </w:rPr>
              <w:t>：</w:t>
            </w:r>
            <w:r>
              <w:rPr>
                <w:rFonts w:hint="default" w:ascii="Times New Roman" w:hAnsi="Times New Roman" w:cs="Times New Roman"/>
                <w:bCs/>
                <w:color w:val="auto"/>
                <w:sz w:val="24"/>
              </w:rPr>
              <w:t>项目</w:t>
            </w:r>
            <w:r>
              <w:rPr>
                <w:rFonts w:hint="eastAsia" w:cs="Times New Roman"/>
                <w:bCs/>
                <w:color w:val="auto"/>
                <w:sz w:val="24"/>
                <w:lang w:val="en-US" w:eastAsia="zh-CN"/>
              </w:rPr>
              <w:t>购置大米加工生产线1条</w:t>
            </w:r>
            <w:r>
              <w:rPr>
                <w:rFonts w:hint="default" w:ascii="Times New Roman" w:hAnsi="Times New Roman" w:cs="Times New Roman"/>
                <w:bCs/>
                <w:color w:val="auto"/>
                <w:sz w:val="24"/>
              </w:rPr>
              <w:t>，</w:t>
            </w:r>
            <w:r>
              <w:rPr>
                <w:rFonts w:hint="eastAsia" w:cs="Times New Roman"/>
                <w:color w:val="auto"/>
                <w:spacing w:val="0"/>
                <w:sz w:val="24"/>
                <w:szCs w:val="24"/>
                <w:u w:val="none"/>
                <w:lang w:val="en-US" w:eastAsia="zh-CN"/>
              </w:rPr>
              <w:t>新建1栋办公用房、钢架棚仓库、门卫室、地磅、停车棚等</w:t>
            </w:r>
            <w:r>
              <w:rPr>
                <w:rFonts w:hint="default" w:ascii="Times New Roman" w:hAnsi="Times New Roman" w:eastAsia="宋体" w:cs="Times New Roman"/>
                <w:color w:val="auto"/>
                <w:spacing w:val="0"/>
                <w:sz w:val="24"/>
                <w:szCs w:val="24"/>
                <w:u w:val="none"/>
                <w:lang w:val="en-US" w:eastAsia="zh-CN"/>
              </w:rPr>
              <w:t>配套设施</w:t>
            </w:r>
            <w:r>
              <w:rPr>
                <w:rFonts w:hint="default" w:ascii="Times New Roman" w:hAnsi="Times New Roman" w:cs="Times New Roman"/>
                <w:bCs/>
                <w:color w:val="auto"/>
                <w:sz w:val="24"/>
              </w:rPr>
              <w:t>，建成后可形成年产</w:t>
            </w:r>
            <w:r>
              <w:rPr>
                <w:rFonts w:hint="eastAsia" w:cs="Times New Roman"/>
                <w:bCs/>
                <w:color w:val="auto"/>
                <w:sz w:val="24"/>
                <w:lang w:val="en-US" w:eastAsia="zh-CN"/>
              </w:rPr>
              <w:t>1</w:t>
            </w:r>
            <w:r>
              <w:rPr>
                <w:rFonts w:hint="default" w:ascii="Times New Roman" w:hAnsi="Times New Roman" w:cs="Times New Roman"/>
                <w:bCs/>
                <w:color w:val="auto"/>
                <w:sz w:val="24"/>
              </w:rPr>
              <w:t>万吨大米</w:t>
            </w:r>
            <w:r>
              <w:rPr>
                <w:rFonts w:hint="eastAsia" w:cs="Times New Roman"/>
                <w:bCs/>
                <w:color w:val="auto"/>
                <w:sz w:val="24"/>
                <w:lang w:eastAsia="zh-CN"/>
              </w:rPr>
              <w:t>的</w:t>
            </w:r>
            <w:r>
              <w:rPr>
                <w:rFonts w:hint="eastAsia" w:cs="Times New Roman"/>
                <w:bCs/>
                <w:color w:val="auto"/>
                <w:sz w:val="24"/>
                <w:lang w:val="en-US" w:eastAsia="zh-CN"/>
              </w:rPr>
              <w:t>生产能力</w:t>
            </w:r>
            <w:r>
              <w:rPr>
                <w:rFonts w:hint="default" w:ascii="Times New Roman" w:hAnsi="Times New Roman" w:cs="Times New Roman"/>
                <w:color w:val="auto"/>
                <w:spacing w:val="0"/>
                <w:kern w:val="0"/>
                <w:sz w:val="24"/>
                <w:szCs w:val="24"/>
                <w:lang w:val="en-US" w:eastAsia="zh-CN"/>
              </w:rPr>
              <w:t>。</w:t>
            </w:r>
          </w:p>
          <w:p w14:paraId="3DF644A8">
            <w:pPr>
              <w:widowControl/>
              <w:spacing w:line="360" w:lineRule="auto"/>
              <w:ind w:left="40"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本项目从事</w:t>
            </w:r>
            <w:r>
              <w:rPr>
                <w:rFonts w:hint="default" w:ascii="Times New Roman" w:hAnsi="Times New Roman" w:cs="Times New Roman"/>
                <w:color w:val="auto"/>
                <w:sz w:val="24"/>
                <w:szCs w:val="24"/>
                <w:lang w:val="en-US" w:eastAsia="zh-CN"/>
              </w:rPr>
              <w:t>大米</w:t>
            </w:r>
            <w:r>
              <w:rPr>
                <w:rFonts w:hint="default" w:ascii="Times New Roman" w:hAnsi="Times New Roman" w:eastAsia="宋体" w:cs="Times New Roman"/>
                <w:color w:val="auto"/>
                <w:sz w:val="24"/>
                <w:szCs w:val="24"/>
                <w:lang w:val="en-US" w:eastAsia="zh-CN"/>
              </w:rPr>
              <w:t>生产加工，国民经济行业类别为</w:t>
            </w:r>
            <w:r>
              <w:rPr>
                <w:rFonts w:hint="eastAsia" w:cs="Times New Roman"/>
                <w:color w:val="auto"/>
                <w:sz w:val="24"/>
                <w:szCs w:val="24"/>
                <w:lang w:val="en-US" w:eastAsia="zh-CN"/>
              </w:rPr>
              <w:t>“</w:t>
            </w:r>
            <w:r>
              <w:rPr>
                <w:rFonts w:hint="default" w:ascii="Times New Roman" w:hAnsi="Times New Roman" w:eastAsia="宋体" w:cs="Times New Roman"/>
                <w:color w:val="auto"/>
                <w:spacing w:val="0"/>
                <w:kern w:val="0"/>
                <w:sz w:val="24"/>
                <w:szCs w:val="24"/>
                <w:lang w:val="en-US" w:eastAsia="zh-CN"/>
              </w:rPr>
              <w:t>C1</w:t>
            </w:r>
            <w:r>
              <w:rPr>
                <w:rFonts w:hint="default" w:ascii="Times New Roman" w:hAnsi="Times New Roman" w:cs="Times New Roman"/>
                <w:color w:val="auto"/>
                <w:spacing w:val="0"/>
                <w:kern w:val="0"/>
                <w:sz w:val="24"/>
                <w:szCs w:val="24"/>
                <w:lang w:val="en-US" w:eastAsia="zh-CN"/>
              </w:rPr>
              <w:t>311</w:t>
            </w:r>
            <w:r>
              <w:rPr>
                <w:rFonts w:hint="default" w:ascii="Times New Roman" w:hAnsi="Times New Roman" w:eastAsia="宋体" w:cs="Times New Roman"/>
                <w:color w:val="auto"/>
                <w:spacing w:val="0"/>
                <w:kern w:val="0"/>
                <w:sz w:val="24"/>
                <w:szCs w:val="24"/>
                <w:lang w:val="en-US" w:eastAsia="zh-CN"/>
              </w:rPr>
              <w:t xml:space="preserve"> </w:t>
            </w:r>
            <w:r>
              <w:rPr>
                <w:rFonts w:hint="default" w:ascii="Times New Roman" w:hAnsi="Times New Roman" w:cs="Times New Roman"/>
                <w:color w:val="auto"/>
                <w:spacing w:val="0"/>
                <w:kern w:val="0"/>
                <w:sz w:val="24"/>
                <w:szCs w:val="24"/>
                <w:lang w:val="en-US" w:eastAsia="zh-CN"/>
              </w:rPr>
              <w:t>稻谷加工</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，根据《建设项目环境影响评价分类管理名录（2021年版）》（2021年1月1日实施），本项目环境影响评价须编制环境影响报告表。本项目环境影响评价类别判定情况见下表</w:t>
            </w:r>
            <w:r>
              <w:rPr>
                <w:rFonts w:hint="default" w:ascii="Times New Roman" w:hAnsi="Times New Roman" w:cs="Times New Roman"/>
                <w:color w:val="auto"/>
                <w:sz w:val="24"/>
              </w:rPr>
              <w:t>。</w:t>
            </w:r>
          </w:p>
          <w:p w14:paraId="5E08D5BA">
            <w:pPr>
              <w:spacing w:line="360" w:lineRule="auto"/>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表</w:t>
            </w:r>
            <w:r>
              <w:rPr>
                <w:rFonts w:hint="default" w:ascii="Times New Roman" w:hAnsi="Times New Roman" w:cs="Times New Roman"/>
                <w:b/>
                <w:bCs/>
                <w:color w:val="auto"/>
              </w:rPr>
              <w:t>2</w:t>
            </w:r>
            <w:r>
              <w:rPr>
                <w:rFonts w:hint="default" w:ascii="Times New Roman" w:hAnsi="Times New Roman" w:cs="Times New Roman"/>
                <w:b/>
                <w:bCs/>
                <w:color w:val="auto"/>
                <w:lang w:val="zh-CN"/>
              </w:rPr>
              <w:t>-1</w:t>
            </w:r>
            <w:r>
              <w:rPr>
                <w:rFonts w:hint="eastAsia" w:cs="Times New Roman"/>
                <w:b/>
                <w:bCs/>
                <w:color w:val="auto"/>
                <w:lang w:val="en-US" w:eastAsia="zh-CN"/>
              </w:rPr>
              <w:t xml:space="preserve"> </w:t>
            </w:r>
            <w:r>
              <w:rPr>
                <w:rFonts w:hint="default" w:ascii="Times New Roman" w:hAnsi="Times New Roman" w:cs="Times New Roman"/>
                <w:b/>
                <w:bCs/>
                <w:color w:val="auto"/>
                <w:lang w:val="zh-CN"/>
              </w:rPr>
              <w:t>建设项目环境影响评价分类管理名录（摘录）</w:t>
            </w:r>
          </w:p>
          <w:tbl>
            <w:tblPr>
              <w:tblStyle w:val="46"/>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89"/>
              <w:gridCol w:w="1639"/>
              <w:gridCol w:w="975"/>
              <w:gridCol w:w="4359"/>
              <w:gridCol w:w="985"/>
            </w:tblGrid>
            <w:tr w14:paraId="4B46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128" w:type="dxa"/>
                  <w:gridSpan w:val="2"/>
                  <w:tcBorders>
                    <w:tl2br w:val="single" w:color="auto" w:sz="4" w:space="0"/>
                  </w:tcBorders>
                  <w:shd w:val="clear" w:color="auto" w:fill="auto"/>
                  <w:vAlign w:val="center"/>
                </w:tcPr>
                <w:p w14:paraId="1A8CF5D5">
                  <w:pPr>
                    <w:spacing w:line="276" w:lineRule="auto"/>
                    <w:jc w:val="right"/>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环评类别</w:t>
                  </w:r>
                </w:p>
                <w:p w14:paraId="11B78178">
                  <w:pPr>
                    <w:spacing w:line="276" w:lineRule="auto"/>
                    <w:jc w:val="left"/>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项目类别</w:t>
                  </w:r>
                </w:p>
              </w:tc>
              <w:tc>
                <w:tcPr>
                  <w:tcW w:w="975" w:type="dxa"/>
                  <w:shd w:val="clear" w:color="auto" w:fill="auto"/>
                  <w:vAlign w:val="center"/>
                </w:tcPr>
                <w:p w14:paraId="5AEDDF3A">
                  <w:pPr>
                    <w:spacing w:line="276" w:lineRule="auto"/>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报告书</w:t>
                  </w:r>
                </w:p>
              </w:tc>
              <w:tc>
                <w:tcPr>
                  <w:tcW w:w="4359" w:type="dxa"/>
                  <w:shd w:val="clear" w:color="auto" w:fill="auto"/>
                  <w:vAlign w:val="center"/>
                </w:tcPr>
                <w:p w14:paraId="14080544">
                  <w:pPr>
                    <w:spacing w:line="276" w:lineRule="auto"/>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报告表</w:t>
                  </w:r>
                </w:p>
              </w:tc>
              <w:tc>
                <w:tcPr>
                  <w:tcW w:w="985" w:type="dxa"/>
                  <w:shd w:val="clear" w:color="auto" w:fill="auto"/>
                  <w:vAlign w:val="center"/>
                </w:tcPr>
                <w:p w14:paraId="62B9B7F5">
                  <w:pPr>
                    <w:spacing w:line="276" w:lineRule="auto"/>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登记表</w:t>
                  </w:r>
                </w:p>
              </w:tc>
            </w:tr>
            <w:tr w14:paraId="6561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7" w:type="dxa"/>
                  <w:gridSpan w:val="5"/>
                  <w:shd w:val="clear" w:color="auto" w:fill="auto"/>
                  <w:vAlign w:val="center"/>
                </w:tcPr>
                <w:p w14:paraId="6C4C848B">
                  <w:pPr>
                    <w:spacing w:line="276" w:lineRule="auto"/>
                    <w:jc w:val="left"/>
                    <w:rPr>
                      <w:rFonts w:hint="default" w:ascii="Times New Roman" w:hAnsi="Times New Roman" w:eastAsia="宋体" w:cs="Times New Roman"/>
                      <w:b/>
                      <w:snapToGrid w:val="0"/>
                      <w:color w:val="auto"/>
                      <w:kern w:val="0"/>
                      <w:szCs w:val="21"/>
                      <w:lang w:val="en-US" w:eastAsia="zh-CN"/>
                    </w:rPr>
                  </w:pPr>
                  <w:r>
                    <w:rPr>
                      <w:rFonts w:hint="default" w:ascii="Times New Roman" w:hAnsi="Times New Roman" w:cs="Times New Roman"/>
                      <w:b/>
                      <w:snapToGrid w:val="0"/>
                      <w:color w:val="auto"/>
                      <w:kern w:val="0"/>
                      <w:szCs w:val="21"/>
                      <w:lang w:val="en-US" w:eastAsia="zh-CN"/>
                    </w:rPr>
                    <w:t>十、农副食品加工业 13</w:t>
                  </w:r>
                </w:p>
              </w:tc>
            </w:tr>
            <w:tr w14:paraId="2C12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shd w:val="clear" w:color="auto" w:fill="auto"/>
                  <w:vAlign w:val="center"/>
                </w:tcPr>
                <w:p w14:paraId="1D617DEC">
                  <w:pPr>
                    <w:spacing w:line="276" w:lineRule="auto"/>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cs="Times New Roman"/>
                      <w:snapToGrid w:val="0"/>
                      <w:color w:val="auto"/>
                      <w:kern w:val="0"/>
                      <w:szCs w:val="21"/>
                      <w:lang w:val="en-US" w:eastAsia="zh-CN"/>
                    </w:rPr>
                    <w:t>15</w:t>
                  </w:r>
                </w:p>
              </w:tc>
              <w:tc>
                <w:tcPr>
                  <w:tcW w:w="1639" w:type="dxa"/>
                  <w:shd w:val="clear" w:color="auto" w:fill="auto"/>
                  <w:vAlign w:val="center"/>
                </w:tcPr>
                <w:p w14:paraId="5649E34A">
                  <w:pPr>
                    <w:spacing w:line="276" w:lineRule="auto"/>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cs="Times New Roman"/>
                      <w:snapToGrid w:val="0"/>
                      <w:color w:val="auto"/>
                      <w:kern w:val="0"/>
                      <w:szCs w:val="21"/>
                      <w:lang w:val="en-US" w:eastAsia="zh-CN"/>
                    </w:rPr>
                    <w:t>谷物磨制131</w:t>
                  </w:r>
                </w:p>
              </w:tc>
              <w:tc>
                <w:tcPr>
                  <w:tcW w:w="975" w:type="dxa"/>
                  <w:shd w:val="clear" w:color="auto" w:fill="auto"/>
                  <w:vAlign w:val="center"/>
                </w:tcPr>
                <w:p w14:paraId="51B85909">
                  <w:pPr>
                    <w:spacing w:line="276" w:lineRule="auto"/>
                    <w:jc w:val="center"/>
                    <w:rPr>
                      <w:rFonts w:hint="default" w:ascii="Times New Roman" w:hAnsi="Times New Roman" w:eastAsia="宋体" w:cs="Times New Roman"/>
                      <w:snapToGrid w:val="0"/>
                      <w:color w:val="auto"/>
                      <w:kern w:val="0"/>
                      <w:szCs w:val="21"/>
                      <w:lang w:eastAsia="zh-CN"/>
                    </w:rPr>
                  </w:pPr>
                  <w:r>
                    <w:rPr>
                      <w:rFonts w:hint="default" w:ascii="Times New Roman" w:hAnsi="Times New Roman" w:cs="Times New Roman"/>
                      <w:snapToGrid w:val="0"/>
                      <w:color w:val="auto"/>
                      <w:kern w:val="0"/>
                      <w:szCs w:val="21"/>
                      <w:lang w:val="en-US" w:eastAsia="zh-CN"/>
                    </w:rPr>
                    <w:t>/</w:t>
                  </w:r>
                </w:p>
              </w:tc>
              <w:tc>
                <w:tcPr>
                  <w:tcW w:w="4359" w:type="dxa"/>
                  <w:shd w:val="clear" w:color="auto" w:fill="auto"/>
                  <w:vAlign w:val="center"/>
                </w:tcPr>
                <w:p w14:paraId="5A61DB36">
                  <w:pPr>
                    <w:spacing w:line="276" w:lineRule="auto"/>
                    <w:jc w:val="center"/>
                    <w:rPr>
                      <w:rFonts w:hint="default" w:ascii="Times New Roman" w:hAnsi="Times New Roman" w:eastAsia="宋体" w:cs="Times New Roman"/>
                      <w:snapToGrid w:val="0"/>
                      <w:color w:val="auto"/>
                      <w:kern w:val="0"/>
                      <w:szCs w:val="21"/>
                      <w:shd w:val="clear" w:color="auto" w:fill="auto"/>
                      <w:lang w:val="en-US" w:eastAsia="zh-CN"/>
                    </w:rPr>
                  </w:pPr>
                  <w:r>
                    <w:rPr>
                      <w:rFonts w:hint="default" w:ascii="Times New Roman" w:hAnsi="Times New Roman" w:eastAsia="宋体" w:cs="Times New Roman"/>
                      <w:snapToGrid w:val="0"/>
                      <w:color w:val="auto"/>
                      <w:kern w:val="0"/>
                      <w:szCs w:val="21"/>
                      <w:lang w:eastAsia="zh-CN"/>
                    </w:rPr>
                    <w:t>含发酵工艺的；年加工</w:t>
                  </w:r>
                  <w:r>
                    <w:rPr>
                      <w:rFonts w:hint="default" w:ascii="Times New Roman" w:hAnsi="Times New Roman" w:eastAsia="宋体" w:cs="Times New Roman"/>
                      <w:snapToGrid w:val="0"/>
                      <w:color w:val="auto"/>
                      <w:kern w:val="0"/>
                      <w:szCs w:val="21"/>
                      <w:lang w:val="en-US" w:eastAsia="zh-CN"/>
                    </w:rPr>
                    <w:t>1万吨及以上的</w:t>
                  </w:r>
                </w:p>
              </w:tc>
              <w:tc>
                <w:tcPr>
                  <w:tcW w:w="985" w:type="dxa"/>
                  <w:shd w:val="clear" w:color="auto" w:fill="auto"/>
                  <w:vAlign w:val="center"/>
                </w:tcPr>
                <w:p w14:paraId="6A581070">
                  <w:pPr>
                    <w:spacing w:line="276" w:lineRule="auto"/>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cs="Times New Roman"/>
                      <w:snapToGrid w:val="0"/>
                      <w:color w:val="auto"/>
                      <w:kern w:val="0"/>
                      <w:szCs w:val="21"/>
                      <w:lang w:val="en-US" w:eastAsia="zh-CN"/>
                    </w:rPr>
                    <w:t>/</w:t>
                  </w:r>
                </w:p>
              </w:tc>
            </w:tr>
          </w:tbl>
          <w:p w14:paraId="439EBECE">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u w:val="none"/>
                <w:lang w:val="en-US" w:eastAsia="zh-CN" w:bidi="ar-SA"/>
              </w:rPr>
            </w:pPr>
            <w:r>
              <w:rPr>
                <w:rFonts w:hint="default" w:ascii="Times New Roman" w:hAnsi="Times New Roman" w:eastAsia="宋体" w:cs="Times New Roman"/>
                <w:b/>
                <w:bCs/>
                <w:color w:val="auto"/>
                <w:kern w:val="2"/>
                <w:sz w:val="24"/>
                <w:szCs w:val="24"/>
                <w:u w:val="none"/>
                <w:lang w:val="en-US" w:eastAsia="zh-CN" w:bidi="ar-SA"/>
              </w:rPr>
              <w:t>综上，本项目需编制环境影响报告表。</w:t>
            </w:r>
          </w:p>
          <w:p w14:paraId="34054B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根据《安徽省生态环境厅关于统筹做好固定污染源排污许可日常监管工作的通知》（皖环发〔2021〕7号）文件，环评报告应落实项目环境影响评价与排污许可联动内容。</w:t>
            </w:r>
          </w:p>
          <w:p w14:paraId="786007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u w:val="none"/>
                <w:lang w:val="en-US" w:eastAsia="zh-CN"/>
              </w:rPr>
              <w:t>本项目为《国民经济与行业分类》</w:t>
            </w:r>
            <w:r>
              <w:rPr>
                <w:rFonts w:hint="eastAsia" w:cs="Times New Roman"/>
                <w:color w:val="auto"/>
                <w:sz w:val="24"/>
                <w:szCs w:val="24"/>
                <w:u w:val="none"/>
                <w:lang w:val="en-US" w:eastAsia="zh-CN"/>
              </w:rPr>
              <w:t>（GB/T 4754-2017）</w:t>
            </w:r>
            <w:r>
              <w:rPr>
                <w:rFonts w:hint="default" w:ascii="Times New Roman" w:hAnsi="Times New Roman" w:eastAsia="宋体" w:cs="Times New Roman"/>
                <w:color w:val="auto"/>
                <w:sz w:val="24"/>
                <w:szCs w:val="24"/>
                <w:u w:val="none"/>
                <w:lang w:val="en-US" w:eastAsia="zh-CN"/>
              </w:rPr>
              <w:t>中的</w:t>
            </w:r>
            <w:r>
              <w:rPr>
                <w:rFonts w:hint="eastAsia"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C1311 稻谷加工</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，查阅《固定污染源排污许可分类管理名录》（2019年版），本项目排污许可证类别为</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登记管理</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。本项目排污许可分类情况如下</w:t>
            </w:r>
            <w:r>
              <w:rPr>
                <w:rFonts w:hint="default" w:ascii="Times New Roman" w:hAnsi="Times New Roman" w:cs="Times New Roman"/>
                <w:color w:val="auto"/>
                <w:sz w:val="24"/>
                <w:szCs w:val="24"/>
              </w:rPr>
              <w:t>。</w:t>
            </w:r>
          </w:p>
          <w:p w14:paraId="5326DAA0">
            <w:pPr>
              <w:adjustRightInd w:val="0"/>
              <w:spacing w:line="360" w:lineRule="auto"/>
              <w:jc w:val="center"/>
              <w:rPr>
                <w:rFonts w:hint="default" w:ascii="Times New Roman" w:hAnsi="Times New Roman" w:cs="Times New Roman"/>
                <w:b/>
                <w:color w:val="auto"/>
                <w:spacing w:val="-4"/>
                <w:szCs w:val="21"/>
              </w:rPr>
            </w:pPr>
          </w:p>
          <w:p w14:paraId="623D7FD2">
            <w:pPr>
              <w:adjustRightInd w:val="0"/>
              <w:spacing w:line="360" w:lineRule="auto"/>
              <w:jc w:val="center"/>
              <w:rPr>
                <w:rFonts w:hint="default" w:ascii="Times New Roman" w:hAnsi="Times New Roman" w:cs="Times New Roman"/>
                <w:b/>
                <w:color w:val="auto"/>
                <w:spacing w:val="-4"/>
                <w:szCs w:val="21"/>
              </w:rPr>
            </w:pPr>
          </w:p>
          <w:p w14:paraId="4F248952">
            <w:pPr>
              <w:adjustRightInd w:val="0"/>
              <w:spacing w:line="360" w:lineRule="auto"/>
              <w:jc w:val="center"/>
              <w:rPr>
                <w:rFonts w:hint="default" w:ascii="Times New Roman" w:hAnsi="Times New Roman" w:cs="Times New Roman"/>
                <w:b/>
                <w:color w:val="auto"/>
                <w:spacing w:val="-4"/>
                <w:szCs w:val="21"/>
              </w:rPr>
            </w:pPr>
          </w:p>
          <w:p w14:paraId="75828575">
            <w:pPr>
              <w:adjustRightInd w:val="0"/>
              <w:spacing w:line="360" w:lineRule="auto"/>
              <w:jc w:val="center"/>
              <w:rPr>
                <w:rFonts w:hint="default" w:ascii="Times New Roman" w:hAnsi="Times New Roman" w:cs="Times New Roman"/>
                <w:b/>
                <w:color w:val="auto"/>
                <w:spacing w:val="-4"/>
                <w:szCs w:val="21"/>
              </w:rPr>
            </w:pPr>
          </w:p>
          <w:p w14:paraId="0FA2F8DD">
            <w:pPr>
              <w:adjustRightInd w:val="0"/>
              <w:spacing w:line="360" w:lineRule="auto"/>
              <w:jc w:val="center"/>
              <w:rPr>
                <w:rFonts w:hint="default" w:ascii="Times New Roman" w:hAnsi="Times New Roman" w:eastAsia="Arial" w:cs="Times New Roman"/>
                <w:color w:val="auto"/>
                <w:kern w:val="0"/>
                <w:sz w:val="24"/>
                <w:szCs w:val="24"/>
              </w:rPr>
            </w:pPr>
            <w:r>
              <w:rPr>
                <w:rFonts w:hint="default" w:ascii="Times New Roman" w:hAnsi="Times New Roman" w:cs="Times New Roman"/>
                <w:b/>
                <w:color w:val="auto"/>
                <w:spacing w:val="-4"/>
                <w:szCs w:val="21"/>
              </w:rPr>
              <w:t>表2-2 建设项目固定污染源排污许可分类管理名录（摘录）</w:t>
            </w:r>
          </w:p>
          <w:tbl>
            <w:tblPr>
              <w:tblStyle w:val="46"/>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9"/>
              <w:gridCol w:w="2573"/>
              <w:gridCol w:w="1583"/>
              <w:gridCol w:w="1583"/>
              <w:gridCol w:w="2129"/>
            </w:tblGrid>
            <w:tr w14:paraId="48D4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2"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14:paraId="58A43A1A">
                  <w:pPr>
                    <w:autoSpaceDE w:val="0"/>
                    <w:spacing w:line="276" w:lineRule="auto"/>
                    <w:ind w:firstLine="1054" w:firstLineChars="500"/>
                    <w:jc w:val="right"/>
                    <w:rPr>
                      <w:rFonts w:hint="default" w:ascii="Times New Roman" w:hAnsi="Times New Roman" w:cs="Times New Roman"/>
                      <w:b/>
                      <w:bCs/>
                      <w:color w:val="auto"/>
                    </w:rPr>
                  </w:pPr>
                  <w:r>
                    <w:rPr>
                      <w:rFonts w:hint="default" w:ascii="Times New Roman" w:hAnsi="Times New Roman" w:cs="Times New Roman"/>
                      <w:b/>
                      <w:bCs/>
                      <w:color w:val="auto"/>
                    </w:rPr>
                    <w:t>排污类别</w:t>
                  </w:r>
                </w:p>
                <w:p w14:paraId="64E75CDD">
                  <w:pPr>
                    <w:autoSpaceDE w:val="0"/>
                    <w:spacing w:line="276" w:lineRule="auto"/>
                    <w:jc w:val="left"/>
                    <w:rPr>
                      <w:rFonts w:hint="default" w:ascii="Times New Roman" w:hAnsi="Times New Roman" w:cs="Times New Roman"/>
                      <w:b/>
                      <w:bCs/>
                      <w:color w:val="auto"/>
                    </w:rPr>
                  </w:pPr>
                  <w:r>
                    <w:rPr>
                      <w:rFonts w:hint="default" w:ascii="Times New Roman" w:hAnsi="Times New Roman" w:cs="Times New Roman"/>
                      <w:b/>
                      <w:bCs/>
                      <w:color w:val="auto"/>
                    </w:rPr>
                    <w:t>行业类别</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6858708E">
                  <w:pPr>
                    <w:autoSpaceDE w:val="0"/>
                    <w:spacing w:line="276" w:lineRule="auto"/>
                    <w:jc w:val="center"/>
                    <w:rPr>
                      <w:rFonts w:hint="default" w:ascii="Times New Roman" w:hAnsi="Times New Roman" w:cs="Times New Roman"/>
                      <w:b/>
                      <w:bCs/>
                      <w:color w:val="auto"/>
                    </w:rPr>
                  </w:pPr>
                  <w:r>
                    <w:rPr>
                      <w:rFonts w:hint="default" w:ascii="Times New Roman" w:hAnsi="Times New Roman" w:cs="Times New Roman"/>
                      <w:b/>
                      <w:bCs/>
                      <w:color w:val="auto"/>
                    </w:rPr>
                    <w:t>重点管理</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7C790595">
                  <w:pPr>
                    <w:autoSpaceDE w:val="0"/>
                    <w:spacing w:line="276" w:lineRule="auto"/>
                    <w:jc w:val="center"/>
                    <w:rPr>
                      <w:rFonts w:hint="default" w:ascii="Times New Roman" w:hAnsi="Times New Roman" w:cs="Times New Roman"/>
                      <w:b/>
                      <w:bCs/>
                      <w:color w:val="auto"/>
                    </w:rPr>
                  </w:pPr>
                  <w:r>
                    <w:rPr>
                      <w:rFonts w:hint="default" w:ascii="Times New Roman" w:hAnsi="Times New Roman" w:cs="Times New Roman"/>
                      <w:b/>
                      <w:bCs/>
                      <w:color w:val="auto"/>
                    </w:rPr>
                    <w:t>简化管理</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14:paraId="1EAF6040">
                  <w:pPr>
                    <w:autoSpaceDE w:val="0"/>
                    <w:spacing w:line="276" w:lineRule="auto"/>
                    <w:jc w:val="center"/>
                    <w:rPr>
                      <w:rFonts w:hint="default" w:ascii="Times New Roman" w:hAnsi="Times New Roman" w:cs="Times New Roman"/>
                      <w:b/>
                      <w:bCs/>
                      <w:color w:val="auto"/>
                    </w:rPr>
                  </w:pPr>
                  <w:r>
                    <w:rPr>
                      <w:rFonts w:hint="default" w:ascii="Times New Roman" w:hAnsi="Times New Roman" w:cs="Times New Roman"/>
                      <w:b/>
                      <w:bCs/>
                      <w:color w:val="auto"/>
                    </w:rPr>
                    <w:t>登记管理</w:t>
                  </w:r>
                </w:p>
              </w:tc>
            </w:tr>
            <w:tr w14:paraId="4412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74FC542">
                  <w:pPr>
                    <w:widowControl/>
                    <w:autoSpaceDE w:val="0"/>
                    <w:spacing w:line="276" w:lineRule="auto"/>
                    <w:rPr>
                      <w:rFonts w:hint="default" w:ascii="Times New Roman" w:hAnsi="Times New Roman" w:eastAsia="宋体" w:cs="Times New Roman"/>
                      <w:color w:val="auto"/>
                      <w:lang w:val="en-US" w:eastAsia="zh-CN"/>
                    </w:rPr>
                  </w:pPr>
                  <w:r>
                    <w:rPr>
                      <w:rFonts w:hint="default" w:ascii="Times New Roman" w:hAnsi="Times New Roman" w:cs="Times New Roman"/>
                      <w:b/>
                      <w:snapToGrid w:val="0"/>
                      <w:color w:val="auto"/>
                      <w:kern w:val="0"/>
                      <w:szCs w:val="21"/>
                      <w:lang w:eastAsia="zh-CN"/>
                    </w:rPr>
                    <w:t>八、农副食品加工业</w:t>
                  </w:r>
                  <w:r>
                    <w:rPr>
                      <w:rFonts w:hint="default" w:ascii="Times New Roman" w:hAnsi="Times New Roman" w:cs="Times New Roman"/>
                      <w:b/>
                      <w:snapToGrid w:val="0"/>
                      <w:color w:val="auto"/>
                      <w:kern w:val="0"/>
                      <w:szCs w:val="21"/>
                      <w:lang w:val="en-US" w:eastAsia="zh-CN"/>
                    </w:rPr>
                    <w:t xml:space="preserve"> 13</w:t>
                  </w:r>
                </w:p>
              </w:tc>
            </w:tr>
            <w:tr w14:paraId="44CB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0735B85E">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napToGrid w:val="0"/>
                      <w:color w:val="auto"/>
                      <w:kern w:val="0"/>
                      <w:szCs w:val="21"/>
                      <w:lang w:val="en-US" w:eastAsia="zh-CN"/>
                    </w:rPr>
                    <w:t>9</w:t>
                  </w: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14:paraId="7832F727">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napToGrid w:val="0"/>
                      <w:color w:val="auto"/>
                      <w:kern w:val="0"/>
                      <w:szCs w:val="21"/>
                      <w:lang w:eastAsia="zh-CN"/>
                    </w:rPr>
                    <w:t>谷物磨制</w:t>
                  </w:r>
                  <w:r>
                    <w:rPr>
                      <w:rFonts w:hint="default" w:ascii="Times New Roman" w:hAnsi="Times New Roman" w:cs="Times New Roman"/>
                      <w:snapToGrid w:val="0"/>
                      <w:color w:val="auto"/>
                      <w:kern w:val="0"/>
                      <w:szCs w:val="21"/>
                      <w:lang w:val="en-US" w:eastAsia="zh-CN"/>
                    </w:rPr>
                    <w:t>131</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55DA8A4A">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snapToGrid w:val="0"/>
                      <w:color w:val="auto"/>
                      <w:kern w:val="0"/>
                      <w:szCs w:val="21"/>
                      <w:lang w:val="en-US" w:eastAsia="zh-CN"/>
                    </w:rPr>
                    <w:t>/</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3012C65A">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snapToGrid w:val="0"/>
                      <w:color w:val="auto"/>
                      <w:kern w:val="0"/>
                      <w:szCs w:val="21"/>
                      <w:lang w:val="en-US" w:eastAsia="zh-CN"/>
                    </w:rPr>
                    <w:t>/</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14:paraId="5B13D780">
                  <w:pPr>
                    <w:spacing w:line="276" w:lineRule="auto"/>
                    <w:jc w:val="center"/>
                    <w:rPr>
                      <w:rFonts w:hint="default" w:ascii="Times New Roman" w:hAnsi="Times New Roman" w:cs="Times New Roman"/>
                      <w:color w:val="auto"/>
                      <w:szCs w:val="21"/>
                      <w:lang w:val="en-US"/>
                    </w:rPr>
                  </w:pPr>
                  <w:r>
                    <w:rPr>
                      <w:rFonts w:hint="default" w:ascii="Times New Roman" w:hAnsi="Times New Roman" w:cs="Times New Roman"/>
                      <w:snapToGrid w:val="0"/>
                      <w:color w:val="auto"/>
                      <w:kern w:val="0"/>
                      <w:szCs w:val="21"/>
                      <w:lang w:eastAsia="zh-CN"/>
                    </w:rPr>
                    <w:t>谷物磨制</w:t>
                  </w:r>
                  <w:r>
                    <w:rPr>
                      <w:rFonts w:hint="default" w:ascii="Times New Roman" w:hAnsi="Times New Roman" w:cs="Times New Roman"/>
                      <w:snapToGrid w:val="0"/>
                      <w:color w:val="auto"/>
                      <w:kern w:val="0"/>
                      <w:szCs w:val="21"/>
                      <w:lang w:val="en-US" w:eastAsia="zh-CN"/>
                    </w:rPr>
                    <w:t>131*</w:t>
                  </w:r>
                </w:p>
              </w:tc>
            </w:tr>
          </w:tbl>
          <w:p w14:paraId="3D953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根据《安徽省生态环境厅关于统筹做好固定污染源排污许可日常监管工作的通知》（皖环发〔2021〕7号），无需填写</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建设项目排污许可申请与填报信息表</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。企业在正式投产前按要求进行排污许可证登记填报。</w:t>
            </w:r>
          </w:p>
          <w:p w14:paraId="07CC96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pacing w:val="0"/>
                <w:sz w:val="24"/>
                <w:szCs w:val="24"/>
                <w:u w:val="none"/>
                <w:lang w:val="en-US" w:eastAsia="zh-CN"/>
              </w:rPr>
            </w:pPr>
            <w:r>
              <w:rPr>
                <w:rFonts w:hint="eastAsia"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val="0"/>
                <w:color w:val="auto"/>
                <w:spacing w:val="0"/>
                <w:sz w:val="24"/>
                <w:szCs w:val="24"/>
                <w:u w:val="none"/>
                <w:lang w:val="en-US" w:eastAsia="zh-CN"/>
              </w:rPr>
              <w:t>项目概况</w:t>
            </w:r>
          </w:p>
          <w:p w14:paraId="3E1ED9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rPr>
            </w:pP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lang w:val="en-US" w:eastAsia="zh-CN"/>
              </w:rPr>
              <w:t>1</w:t>
            </w: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rPr>
              <w:t>项目名称</w:t>
            </w: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cs="Times New Roman"/>
                <w:color w:val="auto"/>
                <w:sz w:val="24"/>
                <w:szCs w:val="24"/>
                <w:lang w:eastAsia="zh-CN"/>
              </w:rPr>
              <w:t>潘集村股份经济合作社年产10000吨大米生产项目</w:t>
            </w:r>
            <w:r>
              <w:rPr>
                <w:rFonts w:hint="default" w:ascii="Times New Roman" w:hAnsi="Times New Roman" w:eastAsia="宋体" w:cs="Times New Roman"/>
                <w:color w:val="auto"/>
                <w:sz w:val="24"/>
                <w:szCs w:val="24"/>
                <w:lang w:eastAsia="zh-CN"/>
              </w:rPr>
              <w:t>；</w:t>
            </w:r>
          </w:p>
          <w:p w14:paraId="30ABE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lang w:val="en-US" w:eastAsia="zh-CN"/>
              </w:rPr>
            </w:pP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lang w:val="en-US" w:eastAsia="zh-CN"/>
              </w:rPr>
              <w:t>2</w:t>
            </w: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lang w:val="en-US" w:eastAsia="zh-CN"/>
              </w:rPr>
              <w:t>建设性质：新建；</w:t>
            </w:r>
          </w:p>
          <w:p w14:paraId="6C4D2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0"/>
                <w:sz w:val="24"/>
                <w:szCs w:val="24"/>
                <w:u w:val="none"/>
                <w:lang w:val="en-US" w:eastAsia="zh-CN"/>
              </w:rPr>
              <w:t>（3）</w:t>
            </w:r>
            <w:r>
              <w:rPr>
                <w:rFonts w:hint="default" w:ascii="Times New Roman" w:hAnsi="Times New Roman" w:eastAsia="宋体" w:cs="Times New Roman"/>
                <w:color w:val="auto"/>
                <w:spacing w:val="0"/>
                <w:sz w:val="24"/>
                <w:szCs w:val="24"/>
                <w:u w:val="none"/>
              </w:rPr>
              <w:t>建设单位：</w:t>
            </w:r>
            <w:r>
              <w:rPr>
                <w:rFonts w:hint="eastAsia" w:ascii="Times New Roman" w:hAnsi="Times New Roman" w:cs="Times New Roman"/>
                <w:color w:val="auto"/>
                <w:sz w:val="24"/>
                <w:szCs w:val="24"/>
                <w:lang w:eastAsia="zh-CN"/>
              </w:rPr>
              <w:t>淮南市潘集区潘集镇潘集村股份经济合作社</w:t>
            </w:r>
            <w:r>
              <w:rPr>
                <w:rFonts w:hint="default" w:ascii="Times New Roman" w:hAnsi="Times New Roman" w:eastAsia="宋体" w:cs="Times New Roman"/>
                <w:color w:val="auto"/>
                <w:sz w:val="24"/>
                <w:szCs w:val="24"/>
                <w:lang w:eastAsia="zh-CN"/>
              </w:rPr>
              <w:t>；</w:t>
            </w:r>
          </w:p>
          <w:p w14:paraId="46779303">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建设地点：</w:t>
            </w:r>
            <w:r>
              <w:rPr>
                <w:rFonts w:hint="eastAsia" w:cs="Times New Roman"/>
                <w:b w:val="0"/>
                <w:bCs w:val="0"/>
                <w:color w:val="auto"/>
                <w:sz w:val="24"/>
                <w:szCs w:val="24"/>
                <w:u w:val="none"/>
                <w:lang w:val="en-US" w:eastAsia="zh-CN"/>
              </w:rPr>
              <w:t>安徽省</w:t>
            </w:r>
            <w:r>
              <w:rPr>
                <w:rFonts w:hint="default" w:ascii="Times New Roman" w:hAnsi="Times New Roman" w:cs="Times New Roman"/>
                <w:b w:val="0"/>
                <w:bCs w:val="0"/>
                <w:color w:val="auto"/>
                <w:sz w:val="24"/>
                <w:szCs w:val="24"/>
                <w:u w:val="none"/>
                <w:lang w:eastAsia="zh-CN"/>
              </w:rPr>
              <w:t>淮南市潘集区潘集镇地销煤路聚旺公司旁</w:t>
            </w:r>
            <w:r>
              <w:rPr>
                <w:rFonts w:hint="default" w:ascii="Times New Roman" w:hAnsi="Times New Roman" w:eastAsia="宋体" w:cs="Times New Roman"/>
                <w:color w:val="auto"/>
                <w:spacing w:val="0"/>
                <w:kern w:val="0"/>
                <w:sz w:val="24"/>
                <w:szCs w:val="24"/>
                <w:lang w:val="en-US" w:eastAsia="zh-CN"/>
              </w:rPr>
              <w:t>；</w:t>
            </w:r>
          </w:p>
          <w:p w14:paraId="7310F4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lang w:val="en-US" w:eastAsia="zh-CN"/>
              </w:rPr>
            </w:pP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lang w:val="en-US" w:eastAsia="zh-CN"/>
              </w:rPr>
              <w:t>5</w:t>
            </w: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rPr>
              <w:t>投资总额：</w:t>
            </w:r>
            <w:r>
              <w:rPr>
                <w:rFonts w:hint="eastAsia" w:cs="Times New Roman"/>
                <w:color w:val="auto"/>
                <w:spacing w:val="0"/>
                <w:sz w:val="24"/>
                <w:szCs w:val="24"/>
                <w:u w:val="none"/>
                <w:lang w:val="en-US" w:eastAsia="zh-CN"/>
              </w:rPr>
              <w:t>450</w:t>
            </w:r>
            <w:r>
              <w:rPr>
                <w:rFonts w:hint="default" w:ascii="Times New Roman" w:hAnsi="Times New Roman" w:eastAsia="宋体" w:cs="Times New Roman"/>
                <w:color w:val="auto"/>
                <w:spacing w:val="0"/>
                <w:sz w:val="24"/>
                <w:szCs w:val="24"/>
                <w:u w:val="none"/>
                <w:lang w:val="en-US" w:eastAsia="zh-CN"/>
              </w:rPr>
              <w:t>万元</w:t>
            </w:r>
            <w:r>
              <w:rPr>
                <w:rFonts w:hint="default" w:ascii="Times New Roman" w:hAnsi="Times New Roman" w:eastAsia="宋体" w:cs="Times New Roman"/>
                <w:color w:val="auto"/>
                <w:spacing w:val="0"/>
                <w:sz w:val="24"/>
                <w:szCs w:val="24"/>
                <w:u w:val="none"/>
              </w:rPr>
              <w:t>，其中环保投资</w:t>
            </w:r>
            <w:r>
              <w:rPr>
                <w:rFonts w:hint="eastAsia" w:cs="Times New Roman"/>
                <w:color w:val="auto"/>
                <w:spacing w:val="0"/>
                <w:sz w:val="24"/>
                <w:szCs w:val="24"/>
                <w:u w:val="none"/>
                <w:lang w:val="en-US" w:eastAsia="zh-CN"/>
              </w:rPr>
              <w:t>31</w:t>
            </w:r>
            <w:r>
              <w:rPr>
                <w:rFonts w:hint="default" w:ascii="Times New Roman" w:hAnsi="Times New Roman" w:eastAsia="宋体" w:cs="Times New Roman"/>
                <w:color w:val="auto"/>
                <w:spacing w:val="0"/>
                <w:sz w:val="24"/>
                <w:szCs w:val="24"/>
                <w:highlight w:val="none"/>
                <w:u w:val="none"/>
              </w:rPr>
              <w:t>万元</w:t>
            </w:r>
            <w:r>
              <w:rPr>
                <w:rFonts w:hint="default" w:ascii="Times New Roman" w:hAnsi="Times New Roman" w:eastAsia="宋体" w:cs="Times New Roman"/>
                <w:color w:val="auto"/>
                <w:spacing w:val="0"/>
                <w:sz w:val="24"/>
                <w:szCs w:val="24"/>
                <w:u w:val="none"/>
                <w:lang w:val="en-US" w:eastAsia="zh-CN"/>
              </w:rPr>
              <w:t>；</w:t>
            </w:r>
          </w:p>
          <w:p w14:paraId="375500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lang w:val="en-US" w:eastAsia="zh-CN"/>
              </w:rPr>
            </w:pP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lang w:val="en-US" w:eastAsia="zh-CN"/>
              </w:rPr>
              <w:t>6</w:t>
            </w:r>
            <w:r>
              <w:rPr>
                <w:rFonts w:hint="default" w:ascii="Times New Roman" w:hAnsi="Times New Roman" w:eastAsia="宋体" w:cs="Times New Roman"/>
                <w:color w:val="auto"/>
                <w:spacing w:val="0"/>
                <w:sz w:val="24"/>
                <w:szCs w:val="24"/>
                <w:u w:val="none"/>
                <w:lang w:eastAsia="zh-CN"/>
              </w:rPr>
              <w:t>）</w:t>
            </w:r>
            <w:r>
              <w:rPr>
                <w:rFonts w:hint="default" w:ascii="Times New Roman" w:hAnsi="Times New Roman" w:eastAsia="宋体" w:cs="Times New Roman"/>
                <w:color w:val="auto"/>
                <w:spacing w:val="0"/>
                <w:sz w:val="24"/>
                <w:szCs w:val="24"/>
                <w:u w:val="none"/>
              </w:rPr>
              <w:t>建设规模：</w:t>
            </w:r>
            <w:r>
              <w:rPr>
                <w:rFonts w:hint="default" w:ascii="Times New Roman" w:hAnsi="Times New Roman" w:cs="Times New Roman"/>
                <w:color w:val="auto"/>
                <w:spacing w:val="0"/>
                <w:sz w:val="24"/>
                <w:szCs w:val="24"/>
                <w:u w:val="none"/>
                <w:lang w:val="en-US" w:eastAsia="zh-CN"/>
              </w:rPr>
              <w:t>项目</w:t>
            </w:r>
            <w:r>
              <w:rPr>
                <w:rFonts w:hint="default" w:ascii="Times New Roman" w:hAnsi="Times New Roman" w:eastAsia="宋体" w:cs="Times New Roman"/>
                <w:color w:val="auto"/>
                <w:spacing w:val="0"/>
                <w:sz w:val="24"/>
                <w:szCs w:val="24"/>
                <w:u w:val="none"/>
                <w:lang w:eastAsia="zh-CN"/>
              </w:rPr>
              <w:t>生产</w:t>
            </w:r>
            <w:r>
              <w:rPr>
                <w:rFonts w:hint="eastAsia" w:cs="Times New Roman"/>
                <w:color w:val="auto"/>
                <w:spacing w:val="0"/>
                <w:sz w:val="24"/>
                <w:szCs w:val="24"/>
                <w:u w:val="none"/>
                <w:lang w:val="en-US" w:eastAsia="zh-CN"/>
              </w:rPr>
              <w:t>厂房建</w:t>
            </w:r>
            <w:r>
              <w:rPr>
                <w:rFonts w:hint="default" w:ascii="Times New Roman" w:hAnsi="Times New Roman" w:cs="Times New Roman"/>
                <w:color w:val="auto"/>
                <w:spacing w:val="0"/>
                <w:sz w:val="24"/>
                <w:szCs w:val="24"/>
                <w:u w:val="none"/>
                <w:lang w:val="en-US" w:eastAsia="zh-CN"/>
              </w:rPr>
              <w:t>筑</w:t>
            </w:r>
            <w:r>
              <w:rPr>
                <w:rFonts w:hint="default" w:ascii="Times New Roman" w:hAnsi="Times New Roman" w:cs="Times New Roman"/>
                <w:color w:val="auto"/>
                <w:spacing w:val="0"/>
                <w:sz w:val="24"/>
                <w:szCs w:val="24"/>
                <w:u w:val="none"/>
                <w:lang w:eastAsia="zh-CN"/>
              </w:rPr>
              <w:t>面积约</w:t>
            </w:r>
            <w:r>
              <w:rPr>
                <w:rFonts w:hint="default" w:ascii="Times New Roman" w:hAnsi="Times New Roman" w:cs="Times New Roman"/>
                <w:color w:val="auto"/>
                <w:spacing w:val="0"/>
                <w:sz w:val="24"/>
                <w:szCs w:val="24"/>
                <w:u w:val="none"/>
                <w:lang w:val="en-US" w:eastAsia="zh-CN"/>
              </w:rPr>
              <w:t>3466.26m</w:t>
            </w:r>
            <w:r>
              <w:rPr>
                <w:rFonts w:hint="default" w:ascii="Times New Roman" w:hAnsi="Times New Roman" w:cs="Times New Roman"/>
                <w:color w:val="auto"/>
                <w:spacing w:val="0"/>
                <w:sz w:val="24"/>
                <w:szCs w:val="24"/>
                <w:u w:val="none"/>
                <w:vertAlign w:val="superscript"/>
                <w:lang w:val="en-US" w:eastAsia="zh-CN"/>
              </w:rPr>
              <w:t>2</w:t>
            </w:r>
            <w:r>
              <w:rPr>
                <w:rFonts w:hint="default" w:ascii="Times New Roman" w:hAnsi="Times New Roman" w:eastAsia="宋体" w:cs="Times New Roman"/>
                <w:color w:val="auto"/>
                <w:spacing w:val="0"/>
                <w:sz w:val="24"/>
                <w:szCs w:val="24"/>
                <w:u w:val="none"/>
                <w:lang w:val="en-US" w:eastAsia="zh-CN"/>
              </w:rPr>
              <w:t>，</w:t>
            </w:r>
            <w:r>
              <w:rPr>
                <w:rFonts w:hint="default" w:ascii="Times New Roman" w:hAnsi="Times New Roman" w:cs="Times New Roman"/>
                <w:color w:val="auto"/>
                <w:spacing w:val="0"/>
                <w:sz w:val="24"/>
                <w:szCs w:val="24"/>
                <w:u w:val="none"/>
                <w:lang w:val="en-US" w:eastAsia="zh-CN"/>
              </w:rPr>
              <w:t>厂房内</w:t>
            </w:r>
            <w:r>
              <w:rPr>
                <w:rFonts w:hint="default" w:ascii="Times New Roman" w:hAnsi="Times New Roman" w:eastAsia="宋体" w:cs="Times New Roman"/>
                <w:color w:val="auto"/>
                <w:spacing w:val="0"/>
                <w:sz w:val="24"/>
                <w:szCs w:val="24"/>
                <w:u w:val="none"/>
                <w:lang w:val="en-US" w:eastAsia="zh-CN"/>
              </w:rPr>
              <w:t>配置</w:t>
            </w:r>
            <w:r>
              <w:rPr>
                <w:rFonts w:hint="default" w:ascii="Times New Roman" w:hAnsi="Times New Roman" w:cs="Times New Roman"/>
                <w:color w:val="auto"/>
                <w:spacing w:val="0"/>
                <w:sz w:val="24"/>
                <w:szCs w:val="24"/>
                <w:u w:val="none"/>
                <w:lang w:val="en-US" w:eastAsia="zh-CN"/>
              </w:rPr>
              <w:t>大米</w:t>
            </w:r>
            <w:r>
              <w:rPr>
                <w:rFonts w:hint="default" w:ascii="Times New Roman" w:hAnsi="Times New Roman" w:eastAsia="宋体" w:cs="Times New Roman"/>
                <w:color w:val="auto"/>
                <w:spacing w:val="0"/>
                <w:sz w:val="24"/>
                <w:szCs w:val="24"/>
                <w:u w:val="none"/>
                <w:lang w:val="en-US" w:eastAsia="zh-CN"/>
              </w:rPr>
              <w:t>生产线</w:t>
            </w:r>
            <w:r>
              <w:rPr>
                <w:rFonts w:hint="default" w:ascii="Times New Roman" w:hAnsi="Times New Roman" w:cs="Times New Roman"/>
                <w:color w:val="auto"/>
                <w:spacing w:val="0"/>
                <w:sz w:val="24"/>
                <w:szCs w:val="24"/>
                <w:u w:val="none"/>
                <w:lang w:val="en-US" w:eastAsia="zh-CN"/>
              </w:rPr>
              <w:t>1</w:t>
            </w:r>
            <w:r>
              <w:rPr>
                <w:rFonts w:hint="default" w:ascii="Times New Roman" w:hAnsi="Times New Roman" w:eastAsia="宋体" w:cs="Times New Roman"/>
                <w:color w:val="auto"/>
                <w:spacing w:val="0"/>
                <w:sz w:val="24"/>
                <w:szCs w:val="24"/>
                <w:u w:val="none"/>
                <w:lang w:val="en-US" w:eastAsia="zh-CN"/>
              </w:rPr>
              <w:t>条</w:t>
            </w:r>
            <w:r>
              <w:rPr>
                <w:rFonts w:hint="default" w:ascii="Times New Roman" w:hAnsi="Times New Roman" w:cs="Times New Roman"/>
                <w:color w:val="auto"/>
                <w:spacing w:val="0"/>
                <w:sz w:val="24"/>
                <w:szCs w:val="24"/>
                <w:u w:val="none"/>
                <w:lang w:val="en-US" w:eastAsia="zh-CN"/>
              </w:rPr>
              <w:t>，新建1栋办公用房、钢架棚仓库、门卫室、地磅、停车棚等</w:t>
            </w:r>
            <w:r>
              <w:rPr>
                <w:rFonts w:hint="default" w:ascii="Times New Roman" w:hAnsi="Times New Roman" w:eastAsia="宋体" w:cs="Times New Roman"/>
                <w:color w:val="auto"/>
                <w:spacing w:val="0"/>
                <w:sz w:val="24"/>
                <w:szCs w:val="24"/>
                <w:u w:val="none"/>
                <w:lang w:val="en-US" w:eastAsia="zh-CN"/>
              </w:rPr>
              <w:t>配套设施</w:t>
            </w:r>
            <w:r>
              <w:rPr>
                <w:rFonts w:hint="default" w:ascii="Times New Roman" w:hAnsi="Times New Roman" w:cs="Times New Roman"/>
                <w:color w:val="auto"/>
                <w:spacing w:val="0"/>
                <w:sz w:val="24"/>
                <w:szCs w:val="24"/>
                <w:u w:val="none"/>
                <w:lang w:val="en-US" w:eastAsia="zh-CN"/>
              </w:rPr>
              <w:t>，</w:t>
            </w:r>
            <w:r>
              <w:rPr>
                <w:rFonts w:hint="default" w:ascii="Times New Roman" w:hAnsi="Times New Roman" w:cs="Times New Roman"/>
                <w:bCs/>
                <w:color w:val="auto"/>
                <w:sz w:val="24"/>
              </w:rPr>
              <w:t>建成后可形成年产</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万吨大米</w:t>
            </w:r>
            <w:r>
              <w:rPr>
                <w:rFonts w:hint="default" w:ascii="Times New Roman" w:hAnsi="Times New Roman" w:cs="Times New Roman"/>
                <w:bCs/>
                <w:color w:val="auto"/>
                <w:sz w:val="24"/>
                <w:lang w:eastAsia="zh-CN"/>
              </w:rPr>
              <w:t>的</w:t>
            </w:r>
            <w:r>
              <w:rPr>
                <w:rFonts w:hint="default" w:ascii="Times New Roman" w:hAnsi="Times New Roman" w:cs="Times New Roman"/>
                <w:bCs/>
                <w:color w:val="auto"/>
                <w:sz w:val="24"/>
                <w:lang w:val="en-US" w:eastAsia="zh-CN"/>
              </w:rPr>
              <w:t>生产能</w:t>
            </w:r>
            <w:r>
              <w:rPr>
                <w:rFonts w:hint="eastAsia" w:cs="Times New Roman"/>
                <w:bCs/>
                <w:color w:val="auto"/>
                <w:sz w:val="24"/>
                <w:lang w:val="en-US" w:eastAsia="zh-CN"/>
              </w:rPr>
              <w:t>力</w:t>
            </w:r>
            <w:r>
              <w:rPr>
                <w:rFonts w:hint="default" w:ascii="Times New Roman" w:hAnsi="Times New Roman" w:eastAsia="宋体" w:cs="Times New Roman"/>
                <w:color w:val="auto"/>
                <w:spacing w:val="0"/>
                <w:sz w:val="24"/>
                <w:szCs w:val="24"/>
                <w:u w:val="none"/>
                <w:lang w:val="en-US" w:eastAsia="zh-CN"/>
              </w:rPr>
              <w:t>。</w:t>
            </w:r>
          </w:p>
          <w:p w14:paraId="39970D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Cs/>
                <w:color w:val="auto"/>
                <w:sz w:val="24"/>
                <w:szCs w:val="24"/>
              </w:rPr>
            </w:pPr>
            <w:r>
              <w:rPr>
                <w:rFonts w:hint="eastAsia" w:cs="Times New Roman"/>
                <w:b/>
                <w:bCs w:val="0"/>
                <w:color w:val="auto"/>
                <w:spacing w:val="0"/>
                <w:sz w:val="24"/>
                <w:szCs w:val="24"/>
                <w:lang w:val="en-US" w:eastAsia="zh-CN"/>
              </w:rPr>
              <w:t>3、</w:t>
            </w:r>
            <w:r>
              <w:rPr>
                <w:rFonts w:hint="default" w:ascii="Times New Roman" w:hAnsi="Times New Roman" w:eastAsia="宋体" w:cs="Times New Roman"/>
                <w:b/>
                <w:bCs w:val="0"/>
                <w:color w:val="auto"/>
                <w:spacing w:val="0"/>
                <w:sz w:val="24"/>
                <w:szCs w:val="24"/>
              </w:rPr>
              <w:t>项目建设内容</w:t>
            </w:r>
          </w:p>
          <w:p w14:paraId="684062DE">
            <w:pPr>
              <w:adjustRightInd w:val="0"/>
              <w:spacing w:line="360" w:lineRule="auto"/>
              <w:jc w:val="center"/>
              <w:rPr>
                <w:rFonts w:hint="default" w:ascii="Times New Roman" w:hAnsi="Times New Roman" w:cs="Times New Roman"/>
                <w:b/>
                <w:color w:val="auto"/>
                <w:spacing w:val="-4"/>
                <w:szCs w:val="21"/>
              </w:rPr>
            </w:pPr>
            <w:r>
              <w:rPr>
                <w:rFonts w:hint="default" w:ascii="Times New Roman" w:hAnsi="Times New Roman" w:cs="Times New Roman"/>
                <w:b/>
                <w:color w:val="auto"/>
                <w:spacing w:val="-4"/>
                <w:szCs w:val="21"/>
              </w:rPr>
              <w:t>表2-3  建设项目工程内容一览表</w:t>
            </w:r>
          </w:p>
          <w:tbl>
            <w:tblPr>
              <w:tblStyle w:val="47"/>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543"/>
              <w:gridCol w:w="5158"/>
              <w:gridCol w:w="745"/>
            </w:tblGrid>
            <w:tr w14:paraId="4844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shd w:val="clear" w:color="auto" w:fill="auto"/>
                  <w:vAlign w:val="center"/>
                </w:tcPr>
                <w:p w14:paraId="228F35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工程名称</w:t>
                  </w:r>
                </w:p>
              </w:tc>
              <w:tc>
                <w:tcPr>
                  <w:tcW w:w="901" w:type="pct"/>
                  <w:shd w:val="clear" w:color="auto" w:fill="auto"/>
                  <w:vAlign w:val="center"/>
                </w:tcPr>
                <w:p w14:paraId="065357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单项工程名称</w:t>
                  </w:r>
                </w:p>
              </w:tc>
              <w:tc>
                <w:tcPr>
                  <w:tcW w:w="3012" w:type="pct"/>
                  <w:shd w:val="clear" w:color="auto" w:fill="auto"/>
                  <w:vAlign w:val="center"/>
                </w:tcPr>
                <w:p w14:paraId="2BE105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工程内容及规模</w:t>
                  </w:r>
                </w:p>
              </w:tc>
              <w:tc>
                <w:tcPr>
                  <w:tcW w:w="435" w:type="pct"/>
                  <w:shd w:val="clear" w:color="auto" w:fill="auto"/>
                  <w:vAlign w:val="center"/>
                </w:tcPr>
                <w:p w14:paraId="1DF215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备注</w:t>
                  </w:r>
                </w:p>
              </w:tc>
            </w:tr>
            <w:tr w14:paraId="147F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shd w:val="clear" w:color="auto" w:fill="auto"/>
                  <w:vAlign w:val="center"/>
                </w:tcPr>
                <w:p w14:paraId="22DC56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主体工程</w:t>
                  </w:r>
                </w:p>
              </w:tc>
              <w:tc>
                <w:tcPr>
                  <w:tcW w:w="901" w:type="pct"/>
                  <w:shd w:val="clear" w:color="auto" w:fill="auto"/>
                  <w:vAlign w:val="center"/>
                </w:tcPr>
                <w:p w14:paraId="152F5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生产</w:t>
                  </w:r>
                  <w:r>
                    <w:rPr>
                      <w:rFonts w:hint="eastAsia" w:cs="Times New Roman"/>
                      <w:color w:val="auto"/>
                      <w:sz w:val="21"/>
                      <w:szCs w:val="21"/>
                      <w:lang w:val="en-US" w:eastAsia="zh-CN"/>
                    </w:rPr>
                    <w:t>厂房</w:t>
                  </w:r>
                </w:p>
              </w:tc>
              <w:tc>
                <w:tcPr>
                  <w:tcW w:w="3012" w:type="pct"/>
                  <w:shd w:val="clear" w:color="auto" w:fill="auto"/>
                  <w:vAlign w:val="center"/>
                </w:tcPr>
                <w:p w14:paraId="71CEBF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1栋、1F，</w:t>
                  </w:r>
                  <w:r>
                    <w:rPr>
                      <w:rFonts w:hint="default" w:ascii="Times New Roman" w:hAnsi="Times New Roman" w:eastAsia="宋体" w:cs="Times New Roman"/>
                      <w:color w:val="auto"/>
                      <w:sz w:val="21"/>
                      <w:szCs w:val="21"/>
                      <w:lang w:val="en-US" w:eastAsia="zh-CN"/>
                    </w:rPr>
                    <w:t>位于厂区</w:t>
                  </w:r>
                  <w:r>
                    <w:rPr>
                      <w:rFonts w:hint="eastAsia" w:cs="Times New Roman"/>
                      <w:color w:val="auto"/>
                      <w:sz w:val="21"/>
                      <w:szCs w:val="21"/>
                      <w:lang w:val="en-US" w:eastAsia="zh-CN"/>
                    </w:rPr>
                    <w:t>西</w:t>
                  </w:r>
                  <w:r>
                    <w:rPr>
                      <w:rFonts w:hint="default" w:ascii="Times New Roman" w:hAnsi="Times New Roman" w:eastAsia="宋体" w:cs="Times New Roman"/>
                      <w:color w:val="auto"/>
                      <w:sz w:val="21"/>
                      <w:szCs w:val="21"/>
                      <w:lang w:val="en-US" w:eastAsia="zh-CN"/>
                    </w:rPr>
                    <w:t>侧，建筑面积3466.26m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厂房内设置1台清理筛、1台去石机、1台</w:t>
                  </w:r>
                  <w:r>
                    <w:rPr>
                      <w:rFonts w:hint="default" w:ascii="Times New Roman" w:hAnsi="Times New Roman" w:eastAsia="宋体" w:cs="Times New Roman"/>
                      <w:color w:val="auto"/>
                      <w:sz w:val="21"/>
                      <w:szCs w:val="21"/>
                      <w:lang w:val="en-US" w:eastAsia="zh-CN"/>
                    </w:rPr>
                    <w:t>砻谷机、</w:t>
                  </w:r>
                  <w:r>
                    <w:rPr>
                      <w:rFonts w:hint="eastAsia" w:cs="Times New Roman"/>
                      <w:color w:val="auto"/>
                      <w:sz w:val="21"/>
                      <w:szCs w:val="21"/>
                      <w:lang w:val="en-US" w:eastAsia="zh-CN"/>
                    </w:rPr>
                    <w:t>1台平面回转筛、1台</w:t>
                  </w:r>
                  <w:r>
                    <w:rPr>
                      <w:rFonts w:hint="default" w:ascii="Times New Roman" w:hAnsi="Times New Roman" w:eastAsia="宋体" w:cs="Times New Roman"/>
                      <w:color w:val="auto"/>
                      <w:sz w:val="21"/>
                      <w:szCs w:val="21"/>
                      <w:lang w:val="en-US" w:eastAsia="zh-CN"/>
                    </w:rPr>
                    <w:t>谷糙</w:t>
                  </w:r>
                  <w:r>
                    <w:rPr>
                      <w:rFonts w:hint="eastAsia" w:cs="Times New Roman"/>
                      <w:color w:val="auto"/>
                      <w:sz w:val="21"/>
                      <w:szCs w:val="21"/>
                      <w:lang w:val="en-US" w:eastAsia="zh-CN"/>
                    </w:rPr>
                    <w:t>分离</w:t>
                  </w:r>
                  <w:r>
                    <w:rPr>
                      <w:rFonts w:hint="default" w:ascii="Times New Roman" w:hAnsi="Times New Roman" w:eastAsia="宋体" w:cs="Times New Roman"/>
                      <w:color w:val="auto"/>
                      <w:sz w:val="21"/>
                      <w:szCs w:val="21"/>
                      <w:lang w:val="en-US" w:eastAsia="zh-CN"/>
                    </w:rPr>
                    <w:t>筛、</w:t>
                  </w:r>
                  <w:r>
                    <w:rPr>
                      <w:rFonts w:hint="eastAsia" w:cs="Times New Roman"/>
                      <w:color w:val="auto"/>
                      <w:sz w:val="21"/>
                      <w:szCs w:val="21"/>
                      <w:lang w:val="en-US" w:eastAsia="zh-CN"/>
                    </w:rPr>
                    <w:t>4台碾米机、2台白米分级筛、4台抛光机、5台</w:t>
                  </w:r>
                  <w:r>
                    <w:rPr>
                      <w:rFonts w:hint="default" w:ascii="Times New Roman" w:hAnsi="Times New Roman" w:eastAsia="宋体" w:cs="Times New Roman"/>
                      <w:color w:val="auto"/>
                      <w:sz w:val="21"/>
                      <w:szCs w:val="21"/>
                      <w:lang w:val="en-US" w:eastAsia="zh-CN"/>
                    </w:rPr>
                    <w:t>色选机、</w:t>
                  </w:r>
                  <w:r>
                    <w:rPr>
                      <w:rFonts w:hint="eastAsia" w:cs="Times New Roman"/>
                      <w:color w:val="auto"/>
                      <w:sz w:val="21"/>
                      <w:szCs w:val="21"/>
                      <w:lang w:val="en-US" w:eastAsia="zh-CN"/>
                    </w:rPr>
                    <w:t>1台长度精选机、1台电子包装秤</w:t>
                  </w:r>
                  <w:r>
                    <w:rPr>
                      <w:rFonts w:hint="default" w:ascii="Times New Roman" w:hAnsi="Times New Roman" w:cs="Times New Roman"/>
                      <w:color w:val="auto"/>
                      <w:sz w:val="21"/>
                      <w:szCs w:val="21"/>
                      <w:lang w:val="en-US" w:eastAsia="zh-CN"/>
                    </w:rPr>
                    <w:t>等设备及其配套设施用于大米加工</w:t>
                  </w:r>
                  <w:r>
                    <w:rPr>
                      <w:rFonts w:hint="eastAsia" w:cs="Times New Roman"/>
                      <w:color w:val="auto"/>
                      <w:sz w:val="21"/>
                      <w:szCs w:val="21"/>
                      <w:lang w:val="en-US" w:eastAsia="zh-CN"/>
                    </w:rPr>
                    <w:t>，可形成年产1万吨大米的生产能力</w:t>
                  </w:r>
                </w:p>
              </w:tc>
              <w:tc>
                <w:tcPr>
                  <w:tcW w:w="435" w:type="pct"/>
                  <w:shd w:val="clear" w:color="auto" w:fill="auto"/>
                  <w:vAlign w:val="center"/>
                </w:tcPr>
                <w:p w14:paraId="745720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租赁</w:t>
                  </w:r>
                  <w:r>
                    <w:rPr>
                      <w:rFonts w:hint="default" w:ascii="Times New Roman" w:hAnsi="Times New Roman" w:cs="Times New Roman"/>
                      <w:color w:val="auto"/>
                      <w:sz w:val="21"/>
                      <w:szCs w:val="21"/>
                      <w:lang w:val="en-US" w:eastAsia="zh-CN"/>
                    </w:rPr>
                    <w:t>生产</w:t>
                  </w:r>
                  <w:r>
                    <w:rPr>
                      <w:rFonts w:hint="eastAsia" w:cs="Times New Roman"/>
                      <w:color w:val="auto"/>
                      <w:sz w:val="21"/>
                      <w:szCs w:val="21"/>
                      <w:lang w:val="en-US" w:eastAsia="zh-CN"/>
                    </w:rPr>
                    <w:t>厂房</w:t>
                  </w:r>
                  <w:r>
                    <w:rPr>
                      <w:rFonts w:hint="eastAsia"/>
                      <w:color w:val="auto"/>
                      <w:lang w:eastAsia="zh-CN"/>
                    </w:rPr>
                    <w:t>，</w:t>
                  </w:r>
                  <w:r>
                    <w:rPr>
                      <w:rFonts w:hint="eastAsia"/>
                      <w:color w:val="auto"/>
                      <w:lang w:val="en-US" w:eastAsia="zh-CN"/>
                    </w:rPr>
                    <w:t>设备新建</w:t>
                  </w:r>
                </w:p>
              </w:tc>
            </w:tr>
            <w:tr w14:paraId="31E0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50" w:type="pct"/>
                  <w:vMerge w:val="restart"/>
                  <w:shd w:val="clear" w:color="auto" w:fill="auto"/>
                  <w:vAlign w:val="center"/>
                </w:tcPr>
                <w:p w14:paraId="20F526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辅助工程</w:t>
                  </w:r>
                </w:p>
              </w:tc>
              <w:tc>
                <w:tcPr>
                  <w:tcW w:w="901" w:type="pct"/>
                  <w:shd w:val="clear" w:color="auto" w:fill="auto"/>
                  <w:vAlign w:val="center"/>
                </w:tcPr>
                <w:p w14:paraId="592914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办公</w:t>
                  </w:r>
                  <w:r>
                    <w:rPr>
                      <w:rFonts w:hint="eastAsia" w:cs="Times New Roman"/>
                      <w:color w:val="auto"/>
                      <w:lang w:val="en-US" w:eastAsia="zh-CN"/>
                    </w:rPr>
                    <w:t>用房</w:t>
                  </w:r>
                </w:p>
              </w:tc>
              <w:tc>
                <w:tcPr>
                  <w:tcW w:w="3012" w:type="pct"/>
                  <w:shd w:val="clear" w:color="auto" w:fill="auto"/>
                  <w:vAlign w:val="center"/>
                </w:tcPr>
                <w:p w14:paraId="563B5D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1栋、1F，</w:t>
                  </w:r>
                  <w:r>
                    <w:rPr>
                      <w:rFonts w:hint="default" w:ascii="Times New Roman" w:hAnsi="Times New Roman" w:cs="Times New Roman"/>
                      <w:color w:val="auto"/>
                      <w:sz w:val="21"/>
                      <w:szCs w:val="21"/>
                      <w:lang w:val="en-US" w:eastAsia="zh-CN"/>
                    </w:rPr>
                    <w:t>位于厂区</w:t>
                  </w:r>
                  <w:r>
                    <w:rPr>
                      <w:rFonts w:hint="eastAsia" w:cs="Times New Roman"/>
                      <w:color w:val="auto"/>
                      <w:sz w:val="21"/>
                      <w:szCs w:val="21"/>
                      <w:lang w:val="en-US" w:eastAsia="zh-CN"/>
                    </w:rPr>
                    <w:t>东北侧</w:t>
                  </w:r>
                  <w:r>
                    <w:rPr>
                      <w:rFonts w:hint="default" w:ascii="Times New Roman" w:hAnsi="Times New Roman" w:cs="Times New Roman"/>
                      <w:color w:val="auto"/>
                      <w:sz w:val="21"/>
                      <w:szCs w:val="21"/>
                      <w:lang w:val="en-US" w:eastAsia="zh-CN"/>
                    </w:rPr>
                    <w:t>，建筑面积</w:t>
                  </w:r>
                  <w:r>
                    <w:rPr>
                      <w:rFonts w:hint="eastAsia" w:cs="Times New Roman"/>
                      <w:color w:val="auto"/>
                      <w:sz w:val="21"/>
                      <w:szCs w:val="21"/>
                      <w:lang w:val="en-US" w:eastAsia="zh-CN"/>
                    </w:rPr>
                    <w:t>208.8</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，主要用于</w:t>
                  </w:r>
                  <w:r>
                    <w:rPr>
                      <w:rFonts w:hint="eastAsia" w:cs="Times New Roman"/>
                      <w:color w:val="auto"/>
                      <w:sz w:val="21"/>
                      <w:szCs w:val="21"/>
                      <w:lang w:val="en-US" w:eastAsia="zh-CN"/>
                    </w:rPr>
                    <w:t>员工</w:t>
                  </w:r>
                  <w:r>
                    <w:rPr>
                      <w:rFonts w:hint="default" w:ascii="Times New Roman" w:hAnsi="Times New Roman" w:cs="Times New Roman"/>
                      <w:color w:val="auto"/>
                      <w:sz w:val="21"/>
                      <w:szCs w:val="21"/>
                      <w:lang w:val="en-US" w:eastAsia="zh-CN"/>
                    </w:rPr>
                    <w:t>办公以及大米物理项目（外观、光泽度、完整性、粒径等）的检测，不涉及化学用品的使用</w:t>
                  </w:r>
                </w:p>
              </w:tc>
              <w:tc>
                <w:tcPr>
                  <w:tcW w:w="435" w:type="pct"/>
                  <w:shd w:val="clear" w:color="auto" w:fill="auto"/>
                  <w:vAlign w:val="center"/>
                </w:tcPr>
                <w:p w14:paraId="7E4004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128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50" w:type="pct"/>
                  <w:vMerge w:val="continue"/>
                  <w:shd w:val="clear" w:color="auto" w:fill="auto"/>
                  <w:vAlign w:val="center"/>
                </w:tcPr>
                <w:p w14:paraId="77499E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lang w:val="en-US" w:eastAsia="zh-CN"/>
                    </w:rPr>
                  </w:pPr>
                </w:p>
              </w:tc>
              <w:tc>
                <w:tcPr>
                  <w:tcW w:w="901" w:type="pct"/>
                  <w:shd w:val="clear" w:color="auto" w:fill="auto"/>
                  <w:vAlign w:val="center"/>
                </w:tcPr>
                <w:p w14:paraId="5AA5D7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门卫室</w:t>
                  </w:r>
                </w:p>
              </w:tc>
              <w:tc>
                <w:tcPr>
                  <w:tcW w:w="3012" w:type="pct"/>
                  <w:shd w:val="clear" w:color="auto" w:fill="auto"/>
                  <w:vAlign w:val="center"/>
                </w:tcPr>
                <w:p w14:paraId="44FA2E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位于厂区</w:t>
                  </w:r>
                  <w:r>
                    <w:rPr>
                      <w:rFonts w:hint="eastAsia" w:cs="Times New Roman"/>
                      <w:color w:val="auto"/>
                      <w:sz w:val="21"/>
                      <w:szCs w:val="21"/>
                      <w:lang w:val="en-US" w:eastAsia="zh-CN"/>
                    </w:rPr>
                    <w:t>东南侧</w:t>
                  </w:r>
                  <w:r>
                    <w:rPr>
                      <w:rFonts w:hint="default" w:ascii="Times New Roman" w:hAnsi="Times New Roman" w:cs="Times New Roman"/>
                      <w:color w:val="auto"/>
                      <w:sz w:val="21"/>
                      <w:szCs w:val="21"/>
                      <w:lang w:val="en-US" w:eastAsia="zh-CN"/>
                    </w:rPr>
                    <w:t>，建筑面积</w:t>
                  </w:r>
                  <w:r>
                    <w:rPr>
                      <w:rFonts w:hint="eastAsia" w:cs="Times New Roman"/>
                      <w:color w:val="auto"/>
                      <w:sz w:val="21"/>
                      <w:szCs w:val="21"/>
                      <w:lang w:val="en-US" w:eastAsia="zh-CN"/>
                    </w:rPr>
                    <w:t>49</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用于门卫值班</w:t>
                  </w:r>
                </w:p>
              </w:tc>
              <w:tc>
                <w:tcPr>
                  <w:tcW w:w="435" w:type="pct"/>
                  <w:shd w:val="clear" w:color="auto" w:fill="auto"/>
                  <w:vAlign w:val="center"/>
                </w:tcPr>
                <w:p w14:paraId="7A90B4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7BF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360FB4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贮运</w:t>
                  </w:r>
                  <w:r>
                    <w:rPr>
                      <w:rFonts w:hint="default" w:ascii="Times New Roman" w:hAnsi="Times New Roman" w:cs="Times New Roman"/>
                      <w:color w:val="auto"/>
                      <w:sz w:val="21"/>
                      <w:szCs w:val="21"/>
                    </w:rPr>
                    <w:t>工程</w:t>
                  </w:r>
                </w:p>
              </w:tc>
              <w:tc>
                <w:tcPr>
                  <w:tcW w:w="901" w:type="pct"/>
                  <w:shd w:val="clear" w:color="auto" w:fill="auto"/>
                  <w:vAlign w:val="center"/>
                </w:tcPr>
                <w:p w14:paraId="30E2A1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原料仓</w:t>
                  </w:r>
                </w:p>
              </w:tc>
              <w:tc>
                <w:tcPr>
                  <w:tcW w:w="3012" w:type="pct"/>
                  <w:shd w:val="clear" w:color="auto" w:fill="auto"/>
                  <w:vAlign w:val="center"/>
                </w:tcPr>
                <w:p w14:paraId="581DC9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位于生产</w:t>
                  </w:r>
                  <w:r>
                    <w:rPr>
                      <w:rFonts w:hint="eastAsia" w:cs="Times New Roman"/>
                      <w:color w:val="auto"/>
                      <w:sz w:val="21"/>
                      <w:szCs w:val="21"/>
                      <w:vertAlign w:val="baseline"/>
                      <w:lang w:val="en-US" w:eastAsia="zh-CN"/>
                    </w:rPr>
                    <w:t>厂房南</w:t>
                  </w:r>
                  <w:r>
                    <w:rPr>
                      <w:rFonts w:hint="default" w:ascii="Times New Roman" w:hAnsi="Times New Roman" w:eastAsia="宋体" w:cs="Times New Roman"/>
                      <w:color w:val="auto"/>
                      <w:sz w:val="21"/>
                      <w:szCs w:val="21"/>
                      <w:vertAlign w:val="baseline"/>
                      <w:lang w:val="en-US" w:eastAsia="zh-CN"/>
                    </w:rPr>
                    <w:t>侧，设置</w:t>
                  </w:r>
                  <w:r>
                    <w:rPr>
                      <w:rFonts w:hint="eastAsia"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座</w:t>
                  </w:r>
                  <w:r>
                    <w:rPr>
                      <w:rFonts w:hint="eastAsia" w:cs="Times New Roman"/>
                      <w:color w:val="auto"/>
                      <w:sz w:val="21"/>
                      <w:szCs w:val="21"/>
                      <w:vertAlign w:val="baseline"/>
                      <w:lang w:val="en-US" w:eastAsia="zh-CN"/>
                    </w:rPr>
                    <w:t>原粮</w:t>
                  </w:r>
                  <w:r>
                    <w:rPr>
                      <w:rFonts w:hint="default" w:ascii="Times New Roman" w:hAnsi="Times New Roman" w:eastAsia="宋体" w:cs="Times New Roman"/>
                      <w:color w:val="auto"/>
                      <w:sz w:val="21"/>
                      <w:szCs w:val="21"/>
                      <w:vertAlign w:val="baseline"/>
                      <w:lang w:val="en-US" w:eastAsia="zh-CN"/>
                    </w:rPr>
                    <w:t>仓</w:t>
                  </w:r>
                  <w:r>
                    <w:rPr>
                      <w:rFonts w:hint="eastAsia" w:cs="Times New Roman"/>
                      <w:color w:val="auto"/>
                      <w:sz w:val="21"/>
                      <w:szCs w:val="21"/>
                      <w:vertAlign w:val="baseline"/>
                      <w:lang w:val="en-US" w:eastAsia="zh-CN"/>
                    </w:rPr>
                    <w:t>，每座原粮</w:t>
                  </w:r>
                  <w:r>
                    <w:rPr>
                      <w:rFonts w:hint="default" w:ascii="Times New Roman" w:hAnsi="Times New Roman" w:eastAsia="宋体" w:cs="Times New Roman"/>
                      <w:color w:val="auto"/>
                      <w:sz w:val="21"/>
                      <w:szCs w:val="21"/>
                      <w:vertAlign w:val="baseline"/>
                      <w:lang w:val="en-US" w:eastAsia="zh-CN"/>
                    </w:rPr>
                    <w:t>仓</w:t>
                  </w:r>
                  <w:r>
                    <w:rPr>
                      <w:rFonts w:hint="eastAsia" w:cs="Times New Roman"/>
                      <w:color w:val="auto"/>
                      <w:sz w:val="21"/>
                      <w:szCs w:val="21"/>
                      <w:vertAlign w:val="baseline"/>
                      <w:lang w:val="en-US" w:eastAsia="zh-CN"/>
                    </w:rPr>
                    <w:t>容量均</w:t>
                  </w:r>
                  <w:r>
                    <w:rPr>
                      <w:rFonts w:hint="default" w:ascii="Times New Roman" w:hAnsi="Times New Roman" w:eastAsia="宋体" w:cs="Times New Roman"/>
                      <w:color w:val="auto"/>
                      <w:sz w:val="21"/>
                      <w:szCs w:val="21"/>
                      <w:vertAlign w:val="baseline"/>
                      <w:lang w:val="en-US" w:eastAsia="zh-CN"/>
                    </w:rPr>
                    <w:t>为</w:t>
                  </w:r>
                  <w:r>
                    <w:rPr>
                      <w:rFonts w:hint="eastAsia" w:cs="Times New Roman"/>
                      <w:color w:val="auto"/>
                      <w:sz w:val="21"/>
                      <w:szCs w:val="21"/>
                      <w:vertAlign w:val="baseline"/>
                      <w:lang w:val="en-US" w:eastAsia="zh-CN"/>
                    </w:rPr>
                    <w:t>250</w:t>
                  </w:r>
                  <w:r>
                    <w:rPr>
                      <w:rFonts w:hint="default" w:ascii="Times New Roman" w:hAnsi="Times New Roman" w:eastAsia="宋体" w:cs="Times New Roman"/>
                      <w:color w:val="auto"/>
                      <w:sz w:val="21"/>
                      <w:szCs w:val="21"/>
                      <w:vertAlign w:val="baseline"/>
                      <w:lang w:val="en-US" w:eastAsia="zh-CN"/>
                    </w:rPr>
                    <w:t>t</w:t>
                  </w:r>
                  <w:r>
                    <w:rPr>
                      <w:rFonts w:hint="eastAsia" w:cs="Times New Roman"/>
                      <w:color w:val="auto"/>
                      <w:sz w:val="21"/>
                      <w:szCs w:val="21"/>
                      <w:vertAlign w:val="baseline"/>
                      <w:lang w:val="en-US" w:eastAsia="zh-CN"/>
                    </w:rPr>
                    <w:t>，原粮</w:t>
                  </w:r>
                  <w:r>
                    <w:rPr>
                      <w:rFonts w:hint="default" w:ascii="Times New Roman" w:hAnsi="Times New Roman" w:eastAsia="宋体" w:cs="Times New Roman"/>
                      <w:color w:val="auto"/>
                      <w:sz w:val="21"/>
                      <w:szCs w:val="21"/>
                      <w:vertAlign w:val="baseline"/>
                      <w:lang w:val="en-US" w:eastAsia="zh-CN"/>
                    </w:rPr>
                    <w:t>仓用于存放原粮稻谷</w:t>
                  </w:r>
                </w:p>
              </w:tc>
              <w:tc>
                <w:tcPr>
                  <w:tcW w:w="435" w:type="pct"/>
                  <w:shd w:val="clear" w:color="auto" w:fill="auto"/>
                  <w:vAlign w:val="center"/>
                </w:tcPr>
                <w:p w14:paraId="0F3932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0062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0BB29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076FC6EC">
                  <w:pPr>
                    <w:keepNext w:val="0"/>
                    <w:keepLines w:val="0"/>
                    <w:pageBreakBefore w:val="0"/>
                    <w:widowControl w:val="0"/>
                    <w:tabs>
                      <w:tab w:val="center" w:pos="829"/>
                      <w:tab w:val="right" w:pos="1539"/>
                    </w:tabs>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产品仓</w:t>
                  </w:r>
                </w:p>
              </w:tc>
              <w:tc>
                <w:tcPr>
                  <w:tcW w:w="3012" w:type="pct"/>
                  <w:shd w:val="clear" w:color="auto" w:fill="auto"/>
                  <w:vAlign w:val="center"/>
                </w:tcPr>
                <w:p w14:paraId="161D3E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位于生产车间北侧，设置</w:t>
                  </w: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座产品仓；单个仓为60t，主要用于主产品的储存</w:t>
                  </w:r>
                </w:p>
              </w:tc>
              <w:tc>
                <w:tcPr>
                  <w:tcW w:w="435" w:type="pct"/>
                  <w:shd w:val="clear" w:color="auto" w:fill="auto"/>
                  <w:vAlign w:val="center"/>
                </w:tcPr>
                <w:p w14:paraId="44D2A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2BB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05CA0C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130DCB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凉米中转仓</w:t>
                  </w:r>
                </w:p>
              </w:tc>
              <w:tc>
                <w:tcPr>
                  <w:tcW w:w="3012" w:type="pct"/>
                  <w:shd w:val="clear" w:color="auto" w:fill="auto"/>
                  <w:vAlign w:val="center"/>
                </w:tcPr>
                <w:p w14:paraId="34799B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位于生产</w:t>
                  </w:r>
                  <w:r>
                    <w:rPr>
                      <w:rFonts w:hint="eastAsia" w:cs="Times New Roman"/>
                      <w:color w:val="auto"/>
                      <w:sz w:val="21"/>
                      <w:szCs w:val="21"/>
                      <w:lang w:val="en-US" w:eastAsia="zh-CN"/>
                    </w:rPr>
                    <w:t>厂房中部</w:t>
                  </w:r>
                  <w:r>
                    <w:rPr>
                      <w:rFonts w:hint="default" w:ascii="Times New Roman" w:hAnsi="Times New Roman" w:cs="Times New Roman"/>
                      <w:color w:val="auto"/>
                      <w:sz w:val="21"/>
                      <w:szCs w:val="21"/>
                      <w:lang w:val="en-US" w:eastAsia="zh-CN"/>
                    </w:rPr>
                    <w:t>，设置</w:t>
                  </w: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座凉米仓；单个仓为60t，主要用于降温及中转</w:t>
                  </w:r>
                </w:p>
              </w:tc>
              <w:tc>
                <w:tcPr>
                  <w:tcW w:w="435" w:type="pct"/>
                  <w:shd w:val="clear" w:color="auto" w:fill="auto"/>
                  <w:vAlign w:val="center"/>
                </w:tcPr>
                <w:p w14:paraId="128814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705E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0" w:type="pct"/>
                  <w:vMerge w:val="continue"/>
                  <w:shd w:val="clear" w:color="auto" w:fill="auto"/>
                  <w:vAlign w:val="center"/>
                </w:tcPr>
                <w:p w14:paraId="4F0886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76456B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稻壳仓</w:t>
                  </w:r>
                </w:p>
              </w:tc>
              <w:tc>
                <w:tcPr>
                  <w:tcW w:w="3012" w:type="pct"/>
                  <w:shd w:val="clear" w:color="auto" w:fill="auto"/>
                  <w:vAlign w:val="center"/>
                </w:tcPr>
                <w:p w14:paraId="34121B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位于生产厂房外东侧，设置2座稻壳仓；单个仓为25t，主要用于稻壳的储存</w:t>
                  </w:r>
                </w:p>
              </w:tc>
              <w:tc>
                <w:tcPr>
                  <w:tcW w:w="435" w:type="pct"/>
                  <w:shd w:val="clear" w:color="auto" w:fill="auto"/>
                  <w:vAlign w:val="center"/>
                </w:tcPr>
                <w:p w14:paraId="07EDE3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BA1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50" w:type="pct"/>
                  <w:vMerge w:val="continue"/>
                  <w:shd w:val="clear" w:color="auto" w:fill="auto"/>
                  <w:vAlign w:val="center"/>
                </w:tcPr>
                <w:p w14:paraId="73112D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540616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米糠仓</w:t>
                  </w:r>
                </w:p>
              </w:tc>
              <w:tc>
                <w:tcPr>
                  <w:tcW w:w="3012" w:type="pct"/>
                  <w:shd w:val="clear" w:color="auto" w:fill="auto"/>
                  <w:vAlign w:val="center"/>
                </w:tcPr>
                <w:p w14:paraId="4D93C3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位于生产厂房中部，设置1座米糠仓；单个仓为25t，主要用于米糠的储存</w:t>
                  </w:r>
                </w:p>
              </w:tc>
              <w:tc>
                <w:tcPr>
                  <w:tcW w:w="435" w:type="pct"/>
                  <w:shd w:val="clear" w:color="auto" w:fill="auto"/>
                  <w:vAlign w:val="center"/>
                </w:tcPr>
                <w:p w14:paraId="1DC3DF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32AF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50" w:type="pct"/>
                  <w:vMerge w:val="continue"/>
                  <w:shd w:val="clear" w:color="auto" w:fill="auto"/>
                  <w:vAlign w:val="center"/>
                </w:tcPr>
                <w:p w14:paraId="439FF0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7CB654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成品</w:t>
                  </w:r>
                  <w:r>
                    <w:rPr>
                      <w:rFonts w:hint="eastAsia" w:cs="Times New Roman"/>
                      <w:color w:val="auto"/>
                      <w:lang w:val="en-US" w:eastAsia="zh-CN"/>
                    </w:rPr>
                    <w:t>仓库</w:t>
                  </w:r>
                </w:p>
              </w:tc>
              <w:tc>
                <w:tcPr>
                  <w:tcW w:w="3012" w:type="pct"/>
                  <w:shd w:val="clear" w:color="auto" w:fill="auto"/>
                  <w:vAlign w:val="center"/>
                </w:tcPr>
                <w:p w14:paraId="4F7200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lang w:val="en-US" w:eastAsia="zh-CN"/>
                    </w:rPr>
                    <w:t>位于生产车间北侧，</w:t>
                  </w:r>
                  <w:r>
                    <w:rPr>
                      <w:rFonts w:hint="eastAsia" w:ascii="Times New Roman" w:hAnsi="Times New Roman" w:cs="Times New Roman"/>
                      <w:color w:val="auto"/>
                      <w:sz w:val="21"/>
                      <w:szCs w:val="21"/>
                      <w:lang w:val="en-US" w:eastAsia="zh-CN"/>
                    </w:rPr>
                    <w:t>占地面积为400m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主要用于</w:t>
                  </w:r>
                  <w:r>
                    <w:rPr>
                      <w:rFonts w:hint="eastAsia" w:ascii="Times New Roman" w:hAnsi="Times New Roman" w:cs="Times New Roman"/>
                      <w:color w:val="auto"/>
                      <w:sz w:val="21"/>
                      <w:szCs w:val="21"/>
                      <w:lang w:val="en-US" w:eastAsia="zh-CN"/>
                    </w:rPr>
                    <w:t>包装后优质大米</w:t>
                  </w:r>
                  <w:r>
                    <w:rPr>
                      <w:rFonts w:hint="default" w:ascii="Times New Roman" w:hAnsi="Times New Roman" w:cs="Times New Roman"/>
                      <w:color w:val="auto"/>
                      <w:sz w:val="21"/>
                      <w:szCs w:val="21"/>
                      <w:lang w:val="en-US" w:eastAsia="zh-CN"/>
                    </w:rPr>
                    <w:t>的储存</w:t>
                  </w:r>
                </w:p>
              </w:tc>
              <w:tc>
                <w:tcPr>
                  <w:tcW w:w="435" w:type="pct"/>
                  <w:shd w:val="clear" w:color="auto" w:fill="auto"/>
                  <w:vAlign w:val="center"/>
                </w:tcPr>
                <w:p w14:paraId="5A19A1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2E02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50" w:type="pct"/>
                  <w:vMerge w:val="continue"/>
                  <w:shd w:val="clear" w:color="auto" w:fill="auto"/>
                  <w:vAlign w:val="center"/>
                </w:tcPr>
                <w:p w14:paraId="5E5D8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181CD1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副成品</w:t>
                  </w:r>
                  <w:r>
                    <w:rPr>
                      <w:rFonts w:hint="eastAsia" w:cs="Times New Roman"/>
                      <w:color w:val="auto"/>
                      <w:lang w:val="en-US" w:eastAsia="zh-CN"/>
                    </w:rPr>
                    <w:t>仓库</w:t>
                  </w:r>
                </w:p>
              </w:tc>
              <w:tc>
                <w:tcPr>
                  <w:tcW w:w="3012" w:type="pct"/>
                  <w:shd w:val="clear" w:color="auto" w:fill="auto"/>
                  <w:vAlign w:val="center"/>
                </w:tcPr>
                <w:p w14:paraId="1AC7EC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lang w:val="en-US" w:eastAsia="zh-CN"/>
                    </w:rPr>
                    <w:t>位于生产车间北侧，</w:t>
                  </w:r>
                  <w:r>
                    <w:rPr>
                      <w:rFonts w:hint="eastAsia" w:ascii="Times New Roman" w:hAnsi="Times New Roman" w:cs="Times New Roman"/>
                      <w:color w:val="auto"/>
                      <w:sz w:val="21"/>
                      <w:szCs w:val="21"/>
                      <w:lang w:val="en-US" w:eastAsia="zh-CN"/>
                    </w:rPr>
                    <w:t>占地面积为200m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主要用于</w:t>
                  </w:r>
                  <w:r>
                    <w:rPr>
                      <w:rFonts w:hint="eastAsia" w:ascii="Times New Roman" w:hAnsi="Times New Roman" w:cs="Times New Roman"/>
                      <w:color w:val="auto"/>
                      <w:sz w:val="21"/>
                      <w:szCs w:val="21"/>
                      <w:lang w:val="en-US" w:eastAsia="zh-CN"/>
                    </w:rPr>
                    <w:t>包装后碎米、米糠、</w:t>
                  </w:r>
                  <w:r>
                    <w:rPr>
                      <w:rFonts w:hint="eastAsia" w:cs="Times New Roman"/>
                      <w:color w:val="auto"/>
                      <w:lang w:val="en-US" w:eastAsia="zh-CN"/>
                    </w:rPr>
                    <w:t>霉米</w:t>
                  </w:r>
                  <w:r>
                    <w:rPr>
                      <w:rFonts w:hint="default" w:ascii="Times New Roman" w:hAnsi="Times New Roman" w:cs="Times New Roman"/>
                      <w:color w:val="auto"/>
                      <w:sz w:val="21"/>
                      <w:szCs w:val="21"/>
                      <w:lang w:val="en-US" w:eastAsia="zh-CN"/>
                    </w:rPr>
                    <w:t>的储存</w:t>
                  </w:r>
                </w:p>
              </w:tc>
              <w:tc>
                <w:tcPr>
                  <w:tcW w:w="435" w:type="pct"/>
                  <w:shd w:val="clear" w:color="auto" w:fill="auto"/>
                  <w:vAlign w:val="center"/>
                </w:tcPr>
                <w:p w14:paraId="3C6854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6972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98180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457A21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运输</w:t>
                  </w:r>
                </w:p>
              </w:tc>
              <w:tc>
                <w:tcPr>
                  <w:tcW w:w="3012" w:type="pct"/>
                  <w:shd w:val="clear" w:color="auto" w:fill="auto"/>
                  <w:vAlign w:val="center"/>
                </w:tcPr>
                <w:p w14:paraId="3625BB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厂外采用汽车运输，厂房内采用叉车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提升机</w:t>
                  </w:r>
                  <w:r>
                    <w:rPr>
                      <w:rFonts w:hint="default" w:ascii="Times New Roman" w:hAnsi="Times New Roman" w:cs="Times New Roman"/>
                      <w:color w:val="auto"/>
                      <w:sz w:val="21"/>
                      <w:szCs w:val="21"/>
                    </w:rPr>
                    <w:t>运输</w:t>
                  </w:r>
                </w:p>
              </w:tc>
              <w:tc>
                <w:tcPr>
                  <w:tcW w:w="435" w:type="pct"/>
                  <w:shd w:val="clear" w:color="auto" w:fill="auto"/>
                  <w:vAlign w:val="center"/>
                </w:tcPr>
                <w:p w14:paraId="00C986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7469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53A745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公用工程</w:t>
                  </w:r>
                </w:p>
              </w:tc>
              <w:tc>
                <w:tcPr>
                  <w:tcW w:w="901" w:type="pct"/>
                  <w:shd w:val="clear" w:color="auto" w:fill="auto"/>
                  <w:vAlign w:val="center"/>
                </w:tcPr>
                <w:p w14:paraId="6E6C88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供电</w:t>
                  </w:r>
                </w:p>
              </w:tc>
              <w:tc>
                <w:tcPr>
                  <w:tcW w:w="3012" w:type="pct"/>
                  <w:shd w:val="clear" w:color="auto" w:fill="auto"/>
                  <w:vAlign w:val="center"/>
                </w:tcPr>
                <w:p w14:paraId="48CAA0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bCs/>
                      <w:color w:val="auto"/>
                      <w:sz w:val="21"/>
                      <w:szCs w:val="21"/>
                      <w:lang w:val="en-US" w:eastAsia="zh-CN"/>
                    </w:rPr>
                    <w:t>潘集镇</w:t>
                  </w:r>
                  <w:r>
                    <w:rPr>
                      <w:rFonts w:hint="default" w:ascii="Times New Roman" w:hAnsi="Times New Roman" w:cs="Times New Roman"/>
                      <w:bCs/>
                      <w:color w:val="auto"/>
                      <w:sz w:val="21"/>
                      <w:szCs w:val="21"/>
                    </w:rPr>
                    <w:t>供电</w:t>
                  </w:r>
                  <w:r>
                    <w:rPr>
                      <w:rFonts w:hint="eastAsia" w:cs="Times New Roman"/>
                      <w:bCs/>
                      <w:color w:val="auto"/>
                      <w:sz w:val="21"/>
                      <w:szCs w:val="21"/>
                      <w:lang w:val="en-US" w:eastAsia="zh-CN"/>
                    </w:rPr>
                    <w:t>电</w:t>
                  </w:r>
                  <w:r>
                    <w:rPr>
                      <w:rFonts w:hint="default" w:ascii="Times New Roman" w:hAnsi="Times New Roman" w:cs="Times New Roman"/>
                      <w:bCs/>
                      <w:color w:val="auto"/>
                      <w:sz w:val="21"/>
                      <w:szCs w:val="21"/>
                    </w:rPr>
                    <w:t>网</w:t>
                  </w:r>
                  <w:r>
                    <w:rPr>
                      <w:rFonts w:hint="eastAsia" w:cs="Times New Roman"/>
                      <w:bCs/>
                      <w:color w:val="auto"/>
                      <w:sz w:val="21"/>
                      <w:szCs w:val="21"/>
                      <w:lang w:val="en-US" w:eastAsia="zh-CN"/>
                    </w:rPr>
                    <w:t>供电</w:t>
                  </w:r>
                  <w:r>
                    <w:rPr>
                      <w:rFonts w:hint="eastAsia" w:cs="Times New Roman"/>
                      <w:bCs/>
                      <w:color w:val="auto"/>
                      <w:sz w:val="21"/>
                      <w:szCs w:val="21"/>
                      <w:lang w:eastAsia="zh-CN"/>
                    </w:rPr>
                    <w:t>，</w:t>
                  </w:r>
                  <w:r>
                    <w:rPr>
                      <w:rFonts w:hint="eastAsia" w:cs="Times New Roman"/>
                      <w:bCs/>
                      <w:color w:val="auto"/>
                      <w:sz w:val="21"/>
                      <w:szCs w:val="21"/>
                      <w:lang w:val="en-US" w:eastAsia="zh-CN"/>
                    </w:rPr>
                    <w:t>项目</w:t>
                  </w:r>
                  <w:r>
                    <w:rPr>
                      <w:rFonts w:hint="default" w:ascii="Times New Roman" w:hAnsi="Times New Roman" w:eastAsia="宋体" w:cs="Times New Roman"/>
                      <w:bCs/>
                      <w:color w:val="auto"/>
                      <w:sz w:val="21"/>
                      <w:szCs w:val="21"/>
                    </w:rPr>
                    <w:t>年用电量</w:t>
                  </w:r>
                  <w:r>
                    <w:rPr>
                      <w:rFonts w:hint="eastAsia" w:cs="Times New Roman"/>
                      <w:bCs/>
                      <w:color w:val="auto"/>
                      <w:sz w:val="21"/>
                      <w:szCs w:val="21"/>
                      <w:lang w:val="en-US" w:eastAsia="zh-CN"/>
                    </w:rPr>
                    <w:t>20</w:t>
                  </w:r>
                  <w:r>
                    <w:rPr>
                      <w:rFonts w:hint="default" w:ascii="Times New Roman" w:hAnsi="Times New Roman" w:eastAsia="宋体" w:cs="Times New Roman"/>
                      <w:bCs/>
                      <w:color w:val="auto"/>
                      <w:sz w:val="21"/>
                      <w:szCs w:val="21"/>
                    </w:rPr>
                    <w:t>万</w:t>
                  </w:r>
                  <w:r>
                    <w:rPr>
                      <w:rFonts w:hint="eastAsia" w:cs="Times New Roman"/>
                      <w:bCs/>
                      <w:color w:val="auto"/>
                      <w:sz w:val="21"/>
                      <w:szCs w:val="21"/>
                      <w:lang w:val="en-US" w:eastAsia="zh-CN"/>
                    </w:rPr>
                    <w:t>kW</w:t>
                  </w:r>
                  <w:r>
                    <w:rPr>
                      <w:rFonts w:hint="default" w:ascii="Times New Roman" w:hAnsi="Times New Roman" w:eastAsia="宋体" w:cs="Times New Roman"/>
                      <w:bCs/>
                      <w:color w:val="auto"/>
                      <w:sz w:val="21"/>
                      <w:szCs w:val="21"/>
                    </w:rPr>
                    <w:t>h</w:t>
                  </w:r>
                </w:p>
              </w:tc>
              <w:tc>
                <w:tcPr>
                  <w:tcW w:w="435" w:type="pct"/>
                  <w:shd w:val="clear" w:color="auto" w:fill="auto"/>
                  <w:vAlign w:val="center"/>
                </w:tcPr>
                <w:p w14:paraId="589D3A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依托已建电网</w:t>
                  </w:r>
                </w:p>
              </w:tc>
            </w:tr>
            <w:tr w14:paraId="28BA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E677F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kern w:val="2"/>
                      <w:sz w:val="21"/>
                      <w:szCs w:val="21"/>
                      <w:lang w:val="en-US" w:eastAsia="zh-CN" w:bidi="ar-SA"/>
                    </w:rPr>
                  </w:pPr>
                </w:p>
              </w:tc>
              <w:tc>
                <w:tcPr>
                  <w:tcW w:w="901" w:type="pct"/>
                  <w:shd w:val="clear" w:color="auto" w:fill="auto"/>
                  <w:vAlign w:val="center"/>
                </w:tcPr>
                <w:p w14:paraId="316CAC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供水</w:t>
                  </w:r>
                </w:p>
              </w:tc>
              <w:tc>
                <w:tcPr>
                  <w:tcW w:w="3012" w:type="pct"/>
                  <w:shd w:val="clear" w:color="auto" w:fill="auto"/>
                  <w:vAlign w:val="center"/>
                </w:tcPr>
                <w:p w14:paraId="09AB6C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Cs/>
                      <w:color w:val="auto"/>
                      <w:sz w:val="21"/>
                      <w:szCs w:val="21"/>
                      <w:lang w:val="en-US" w:eastAsia="zh-CN"/>
                    </w:rPr>
                    <w:t>潘集镇</w:t>
                  </w:r>
                  <w:r>
                    <w:rPr>
                      <w:rFonts w:hint="default" w:ascii="Times New Roman" w:hAnsi="Times New Roman" w:cs="Times New Roman"/>
                      <w:bCs/>
                      <w:color w:val="auto"/>
                      <w:sz w:val="21"/>
                      <w:szCs w:val="21"/>
                    </w:rPr>
                    <w:t>供</w:t>
                  </w:r>
                  <w:r>
                    <w:rPr>
                      <w:rFonts w:hint="eastAsia" w:cs="Times New Roman"/>
                      <w:bCs/>
                      <w:color w:val="auto"/>
                      <w:sz w:val="21"/>
                      <w:szCs w:val="21"/>
                      <w:lang w:val="en-US" w:eastAsia="zh-CN"/>
                    </w:rPr>
                    <w:t>水管网供水</w:t>
                  </w:r>
                  <w:r>
                    <w:rPr>
                      <w:rFonts w:hint="eastAsia" w:cs="Times New Roman"/>
                      <w:bCs/>
                      <w:color w:val="auto"/>
                      <w:sz w:val="21"/>
                      <w:szCs w:val="21"/>
                      <w:lang w:eastAsia="zh-CN"/>
                    </w:rPr>
                    <w:t>，</w:t>
                  </w:r>
                  <w:r>
                    <w:rPr>
                      <w:rFonts w:hint="eastAsia" w:cs="Times New Roman"/>
                      <w:bCs/>
                      <w:color w:val="auto"/>
                      <w:sz w:val="21"/>
                      <w:szCs w:val="21"/>
                      <w:lang w:val="en-US" w:eastAsia="zh-CN"/>
                    </w:rPr>
                    <w:t>项目</w:t>
                  </w:r>
                  <w:r>
                    <w:rPr>
                      <w:rFonts w:hint="default" w:ascii="Times New Roman" w:hAnsi="Times New Roman" w:cs="Times New Roman"/>
                      <w:b w:val="0"/>
                      <w:bCs/>
                      <w:color w:val="auto"/>
                      <w:sz w:val="21"/>
                      <w:szCs w:val="21"/>
                    </w:rPr>
                    <w:t>用水</w:t>
                  </w:r>
                  <w:r>
                    <w:rPr>
                      <w:rFonts w:hint="default" w:ascii="Times New Roman" w:hAnsi="Times New Roman" w:cs="Times New Roman"/>
                      <w:b w:val="0"/>
                      <w:bCs/>
                      <w:color w:val="auto"/>
                      <w:sz w:val="21"/>
                      <w:szCs w:val="21"/>
                      <w:lang w:val="en-US" w:eastAsia="zh-CN"/>
                    </w:rPr>
                    <w:t>主要为</w:t>
                  </w:r>
                  <w:r>
                    <w:rPr>
                      <w:rFonts w:hint="default" w:ascii="Times New Roman" w:hAnsi="Times New Roman" w:cs="Times New Roman"/>
                      <w:b w:val="0"/>
                      <w:bCs/>
                      <w:color w:val="auto"/>
                      <w:sz w:val="21"/>
                      <w:szCs w:val="21"/>
                    </w:rPr>
                    <w:t>生活用水</w:t>
                  </w:r>
                  <w:r>
                    <w:rPr>
                      <w:rFonts w:hint="default" w:ascii="Times New Roman" w:hAnsi="Times New Roman" w:cs="Times New Roman"/>
                      <w:b w:val="0"/>
                      <w:bCs/>
                      <w:color w:val="auto"/>
                      <w:sz w:val="21"/>
                      <w:szCs w:val="21"/>
                      <w:lang w:val="en-US" w:eastAsia="zh-CN"/>
                    </w:rPr>
                    <w:t>以及抛光用水</w:t>
                  </w:r>
                  <w:r>
                    <w:rPr>
                      <w:rFonts w:hint="eastAsia" w:cs="Times New Roman"/>
                      <w:b w:val="0"/>
                      <w:bCs/>
                      <w:color w:val="auto"/>
                      <w:sz w:val="21"/>
                      <w:szCs w:val="21"/>
                      <w:lang w:val="en-US" w:eastAsia="zh-CN"/>
                    </w:rPr>
                    <w:t>，</w:t>
                  </w:r>
                  <w:r>
                    <w:rPr>
                      <w:rFonts w:hint="default" w:ascii="Times New Roman" w:hAnsi="Times New Roman" w:eastAsia="宋体" w:cs="Times New Roman"/>
                      <w:bCs/>
                      <w:color w:val="auto"/>
                      <w:sz w:val="21"/>
                      <w:szCs w:val="21"/>
                    </w:rPr>
                    <w:t>用水量</w:t>
                  </w:r>
                  <w:r>
                    <w:rPr>
                      <w:rFonts w:hint="default" w:ascii="Times New Roman" w:hAnsi="Times New Roman" w:eastAsia="宋体" w:cs="Times New Roman"/>
                      <w:bCs/>
                      <w:color w:val="auto"/>
                      <w:sz w:val="21"/>
                      <w:szCs w:val="21"/>
                      <w:lang w:val="en-US" w:eastAsia="zh-CN"/>
                    </w:rPr>
                    <w:t>425</w:t>
                  </w:r>
                  <w:r>
                    <w:rPr>
                      <w:rFonts w:hint="default" w:ascii="Times New Roman" w:hAnsi="Times New Roman" w:eastAsia="宋体" w:cs="Times New Roman"/>
                      <w:bCs/>
                      <w:color w:val="auto"/>
                      <w:sz w:val="21"/>
                      <w:szCs w:val="21"/>
                    </w:rPr>
                    <w:t>t/a</w:t>
                  </w:r>
                </w:p>
              </w:tc>
              <w:tc>
                <w:tcPr>
                  <w:tcW w:w="435" w:type="pct"/>
                  <w:shd w:val="clear" w:color="auto" w:fill="auto"/>
                  <w:vAlign w:val="center"/>
                </w:tcPr>
                <w:p w14:paraId="1CAACF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依托已建水管</w:t>
                  </w:r>
                </w:p>
              </w:tc>
            </w:tr>
            <w:tr w14:paraId="4B8F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89CCF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kern w:val="2"/>
                      <w:sz w:val="21"/>
                      <w:szCs w:val="21"/>
                      <w:lang w:val="en-US" w:eastAsia="zh-CN" w:bidi="ar-SA"/>
                    </w:rPr>
                  </w:pPr>
                </w:p>
              </w:tc>
              <w:tc>
                <w:tcPr>
                  <w:tcW w:w="901" w:type="pct"/>
                  <w:shd w:val="clear" w:color="auto" w:fill="auto"/>
                  <w:vAlign w:val="center"/>
                </w:tcPr>
                <w:p w14:paraId="72ED5A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排水</w:t>
                  </w:r>
                </w:p>
              </w:tc>
              <w:tc>
                <w:tcPr>
                  <w:tcW w:w="3012" w:type="pct"/>
                  <w:shd w:val="clear" w:color="auto" w:fill="auto"/>
                  <w:vAlign w:val="center"/>
                </w:tcPr>
                <w:p w14:paraId="73B162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项目排水采取雨、污分流制，废水为生活污水，</w:t>
                  </w:r>
                  <w:r>
                    <w:rPr>
                      <w:rFonts w:hint="eastAsia" w:ascii="Times New Roman" w:hAnsi="Times New Roman" w:eastAsia="宋体" w:cs="Times New Roman"/>
                      <w:color w:val="auto"/>
                      <w:sz w:val="21"/>
                      <w:szCs w:val="21"/>
                      <w:highlight w:val="none"/>
                      <w:lang w:val="en-US" w:eastAsia="zh-CN"/>
                    </w:rPr>
                    <w:t>生活污水经化粪池处理后</w:t>
                  </w:r>
                  <w:r>
                    <w:rPr>
                      <w:rFonts w:hint="eastAsia" w:hAnsi="Times New Roman" w:cs="Times New Roman"/>
                      <w:color w:val="auto"/>
                      <w:sz w:val="21"/>
                      <w:szCs w:val="21"/>
                      <w:highlight w:val="none"/>
                      <w:lang w:val="en-US" w:eastAsia="zh-CN"/>
                    </w:rPr>
                    <w:t>定期清掏</w:t>
                  </w:r>
                  <w:r>
                    <w:rPr>
                      <w:rFonts w:hint="eastAsia" w:cs="Times New Roman"/>
                      <w:color w:val="auto"/>
                      <w:sz w:val="21"/>
                      <w:szCs w:val="21"/>
                      <w:highlight w:val="none"/>
                      <w:lang w:val="en-US" w:eastAsia="zh-CN"/>
                    </w:rPr>
                    <w:t>用于农田施肥，不外排</w:t>
                  </w:r>
                </w:p>
              </w:tc>
              <w:tc>
                <w:tcPr>
                  <w:tcW w:w="435" w:type="pct"/>
                  <w:shd w:val="clear" w:color="auto" w:fill="auto"/>
                  <w:vAlign w:val="center"/>
                </w:tcPr>
                <w:p w14:paraId="3C229A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w:t>
                  </w:r>
                  <w:r>
                    <w:rPr>
                      <w:rFonts w:hint="default" w:ascii="Times New Roman" w:hAnsi="Times New Roman" w:eastAsia="宋体" w:cs="Times New Roman"/>
                      <w:color w:val="auto"/>
                      <w:sz w:val="21"/>
                      <w:szCs w:val="21"/>
                      <w:lang w:val="en-US" w:eastAsia="zh-CN"/>
                    </w:rPr>
                    <w:t>建</w:t>
                  </w:r>
                </w:p>
              </w:tc>
            </w:tr>
            <w:tr w14:paraId="72C9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650" w:type="pct"/>
                  <w:vMerge w:val="restart"/>
                  <w:shd w:val="clear" w:color="auto" w:fill="auto"/>
                  <w:vAlign w:val="center"/>
                </w:tcPr>
                <w:p w14:paraId="2CE75B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环保工程</w:t>
                  </w:r>
                </w:p>
              </w:tc>
              <w:tc>
                <w:tcPr>
                  <w:tcW w:w="901" w:type="pct"/>
                  <w:vMerge w:val="restart"/>
                  <w:shd w:val="clear" w:color="auto" w:fill="auto"/>
                  <w:vAlign w:val="center"/>
                </w:tcPr>
                <w:p w14:paraId="730457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废气</w:t>
                  </w:r>
                  <w:r>
                    <w:rPr>
                      <w:rFonts w:hint="default" w:ascii="Times New Roman" w:hAnsi="Times New Roman" w:cs="Times New Roman"/>
                      <w:color w:val="auto"/>
                      <w:kern w:val="0"/>
                      <w:sz w:val="21"/>
                      <w:szCs w:val="21"/>
                      <w:lang w:val="en-US" w:eastAsia="zh-CN"/>
                    </w:rPr>
                    <w:t>治理措施</w:t>
                  </w:r>
                </w:p>
              </w:tc>
              <w:tc>
                <w:tcPr>
                  <w:tcW w:w="5158" w:type="dxa"/>
                  <w:shd w:val="clear" w:color="auto" w:fill="auto"/>
                  <w:vAlign w:val="center"/>
                </w:tcPr>
                <w:p w14:paraId="64293B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每台清理筛、去石机、碾米机先设置1套旋风除尘器除尘，共设置6套旋风除尘器，除杂粉尘、去石粉尘、碾米粉尘经密闭管道收集经并联6套旋风除尘器处理后，再与经集气罩收集的卸粮粉尘，密闭管道收集的砻谷粉尘、谷糙分离粉尘、一次色选粉尘，共同经1套脉冲除尘器处理，尾气经1根15m高排气筒（DA001）有组织排放</w:t>
                  </w:r>
                </w:p>
              </w:tc>
              <w:tc>
                <w:tcPr>
                  <w:tcW w:w="435" w:type="pct"/>
                  <w:shd w:val="clear" w:color="auto" w:fill="auto"/>
                  <w:vAlign w:val="center"/>
                </w:tcPr>
                <w:p w14:paraId="767317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14:paraId="53E0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0" w:type="pct"/>
                  <w:vMerge w:val="continue"/>
                  <w:shd w:val="clear" w:color="auto" w:fill="auto"/>
                  <w:vAlign w:val="center"/>
                </w:tcPr>
                <w:p w14:paraId="1FBA81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901" w:type="pct"/>
                  <w:vMerge w:val="continue"/>
                  <w:shd w:val="clear" w:color="auto" w:fill="auto"/>
                  <w:vAlign w:val="center"/>
                </w:tcPr>
                <w:p w14:paraId="56ADF2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0"/>
                      <w:sz w:val="21"/>
                      <w:szCs w:val="21"/>
                      <w:lang w:val="en-US" w:eastAsia="zh-CN"/>
                    </w:rPr>
                  </w:pPr>
                </w:p>
              </w:tc>
              <w:tc>
                <w:tcPr>
                  <w:tcW w:w="5158" w:type="dxa"/>
                  <w:shd w:val="clear" w:color="auto" w:fill="auto"/>
                  <w:vAlign w:val="center"/>
                </w:tcPr>
                <w:p w14:paraId="2CC73C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项目一次抛光设置2台抛光机，每台抛光机先设置1套旋风除尘器除尘，共设置2套旋风除尘器，项目一次抛光粉尘分别经2套并联旋风除尘器处理后，与一次白米分级粉尘、二次色选粉尘通过密闭管道收集，共同经1套脉冲除尘器处理，尾气经1根15米高排气筒（DA002）有组织排放</w:t>
                  </w:r>
                </w:p>
              </w:tc>
              <w:tc>
                <w:tcPr>
                  <w:tcW w:w="435" w:type="pct"/>
                  <w:shd w:val="clear" w:color="auto" w:fill="auto"/>
                  <w:vAlign w:val="center"/>
                </w:tcPr>
                <w:p w14:paraId="67C7A0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245A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650" w:type="pct"/>
                  <w:vMerge w:val="continue"/>
                  <w:shd w:val="clear" w:color="auto" w:fill="auto"/>
                  <w:vAlign w:val="center"/>
                </w:tcPr>
                <w:p w14:paraId="69C112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901" w:type="pct"/>
                  <w:vMerge w:val="continue"/>
                  <w:shd w:val="clear" w:color="auto" w:fill="auto"/>
                  <w:vAlign w:val="center"/>
                </w:tcPr>
                <w:p w14:paraId="4FCF1C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0"/>
                      <w:sz w:val="21"/>
                      <w:szCs w:val="21"/>
                      <w:lang w:val="en-US" w:eastAsia="zh-CN"/>
                    </w:rPr>
                  </w:pPr>
                </w:p>
              </w:tc>
              <w:tc>
                <w:tcPr>
                  <w:tcW w:w="5158" w:type="dxa"/>
                  <w:shd w:val="clear" w:color="auto" w:fill="auto"/>
                  <w:vAlign w:val="center"/>
                </w:tcPr>
                <w:p w14:paraId="495485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项目二次抛光设置2台抛光机，每台抛光机先设置1套旋风除尘器除尘，共设置2套旋风除尘器，项目二次抛光粉尘分别经2套并联旋风除尘器处理后，与三次色选粉尘、二次白米分级粉尘、精选粉尘通过密闭管道收集，共同经1套脉冲除尘器处理，尾气1根15米高排气筒（DA003）有组织排放</w:t>
                  </w:r>
                </w:p>
              </w:tc>
              <w:tc>
                <w:tcPr>
                  <w:tcW w:w="435" w:type="pct"/>
                  <w:shd w:val="clear" w:color="auto" w:fill="auto"/>
                  <w:vAlign w:val="center"/>
                </w:tcPr>
                <w:p w14:paraId="7061D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656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50" w:type="pct"/>
                  <w:vMerge w:val="continue"/>
                  <w:shd w:val="clear" w:color="auto" w:fill="auto"/>
                  <w:vAlign w:val="center"/>
                </w:tcPr>
                <w:p w14:paraId="75B91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901" w:type="pct"/>
                  <w:shd w:val="clear" w:color="auto" w:fill="auto"/>
                  <w:vAlign w:val="center"/>
                </w:tcPr>
                <w:p w14:paraId="2BF3F8A0">
                  <w:pPr>
                    <w:pStyle w:val="123"/>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废水</w:t>
                  </w:r>
                  <w:r>
                    <w:rPr>
                      <w:rFonts w:hint="default" w:ascii="Times New Roman" w:hAnsi="Times New Roman" w:eastAsia="宋体" w:cs="Times New Roman"/>
                      <w:color w:val="auto"/>
                      <w:kern w:val="2"/>
                      <w:sz w:val="21"/>
                      <w:szCs w:val="21"/>
                      <w:lang w:val="en-US" w:eastAsia="zh-CN"/>
                    </w:rPr>
                    <w:t>治理措施</w:t>
                  </w:r>
                </w:p>
              </w:tc>
              <w:tc>
                <w:tcPr>
                  <w:tcW w:w="3012" w:type="pct"/>
                  <w:shd w:val="clear" w:color="auto" w:fill="auto"/>
                  <w:vAlign w:val="center"/>
                </w:tcPr>
                <w:p w14:paraId="63B868DF">
                  <w:pPr>
                    <w:pStyle w:val="123"/>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项目废水为生活污水，生活污水经厂区内化粪池处理后</w:t>
                  </w:r>
                  <w:r>
                    <w:rPr>
                      <w:rFonts w:hint="eastAsia" w:ascii="Times New Roman" w:hAnsi="Times New Roman" w:eastAsia="宋体" w:cs="Times New Roman"/>
                      <w:color w:val="auto"/>
                      <w:kern w:val="2"/>
                      <w:sz w:val="21"/>
                      <w:szCs w:val="21"/>
                      <w:lang w:val="en-US" w:eastAsia="zh-CN"/>
                    </w:rPr>
                    <w:t>定期清掏用于农田施肥，不外排</w:t>
                  </w:r>
                </w:p>
              </w:tc>
              <w:tc>
                <w:tcPr>
                  <w:tcW w:w="435" w:type="pct"/>
                  <w:shd w:val="clear" w:color="auto" w:fill="auto"/>
                  <w:vAlign w:val="center"/>
                </w:tcPr>
                <w:p w14:paraId="7D47F8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14:paraId="5611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759D31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218308C5">
                  <w:pPr>
                    <w:pStyle w:val="123"/>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噪声治理</w:t>
                  </w:r>
                  <w:r>
                    <w:rPr>
                      <w:rFonts w:hint="default" w:ascii="Times New Roman" w:hAnsi="Times New Roman" w:eastAsia="宋体" w:cs="Times New Roman"/>
                      <w:color w:val="auto"/>
                      <w:kern w:val="2"/>
                      <w:sz w:val="21"/>
                      <w:szCs w:val="21"/>
                      <w:lang w:val="en-US" w:eastAsia="zh-CN"/>
                    </w:rPr>
                    <w:t>措施</w:t>
                  </w:r>
                </w:p>
              </w:tc>
              <w:tc>
                <w:tcPr>
                  <w:tcW w:w="3012" w:type="pct"/>
                  <w:shd w:val="clear" w:color="auto" w:fill="auto"/>
                  <w:vAlign w:val="center"/>
                </w:tcPr>
                <w:p w14:paraId="0EA48A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采取优选低噪声设备、车间内布置、隔声、消声、减振等措施</w:t>
                  </w:r>
                </w:p>
              </w:tc>
              <w:tc>
                <w:tcPr>
                  <w:tcW w:w="435" w:type="pct"/>
                  <w:shd w:val="clear" w:color="auto" w:fill="auto"/>
                  <w:vAlign w:val="center"/>
                </w:tcPr>
                <w:p w14:paraId="4F9B15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14:paraId="1321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7BA3FC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616E8922">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固废治理措施</w:t>
                  </w:r>
                </w:p>
              </w:tc>
              <w:tc>
                <w:tcPr>
                  <w:tcW w:w="3012" w:type="pct"/>
                  <w:shd w:val="clear" w:color="auto" w:fill="auto"/>
                  <w:vAlign w:val="center"/>
                </w:tcPr>
                <w:p w14:paraId="7CB838B4">
                  <w:pPr>
                    <w:pStyle w:val="63"/>
                    <w:ind w:left="0" w:leftChars="0" w:firstLine="0" w:firstLineChars="0"/>
                    <w:jc w:val="center"/>
                    <w:rPr>
                      <w:rFonts w:hint="eastAsia" w:ascii="Times New Roman"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生活垃圾、砂石</w:t>
                  </w:r>
                  <w:r>
                    <w:rPr>
                      <w:rFonts w:hint="eastAsia" w:ascii="Times New Roman" w:cs="Times New Roman"/>
                      <w:color w:val="auto"/>
                      <w:kern w:val="2"/>
                      <w:sz w:val="21"/>
                      <w:szCs w:val="24"/>
                      <w:lang w:val="en-US" w:eastAsia="zh-CN" w:bidi="ar-SA"/>
                    </w:rPr>
                    <w:t>杂质</w:t>
                  </w:r>
                  <w:r>
                    <w:rPr>
                      <w:rFonts w:hint="default" w:ascii="Times New Roman" w:hAnsi="Times New Roman" w:eastAsia="宋体" w:cs="Times New Roman"/>
                      <w:color w:val="auto"/>
                      <w:kern w:val="2"/>
                      <w:sz w:val="21"/>
                      <w:szCs w:val="24"/>
                      <w:lang w:val="en-US" w:eastAsia="zh-CN" w:bidi="ar-SA"/>
                    </w:rPr>
                    <w:t>统一收集后交由环卫部门清运</w:t>
                  </w:r>
                  <w:r>
                    <w:rPr>
                      <w:rFonts w:hint="eastAsia" w:ascii="Times New Roman"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除尘器收集粉尘、废包装袋收集后外售综合利用</w:t>
                  </w:r>
                  <w:r>
                    <w:rPr>
                      <w:rFonts w:hint="eastAsia" w:ascii="Times New Roman" w:cs="Times New Roman"/>
                      <w:color w:val="auto"/>
                      <w:kern w:val="2"/>
                      <w:sz w:val="21"/>
                      <w:szCs w:val="24"/>
                      <w:lang w:val="en-US" w:eastAsia="zh-CN" w:bidi="ar-SA"/>
                    </w:rPr>
                    <w:t>。</w:t>
                  </w:r>
                </w:p>
                <w:p w14:paraId="58D2F28F">
                  <w:pPr>
                    <w:pStyle w:val="65"/>
                    <w:rPr>
                      <w:rFonts w:hint="default"/>
                      <w:color w:val="auto"/>
                      <w:lang w:val="en-US" w:eastAsia="zh-CN"/>
                    </w:rPr>
                  </w:pPr>
                  <w:r>
                    <w:rPr>
                      <w:rFonts w:hint="eastAsia" w:ascii="Times New Roman" w:hAnsi="Times New Roman" w:cs="Times New Roman"/>
                      <w:color w:val="auto"/>
                      <w:lang w:val="en-US" w:eastAsia="zh-CN"/>
                    </w:rPr>
                    <w:t>设置1间面积3m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的危废暂存间，废润滑油、含油废抹布、废手套暂存在危废库，定期委托有资质单位处置</w:t>
                  </w:r>
                </w:p>
              </w:tc>
              <w:tc>
                <w:tcPr>
                  <w:tcW w:w="435" w:type="pct"/>
                  <w:shd w:val="clear" w:color="auto" w:fill="auto"/>
                  <w:vAlign w:val="center"/>
                </w:tcPr>
                <w:p w14:paraId="31ADA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14:paraId="0423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78F69F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901" w:type="pct"/>
                  <w:shd w:val="clear" w:color="auto" w:fill="auto"/>
                  <w:vAlign w:val="center"/>
                </w:tcPr>
                <w:p w14:paraId="514E39E8">
                  <w:pPr>
                    <w:jc w:val="center"/>
                    <w:rPr>
                      <w:rFonts w:hint="default" w:ascii="Times New Roman" w:hAnsi="Times New Roman" w:cs="Times New Roman"/>
                      <w:color w:val="auto"/>
                      <w:lang w:val="en-US" w:eastAsia="zh-CN"/>
                    </w:rPr>
                  </w:pPr>
                  <w:r>
                    <w:rPr>
                      <w:rFonts w:hint="eastAsia"/>
                      <w:color w:val="auto"/>
                      <w:lang w:val="en-US" w:eastAsia="zh-CN"/>
                    </w:rPr>
                    <w:t>风险防范措施</w:t>
                  </w:r>
                </w:p>
              </w:tc>
              <w:tc>
                <w:tcPr>
                  <w:tcW w:w="3012" w:type="pct"/>
                  <w:shd w:val="clear" w:color="auto" w:fill="auto"/>
                  <w:vAlign w:val="center"/>
                </w:tcPr>
                <w:p w14:paraId="02235575">
                  <w:pPr>
                    <w:pStyle w:val="63"/>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highlight w:val="none"/>
                      <w:lang w:val="en-US" w:eastAsia="zh-CN"/>
                    </w:rPr>
                    <w:t>配备相应消防器材</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配备</w:t>
                  </w:r>
                  <w:r>
                    <w:rPr>
                      <w:rFonts w:hint="eastAsia" w:cs="Times New Roman"/>
                      <w:color w:val="auto"/>
                      <w:sz w:val="21"/>
                      <w:szCs w:val="21"/>
                      <w:highlight w:val="none"/>
                      <w:lang w:val="en-US" w:eastAsia="zh-CN"/>
                    </w:rPr>
                    <w:t>应急物资，对</w:t>
                  </w:r>
                  <w:r>
                    <w:rPr>
                      <w:rFonts w:hint="eastAsia" w:ascii="Times New Roman" w:hAnsi="Times New Roman" w:eastAsia="宋体" w:cs="Times New Roman"/>
                      <w:color w:val="auto"/>
                      <w:sz w:val="21"/>
                      <w:szCs w:val="21"/>
                      <w:highlight w:val="none"/>
                      <w:lang w:val="en-US" w:eastAsia="zh-CN"/>
                    </w:rPr>
                    <w:t>危废</w:t>
                  </w:r>
                  <w:r>
                    <w:rPr>
                      <w:rFonts w:hint="eastAsia" w:ascii="Times New Roman" w:cs="Times New Roman"/>
                      <w:color w:val="auto"/>
                      <w:sz w:val="21"/>
                      <w:szCs w:val="21"/>
                      <w:highlight w:val="none"/>
                      <w:lang w:val="en-US" w:eastAsia="zh-CN"/>
                    </w:rPr>
                    <w:t>暂存区</w:t>
                  </w:r>
                  <w:r>
                    <w:rPr>
                      <w:rFonts w:hint="eastAsia" w:ascii="Times New Roman" w:hAnsi="Times New Roman" w:eastAsia="宋体" w:cs="Times New Roman"/>
                      <w:color w:val="auto"/>
                      <w:sz w:val="21"/>
                      <w:szCs w:val="21"/>
                      <w:highlight w:val="none"/>
                      <w:lang w:val="en-US" w:eastAsia="zh-CN"/>
                    </w:rPr>
                    <w:t>进行</w:t>
                  </w:r>
                  <w:r>
                    <w:rPr>
                      <w:rFonts w:hint="eastAsia" w:cs="Times New Roman"/>
                      <w:color w:val="auto"/>
                      <w:sz w:val="21"/>
                      <w:szCs w:val="21"/>
                      <w:highlight w:val="none"/>
                      <w:lang w:val="en-US" w:eastAsia="zh-CN"/>
                    </w:rPr>
                    <w:t>重点防渗</w:t>
                  </w:r>
                </w:p>
              </w:tc>
              <w:tc>
                <w:tcPr>
                  <w:tcW w:w="435" w:type="pct"/>
                  <w:shd w:val="clear" w:color="auto" w:fill="auto"/>
                  <w:vAlign w:val="center"/>
                </w:tcPr>
                <w:p w14:paraId="51B26F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bl>
          <w:p w14:paraId="049D3671">
            <w:pPr>
              <w:spacing w:line="240" w:lineRule="auto"/>
              <w:rPr>
                <w:rFonts w:hint="eastAsia" w:cs="Times New Roman"/>
                <w:b/>
                <w:color w:val="auto"/>
                <w:sz w:val="24"/>
                <w:szCs w:val="24"/>
                <w:lang w:val="en-US" w:eastAsia="zh-CN"/>
              </w:rPr>
            </w:pPr>
          </w:p>
          <w:p w14:paraId="424AC5E8">
            <w:pPr>
              <w:spacing w:line="240" w:lineRule="auto"/>
              <w:rPr>
                <w:rFonts w:hint="eastAsia" w:cs="Times New Roman"/>
                <w:b/>
                <w:color w:val="auto"/>
                <w:sz w:val="24"/>
                <w:szCs w:val="24"/>
                <w:lang w:val="en-US" w:eastAsia="zh-CN"/>
              </w:rPr>
            </w:pPr>
          </w:p>
          <w:p w14:paraId="7C6E6D23">
            <w:pPr>
              <w:spacing w:line="240" w:lineRule="auto"/>
              <w:rPr>
                <w:rFonts w:hint="default" w:ascii="Times New Roman" w:hAnsi="Times New Roman" w:cs="Times New Roman"/>
                <w:color w:val="auto"/>
                <w:sz w:val="24"/>
                <w:szCs w:val="24"/>
              </w:rPr>
            </w:pPr>
            <w:r>
              <w:rPr>
                <w:rFonts w:hint="eastAsia" w:cs="Times New Roman"/>
                <w:b/>
                <w:color w:val="auto"/>
                <w:sz w:val="24"/>
                <w:szCs w:val="24"/>
                <w:lang w:val="en-US" w:eastAsia="zh-CN"/>
              </w:rPr>
              <w:t>4</w:t>
            </w:r>
            <w:r>
              <w:rPr>
                <w:rFonts w:hint="default" w:ascii="Times New Roman" w:hAnsi="Times New Roman" w:cs="Times New Roman"/>
                <w:b/>
                <w:color w:val="auto"/>
                <w:sz w:val="24"/>
                <w:szCs w:val="24"/>
              </w:rPr>
              <w:t>、产品方案</w:t>
            </w:r>
          </w:p>
          <w:p w14:paraId="63F07217">
            <w:pPr>
              <w:spacing w:line="460" w:lineRule="exact"/>
              <w:ind w:firstLine="48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4"/>
                <w:lang w:val="en-US" w:eastAsia="zh-CN"/>
              </w:rPr>
              <w:t>项目生产的产品为大米；副产品为碎米、米糠、</w:t>
            </w:r>
            <w:r>
              <w:rPr>
                <w:rFonts w:hint="eastAsia" w:cs="Times New Roman"/>
                <w:color w:val="auto"/>
                <w:sz w:val="24"/>
                <w:lang w:val="en-US" w:eastAsia="zh-CN"/>
              </w:rPr>
              <w:t>霉米、</w:t>
            </w:r>
            <w:r>
              <w:rPr>
                <w:rFonts w:hint="default" w:ascii="Times New Roman" w:hAnsi="Times New Roman" w:cs="Times New Roman"/>
                <w:color w:val="auto"/>
                <w:sz w:val="24"/>
                <w:lang w:val="en-US" w:eastAsia="zh-CN"/>
              </w:rPr>
              <w:t>稻壳，产品方案见下表：</w:t>
            </w:r>
          </w:p>
          <w:p w14:paraId="23043CAC">
            <w:pPr>
              <w:spacing w:line="44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产品方案及规模一览表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207"/>
              <w:gridCol w:w="1896"/>
              <w:gridCol w:w="743"/>
              <w:gridCol w:w="1272"/>
              <w:gridCol w:w="1353"/>
              <w:gridCol w:w="1432"/>
            </w:tblGrid>
            <w:tr w14:paraId="0248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vAlign w:val="center"/>
                </w:tcPr>
                <w:p w14:paraId="7CFCA95F">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705" w:type="pct"/>
                  <w:vAlign w:val="center"/>
                </w:tcPr>
                <w:p w14:paraId="6B54EA6B">
                  <w:pPr>
                    <w:jc w:val="center"/>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1107" w:type="pct"/>
                  <w:vAlign w:val="center"/>
                </w:tcPr>
                <w:p w14:paraId="053BEE12">
                  <w:pPr>
                    <w:jc w:val="center"/>
                    <w:rPr>
                      <w:rFonts w:hint="default" w:ascii="Times New Roman" w:hAnsi="Times New Roman" w:cs="Times New Roman"/>
                      <w:b/>
                      <w:bCs/>
                      <w:color w:val="auto"/>
                    </w:rPr>
                  </w:pPr>
                  <w:r>
                    <w:rPr>
                      <w:rFonts w:hint="default" w:ascii="Times New Roman" w:hAnsi="Times New Roman" w:cs="Times New Roman"/>
                      <w:b/>
                      <w:bCs/>
                      <w:color w:val="auto"/>
                    </w:rPr>
                    <w:t>规格</w:t>
                  </w:r>
                </w:p>
              </w:tc>
              <w:tc>
                <w:tcPr>
                  <w:tcW w:w="434" w:type="pct"/>
                  <w:vAlign w:val="center"/>
                </w:tcPr>
                <w:p w14:paraId="390D659D">
                  <w:pPr>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743" w:type="pct"/>
                  <w:vAlign w:val="center"/>
                </w:tcPr>
                <w:p w14:paraId="3FD1286D">
                  <w:pPr>
                    <w:jc w:val="center"/>
                    <w:rPr>
                      <w:rFonts w:hint="default" w:ascii="Times New Roman" w:hAnsi="Times New Roman" w:cs="Times New Roman"/>
                      <w:b/>
                      <w:bCs/>
                      <w:color w:val="auto"/>
                    </w:rPr>
                  </w:pPr>
                  <w:r>
                    <w:rPr>
                      <w:rFonts w:hint="default" w:ascii="Times New Roman" w:hAnsi="Times New Roman" w:cs="Times New Roman"/>
                      <w:b/>
                      <w:bCs/>
                      <w:color w:val="auto"/>
                    </w:rPr>
                    <w:t>数量</w:t>
                  </w:r>
                </w:p>
              </w:tc>
              <w:tc>
                <w:tcPr>
                  <w:tcW w:w="790" w:type="pct"/>
                  <w:vAlign w:val="center"/>
                </w:tcPr>
                <w:p w14:paraId="37A09152">
                  <w:pPr>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储存位置</w:t>
                  </w:r>
                </w:p>
              </w:tc>
              <w:tc>
                <w:tcPr>
                  <w:tcW w:w="836" w:type="pct"/>
                  <w:vAlign w:val="center"/>
                </w:tcPr>
                <w:p w14:paraId="074FE59F">
                  <w:pPr>
                    <w:jc w:val="center"/>
                    <w:rPr>
                      <w:rFonts w:hint="default" w:ascii="Times New Roman" w:hAnsi="Times New Roman" w:cs="Times New Roman"/>
                      <w:b/>
                      <w:bCs/>
                      <w:color w:val="auto"/>
                      <w:lang w:val="en-US" w:eastAsia="zh-CN"/>
                    </w:rPr>
                  </w:pPr>
                  <w:r>
                    <w:rPr>
                      <w:rFonts w:hint="eastAsia" w:cs="Times New Roman"/>
                      <w:b/>
                      <w:bCs/>
                      <w:color w:val="auto"/>
                      <w:lang w:val="en-US" w:eastAsia="zh-CN"/>
                    </w:rPr>
                    <w:t>备注</w:t>
                  </w:r>
                </w:p>
              </w:tc>
            </w:tr>
            <w:tr w14:paraId="3C3D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Merge w:val="restart"/>
                  <w:vAlign w:val="center"/>
                </w:tcPr>
                <w:p w14:paraId="3556E219">
                  <w:pPr>
                    <w:jc w:val="center"/>
                    <w:rPr>
                      <w:rFonts w:hint="default" w:ascii="Times New Roman" w:hAnsi="Times New Roman" w:cs="Times New Roman"/>
                      <w:color w:val="auto"/>
                    </w:rPr>
                  </w:pPr>
                  <w:r>
                    <w:rPr>
                      <w:rFonts w:hint="default" w:ascii="Times New Roman" w:hAnsi="Times New Roman" w:cs="Times New Roman"/>
                      <w:color w:val="auto"/>
                    </w:rPr>
                    <w:t>1</w:t>
                  </w:r>
                </w:p>
              </w:tc>
              <w:tc>
                <w:tcPr>
                  <w:tcW w:w="705" w:type="pct"/>
                  <w:vMerge w:val="restart"/>
                  <w:vAlign w:val="center"/>
                </w:tcPr>
                <w:p w14:paraId="1CFDDC68">
                  <w:pPr>
                    <w:jc w:val="center"/>
                    <w:rPr>
                      <w:rFonts w:hint="default" w:ascii="Times New Roman" w:hAnsi="Times New Roman" w:cs="Times New Roman"/>
                      <w:color w:val="auto"/>
                    </w:rPr>
                  </w:pPr>
                  <w:r>
                    <w:rPr>
                      <w:rFonts w:hint="default" w:ascii="Times New Roman" w:hAnsi="Times New Roman" w:cs="Times New Roman"/>
                      <w:color w:val="auto"/>
                    </w:rPr>
                    <w:t>优质大米</w:t>
                  </w:r>
                </w:p>
              </w:tc>
              <w:tc>
                <w:tcPr>
                  <w:tcW w:w="1107" w:type="pct"/>
                  <w:vAlign w:val="center"/>
                </w:tcPr>
                <w:p w14:paraId="39632651">
                  <w:pPr>
                    <w:jc w:val="center"/>
                    <w:rPr>
                      <w:rFonts w:hint="default" w:ascii="Times New Roman" w:hAnsi="Times New Roman" w:eastAsia="宋体" w:cs="Times New Roman"/>
                      <w:color w:val="auto"/>
                      <w:lang w:val="en-US" w:eastAsia="zh-CN"/>
                    </w:rPr>
                  </w:pPr>
                  <w:r>
                    <w:rPr>
                      <w:rFonts w:hint="eastAsia" w:cs="Times New Roman"/>
                      <w:color w:val="auto"/>
                      <w:kern w:val="2"/>
                      <w:sz w:val="21"/>
                      <w:szCs w:val="21"/>
                      <w:lang w:val="en-US" w:eastAsia="zh-CN" w:bidi="ar-SA"/>
                    </w:rPr>
                    <w:t>粒径＞5.6</w:t>
                  </w:r>
                </w:p>
              </w:tc>
              <w:tc>
                <w:tcPr>
                  <w:tcW w:w="434" w:type="pct"/>
                  <w:vAlign w:val="center"/>
                </w:tcPr>
                <w:p w14:paraId="2F8A8538">
                  <w:pPr>
                    <w:jc w:val="center"/>
                    <w:rPr>
                      <w:rFonts w:hint="default" w:ascii="Times New Roman" w:hAnsi="Times New Roman" w:cs="Times New Roman"/>
                      <w:color w:val="auto"/>
                    </w:rPr>
                  </w:pPr>
                  <w:r>
                    <w:rPr>
                      <w:rFonts w:hint="default" w:ascii="Times New Roman" w:hAnsi="Times New Roman" w:cs="Times New Roman"/>
                      <w:color w:val="auto"/>
                    </w:rPr>
                    <w:t>t/a</w:t>
                  </w:r>
                </w:p>
              </w:tc>
              <w:tc>
                <w:tcPr>
                  <w:tcW w:w="743" w:type="pct"/>
                  <w:vAlign w:val="center"/>
                </w:tcPr>
                <w:p w14:paraId="5DBED83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3000</w:t>
                  </w:r>
                </w:p>
              </w:tc>
              <w:tc>
                <w:tcPr>
                  <w:tcW w:w="790" w:type="pct"/>
                  <w:vMerge w:val="restart"/>
                  <w:vAlign w:val="center"/>
                </w:tcPr>
                <w:p w14:paraId="170F130B">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成品</w:t>
                  </w:r>
                  <w:r>
                    <w:rPr>
                      <w:rFonts w:hint="eastAsia" w:cs="Times New Roman"/>
                      <w:color w:val="auto"/>
                      <w:lang w:val="en-US" w:eastAsia="zh-CN"/>
                    </w:rPr>
                    <w:t>仓库</w:t>
                  </w:r>
                </w:p>
              </w:tc>
              <w:tc>
                <w:tcPr>
                  <w:tcW w:w="836" w:type="pct"/>
                  <w:vMerge w:val="restart"/>
                  <w:vAlign w:val="center"/>
                </w:tcPr>
                <w:p w14:paraId="69788A65">
                  <w:pPr>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rPr>
                    <w:t>5kg</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25kg/</w:t>
                  </w:r>
                  <w:r>
                    <w:rPr>
                      <w:rFonts w:hint="default" w:ascii="Times New Roman" w:hAnsi="Times New Roman" w:cs="Times New Roman"/>
                      <w:color w:val="auto"/>
                      <w:szCs w:val="21"/>
                      <w:lang w:val="en-US" w:eastAsia="zh-CN"/>
                    </w:rPr>
                    <w:t>袋</w:t>
                  </w:r>
                  <w:r>
                    <w:rPr>
                      <w:rFonts w:hint="eastAsia" w:ascii="Times New Roman" w:hAnsi="Times New Roman" w:cs="Times New Roman"/>
                      <w:color w:val="auto"/>
                      <w:szCs w:val="21"/>
                      <w:lang w:val="en-US" w:eastAsia="zh-CN"/>
                    </w:rPr>
                    <w:t>，</w:t>
                  </w:r>
                  <w:r>
                    <w:rPr>
                      <w:rFonts w:hint="eastAsia" w:cs="Times New Roman"/>
                      <w:color w:val="auto"/>
                      <w:szCs w:val="21"/>
                      <w:lang w:val="en-US" w:eastAsia="zh-CN"/>
                    </w:rPr>
                    <w:t>外售</w:t>
                  </w:r>
                </w:p>
              </w:tc>
            </w:tr>
            <w:tr w14:paraId="070D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Merge w:val="continue"/>
                  <w:vAlign w:val="center"/>
                </w:tcPr>
                <w:p w14:paraId="5F612977">
                  <w:pPr>
                    <w:jc w:val="center"/>
                    <w:rPr>
                      <w:rFonts w:hint="default" w:ascii="Times New Roman" w:hAnsi="Times New Roman" w:cs="Times New Roman"/>
                      <w:color w:val="auto"/>
                    </w:rPr>
                  </w:pPr>
                </w:p>
              </w:tc>
              <w:tc>
                <w:tcPr>
                  <w:tcW w:w="705" w:type="pct"/>
                  <w:vMerge w:val="continue"/>
                  <w:vAlign w:val="center"/>
                </w:tcPr>
                <w:p w14:paraId="4D760FBB">
                  <w:pPr>
                    <w:jc w:val="center"/>
                    <w:rPr>
                      <w:rFonts w:hint="default" w:ascii="Times New Roman" w:hAnsi="Times New Roman" w:cs="Times New Roman"/>
                      <w:color w:val="auto"/>
                    </w:rPr>
                  </w:pPr>
                </w:p>
              </w:tc>
              <w:tc>
                <w:tcPr>
                  <w:tcW w:w="1107" w:type="pct"/>
                  <w:vAlign w:val="center"/>
                </w:tcPr>
                <w:p w14:paraId="33CD7702">
                  <w:pPr>
                    <w:jc w:val="center"/>
                    <w:rPr>
                      <w:rFonts w:hint="default" w:ascii="Times New Roman" w:hAnsi="Times New Roman" w:eastAsia="宋体" w:cs="Times New Roman"/>
                      <w:color w:val="auto"/>
                      <w:lang w:val="en-US" w:eastAsia="zh-CN"/>
                    </w:rPr>
                  </w:pPr>
                  <w:r>
                    <w:rPr>
                      <w:rFonts w:hint="eastAsia" w:cs="Times New Roman"/>
                      <w:color w:val="auto"/>
                      <w:kern w:val="2"/>
                      <w:sz w:val="21"/>
                      <w:szCs w:val="21"/>
                      <w:lang w:val="en-US" w:eastAsia="zh-CN" w:bidi="ar-SA"/>
                    </w:rPr>
                    <w:t>粒径2mm-5.6mm</w:t>
                  </w:r>
                </w:p>
              </w:tc>
              <w:tc>
                <w:tcPr>
                  <w:tcW w:w="434" w:type="pct"/>
                  <w:vAlign w:val="center"/>
                </w:tcPr>
                <w:p w14:paraId="03B09990">
                  <w:pPr>
                    <w:jc w:val="center"/>
                    <w:rPr>
                      <w:rFonts w:hint="default" w:ascii="Times New Roman" w:hAnsi="Times New Roman" w:cs="Times New Roman"/>
                      <w:color w:val="auto"/>
                    </w:rPr>
                  </w:pPr>
                  <w:r>
                    <w:rPr>
                      <w:rFonts w:hint="default" w:ascii="Times New Roman" w:hAnsi="Times New Roman" w:cs="Times New Roman"/>
                      <w:color w:val="auto"/>
                    </w:rPr>
                    <w:t>t/a</w:t>
                  </w:r>
                </w:p>
              </w:tc>
              <w:tc>
                <w:tcPr>
                  <w:tcW w:w="743" w:type="pct"/>
                  <w:vAlign w:val="center"/>
                </w:tcPr>
                <w:p w14:paraId="50FB711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7000</w:t>
                  </w:r>
                </w:p>
              </w:tc>
              <w:tc>
                <w:tcPr>
                  <w:tcW w:w="790" w:type="pct"/>
                  <w:vMerge w:val="continue"/>
                  <w:vAlign w:val="center"/>
                </w:tcPr>
                <w:p w14:paraId="6445FBDE">
                  <w:pPr>
                    <w:jc w:val="center"/>
                    <w:rPr>
                      <w:rFonts w:hint="default" w:ascii="Times New Roman" w:hAnsi="Times New Roman" w:cs="Times New Roman"/>
                      <w:color w:val="auto"/>
                      <w:lang w:val="en-US" w:eastAsia="zh-CN"/>
                    </w:rPr>
                  </w:pPr>
                </w:p>
              </w:tc>
              <w:tc>
                <w:tcPr>
                  <w:tcW w:w="836" w:type="pct"/>
                  <w:vMerge w:val="continue"/>
                  <w:vAlign w:val="center"/>
                </w:tcPr>
                <w:p w14:paraId="0C9397C6">
                  <w:pPr>
                    <w:jc w:val="center"/>
                    <w:rPr>
                      <w:rFonts w:hint="default" w:ascii="Times New Roman" w:hAnsi="Times New Roman" w:cs="Times New Roman"/>
                      <w:color w:val="auto"/>
                      <w:szCs w:val="21"/>
                    </w:rPr>
                  </w:pPr>
                </w:p>
              </w:tc>
            </w:tr>
            <w:tr w14:paraId="7623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Merge w:val="restart"/>
                  <w:vAlign w:val="center"/>
                </w:tcPr>
                <w:p w14:paraId="396A43F1">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705" w:type="pct"/>
                  <w:vMerge w:val="restart"/>
                  <w:shd w:val="clear" w:color="auto" w:fill="auto"/>
                  <w:vAlign w:val="center"/>
                </w:tcPr>
                <w:p w14:paraId="79933FD0">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碎米</w:t>
                  </w:r>
                </w:p>
              </w:tc>
              <w:tc>
                <w:tcPr>
                  <w:tcW w:w="1107" w:type="pct"/>
                  <w:shd w:val="clear" w:color="auto" w:fill="auto"/>
                  <w:vAlign w:val="center"/>
                </w:tcPr>
                <w:p w14:paraId="5FD96BF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粒径≤1mm</w:t>
                  </w:r>
                </w:p>
              </w:tc>
              <w:tc>
                <w:tcPr>
                  <w:tcW w:w="434" w:type="pct"/>
                  <w:shd w:val="clear" w:color="auto" w:fill="auto"/>
                  <w:vAlign w:val="center"/>
                </w:tcPr>
                <w:p w14:paraId="1BD35542">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t/a</w:t>
                  </w:r>
                </w:p>
              </w:tc>
              <w:tc>
                <w:tcPr>
                  <w:tcW w:w="743" w:type="pct"/>
                  <w:shd w:val="clear" w:color="auto" w:fill="auto"/>
                  <w:vAlign w:val="center"/>
                </w:tcPr>
                <w:p w14:paraId="0184454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924</w:t>
                  </w:r>
                </w:p>
              </w:tc>
              <w:tc>
                <w:tcPr>
                  <w:tcW w:w="790" w:type="pct"/>
                  <w:vMerge w:val="restart"/>
                  <w:shd w:val="clear" w:color="auto" w:fill="auto"/>
                  <w:vAlign w:val="center"/>
                </w:tcPr>
                <w:p w14:paraId="437362F1">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副成品</w:t>
                  </w:r>
                  <w:r>
                    <w:rPr>
                      <w:rFonts w:hint="eastAsia" w:cs="Times New Roman"/>
                      <w:color w:val="auto"/>
                      <w:lang w:val="en-US" w:eastAsia="zh-CN"/>
                    </w:rPr>
                    <w:t>仓库</w:t>
                  </w:r>
                </w:p>
              </w:tc>
              <w:tc>
                <w:tcPr>
                  <w:tcW w:w="836" w:type="pct"/>
                  <w:vMerge w:val="restart"/>
                  <w:shd w:val="clear" w:color="auto" w:fill="auto"/>
                  <w:vAlign w:val="center"/>
                </w:tcPr>
                <w:p w14:paraId="003D4600">
                  <w:pPr>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rPr>
                    <w:t>25kg</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50</w:t>
                  </w:r>
                  <w:r>
                    <w:rPr>
                      <w:rFonts w:hint="default" w:ascii="Times New Roman" w:hAnsi="Times New Roman" w:cs="Times New Roman"/>
                      <w:color w:val="auto"/>
                      <w:szCs w:val="21"/>
                    </w:rPr>
                    <w:t>kg/</w:t>
                  </w:r>
                  <w:r>
                    <w:rPr>
                      <w:rFonts w:hint="default" w:ascii="Times New Roman" w:hAnsi="Times New Roman" w:cs="Times New Roman"/>
                      <w:color w:val="auto"/>
                      <w:szCs w:val="21"/>
                      <w:lang w:val="en-US" w:eastAsia="zh-CN"/>
                    </w:rPr>
                    <w:t>袋</w:t>
                  </w:r>
                  <w:r>
                    <w:rPr>
                      <w:rFonts w:hint="eastAsia" w:ascii="Times New Roman" w:hAnsi="Times New Roman" w:cs="Times New Roman"/>
                      <w:color w:val="auto"/>
                      <w:szCs w:val="21"/>
                      <w:lang w:val="en-US" w:eastAsia="zh-CN"/>
                    </w:rPr>
                    <w:t>，</w:t>
                  </w:r>
                  <w:r>
                    <w:rPr>
                      <w:rFonts w:hint="eastAsia" w:cs="Times New Roman"/>
                      <w:color w:val="auto"/>
                      <w:szCs w:val="21"/>
                      <w:lang w:val="en-US" w:eastAsia="zh-CN"/>
                    </w:rPr>
                    <w:t>外售</w:t>
                  </w:r>
                </w:p>
              </w:tc>
            </w:tr>
            <w:tr w14:paraId="0ACC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Merge w:val="continue"/>
                  <w:vAlign w:val="center"/>
                </w:tcPr>
                <w:p w14:paraId="687D3586">
                  <w:pPr>
                    <w:jc w:val="center"/>
                    <w:rPr>
                      <w:rFonts w:hint="default" w:ascii="Times New Roman" w:hAnsi="Times New Roman" w:cs="Times New Roman"/>
                      <w:color w:val="auto"/>
                    </w:rPr>
                  </w:pPr>
                </w:p>
              </w:tc>
              <w:tc>
                <w:tcPr>
                  <w:tcW w:w="705" w:type="pct"/>
                  <w:vMerge w:val="continue"/>
                  <w:shd w:val="clear" w:color="auto" w:fill="auto"/>
                  <w:vAlign w:val="center"/>
                </w:tcPr>
                <w:p w14:paraId="4DEC6619">
                  <w:pPr>
                    <w:jc w:val="center"/>
                    <w:rPr>
                      <w:rFonts w:hint="default" w:ascii="Times New Roman" w:hAnsi="Times New Roman" w:cs="Times New Roman"/>
                      <w:color w:val="auto"/>
                      <w:lang w:val="en-US" w:eastAsia="zh-CN"/>
                    </w:rPr>
                  </w:pPr>
                </w:p>
              </w:tc>
              <w:tc>
                <w:tcPr>
                  <w:tcW w:w="1107" w:type="pct"/>
                  <w:shd w:val="clear" w:color="auto" w:fill="auto"/>
                  <w:vAlign w:val="center"/>
                </w:tcPr>
                <w:p w14:paraId="1825809C">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粒径1mm-2mm</w:t>
                  </w:r>
                </w:p>
              </w:tc>
              <w:tc>
                <w:tcPr>
                  <w:tcW w:w="434" w:type="pct"/>
                  <w:shd w:val="clear" w:color="auto" w:fill="auto"/>
                  <w:vAlign w:val="center"/>
                </w:tcPr>
                <w:p w14:paraId="73962E8F">
                  <w:pPr>
                    <w:jc w:val="center"/>
                    <w:rPr>
                      <w:rFonts w:hint="default" w:ascii="Times New Roman" w:hAnsi="Times New Roman" w:cs="Times New Roman"/>
                      <w:color w:val="auto"/>
                    </w:rPr>
                  </w:pPr>
                  <w:r>
                    <w:rPr>
                      <w:rFonts w:hint="default" w:ascii="Times New Roman" w:hAnsi="Times New Roman" w:cs="Times New Roman"/>
                      <w:color w:val="auto"/>
                    </w:rPr>
                    <w:t>t/a</w:t>
                  </w:r>
                </w:p>
              </w:tc>
              <w:tc>
                <w:tcPr>
                  <w:tcW w:w="743" w:type="pct"/>
                  <w:shd w:val="clear" w:color="auto" w:fill="auto"/>
                  <w:vAlign w:val="center"/>
                </w:tcPr>
                <w:p w14:paraId="26D09E81">
                  <w:pPr>
                    <w:jc w:val="center"/>
                    <w:rPr>
                      <w:rFonts w:hint="default" w:cs="Times New Roman"/>
                      <w:color w:val="auto"/>
                      <w:spacing w:val="-2"/>
                      <w:kern w:val="0"/>
                      <w:szCs w:val="21"/>
                      <w:lang w:val="en-US" w:eastAsia="zh-CN"/>
                    </w:rPr>
                  </w:pPr>
                  <w:r>
                    <w:rPr>
                      <w:rFonts w:hint="eastAsia" w:cs="Times New Roman"/>
                      <w:color w:val="auto"/>
                      <w:spacing w:val="-2"/>
                      <w:kern w:val="0"/>
                      <w:szCs w:val="21"/>
                      <w:lang w:val="en-US" w:eastAsia="zh-CN"/>
                    </w:rPr>
                    <w:t>1386</w:t>
                  </w:r>
                </w:p>
              </w:tc>
              <w:tc>
                <w:tcPr>
                  <w:tcW w:w="790" w:type="pct"/>
                  <w:vMerge w:val="continue"/>
                  <w:shd w:val="clear" w:color="auto" w:fill="auto"/>
                  <w:vAlign w:val="center"/>
                </w:tcPr>
                <w:p w14:paraId="6214406D">
                  <w:pPr>
                    <w:jc w:val="center"/>
                    <w:rPr>
                      <w:rFonts w:hint="default" w:ascii="Times New Roman" w:hAnsi="Times New Roman" w:cs="Times New Roman"/>
                      <w:color w:val="auto"/>
                      <w:lang w:val="en-US" w:eastAsia="zh-CN"/>
                    </w:rPr>
                  </w:pPr>
                </w:p>
              </w:tc>
              <w:tc>
                <w:tcPr>
                  <w:tcW w:w="836" w:type="pct"/>
                  <w:vMerge w:val="continue"/>
                  <w:shd w:val="clear" w:color="auto" w:fill="auto"/>
                  <w:vAlign w:val="center"/>
                </w:tcPr>
                <w:p w14:paraId="52E10B82">
                  <w:pPr>
                    <w:jc w:val="center"/>
                    <w:rPr>
                      <w:rFonts w:hint="default" w:ascii="Times New Roman" w:hAnsi="Times New Roman" w:cs="Times New Roman"/>
                      <w:color w:val="auto"/>
                      <w:szCs w:val="21"/>
                    </w:rPr>
                  </w:pPr>
                </w:p>
              </w:tc>
            </w:tr>
            <w:tr w14:paraId="525F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Align w:val="center"/>
                </w:tcPr>
                <w:p w14:paraId="58930BD6">
                  <w:pPr>
                    <w:jc w:val="center"/>
                    <w:rPr>
                      <w:rFonts w:hint="default" w:ascii="Times New Roman" w:hAnsi="Times New Roman" w:cs="Times New Roman"/>
                      <w:color w:val="auto"/>
                    </w:rPr>
                  </w:pPr>
                  <w:r>
                    <w:rPr>
                      <w:rFonts w:hint="default" w:ascii="Times New Roman" w:hAnsi="Times New Roman" w:cs="Times New Roman"/>
                      <w:color w:val="auto"/>
                    </w:rPr>
                    <w:t>3</w:t>
                  </w:r>
                </w:p>
              </w:tc>
              <w:tc>
                <w:tcPr>
                  <w:tcW w:w="705" w:type="pct"/>
                  <w:shd w:val="clear" w:color="auto" w:fill="auto"/>
                  <w:vAlign w:val="center"/>
                </w:tcPr>
                <w:p w14:paraId="6D83B0AD">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米糠</w:t>
                  </w:r>
                </w:p>
              </w:tc>
              <w:tc>
                <w:tcPr>
                  <w:tcW w:w="1107" w:type="pct"/>
                  <w:shd w:val="clear" w:color="auto" w:fill="auto"/>
                  <w:vAlign w:val="center"/>
                </w:tcPr>
                <w:p w14:paraId="2C68C8B9">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34" w:type="pct"/>
                  <w:shd w:val="clear" w:color="auto" w:fill="auto"/>
                  <w:vAlign w:val="center"/>
                </w:tcPr>
                <w:p w14:paraId="52F322E7">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t/a</w:t>
                  </w:r>
                </w:p>
              </w:tc>
              <w:tc>
                <w:tcPr>
                  <w:tcW w:w="743" w:type="pct"/>
                  <w:vAlign w:val="center"/>
                </w:tcPr>
                <w:p w14:paraId="68AE52D8">
                  <w:pPr>
                    <w:jc w:val="center"/>
                    <w:rPr>
                      <w:rFonts w:hint="default" w:ascii="Times New Roman" w:hAnsi="Times New Roman" w:eastAsia="宋体" w:cs="Times New Roman"/>
                      <w:color w:val="auto"/>
                      <w:lang w:val="en-US" w:eastAsia="zh-CN"/>
                    </w:rPr>
                  </w:pPr>
                  <w:r>
                    <w:rPr>
                      <w:rFonts w:hint="eastAsia" w:cs="Times New Roman"/>
                      <w:color w:val="auto"/>
                      <w:spacing w:val="-2"/>
                      <w:kern w:val="0"/>
                      <w:szCs w:val="21"/>
                      <w:lang w:val="en-US" w:eastAsia="zh-CN"/>
                    </w:rPr>
                    <w:t>2310</w:t>
                  </w:r>
                </w:p>
              </w:tc>
              <w:tc>
                <w:tcPr>
                  <w:tcW w:w="790" w:type="pct"/>
                  <w:vAlign w:val="center"/>
                </w:tcPr>
                <w:p w14:paraId="749A52BB">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副成品</w:t>
                  </w:r>
                  <w:r>
                    <w:rPr>
                      <w:rFonts w:hint="eastAsia" w:cs="Times New Roman"/>
                      <w:color w:val="auto"/>
                      <w:lang w:val="en-US" w:eastAsia="zh-CN"/>
                    </w:rPr>
                    <w:t>仓库</w:t>
                  </w:r>
                </w:p>
              </w:tc>
              <w:tc>
                <w:tcPr>
                  <w:tcW w:w="836" w:type="pct"/>
                  <w:vAlign w:val="center"/>
                </w:tcPr>
                <w:p w14:paraId="64323179">
                  <w:pPr>
                    <w:jc w:val="center"/>
                    <w:rPr>
                      <w:rFonts w:hint="default" w:ascii="Times New Roman" w:hAnsi="Times New Roman" w:cs="Times New Roman"/>
                      <w:color w:val="auto"/>
                      <w:lang w:val="en-US" w:eastAsia="zh-CN"/>
                    </w:rPr>
                  </w:pPr>
                  <w:r>
                    <w:rPr>
                      <w:rFonts w:hint="eastAsia" w:cs="Times New Roman"/>
                      <w:color w:val="auto"/>
                      <w:szCs w:val="21"/>
                      <w:lang w:val="en-US" w:eastAsia="zh-CN"/>
                    </w:rPr>
                    <w:t>外售</w:t>
                  </w:r>
                </w:p>
              </w:tc>
            </w:tr>
            <w:tr w14:paraId="1A2C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Align w:val="center"/>
                </w:tcPr>
                <w:p w14:paraId="5266DF6E">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4</w:t>
                  </w:r>
                </w:p>
              </w:tc>
              <w:tc>
                <w:tcPr>
                  <w:tcW w:w="705" w:type="pct"/>
                  <w:shd w:val="clear" w:color="auto" w:fill="auto"/>
                  <w:vAlign w:val="center"/>
                </w:tcPr>
                <w:p w14:paraId="03152B2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霉米</w:t>
                  </w:r>
                </w:p>
              </w:tc>
              <w:tc>
                <w:tcPr>
                  <w:tcW w:w="1107" w:type="pct"/>
                  <w:shd w:val="clear" w:color="auto" w:fill="auto"/>
                  <w:vAlign w:val="center"/>
                </w:tcPr>
                <w:p w14:paraId="20B4FB45">
                  <w:pPr>
                    <w:jc w:val="center"/>
                    <w:rPr>
                      <w:rFonts w:hint="default" w:cs="Times New Roman"/>
                      <w:color w:val="auto"/>
                      <w:szCs w:val="21"/>
                      <w:lang w:val="en-US" w:eastAsia="zh-CN"/>
                    </w:rPr>
                  </w:pPr>
                  <w:r>
                    <w:rPr>
                      <w:rFonts w:hint="eastAsia" w:cs="Times New Roman"/>
                      <w:color w:val="auto"/>
                      <w:szCs w:val="21"/>
                      <w:lang w:val="en-US" w:eastAsia="zh-CN"/>
                    </w:rPr>
                    <w:t>/</w:t>
                  </w:r>
                </w:p>
              </w:tc>
              <w:tc>
                <w:tcPr>
                  <w:tcW w:w="434" w:type="pct"/>
                  <w:shd w:val="clear" w:color="auto" w:fill="auto"/>
                  <w:vAlign w:val="center"/>
                </w:tcPr>
                <w:p w14:paraId="44B90DD7">
                  <w:pPr>
                    <w:jc w:val="center"/>
                    <w:rPr>
                      <w:rFonts w:hint="default" w:ascii="Times New Roman" w:hAnsi="Times New Roman" w:cs="Times New Roman"/>
                      <w:color w:val="auto"/>
                    </w:rPr>
                  </w:pPr>
                  <w:r>
                    <w:rPr>
                      <w:rFonts w:hint="default" w:ascii="Times New Roman" w:hAnsi="Times New Roman" w:cs="Times New Roman"/>
                      <w:color w:val="auto"/>
                    </w:rPr>
                    <w:t>t/a</w:t>
                  </w:r>
                </w:p>
              </w:tc>
              <w:tc>
                <w:tcPr>
                  <w:tcW w:w="743" w:type="pct"/>
                  <w:vAlign w:val="center"/>
                </w:tcPr>
                <w:p w14:paraId="6D4717DD">
                  <w:pPr>
                    <w:jc w:val="center"/>
                    <w:rPr>
                      <w:rFonts w:hint="eastAsia" w:ascii="Times New Roman" w:hAnsi="Times New Roman" w:eastAsia="宋体" w:cs="Times New Roman"/>
                      <w:color w:val="auto"/>
                      <w:lang w:val="en-US" w:eastAsia="zh-CN"/>
                    </w:rPr>
                  </w:pPr>
                  <w:r>
                    <w:rPr>
                      <w:rFonts w:hint="eastAsia" w:cs="Times New Roman"/>
                      <w:color w:val="auto"/>
                      <w:spacing w:val="-2"/>
                      <w:kern w:val="0"/>
                      <w:szCs w:val="21"/>
                      <w:lang w:val="en-US" w:eastAsia="zh-CN"/>
                    </w:rPr>
                    <w:t>385</w:t>
                  </w:r>
                </w:p>
              </w:tc>
              <w:tc>
                <w:tcPr>
                  <w:tcW w:w="790" w:type="pct"/>
                  <w:vAlign w:val="center"/>
                </w:tcPr>
                <w:p w14:paraId="684253C3">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副成品</w:t>
                  </w:r>
                  <w:r>
                    <w:rPr>
                      <w:rFonts w:hint="eastAsia" w:cs="Times New Roman"/>
                      <w:color w:val="auto"/>
                      <w:lang w:val="en-US" w:eastAsia="zh-CN"/>
                    </w:rPr>
                    <w:t>仓库</w:t>
                  </w:r>
                </w:p>
              </w:tc>
              <w:tc>
                <w:tcPr>
                  <w:tcW w:w="836" w:type="pct"/>
                  <w:vAlign w:val="center"/>
                </w:tcPr>
                <w:p w14:paraId="7A740EA6">
                  <w:pPr>
                    <w:jc w:val="center"/>
                    <w:rPr>
                      <w:rFonts w:hint="default" w:ascii="Times New Roman" w:hAnsi="Times New Roman" w:cs="Times New Roman"/>
                      <w:color w:val="auto"/>
                      <w:lang w:val="en-US" w:eastAsia="zh-CN"/>
                    </w:rPr>
                  </w:pPr>
                  <w:r>
                    <w:rPr>
                      <w:rFonts w:hint="eastAsia" w:cs="Times New Roman"/>
                      <w:color w:val="auto"/>
                      <w:szCs w:val="21"/>
                      <w:lang w:val="en-US" w:eastAsia="zh-CN"/>
                    </w:rPr>
                    <w:t>外售</w:t>
                  </w:r>
                </w:p>
              </w:tc>
            </w:tr>
            <w:tr w14:paraId="0FC1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vAlign w:val="center"/>
                </w:tcPr>
                <w:p w14:paraId="0485D46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705" w:type="pct"/>
                  <w:shd w:val="clear" w:color="auto" w:fill="auto"/>
                  <w:vAlign w:val="center"/>
                </w:tcPr>
                <w:p w14:paraId="32D576F6">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稻壳</w:t>
                  </w:r>
                </w:p>
              </w:tc>
              <w:tc>
                <w:tcPr>
                  <w:tcW w:w="1107" w:type="pct"/>
                  <w:shd w:val="clear" w:color="auto" w:fill="auto"/>
                  <w:vAlign w:val="center"/>
                </w:tcPr>
                <w:p w14:paraId="1349DF5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34" w:type="pct"/>
                  <w:shd w:val="clear" w:color="auto" w:fill="auto"/>
                  <w:vAlign w:val="center"/>
                </w:tcPr>
                <w:p w14:paraId="686C8670">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t/a</w:t>
                  </w:r>
                </w:p>
              </w:tc>
              <w:tc>
                <w:tcPr>
                  <w:tcW w:w="743" w:type="pct"/>
                  <w:shd w:val="clear" w:color="auto" w:fill="auto"/>
                  <w:vAlign w:val="center"/>
                </w:tcPr>
                <w:p w14:paraId="72175022">
                  <w:pPr>
                    <w:jc w:val="center"/>
                    <w:rPr>
                      <w:rFonts w:hint="default" w:ascii="Times New Roman" w:hAnsi="Times New Roman" w:eastAsia="宋体" w:cs="Times New Roman"/>
                      <w:color w:val="auto"/>
                      <w:lang w:val="en-US" w:eastAsia="zh-CN"/>
                    </w:rPr>
                  </w:pPr>
                  <w:r>
                    <w:rPr>
                      <w:rFonts w:hint="eastAsia" w:cs="Times New Roman"/>
                      <w:color w:val="auto"/>
                      <w:spacing w:val="-2"/>
                      <w:kern w:val="0"/>
                      <w:szCs w:val="21"/>
                      <w:lang w:val="en-US" w:eastAsia="zh-CN"/>
                    </w:rPr>
                    <w:t>4235</w:t>
                  </w:r>
                </w:p>
              </w:tc>
              <w:tc>
                <w:tcPr>
                  <w:tcW w:w="790" w:type="pct"/>
                  <w:shd w:val="clear" w:color="auto" w:fill="auto"/>
                  <w:vAlign w:val="center"/>
                </w:tcPr>
                <w:p w14:paraId="2AA64BB1">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稻壳仓</w:t>
                  </w:r>
                </w:p>
              </w:tc>
              <w:tc>
                <w:tcPr>
                  <w:tcW w:w="836" w:type="pct"/>
                  <w:shd w:val="clear" w:color="auto" w:fill="auto"/>
                  <w:vAlign w:val="center"/>
                </w:tcPr>
                <w:p w14:paraId="3AAC995B">
                  <w:pPr>
                    <w:jc w:val="center"/>
                    <w:rPr>
                      <w:rFonts w:hint="default" w:ascii="Times New Roman" w:hAnsi="Times New Roman" w:cs="Times New Roman"/>
                      <w:color w:val="auto"/>
                      <w:lang w:val="en-US" w:eastAsia="zh-CN"/>
                    </w:rPr>
                  </w:pPr>
                  <w:r>
                    <w:rPr>
                      <w:rFonts w:hint="eastAsia" w:cs="Times New Roman"/>
                      <w:color w:val="auto"/>
                      <w:szCs w:val="21"/>
                      <w:lang w:val="en-US" w:eastAsia="zh-CN"/>
                    </w:rPr>
                    <w:t>外售</w:t>
                  </w:r>
                </w:p>
              </w:tc>
            </w:tr>
          </w:tbl>
          <w:p w14:paraId="5796A9C4">
            <w:pPr>
              <w:spacing w:line="360" w:lineRule="auto"/>
              <w:rPr>
                <w:rFonts w:hint="default" w:ascii="Times New Roman" w:hAnsi="Times New Roman" w:cs="Times New Roman"/>
                <w:color w:val="auto"/>
                <w:sz w:val="24"/>
                <w:szCs w:val="24"/>
              </w:rPr>
            </w:pPr>
            <w:r>
              <w:rPr>
                <w:rFonts w:hint="eastAsia" w:cs="Times New Roman"/>
                <w:b/>
                <w:color w:val="auto"/>
                <w:sz w:val="24"/>
                <w:szCs w:val="24"/>
                <w:lang w:val="en-US" w:eastAsia="zh-CN"/>
              </w:rPr>
              <w:t>5</w:t>
            </w:r>
            <w:r>
              <w:rPr>
                <w:rFonts w:hint="default" w:ascii="Times New Roman" w:hAnsi="Times New Roman" w:cs="Times New Roman"/>
                <w:b/>
                <w:color w:val="auto"/>
                <w:sz w:val="24"/>
                <w:szCs w:val="24"/>
              </w:rPr>
              <w:t>、主要生产设备</w:t>
            </w:r>
          </w:p>
          <w:p w14:paraId="7F41A19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建设项目主要生产设备见下表。</w:t>
            </w:r>
          </w:p>
          <w:p w14:paraId="4D64F1A8">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表2-5  建设项目主要生产设备一览表</w:t>
            </w:r>
          </w:p>
          <w:tbl>
            <w:tblPr>
              <w:tblStyle w:val="46"/>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25"/>
              <w:gridCol w:w="1877"/>
              <w:gridCol w:w="2292"/>
              <w:gridCol w:w="864"/>
              <w:gridCol w:w="1181"/>
              <w:gridCol w:w="1508"/>
            </w:tblGrid>
            <w:tr w14:paraId="7FA9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jc w:val="center"/>
              </w:trPr>
              <w:tc>
                <w:tcPr>
                  <w:tcW w:w="725" w:type="dxa"/>
                  <w:vAlign w:val="center"/>
                </w:tcPr>
                <w:p w14:paraId="371F217B">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1877" w:type="dxa"/>
                  <w:vAlign w:val="center"/>
                </w:tcPr>
                <w:p w14:paraId="40FDDA11">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2292" w:type="dxa"/>
                  <w:vAlign w:val="center"/>
                </w:tcPr>
                <w:p w14:paraId="1702C885">
                  <w:pPr>
                    <w:widowControl/>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型号规格</w:t>
                  </w:r>
                </w:p>
              </w:tc>
              <w:tc>
                <w:tcPr>
                  <w:tcW w:w="864" w:type="dxa"/>
                  <w:vAlign w:val="center"/>
                </w:tcPr>
                <w:p w14:paraId="6612F62D">
                  <w:pPr>
                    <w:widowControl/>
                    <w:jc w:val="center"/>
                    <w:textAlignment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eastAsia="zh-CN"/>
                    </w:rPr>
                    <w:t>单位</w:t>
                  </w:r>
                </w:p>
              </w:tc>
              <w:tc>
                <w:tcPr>
                  <w:tcW w:w="1181" w:type="dxa"/>
                  <w:vAlign w:val="center"/>
                </w:tcPr>
                <w:p w14:paraId="748AFFF3">
                  <w:pPr>
                    <w:widowControl/>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数量</w:t>
                  </w:r>
                </w:p>
              </w:tc>
              <w:tc>
                <w:tcPr>
                  <w:tcW w:w="1508" w:type="dxa"/>
                  <w:vAlign w:val="center"/>
                </w:tcPr>
                <w:p w14:paraId="1A740FD8">
                  <w:pPr>
                    <w:widowControl/>
                    <w:jc w:val="center"/>
                    <w:textAlignment w:val="center"/>
                    <w:rPr>
                      <w:rFonts w:hint="default" w:ascii="Times New Roman" w:hAnsi="Times New Roman" w:eastAsia="宋体" w:cs="Times New Roman"/>
                      <w:b/>
                      <w:bCs/>
                      <w:color w:val="auto"/>
                    </w:rPr>
                  </w:pPr>
                  <w:r>
                    <w:rPr>
                      <w:rFonts w:hint="default" w:ascii="Times New Roman" w:hAnsi="Times New Roman" w:cs="Times New Roman"/>
                      <w:b/>
                      <w:bCs/>
                      <w:color w:val="auto"/>
                      <w:sz w:val="21"/>
                      <w:szCs w:val="21"/>
                    </w:rPr>
                    <w:t>主要生产单元</w:t>
                  </w:r>
                </w:p>
              </w:tc>
            </w:tr>
            <w:tr w14:paraId="7AC8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 w:hRule="atLeast"/>
                <w:jc w:val="center"/>
              </w:trPr>
              <w:tc>
                <w:tcPr>
                  <w:tcW w:w="725" w:type="dxa"/>
                  <w:vAlign w:val="center"/>
                </w:tcPr>
                <w:p w14:paraId="4D2B84F9">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p>
              </w:tc>
              <w:tc>
                <w:tcPr>
                  <w:tcW w:w="1877" w:type="dxa"/>
                  <w:shd w:val="clear" w:color="auto" w:fill="auto"/>
                  <w:vAlign w:val="center"/>
                </w:tcPr>
                <w:p w14:paraId="6CED6D94">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lang w:val="en-US" w:eastAsia="zh-CN"/>
                    </w:rPr>
                    <w:t>清理筛</w:t>
                  </w:r>
                </w:p>
              </w:tc>
              <w:tc>
                <w:tcPr>
                  <w:tcW w:w="2292" w:type="dxa"/>
                  <w:shd w:val="clear" w:color="auto" w:fill="auto"/>
                  <w:vAlign w:val="center"/>
                </w:tcPr>
                <w:p w14:paraId="52AA8C8E">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SCY100</w:t>
                  </w:r>
                </w:p>
              </w:tc>
              <w:tc>
                <w:tcPr>
                  <w:tcW w:w="864" w:type="dxa"/>
                  <w:vAlign w:val="center"/>
                </w:tcPr>
                <w:p w14:paraId="6193C0F2">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1181" w:type="dxa"/>
                  <w:vAlign w:val="center"/>
                </w:tcPr>
                <w:p w14:paraId="1883C139">
                  <w:pPr>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shd w:val="clear" w:color="auto" w:fill="auto"/>
                      <w:lang w:val="en-US" w:eastAsia="zh-CN"/>
                    </w:rPr>
                    <w:t>1</w:t>
                  </w:r>
                </w:p>
              </w:tc>
              <w:tc>
                <w:tcPr>
                  <w:tcW w:w="1508" w:type="dxa"/>
                  <w:vAlign w:val="center"/>
                </w:tcPr>
                <w:p w14:paraId="6613587A">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除杂、清理</w:t>
                  </w:r>
                </w:p>
              </w:tc>
            </w:tr>
            <w:tr w14:paraId="5E9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8" w:hRule="atLeast"/>
                <w:jc w:val="center"/>
              </w:trPr>
              <w:tc>
                <w:tcPr>
                  <w:tcW w:w="725" w:type="dxa"/>
                  <w:shd w:val="clear" w:color="auto" w:fill="auto"/>
                  <w:vAlign w:val="center"/>
                </w:tcPr>
                <w:p w14:paraId="04DE5594">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2</w:t>
                  </w:r>
                </w:p>
              </w:tc>
              <w:tc>
                <w:tcPr>
                  <w:tcW w:w="1877" w:type="dxa"/>
                  <w:shd w:val="clear" w:color="auto" w:fill="auto"/>
                  <w:vAlign w:val="center"/>
                </w:tcPr>
                <w:p w14:paraId="665055CD">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lang w:val="en-US" w:eastAsia="zh-CN"/>
                    </w:rPr>
                    <w:t>平面回转筛</w:t>
                  </w:r>
                </w:p>
              </w:tc>
              <w:tc>
                <w:tcPr>
                  <w:tcW w:w="2292" w:type="dxa"/>
                  <w:shd w:val="clear" w:color="auto" w:fill="auto"/>
                  <w:vAlign w:val="center"/>
                </w:tcPr>
                <w:p w14:paraId="0BDF2612">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kern w:val="2"/>
                      <w:sz w:val="21"/>
                      <w:lang w:val="en-US" w:eastAsia="zh-CN" w:bidi="ar-SA"/>
                    </w:rPr>
                    <w:t>TQLZ125×150</w:t>
                  </w:r>
                </w:p>
              </w:tc>
              <w:tc>
                <w:tcPr>
                  <w:tcW w:w="864" w:type="dxa"/>
                  <w:shd w:val="clear" w:color="auto" w:fill="auto"/>
                  <w:vAlign w:val="center"/>
                </w:tcPr>
                <w:p w14:paraId="56F3CF22">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台</w:t>
                  </w:r>
                </w:p>
              </w:tc>
              <w:tc>
                <w:tcPr>
                  <w:tcW w:w="1181" w:type="dxa"/>
                  <w:shd w:val="clear" w:color="auto" w:fill="auto"/>
                  <w:vAlign w:val="center"/>
                </w:tcPr>
                <w:p w14:paraId="442C8427">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1</w:t>
                  </w:r>
                </w:p>
              </w:tc>
              <w:tc>
                <w:tcPr>
                  <w:tcW w:w="1508" w:type="dxa"/>
                  <w:shd w:val="clear" w:color="auto" w:fill="auto"/>
                  <w:vAlign w:val="center"/>
                </w:tcPr>
                <w:p w14:paraId="47874852">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sz w:val="21"/>
                      <w:szCs w:val="21"/>
                      <w:shd w:val="clear" w:color="auto" w:fill="auto"/>
                      <w:lang w:val="en-US" w:eastAsia="zh-CN"/>
                    </w:rPr>
                    <w:t>除杂、清理</w:t>
                  </w:r>
                </w:p>
              </w:tc>
            </w:tr>
            <w:tr w14:paraId="2C09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725" w:type="dxa"/>
                  <w:shd w:val="clear" w:color="auto" w:fill="auto"/>
                  <w:vAlign w:val="center"/>
                </w:tcPr>
                <w:p w14:paraId="0957AC0D">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3</w:t>
                  </w:r>
                </w:p>
              </w:tc>
              <w:tc>
                <w:tcPr>
                  <w:tcW w:w="1877" w:type="dxa"/>
                  <w:shd w:val="clear" w:color="auto" w:fill="auto"/>
                  <w:vAlign w:val="center"/>
                </w:tcPr>
                <w:p w14:paraId="2FDCF95F">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lang w:val="en-US" w:eastAsia="zh-CN"/>
                    </w:rPr>
                    <w:t>去石机</w:t>
                  </w:r>
                </w:p>
              </w:tc>
              <w:tc>
                <w:tcPr>
                  <w:tcW w:w="2292" w:type="dxa"/>
                  <w:shd w:val="clear" w:color="auto" w:fill="auto"/>
                  <w:vAlign w:val="center"/>
                </w:tcPr>
                <w:p w14:paraId="255C3967">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lang w:val="en-US" w:eastAsia="zh-CN" w:bidi="ar-SA"/>
                    </w:rPr>
                    <w:t>TQSX175A</w:t>
                  </w:r>
                </w:p>
              </w:tc>
              <w:tc>
                <w:tcPr>
                  <w:tcW w:w="864" w:type="dxa"/>
                  <w:shd w:val="clear" w:color="auto" w:fill="auto"/>
                  <w:vAlign w:val="center"/>
                </w:tcPr>
                <w:p w14:paraId="41D497D7">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台</w:t>
                  </w:r>
                </w:p>
              </w:tc>
              <w:tc>
                <w:tcPr>
                  <w:tcW w:w="1181" w:type="dxa"/>
                  <w:shd w:val="clear" w:color="auto" w:fill="auto"/>
                  <w:vAlign w:val="center"/>
                </w:tcPr>
                <w:p w14:paraId="6E71EA6C">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1</w:t>
                  </w:r>
                </w:p>
              </w:tc>
              <w:tc>
                <w:tcPr>
                  <w:tcW w:w="1508" w:type="dxa"/>
                  <w:shd w:val="clear" w:color="auto" w:fill="auto"/>
                  <w:vAlign w:val="center"/>
                </w:tcPr>
                <w:p w14:paraId="4FE6A510">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去石</w:t>
                  </w:r>
                </w:p>
              </w:tc>
            </w:tr>
            <w:tr w14:paraId="0E06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0" w:hRule="atLeast"/>
                <w:jc w:val="center"/>
              </w:trPr>
              <w:tc>
                <w:tcPr>
                  <w:tcW w:w="725" w:type="dxa"/>
                  <w:shd w:val="clear" w:color="auto" w:fill="auto"/>
                  <w:vAlign w:val="center"/>
                </w:tcPr>
                <w:p w14:paraId="4A5F15EA">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4</w:t>
                  </w:r>
                </w:p>
              </w:tc>
              <w:tc>
                <w:tcPr>
                  <w:tcW w:w="1877" w:type="dxa"/>
                  <w:shd w:val="clear" w:color="auto" w:fill="auto"/>
                  <w:vAlign w:val="center"/>
                </w:tcPr>
                <w:p w14:paraId="60630D7E">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砻谷机</w:t>
                  </w:r>
                </w:p>
              </w:tc>
              <w:tc>
                <w:tcPr>
                  <w:tcW w:w="2292" w:type="dxa"/>
                  <w:shd w:val="clear" w:color="auto" w:fill="auto"/>
                  <w:vAlign w:val="center"/>
                </w:tcPr>
                <w:p w14:paraId="6ECD9092">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kern w:val="2"/>
                      <w:sz w:val="21"/>
                      <w:lang w:val="en-US" w:eastAsia="zh-CN" w:bidi="ar-SA"/>
                    </w:rPr>
                    <w:t>QLB14A×2</w:t>
                  </w:r>
                </w:p>
              </w:tc>
              <w:tc>
                <w:tcPr>
                  <w:tcW w:w="864" w:type="dxa"/>
                  <w:shd w:val="clear" w:color="auto" w:fill="auto"/>
                  <w:vAlign w:val="center"/>
                </w:tcPr>
                <w:p w14:paraId="37B84F38">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台</w:t>
                  </w:r>
                </w:p>
              </w:tc>
              <w:tc>
                <w:tcPr>
                  <w:tcW w:w="1181" w:type="dxa"/>
                  <w:shd w:val="clear" w:color="auto" w:fill="auto"/>
                  <w:vAlign w:val="center"/>
                </w:tcPr>
                <w:p w14:paraId="7CBE16AE">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sz w:val="21"/>
                      <w:szCs w:val="21"/>
                      <w:shd w:val="clear" w:color="auto" w:fill="auto"/>
                      <w:lang w:val="en-US" w:eastAsia="zh-CN"/>
                    </w:rPr>
                    <w:t>1</w:t>
                  </w:r>
                </w:p>
              </w:tc>
              <w:tc>
                <w:tcPr>
                  <w:tcW w:w="1508" w:type="dxa"/>
                  <w:shd w:val="clear" w:color="auto" w:fill="auto"/>
                  <w:vAlign w:val="center"/>
                </w:tcPr>
                <w:p w14:paraId="3ED46DC6">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lang w:val="en-US" w:eastAsia="zh-CN"/>
                    </w:rPr>
                    <w:t>砻谷</w:t>
                  </w:r>
                </w:p>
              </w:tc>
            </w:tr>
            <w:tr w14:paraId="5AB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25" w:type="dxa"/>
                  <w:shd w:val="clear" w:color="auto" w:fill="auto"/>
                  <w:vAlign w:val="center"/>
                </w:tcPr>
                <w:p w14:paraId="49910157">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5</w:t>
                  </w:r>
                </w:p>
              </w:tc>
              <w:tc>
                <w:tcPr>
                  <w:tcW w:w="1877" w:type="dxa"/>
                  <w:shd w:val="clear" w:color="auto" w:fill="auto"/>
                  <w:vAlign w:val="center"/>
                </w:tcPr>
                <w:p w14:paraId="517F91E0">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lang w:val="en-US" w:eastAsia="zh-CN"/>
                    </w:rPr>
                    <w:t>谷糙</w:t>
                  </w:r>
                  <w:r>
                    <w:rPr>
                      <w:rFonts w:hint="eastAsia" w:cs="Times New Roman"/>
                      <w:color w:val="auto"/>
                      <w:sz w:val="21"/>
                      <w:szCs w:val="21"/>
                      <w:lang w:val="en-US" w:eastAsia="zh-CN"/>
                    </w:rPr>
                    <w:t>分离</w:t>
                  </w:r>
                  <w:r>
                    <w:rPr>
                      <w:rFonts w:hint="default" w:ascii="Times New Roman" w:hAnsi="Times New Roman" w:eastAsia="宋体" w:cs="Times New Roman"/>
                      <w:color w:val="auto"/>
                      <w:sz w:val="21"/>
                      <w:szCs w:val="21"/>
                      <w:lang w:val="en-US" w:eastAsia="zh-CN"/>
                    </w:rPr>
                    <w:t>筛</w:t>
                  </w:r>
                </w:p>
              </w:tc>
              <w:tc>
                <w:tcPr>
                  <w:tcW w:w="2292" w:type="dxa"/>
                  <w:shd w:val="clear" w:color="auto" w:fill="auto"/>
                  <w:vAlign w:val="center"/>
                </w:tcPr>
                <w:p w14:paraId="6E52BBCF">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kern w:val="2"/>
                      <w:sz w:val="21"/>
                      <w:lang w:val="en-US" w:eastAsia="zh-CN" w:bidi="ar-SA"/>
                    </w:rPr>
                    <w:t>MGCZ60</w:t>
                  </w:r>
                  <w:r>
                    <w:rPr>
                      <w:rFonts w:hint="default" w:ascii="Times New Roman" w:hAnsi="Times New Roman" w:cs="Times New Roman"/>
                      <w:color w:val="auto"/>
                      <w:kern w:val="2"/>
                      <w:sz w:val="21"/>
                      <w:lang w:val="en-US" w:eastAsia="zh-CN" w:bidi="ar-SA"/>
                    </w:rPr>
                    <w:t>×2</w:t>
                  </w:r>
                  <w:r>
                    <w:rPr>
                      <w:rFonts w:hint="eastAsia" w:ascii="Times New Roman" w:hAnsi="Times New Roman" w:cs="Times New Roman"/>
                      <w:color w:val="auto"/>
                      <w:kern w:val="2"/>
                      <w:sz w:val="21"/>
                      <w:lang w:val="en-US" w:eastAsia="zh-CN" w:bidi="ar-SA"/>
                    </w:rPr>
                    <w:t>0</w:t>
                  </w:r>
                  <w:r>
                    <w:rPr>
                      <w:rFonts w:hint="default" w:ascii="Times New Roman" w:hAnsi="Times New Roman" w:cs="Times New Roman"/>
                      <w:color w:val="auto"/>
                      <w:kern w:val="2"/>
                      <w:sz w:val="21"/>
                      <w:lang w:val="en-US" w:eastAsia="zh-CN" w:bidi="ar-SA"/>
                    </w:rPr>
                    <w:t>×2</w:t>
                  </w:r>
                  <w:r>
                    <w:rPr>
                      <w:rFonts w:hint="eastAsia" w:ascii="Times New Roman" w:hAnsi="Times New Roman" w:cs="Times New Roman"/>
                      <w:color w:val="auto"/>
                      <w:kern w:val="2"/>
                      <w:sz w:val="21"/>
                      <w:lang w:val="en-US" w:eastAsia="zh-CN" w:bidi="ar-SA"/>
                    </w:rPr>
                    <w:t>C</w:t>
                  </w:r>
                </w:p>
              </w:tc>
              <w:tc>
                <w:tcPr>
                  <w:tcW w:w="864" w:type="dxa"/>
                  <w:shd w:val="clear" w:color="auto" w:fill="auto"/>
                  <w:vAlign w:val="center"/>
                </w:tcPr>
                <w:p w14:paraId="63D1762A">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台</w:t>
                  </w:r>
                </w:p>
              </w:tc>
              <w:tc>
                <w:tcPr>
                  <w:tcW w:w="1181" w:type="dxa"/>
                  <w:shd w:val="clear" w:color="auto" w:fill="auto"/>
                  <w:vAlign w:val="center"/>
                </w:tcPr>
                <w:p w14:paraId="2E49C73C">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1</w:t>
                  </w:r>
                </w:p>
              </w:tc>
              <w:tc>
                <w:tcPr>
                  <w:tcW w:w="1508" w:type="dxa"/>
                  <w:shd w:val="clear" w:color="auto" w:fill="auto"/>
                  <w:vAlign w:val="center"/>
                </w:tcPr>
                <w:p w14:paraId="41422B21">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lang w:val="en-US" w:eastAsia="zh-CN"/>
                    </w:rPr>
                    <w:t>谷糙</w:t>
                  </w:r>
                  <w:r>
                    <w:rPr>
                      <w:rFonts w:hint="eastAsia" w:ascii="Times New Roman" w:hAnsi="Times New Roman" w:eastAsia="宋体" w:cs="Times New Roman"/>
                      <w:color w:val="auto"/>
                      <w:sz w:val="21"/>
                      <w:szCs w:val="21"/>
                      <w:lang w:val="en-US" w:eastAsia="zh-CN"/>
                    </w:rPr>
                    <w:t>分离</w:t>
                  </w:r>
                </w:p>
              </w:tc>
            </w:tr>
            <w:tr w14:paraId="6433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25" w:type="dxa"/>
                  <w:shd w:val="clear" w:color="auto" w:fill="auto"/>
                  <w:vAlign w:val="center"/>
                </w:tcPr>
                <w:p w14:paraId="0B416008">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6</w:t>
                  </w:r>
                </w:p>
              </w:tc>
              <w:tc>
                <w:tcPr>
                  <w:tcW w:w="1877" w:type="dxa"/>
                  <w:shd w:val="clear" w:color="auto" w:fill="auto"/>
                  <w:vAlign w:val="center"/>
                </w:tcPr>
                <w:p w14:paraId="1F68F936">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lang w:val="en-US" w:eastAsia="zh-CN"/>
                    </w:rPr>
                    <w:t>碾米机</w:t>
                  </w:r>
                </w:p>
              </w:tc>
              <w:tc>
                <w:tcPr>
                  <w:tcW w:w="2292" w:type="dxa"/>
                  <w:shd w:val="clear" w:color="auto" w:fill="auto"/>
                  <w:vAlign w:val="center"/>
                </w:tcPr>
                <w:p w14:paraId="44E643F3">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kern w:val="2"/>
                      <w:sz w:val="21"/>
                      <w:szCs w:val="21"/>
                      <w:shd w:val="clear" w:color="auto" w:fill="auto"/>
                      <w:lang w:val="en-US" w:eastAsia="zh-CN" w:bidi="ar-SA"/>
                    </w:rPr>
                    <w:t>CFN1818F</w:t>
                  </w:r>
                </w:p>
              </w:tc>
              <w:tc>
                <w:tcPr>
                  <w:tcW w:w="864" w:type="dxa"/>
                  <w:shd w:val="clear" w:color="auto" w:fill="auto"/>
                  <w:vAlign w:val="center"/>
                </w:tcPr>
                <w:p w14:paraId="2B2ED263">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台</w:t>
                  </w:r>
                </w:p>
              </w:tc>
              <w:tc>
                <w:tcPr>
                  <w:tcW w:w="1181" w:type="dxa"/>
                  <w:shd w:val="clear" w:color="auto" w:fill="auto"/>
                  <w:vAlign w:val="center"/>
                </w:tcPr>
                <w:p w14:paraId="3667769E">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4</w:t>
                  </w:r>
                </w:p>
              </w:tc>
              <w:tc>
                <w:tcPr>
                  <w:tcW w:w="1508" w:type="dxa"/>
                  <w:shd w:val="clear" w:color="auto" w:fill="auto"/>
                  <w:vAlign w:val="center"/>
                </w:tcPr>
                <w:p w14:paraId="5CF3E333">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sz w:val="21"/>
                      <w:szCs w:val="21"/>
                      <w:lang w:val="en-US" w:eastAsia="zh-CN"/>
                    </w:rPr>
                    <w:t>碾米</w:t>
                  </w:r>
                </w:p>
              </w:tc>
            </w:tr>
            <w:tr w14:paraId="6537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25" w:type="dxa"/>
                  <w:shd w:val="clear" w:color="auto" w:fill="auto"/>
                  <w:vAlign w:val="center"/>
                </w:tcPr>
                <w:p w14:paraId="4AC80101">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7</w:t>
                  </w:r>
                </w:p>
              </w:tc>
              <w:tc>
                <w:tcPr>
                  <w:tcW w:w="1877" w:type="dxa"/>
                  <w:shd w:val="clear" w:color="auto" w:fill="auto"/>
                  <w:vAlign w:val="center"/>
                </w:tcPr>
                <w:p w14:paraId="64129719">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白米分级筛</w:t>
                  </w:r>
                </w:p>
              </w:tc>
              <w:tc>
                <w:tcPr>
                  <w:tcW w:w="2292" w:type="dxa"/>
                  <w:shd w:val="clear" w:color="auto" w:fill="auto"/>
                  <w:vAlign w:val="center"/>
                </w:tcPr>
                <w:p w14:paraId="793B367E">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kern w:val="2"/>
                      <w:sz w:val="21"/>
                      <w:lang w:val="en-US" w:eastAsia="zh-CN" w:bidi="ar-SA"/>
                    </w:rPr>
                    <w:t>MMJP160</w:t>
                  </w:r>
                  <w:r>
                    <w:rPr>
                      <w:rFonts w:hint="default" w:ascii="Times New Roman" w:hAnsi="Times New Roman" w:cs="Times New Roman"/>
                      <w:color w:val="auto"/>
                      <w:kern w:val="2"/>
                      <w:sz w:val="21"/>
                      <w:lang w:val="en-US" w:eastAsia="zh-CN" w:bidi="ar-SA"/>
                    </w:rPr>
                    <w:t>×</w:t>
                  </w:r>
                  <w:r>
                    <w:rPr>
                      <w:rFonts w:hint="eastAsia" w:ascii="Times New Roman" w:hAnsi="Times New Roman" w:cs="Times New Roman"/>
                      <w:color w:val="auto"/>
                      <w:kern w:val="2"/>
                      <w:sz w:val="21"/>
                      <w:lang w:val="en-US" w:eastAsia="zh-CN" w:bidi="ar-SA"/>
                    </w:rPr>
                    <w:t>5+1</w:t>
                  </w:r>
                </w:p>
              </w:tc>
              <w:tc>
                <w:tcPr>
                  <w:tcW w:w="864" w:type="dxa"/>
                  <w:shd w:val="clear" w:color="auto" w:fill="auto"/>
                  <w:vAlign w:val="center"/>
                </w:tcPr>
                <w:p w14:paraId="1D7C25F6">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台</w:t>
                  </w:r>
                </w:p>
              </w:tc>
              <w:tc>
                <w:tcPr>
                  <w:tcW w:w="1181" w:type="dxa"/>
                  <w:shd w:val="clear" w:color="auto" w:fill="auto"/>
                  <w:vAlign w:val="center"/>
                </w:tcPr>
                <w:p w14:paraId="7D69751B">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2</w:t>
                  </w:r>
                </w:p>
              </w:tc>
              <w:tc>
                <w:tcPr>
                  <w:tcW w:w="1508" w:type="dxa"/>
                  <w:shd w:val="clear" w:color="auto" w:fill="auto"/>
                  <w:vAlign w:val="center"/>
                </w:tcPr>
                <w:p w14:paraId="6444788B">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白米分级</w:t>
                  </w:r>
                </w:p>
              </w:tc>
            </w:tr>
            <w:tr w14:paraId="1A52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25" w:type="dxa"/>
                  <w:shd w:val="clear" w:color="auto" w:fill="auto"/>
                  <w:vAlign w:val="center"/>
                </w:tcPr>
                <w:p w14:paraId="21F5ED9E">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8</w:t>
                  </w:r>
                </w:p>
              </w:tc>
              <w:tc>
                <w:tcPr>
                  <w:tcW w:w="1877" w:type="dxa"/>
                  <w:shd w:val="clear" w:color="auto" w:fill="auto"/>
                  <w:vAlign w:val="center"/>
                </w:tcPr>
                <w:p w14:paraId="534B9EE1">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色选机</w:t>
                  </w:r>
                </w:p>
              </w:tc>
              <w:tc>
                <w:tcPr>
                  <w:tcW w:w="2292" w:type="dxa"/>
                  <w:shd w:val="clear" w:color="auto" w:fill="auto"/>
                  <w:vAlign w:val="center"/>
                </w:tcPr>
                <w:p w14:paraId="08C07E6D">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kern w:val="2"/>
                      <w:sz w:val="21"/>
                      <w:lang w:val="en-US" w:eastAsia="zh-CN" w:bidi="ar-SA"/>
                    </w:rPr>
                    <w:t>SC512</w:t>
                  </w:r>
                </w:p>
              </w:tc>
              <w:tc>
                <w:tcPr>
                  <w:tcW w:w="864" w:type="dxa"/>
                  <w:shd w:val="clear" w:color="auto" w:fill="auto"/>
                  <w:vAlign w:val="center"/>
                </w:tcPr>
                <w:p w14:paraId="1FFC4504">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台</w:t>
                  </w:r>
                </w:p>
              </w:tc>
              <w:tc>
                <w:tcPr>
                  <w:tcW w:w="1181" w:type="dxa"/>
                  <w:shd w:val="clear" w:color="auto" w:fill="auto"/>
                  <w:vAlign w:val="center"/>
                </w:tcPr>
                <w:p w14:paraId="416AED8C">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5</w:t>
                  </w:r>
                </w:p>
              </w:tc>
              <w:tc>
                <w:tcPr>
                  <w:tcW w:w="1508" w:type="dxa"/>
                  <w:shd w:val="clear" w:color="auto" w:fill="auto"/>
                  <w:vAlign w:val="center"/>
                </w:tcPr>
                <w:p w14:paraId="0528A8F2">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色选</w:t>
                  </w:r>
                </w:p>
              </w:tc>
            </w:tr>
            <w:tr w14:paraId="040F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25" w:type="dxa"/>
                  <w:shd w:val="clear" w:color="auto" w:fill="auto"/>
                  <w:vAlign w:val="center"/>
                </w:tcPr>
                <w:p w14:paraId="7B5C49D7">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9</w:t>
                  </w:r>
                </w:p>
              </w:tc>
              <w:tc>
                <w:tcPr>
                  <w:tcW w:w="1877" w:type="dxa"/>
                  <w:shd w:val="clear" w:color="auto" w:fill="auto"/>
                  <w:vAlign w:val="center"/>
                </w:tcPr>
                <w:p w14:paraId="459B48DC">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抛光机</w:t>
                  </w:r>
                </w:p>
              </w:tc>
              <w:tc>
                <w:tcPr>
                  <w:tcW w:w="2292" w:type="dxa"/>
                  <w:shd w:val="clear" w:color="auto" w:fill="auto"/>
                  <w:vAlign w:val="center"/>
                </w:tcPr>
                <w:p w14:paraId="453F9536">
                  <w:pPr>
                    <w:ind w:left="420" w:leftChars="0" w:hanging="420" w:firstLineChars="0"/>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kern w:val="2"/>
                      <w:sz w:val="21"/>
                      <w:lang w:val="en-US" w:eastAsia="zh-CN" w:bidi="ar-SA"/>
                    </w:rPr>
                    <w:t>MPGV-80M</w:t>
                  </w:r>
                </w:p>
              </w:tc>
              <w:tc>
                <w:tcPr>
                  <w:tcW w:w="864" w:type="dxa"/>
                  <w:shd w:val="clear" w:color="auto" w:fill="auto"/>
                  <w:vAlign w:val="center"/>
                </w:tcPr>
                <w:p w14:paraId="4C4C5A43">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台</w:t>
                  </w:r>
                </w:p>
              </w:tc>
              <w:tc>
                <w:tcPr>
                  <w:tcW w:w="1181" w:type="dxa"/>
                  <w:shd w:val="clear" w:color="auto" w:fill="auto"/>
                  <w:vAlign w:val="center"/>
                </w:tcPr>
                <w:p w14:paraId="6665D633">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4</w:t>
                  </w:r>
                </w:p>
              </w:tc>
              <w:tc>
                <w:tcPr>
                  <w:tcW w:w="1508" w:type="dxa"/>
                  <w:shd w:val="clear" w:color="auto" w:fill="auto"/>
                  <w:vAlign w:val="center"/>
                </w:tcPr>
                <w:p w14:paraId="0E796434">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shd w:val="clear" w:color="auto" w:fill="auto"/>
                      <w:lang w:val="en-US" w:eastAsia="zh-CN"/>
                    </w:rPr>
                    <w:t>抛光</w:t>
                  </w:r>
                </w:p>
              </w:tc>
            </w:tr>
            <w:tr w14:paraId="475B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25" w:type="dxa"/>
                  <w:shd w:val="clear" w:color="auto" w:fill="auto"/>
                  <w:vAlign w:val="center"/>
                </w:tcPr>
                <w:p w14:paraId="1FF80BBD">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10</w:t>
                  </w:r>
                </w:p>
              </w:tc>
              <w:tc>
                <w:tcPr>
                  <w:tcW w:w="1877" w:type="dxa"/>
                  <w:shd w:val="clear" w:color="auto" w:fill="auto"/>
                  <w:vAlign w:val="center"/>
                </w:tcPr>
                <w:p w14:paraId="44E2F30C">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lang w:val="en-US" w:eastAsia="zh-CN"/>
                    </w:rPr>
                    <w:t>长度</w:t>
                  </w:r>
                  <w:r>
                    <w:rPr>
                      <w:rFonts w:hint="default" w:ascii="Times New Roman" w:hAnsi="Times New Roman" w:cs="Times New Roman"/>
                      <w:color w:val="auto"/>
                      <w:sz w:val="21"/>
                      <w:szCs w:val="21"/>
                      <w:shd w:val="clear" w:color="auto" w:fill="auto"/>
                      <w:lang w:val="en-US" w:eastAsia="zh-CN"/>
                    </w:rPr>
                    <w:t>精选</w:t>
                  </w:r>
                  <w:r>
                    <w:rPr>
                      <w:rFonts w:hint="eastAsia" w:cs="Times New Roman"/>
                      <w:color w:val="auto"/>
                      <w:sz w:val="21"/>
                      <w:szCs w:val="21"/>
                      <w:shd w:val="clear" w:color="auto" w:fill="auto"/>
                      <w:lang w:val="en-US" w:eastAsia="zh-CN"/>
                    </w:rPr>
                    <w:t>机</w:t>
                  </w:r>
                </w:p>
              </w:tc>
              <w:tc>
                <w:tcPr>
                  <w:tcW w:w="2292" w:type="dxa"/>
                  <w:shd w:val="clear" w:color="auto" w:fill="auto"/>
                  <w:vAlign w:val="center"/>
                </w:tcPr>
                <w:p w14:paraId="0C32E404">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MJX71/71</w:t>
                  </w:r>
                </w:p>
              </w:tc>
              <w:tc>
                <w:tcPr>
                  <w:tcW w:w="864" w:type="dxa"/>
                  <w:shd w:val="clear" w:color="auto" w:fill="auto"/>
                  <w:vAlign w:val="center"/>
                </w:tcPr>
                <w:p w14:paraId="1000D0CD">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台</w:t>
                  </w:r>
                </w:p>
              </w:tc>
              <w:tc>
                <w:tcPr>
                  <w:tcW w:w="1181" w:type="dxa"/>
                  <w:shd w:val="clear" w:color="auto" w:fill="auto"/>
                  <w:vAlign w:val="center"/>
                </w:tcPr>
                <w:p w14:paraId="523B43F7">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1</w:t>
                  </w:r>
                </w:p>
              </w:tc>
              <w:tc>
                <w:tcPr>
                  <w:tcW w:w="1508" w:type="dxa"/>
                  <w:shd w:val="clear" w:color="auto" w:fill="auto"/>
                  <w:vAlign w:val="center"/>
                </w:tcPr>
                <w:p w14:paraId="35622632">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sz w:val="21"/>
                      <w:szCs w:val="21"/>
                      <w:shd w:val="clear" w:color="auto" w:fill="auto"/>
                      <w:lang w:val="en-US" w:eastAsia="zh-CN"/>
                    </w:rPr>
                    <w:t>精选</w:t>
                  </w:r>
                </w:p>
              </w:tc>
            </w:tr>
            <w:tr w14:paraId="5A32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5" w:hRule="atLeast"/>
                <w:jc w:val="center"/>
              </w:trPr>
              <w:tc>
                <w:tcPr>
                  <w:tcW w:w="725" w:type="dxa"/>
                  <w:shd w:val="clear" w:color="auto" w:fill="auto"/>
                  <w:vAlign w:val="center"/>
                </w:tcPr>
                <w:p w14:paraId="27382042">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11</w:t>
                  </w:r>
                </w:p>
              </w:tc>
              <w:tc>
                <w:tcPr>
                  <w:tcW w:w="1877" w:type="dxa"/>
                  <w:shd w:val="clear" w:color="auto" w:fill="auto"/>
                  <w:vAlign w:val="center"/>
                </w:tcPr>
                <w:p w14:paraId="0630BAE1">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提升机</w:t>
                  </w:r>
                </w:p>
              </w:tc>
              <w:tc>
                <w:tcPr>
                  <w:tcW w:w="2292" w:type="dxa"/>
                  <w:shd w:val="clear" w:color="auto" w:fill="auto"/>
                  <w:vAlign w:val="center"/>
                </w:tcPr>
                <w:p w14:paraId="4579B43F">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w:t>
                  </w:r>
                </w:p>
              </w:tc>
              <w:tc>
                <w:tcPr>
                  <w:tcW w:w="864" w:type="dxa"/>
                  <w:shd w:val="clear" w:color="auto" w:fill="auto"/>
                  <w:vAlign w:val="center"/>
                </w:tcPr>
                <w:p w14:paraId="22693182">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台</w:t>
                  </w:r>
                </w:p>
              </w:tc>
              <w:tc>
                <w:tcPr>
                  <w:tcW w:w="1181" w:type="dxa"/>
                  <w:shd w:val="clear" w:color="auto" w:fill="auto"/>
                  <w:vAlign w:val="center"/>
                </w:tcPr>
                <w:p w14:paraId="7AF8673E">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3</w:t>
                  </w:r>
                  <w:r>
                    <w:rPr>
                      <w:rFonts w:hint="eastAsia" w:cs="Times New Roman"/>
                      <w:color w:val="auto"/>
                      <w:sz w:val="21"/>
                      <w:szCs w:val="21"/>
                      <w:shd w:val="clear" w:color="auto" w:fill="auto"/>
                      <w:lang w:val="en-US" w:eastAsia="zh-CN"/>
                    </w:rPr>
                    <w:t>5</w:t>
                  </w:r>
                </w:p>
              </w:tc>
              <w:tc>
                <w:tcPr>
                  <w:tcW w:w="1508" w:type="dxa"/>
                  <w:shd w:val="clear" w:color="auto" w:fill="auto"/>
                  <w:vAlign w:val="center"/>
                </w:tcPr>
                <w:p w14:paraId="1D353EFD">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lang w:val="en-US" w:eastAsia="zh-CN"/>
                    </w:rPr>
                    <w:t>提升</w:t>
                  </w:r>
                </w:p>
              </w:tc>
            </w:tr>
            <w:tr w14:paraId="7577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25" w:type="dxa"/>
                  <w:vAlign w:val="center"/>
                </w:tcPr>
                <w:p w14:paraId="7055896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877" w:type="dxa"/>
                  <w:shd w:val="clear" w:color="auto" w:fill="auto"/>
                  <w:vAlign w:val="center"/>
                </w:tcPr>
                <w:p w14:paraId="4C158A48">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输送机</w:t>
                  </w:r>
                </w:p>
              </w:tc>
              <w:tc>
                <w:tcPr>
                  <w:tcW w:w="2292" w:type="dxa"/>
                  <w:shd w:val="clear" w:color="auto" w:fill="auto"/>
                  <w:vAlign w:val="center"/>
                </w:tcPr>
                <w:p w14:paraId="0074FFF5">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w:t>
                  </w:r>
                </w:p>
              </w:tc>
              <w:tc>
                <w:tcPr>
                  <w:tcW w:w="864" w:type="dxa"/>
                  <w:shd w:val="clear" w:color="auto" w:fill="auto"/>
                  <w:vAlign w:val="center"/>
                </w:tcPr>
                <w:p w14:paraId="21B823F1">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台</w:t>
                  </w:r>
                </w:p>
              </w:tc>
              <w:tc>
                <w:tcPr>
                  <w:tcW w:w="1181" w:type="dxa"/>
                  <w:shd w:val="clear" w:color="auto" w:fill="auto"/>
                  <w:vAlign w:val="center"/>
                </w:tcPr>
                <w:p w14:paraId="1D11287E">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12</w:t>
                  </w:r>
                </w:p>
              </w:tc>
              <w:tc>
                <w:tcPr>
                  <w:tcW w:w="1508" w:type="dxa"/>
                  <w:shd w:val="clear" w:color="auto" w:fill="auto"/>
                  <w:vAlign w:val="center"/>
                </w:tcPr>
                <w:p w14:paraId="2EF0C4DE">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输送</w:t>
                  </w:r>
                </w:p>
              </w:tc>
            </w:tr>
            <w:tr w14:paraId="7F6F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725" w:type="dxa"/>
                  <w:vAlign w:val="center"/>
                </w:tcPr>
                <w:p w14:paraId="09AF4EE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1877" w:type="dxa"/>
                  <w:shd w:val="clear" w:color="auto" w:fill="auto"/>
                  <w:vAlign w:val="center"/>
                </w:tcPr>
                <w:p w14:paraId="6A321D24">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lang w:val="en-US" w:eastAsia="zh-CN"/>
                    </w:rPr>
                    <w:t>电子定量包装秤</w:t>
                  </w:r>
                </w:p>
              </w:tc>
              <w:tc>
                <w:tcPr>
                  <w:tcW w:w="2292" w:type="dxa"/>
                  <w:shd w:val="clear" w:color="auto" w:fill="auto"/>
                  <w:vAlign w:val="center"/>
                </w:tcPr>
                <w:p w14:paraId="2E6D367C">
                  <w:pPr>
                    <w:ind w:left="420" w:leftChars="0" w:hanging="42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w:t>
                  </w:r>
                </w:p>
              </w:tc>
              <w:tc>
                <w:tcPr>
                  <w:tcW w:w="864" w:type="dxa"/>
                  <w:shd w:val="clear" w:color="auto" w:fill="auto"/>
                  <w:vAlign w:val="center"/>
                </w:tcPr>
                <w:p w14:paraId="732D928F">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kern w:val="2"/>
                      <w:sz w:val="21"/>
                      <w:szCs w:val="21"/>
                      <w:shd w:val="clear" w:color="auto" w:fill="auto"/>
                      <w:lang w:val="en-US" w:eastAsia="zh-CN" w:bidi="ar-SA"/>
                    </w:rPr>
                    <w:t>台</w:t>
                  </w:r>
                </w:p>
              </w:tc>
              <w:tc>
                <w:tcPr>
                  <w:tcW w:w="1181" w:type="dxa"/>
                  <w:shd w:val="clear" w:color="auto" w:fill="auto"/>
                  <w:vAlign w:val="center"/>
                </w:tcPr>
                <w:p w14:paraId="16215155">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1</w:t>
                  </w:r>
                </w:p>
              </w:tc>
              <w:tc>
                <w:tcPr>
                  <w:tcW w:w="1508" w:type="dxa"/>
                  <w:shd w:val="clear" w:color="auto" w:fill="auto"/>
                  <w:vAlign w:val="center"/>
                </w:tcPr>
                <w:p w14:paraId="324FEEB3">
                  <w:pPr>
                    <w:jc w:val="center"/>
                    <w:rPr>
                      <w:rFonts w:hint="default"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称量、包装</w:t>
                  </w:r>
                </w:p>
              </w:tc>
            </w:tr>
          </w:tbl>
          <w:p w14:paraId="63598BFD">
            <w:pPr>
              <w:adjustRightInd w:val="0"/>
              <w:spacing w:line="360" w:lineRule="auto"/>
              <w:ind w:firstLine="472" w:firstLineChars="196"/>
              <w:rPr>
                <w:rFonts w:hint="default" w:ascii="Times New Roman" w:hAnsi="Times New Roman" w:cs="Times New Roman"/>
                <w:b/>
                <w:color w:val="auto"/>
                <w:sz w:val="24"/>
              </w:rPr>
            </w:pPr>
            <w:r>
              <w:rPr>
                <w:rFonts w:hint="eastAsia" w:cs="Times New Roman"/>
                <w:b/>
                <w:color w:val="auto"/>
                <w:sz w:val="24"/>
                <w:lang w:val="en-US" w:eastAsia="zh-CN"/>
              </w:rPr>
              <w:t>本项目</w:t>
            </w:r>
            <w:r>
              <w:rPr>
                <w:rFonts w:hint="default" w:ascii="Times New Roman" w:hAnsi="Times New Roman" w:cs="Times New Roman"/>
                <w:b/>
                <w:color w:val="auto"/>
                <w:sz w:val="24"/>
                <w:lang w:val="en-US" w:eastAsia="zh-CN"/>
              </w:rPr>
              <w:t>主要生产设备产能匹配性分析：</w:t>
            </w:r>
          </w:p>
          <w:p w14:paraId="01DDD852">
            <w:pPr>
              <w:pStyle w:val="28"/>
              <w:tabs>
                <w:tab w:val="right" w:leader="dot" w:pos="9004"/>
              </w:tabs>
              <w:jc w:val="center"/>
              <w:rPr>
                <w:rFonts w:hint="default" w:ascii="宋体" w:hAnsi="宋体" w:eastAsia="宋体" w:cs="宋体"/>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表2-4  项</w:t>
            </w:r>
            <w:r>
              <w:rPr>
                <w:rFonts w:hint="default" w:ascii="宋体" w:hAnsi="宋体" w:eastAsia="宋体" w:cs="宋体"/>
                <w:b/>
                <w:bCs/>
                <w:color w:val="auto"/>
                <w:kern w:val="2"/>
                <w:sz w:val="21"/>
                <w:szCs w:val="21"/>
                <w:lang w:val="en-US" w:eastAsia="zh-CN" w:bidi="ar-SA"/>
              </w:rPr>
              <w:t>目主要生产设备产能匹配性分析一览表</w:t>
            </w:r>
          </w:p>
          <w:tbl>
            <w:tblPr>
              <w:tblStyle w:val="46"/>
              <w:tblW w:w="8569" w:type="dxa"/>
              <w:jc w:val="center"/>
              <w:tblLayout w:type="autofit"/>
              <w:tblCellMar>
                <w:top w:w="0" w:type="dxa"/>
                <w:left w:w="0" w:type="dxa"/>
                <w:bottom w:w="0" w:type="dxa"/>
                <w:right w:w="0" w:type="dxa"/>
              </w:tblCellMar>
            </w:tblPr>
            <w:tblGrid>
              <w:gridCol w:w="2417"/>
              <w:gridCol w:w="1668"/>
              <w:gridCol w:w="1608"/>
              <w:gridCol w:w="1584"/>
              <w:gridCol w:w="1292"/>
            </w:tblGrid>
            <w:tr w14:paraId="0CEF77E8">
              <w:tblPrEx>
                <w:tblCellMar>
                  <w:top w:w="0" w:type="dxa"/>
                  <w:left w:w="0" w:type="dxa"/>
                  <w:bottom w:w="0" w:type="dxa"/>
                  <w:right w:w="0" w:type="dxa"/>
                </w:tblCellMar>
              </w:tblPrEx>
              <w:trPr>
                <w:trHeight w:val="400" w:hRule="atLeast"/>
                <w:jc w:val="center"/>
              </w:trPr>
              <w:tc>
                <w:tcPr>
                  <w:tcW w:w="141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09D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生产</w:t>
                  </w:r>
                  <w:r>
                    <w:rPr>
                      <w:rFonts w:hint="eastAsia" w:ascii="Times New Roman" w:hAnsi="Times New Roman" w:eastAsia="宋体" w:cs="Times New Roman"/>
                      <w:i w:val="0"/>
                      <w:color w:val="auto"/>
                      <w:kern w:val="0"/>
                      <w:sz w:val="21"/>
                      <w:szCs w:val="21"/>
                      <w:u w:val="none"/>
                      <w:lang w:val="en-US" w:eastAsia="zh-CN" w:bidi="ar"/>
                    </w:rPr>
                    <w:t>设备</w:t>
                  </w:r>
                </w:p>
              </w:tc>
              <w:tc>
                <w:tcPr>
                  <w:tcW w:w="973" w:type="pct"/>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41DEB9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default" w:ascii="Times New Roman" w:hAnsi="Times New Roman" w:eastAsia="宋体" w:cs="Times New Roman"/>
                      <w:color w:val="auto"/>
                      <w:sz w:val="21"/>
                      <w:szCs w:val="21"/>
                      <w:shd w:val="clear" w:color="auto" w:fill="auto"/>
                      <w:lang w:val="en-US" w:eastAsia="zh-CN"/>
                    </w:rPr>
                    <w:t>砻谷机</w:t>
                  </w:r>
                </w:p>
              </w:tc>
              <w:tc>
                <w:tcPr>
                  <w:tcW w:w="938"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3A67FB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eastAsia" w:cs="Times New Roman"/>
                      <w:color w:val="auto"/>
                      <w:sz w:val="21"/>
                      <w:szCs w:val="21"/>
                      <w:lang w:val="en-US" w:eastAsia="zh-CN"/>
                    </w:rPr>
                    <w:t>碾米机</w:t>
                  </w:r>
                </w:p>
              </w:tc>
              <w:tc>
                <w:tcPr>
                  <w:tcW w:w="924"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74773F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default" w:ascii="Times New Roman" w:hAnsi="Times New Roman" w:eastAsia="宋体" w:cs="Times New Roman"/>
                      <w:color w:val="auto"/>
                      <w:sz w:val="21"/>
                      <w:szCs w:val="21"/>
                      <w:shd w:val="clear" w:color="auto" w:fill="auto"/>
                      <w:lang w:val="en-US" w:eastAsia="zh-CN"/>
                    </w:rPr>
                    <w:t>色选机</w:t>
                  </w:r>
                </w:p>
              </w:tc>
              <w:tc>
                <w:tcPr>
                  <w:tcW w:w="753"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E2EE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default" w:ascii="Times New Roman" w:hAnsi="Times New Roman" w:eastAsia="宋体" w:cs="Times New Roman"/>
                      <w:color w:val="auto"/>
                      <w:sz w:val="21"/>
                      <w:szCs w:val="21"/>
                      <w:shd w:val="clear" w:color="auto" w:fill="auto"/>
                      <w:lang w:val="en-US" w:eastAsia="zh-CN"/>
                    </w:rPr>
                    <w:t>抛光机</w:t>
                  </w:r>
                </w:p>
              </w:tc>
            </w:tr>
            <w:tr w14:paraId="03463D4F">
              <w:tblPrEx>
                <w:tblCellMar>
                  <w:top w:w="0" w:type="dxa"/>
                  <w:left w:w="0" w:type="dxa"/>
                  <w:bottom w:w="0" w:type="dxa"/>
                  <w:right w:w="0" w:type="dxa"/>
                </w:tblCellMar>
              </w:tblPrEx>
              <w:trPr>
                <w:trHeight w:val="315" w:hRule="atLeast"/>
                <w:jc w:val="center"/>
              </w:trPr>
              <w:tc>
                <w:tcPr>
                  <w:tcW w:w="141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EE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工序</w:t>
                  </w:r>
                </w:p>
              </w:tc>
              <w:tc>
                <w:tcPr>
                  <w:tcW w:w="973" w:type="pct"/>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78C69A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default" w:ascii="Times New Roman" w:hAnsi="Times New Roman" w:eastAsia="宋体" w:cs="Times New Roman"/>
                      <w:color w:val="auto"/>
                      <w:sz w:val="21"/>
                      <w:szCs w:val="21"/>
                      <w:shd w:val="clear" w:color="auto" w:fill="auto"/>
                      <w:lang w:val="en-US" w:eastAsia="zh-CN"/>
                    </w:rPr>
                    <w:t>砻谷</w:t>
                  </w:r>
                  <w:r>
                    <w:rPr>
                      <w:rFonts w:hint="eastAsia" w:ascii="Times New Roman" w:hAnsi="Times New Roman" w:eastAsia="宋体" w:cs="Times New Roman"/>
                      <w:i w:val="0"/>
                      <w:color w:val="auto"/>
                      <w:sz w:val="21"/>
                      <w:szCs w:val="21"/>
                      <w:u w:val="none"/>
                      <w:lang w:eastAsia="zh-CN"/>
                    </w:rPr>
                    <w:t>工序</w:t>
                  </w:r>
                </w:p>
              </w:tc>
              <w:tc>
                <w:tcPr>
                  <w:tcW w:w="938"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2F01E5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eastAsia" w:cs="Times New Roman"/>
                      <w:color w:val="auto"/>
                      <w:sz w:val="21"/>
                      <w:szCs w:val="21"/>
                      <w:lang w:val="en-US" w:eastAsia="zh-CN"/>
                    </w:rPr>
                    <w:t>碾米</w:t>
                  </w:r>
                  <w:r>
                    <w:rPr>
                      <w:rFonts w:hint="eastAsia" w:ascii="Times New Roman" w:hAnsi="Times New Roman" w:eastAsia="宋体" w:cs="Times New Roman"/>
                      <w:i w:val="0"/>
                      <w:color w:val="auto"/>
                      <w:sz w:val="21"/>
                      <w:szCs w:val="21"/>
                      <w:u w:val="none"/>
                      <w:lang w:eastAsia="zh-CN"/>
                    </w:rPr>
                    <w:t>工序</w:t>
                  </w:r>
                </w:p>
              </w:tc>
              <w:tc>
                <w:tcPr>
                  <w:tcW w:w="924"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22A541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eastAsia="zh-CN"/>
                    </w:rPr>
                  </w:pPr>
                  <w:r>
                    <w:rPr>
                      <w:rFonts w:hint="default" w:ascii="Times New Roman" w:hAnsi="Times New Roman" w:eastAsia="宋体" w:cs="Times New Roman"/>
                      <w:color w:val="auto"/>
                      <w:sz w:val="21"/>
                      <w:szCs w:val="21"/>
                      <w:shd w:val="clear" w:color="auto" w:fill="auto"/>
                      <w:lang w:val="en-US" w:eastAsia="zh-CN"/>
                    </w:rPr>
                    <w:t>色选</w:t>
                  </w:r>
                  <w:r>
                    <w:rPr>
                      <w:rFonts w:hint="eastAsia" w:ascii="Times New Roman" w:hAnsi="Times New Roman" w:eastAsia="宋体" w:cs="Times New Roman"/>
                      <w:i w:val="0"/>
                      <w:color w:val="auto"/>
                      <w:sz w:val="21"/>
                      <w:szCs w:val="21"/>
                      <w:u w:val="none"/>
                      <w:lang w:eastAsia="zh-CN"/>
                    </w:rPr>
                    <w:t>工序</w:t>
                  </w:r>
                </w:p>
              </w:tc>
              <w:tc>
                <w:tcPr>
                  <w:tcW w:w="753"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CAA78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color w:val="auto"/>
                      <w:sz w:val="21"/>
                      <w:szCs w:val="21"/>
                      <w:shd w:val="clear" w:color="auto" w:fill="auto"/>
                      <w:lang w:val="en-US" w:eastAsia="zh-CN"/>
                    </w:rPr>
                    <w:t>抛光</w:t>
                  </w:r>
                  <w:r>
                    <w:rPr>
                      <w:rFonts w:hint="eastAsia" w:ascii="Times New Roman" w:hAnsi="Times New Roman" w:eastAsia="宋体" w:cs="Times New Roman"/>
                      <w:color w:val="auto"/>
                      <w:sz w:val="21"/>
                      <w:szCs w:val="21"/>
                      <w:shd w:val="clear" w:color="auto" w:fill="auto"/>
                      <w:lang w:val="en-US" w:eastAsia="zh-CN"/>
                    </w:rPr>
                    <w:t>工序</w:t>
                  </w:r>
                </w:p>
              </w:tc>
            </w:tr>
            <w:tr w14:paraId="74500699">
              <w:tblPrEx>
                <w:tblCellMar>
                  <w:top w:w="0" w:type="dxa"/>
                  <w:left w:w="0" w:type="dxa"/>
                  <w:bottom w:w="0" w:type="dxa"/>
                  <w:right w:w="0" w:type="dxa"/>
                </w:tblCellMar>
              </w:tblPrEx>
              <w:trPr>
                <w:trHeight w:val="310" w:hRule="atLeast"/>
                <w:jc w:val="center"/>
              </w:trPr>
              <w:tc>
                <w:tcPr>
                  <w:tcW w:w="1410"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41EDD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每台</w:t>
                  </w:r>
                  <w:r>
                    <w:rPr>
                      <w:rFonts w:hint="eastAsia" w:ascii="Times New Roman" w:hAnsi="Times New Roman" w:eastAsia="宋体" w:cs="Times New Roman"/>
                      <w:i w:val="0"/>
                      <w:color w:val="auto"/>
                      <w:kern w:val="0"/>
                      <w:sz w:val="21"/>
                      <w:szCs w:val="21"/>
                      <w:u w:val="none"/>
                      <w:lang w:val="en-US" w:eastAsia="zh-CN" w:bidi="ar"/>
                    </w:rPr>
                    <w:t>设备生产能力</w:t>
                  </w:r>
                </w:p>
              </w:tc>
              <w:tc>
                <w:tcPr>
                  <w:tcW w:w="973"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0C8F3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5t/h</w:t>
                  </w:r>
                </w:p>
              </w:tc>
              <w:tc>
                <w:tcPr>
                  <w:tcW w:w="938" w:type="pct"/>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14:paraId="304596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4.8t/h</w:t>
                  </w:r>
                </w:p>
              </w:tc>
              <w:tc>
                <w:tcPr>
                  <w:tcW w:w="924" w:type="pct"/>
                  <w:tcBorders>
                    <w:top w:val="single" w:color="000000" w:sz="4" w:space="0"/>
                    <w:left w:val="single" w:color="auto" w:sz="4" w:space="0"/>
                    <w:bottom w:val="single" w:color="auto" w:sz="4" w:space="0"/>
                    <w:right w:val="single" w:color="auto" w:sz="4" w:space="0"/>
                  </w:tcBorders>
                  <w:noWrap w:val="0"/>
                  <w:tcMar>
                    <w:top w:w="15" w:type="dxa"/>
                    <w:left w:w="15" w:type="dxa"/>
                    <w:right w:w="15" w:type="dxa"/>
                  </w:tcMar>
                  <w:vAlign w:val="center"/>
                </w:tcPr>
                <w:p w14:paraId="542264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sz w:val="21"/>
                      <w:szCs w:val="21"/>
                      <w:u w:val="none"/>
                      <w:lang w:val="en-US" w:eastAsia="zh-CN"/>
                    </w:rPr>
                    <w:t>5.5t/h</w:t>
                  </w:r>
                </w:p>
              </w:tc>
              <w:tc>
                <w:tcPr>
                  <w:tcW w:w="753" w:type="pct"/>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14:paraId="67FB89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sz w:val="21"/>
                      <w:szCs w:val="21"/>
                      <w:u w:val="none"/>
                      <w:lang w:val="en-US" w:eastAsia="zh-CN"/>
                    </w:rPr>
                    <w:t>5t/h</w:t>
                  </w:r>
                </w:p>
              </w:tc>
            </w:tr>
            <w:tr w14:paraId="19FDD358">
              <w:tblPrEx>
                <w:tblCellMar>
                  <w:top w:w="0" w:type="dxa"/>
                  <w:left w:w="0" w:type="dxa"/>
                  <w:bottom w:w="0" w:type="dxa"/>
                  <w:right w:w="0" w:type="dxa"/>
                </w:tblCellMar>
              </w:tblPrEx>
              <w:trPr>
                <w:trHeight w:val="138" w:hRule="atLeast"/>
                <w:jc w:val="center"/>
              </w:trPr>
              <w:tc>
                <w:tcPr>
                  <w:tcW w:w="1410" w:type="pct"/>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C11D4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设备年运行时间</w:t>
                  </w:r>
                </w:p>
              </w:tc>
              <w:tc>
                <w:tcPr>
                  <w:tcW w:w="973" w:type="pct"/>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68220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2400h</w:t>
                  </w:r>
                </w:p>
              </w:tc>
              <w:tc>
                <w:tcPr>
                  <w:tcW w:w="938" w:type="pct"/>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14:paraId="19A6CA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sz w:val="21"/>
                      <w:szCs w:val="21"/>
                      <w:u w:val="none"/>
                      <w:lang w:val="en-US" w:eastAsia="zh-CN"/>
                    </w:rPr>
                    <w:t>2400h</w:t>
                  </w:r>
                </w:p>
              </w:tc>
              <w:tc>
                <w:tcPr>
                  <w:tcW w:w="92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CCD02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sz w:val="21"/>
                      <w:szCs w:val="21"/>
                      <w:u w:val="none"/>
                      <w:lang w:val="en-US" w:eastAsia="zh-CN"/>
                    </w:rPr>
                    <w:t>2400h</w:t>
                  </w:r>
                </w:p>
              </w:tc>
              <w:tc>
                <w:tcPr>
                  <w:tcW w:w="753" w:type="pct"/>
                  <w:tcBorders>
                    <w:top w:val="single" w:color="auto" w:sz="4" w:space="0"/>
                    <w:left w:val="single" w:color="auto" w:sz="4" w:space="0"/>
                    <w:bottom w:val="single" w:color="auto" w:sz="4" w:space="0"/>
                    <w:right w:val="single" w:color="000000" w:sz="4" w:space="0"/>
                  </w:tcBorders>
                  <w:noWrap w:val="0"/>
                  <w:tcMar>
                    <w:top w:w="15" w:type="dxa"/>
                    <w:left w:w="15" w:type="dxa"/>
                    <w:right w:w="15" w:type="dxa"/>
                  </w:tcMar>
                  <w:vAlign w:val="center"/>
                </w:tcPr>
                <w:p w14:paraId="7417A5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2400h</w:t>
                  </w:r>
                </w:p>
              </w:tc>
            </w:tr>
            <w:tr w14:paraId="4ED8A69C">
              <w:tblPrEx>
                <w:tblCellMar>
                  <w:top w:w="0" w:type="dxa"/>
                  <w:left w:w="0" w:type="dxa"/>
                  <w:bottom w:w="0" w:type="dxa"/>
                  <w:right w:w="0" w:type="dxa"/>
                </w:tblCellMar>
              </w:tblPrEx>
              <w:trPr>
                <w:trHeight w:val="141" w:hRule="atLeast"/>
                <w:jc w:val="center"/>
              </w:trPr>
              <w:tc>
                <w:tcPr>
                  <w:tcW w:w="1410"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9C7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设备年生产能力</w:t>
                  </w:r>
                </w:p>
              </w:tc>
              <w:tc>
                <w:tcPr>
                  <w:tcW w:w="973"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0DD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cs="Times New Roman"/>
                      <w:i w:val="0"/>
                      <w:color w:val="auto"/>
                      <w:kern w:val="0"/>
                      <w:sz w:val="21"/>
                      <w:szCs w:val="21"/>
                      <w:u w:val="none"/>
                      <w:lang w:val="en-US" w:eastAsia="zh-CN" w:bidi="ar"/>
                    </w:rPr>
                    <w:t>12000t/a</w:t>
                  </w:r>
                </w:p>
              </w:tc>
              <w:tc>
                <w:tcPr>
                  <w:tcW w:w="938" w:type="pct"/>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07CAA5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i w:val="0"/>
                      <w:color w:val="auto"/>
                      <w:kern w:val="0"/>
                      <w:sz w:val="21"/>
                      <w:szCs w:val="21"/>
                      <w:u w:val="none"/>
                      <w:lang w:val="en-US" w:eastAsia="zh-CN" w:bidi="ar"/>
                    </w:rPr>
                    <w:t>11520t/a</w:t>
                  </w:r>
                </w:p>
              </w:tc>
              <w:tc>
                <w:tcPr>
                  <w:tcW w:w="924" w:type="pct"/>
                  <w:tcBorders>
                    <w:top w:val="single" w:color="auto" w:sz="4" w:space="0"/>
                    <w:left w:val="single" w:color="auto" w:sz="4" w:space="0"/>
                    <w:bottom w:val="single" w:color="000000" w:sz="4" w:space="0"/>
                    <w:right w:val="single" w:color="auto" w:sz="4" w:space="0"/>
                  </w:tcBorders>
                  <w:noWrap w:val="0"/>
                  <w:tcMar>
                    <w:top w:w="15" w:type="dxa"/>
                    <w:left w:w="15" w:type="dxa"/>
                    <w:right w:w="15" w:type="dxa"/>
                  </w:tcMar>
                  <w:vAlign w:val="center"/>
                </w:tcPr>
                <w:p w14:paraId="623AA8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13200t/a</w:t>
                  </w:r>
                </w:p>
              </w:tc>
              <w:tc>
                <w:tcPr>
                  <w:tcW w:w="753" w:type="pct"/>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53D6A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12000t/a</w:t>
                  </w:r>
                </w:p>
              </w:tc>
            </w:tr>
            <w:tr w14:paraId="49D74DA5">
              <w:tblPrEx>
                <w:tblCellMar>
                  <w:top w:w="0" w:type="dxa"/>
                  <w:left w:w="0" w:type="dxa"/>
                  <w:bottom w:w="0" w:type="dxa"/>
                  <w:right w:w="0" w:type="dxa"/>
                </w:tblCellMar>
              </w:tblPrEx>
              <w:trPr>
                <w:trHeight w:val="212" w:hRule="atLeast"/>
                <w:jc w:val="center"/>
              </w:trPr>
              <w:tc>
                <w:tcPr>
                  <w:tcW w:w="141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95B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kern w:val="0"/>
                      <w:sz w:val="21"/>
                      <w:szCs w:val="21"/>
                      <w:u w:val="none"/>
                      <w:lang w:val="en-US" w:eastAsia="zh-CN" w:bidi="ar"/>
                    </w:rPr>
                    <w:t>本项目设计</w:t>
                  </w:r>
                  <w:r>
                    <w:rPr>
                      <w:rFonts w:hint="default" w:ascii="Times New Roman" w:hAnsi="Times New Roman" w:eastAsia="宋体" w:cs="Times New Roman"/>
                      <w:i w:val="0"/>
                      <w:color w:val="auto"/>
                      <w:kern w:val="0"/>
                      <w:sz w:val="21"/>
                      <w:szCs w:val="21"/>
                      <w:u w:val="none"/>
                      <w:lang w:val="en-US" w:eastAsia="zh-CN" w:bidi="ar"/>
                    </w:rPr>
                    <w:t>产能</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020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cs="Times New Roman"/>
                      <w:i w:val="0"/>
                      <w:color w:val="auto"/>
                      <w:kern w:val="0"/>
                      <w:sz w:val="21"/>
                      <w:szCs w:val="21"/>
                      <w:u w:val="none"/>
                      <w:lang w:val="en-US" w:eastAsia="zh-CN" w:bidi="ar"/>
                    </w:rPr>
                    <w:t>10000t/a</w:t>
                  </w:r>
                </w:p>
              </w:tc>
              <w:tc>
                <w:tcPr>
                  <w:tcW w:w="938" w:type="pct"/>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2A7942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i w:val="0"/>
                      <w:color w:val="auto"/>
                      <w:kern w:val="0"/>
                      <w:sz w:val="21"/>
                      <w:szCs w:val="21"/>
                      <w:u w:val="none"/>
                      <w:lang w:val="en-US" w:eastAsia="zh-CN" w:bidi="ar"/>
                    </w:rPr>
                    <w:t>10000t/a</w:t>
                  </w:r>
                </w:p>
              </w:tc>
              <w:tc>
                <w:tcPr>
                  <w:tcW w:w="924"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2B4E9C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10000t/a</w:t>
                  </w:r>
                </w:p>
              </w:tc>
              <w:tc>
                <w:tcPr>
                  <w:tcW w:w="753"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2F80A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10000t/a</w:t>
                  </w:r>
                </w:p>
              </w:tc>
            </w:tr>
            <w:tr w14:paraId="54522442">
              <w:tblPrEx>
                <w:tblCellMar>
                  <w:top w:w="0" w:type="dxa"/>
                  <w:left w:w="0" w:type="dxa"/>
                  <w:bottom w:w="0" w:type="dxa"/>
                  <w:right w:w="0" w:type="dxa"/>
                </w:tblCellMar>
              </w:tblPrEx>
              <w:trPr>
                <w:trHeight w:val="315" w:hRule="atLeast"/>
                <w:jc w:val="center"/>
              </w:trPr>
              <w:tc>
                <w:tcPr>
                  <w:tcW w:w="141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AC7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匹配性</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748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匹配</w:t>
                  </w:r>
                </w:p>
              </w:tc>
              <w:tc>
                <w:tcPr>
                  <w:tcW w:w="938" w:type="pct"/>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780AB3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匹配</w:t>
                  </w:r>
                </w:p>
              </w:tc>
              <w:tc>
                <w:tcPr>
                  <w:tcW w:w="924" w:type="pct"/>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416E95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匹配</w:t>
                  </w:r>
                </w:p>
              </w:tc>
              <w:tc>
                <w:tcPr>
                  <w:tcW w:w="753"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C4B1B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匹配</w:t>
                  </w:r>
                </w:p>
              </w:tc>
            </w:tr>
          </w:tbl>
          <w:p w14:paraId="3E6EE4D9">
            <w:pPr>
              <w:spacing w:line="360" w:lineRule="auto"/>
              <w:ind w:firstLine="420" w:firstLineChars="200"/>
              <w:rPr>
                <w:rFonts w:hint="eastAsia" w:cs="Times New Roman"/>
                <w:b/>
                <w:color w:val="auto"/>
                <w:sz w:val="24"/>
                <w:szCs w:val="24"/>
                <w:lang w:val="en-US" w:eastAsia="zh-CN"/>
              </w:rPr>
            </w:pPr>
            <w:r>
              <w:rPr>
                <w:rFonts w:hint="eastAsia"/>
                <w:b w:val="0"/>
                <w:bCs/>
                <w:color w:val="auto"/>
              </w:rPr>
              <w:t>从上表可知，本项目</w:t>
            </w:r>
            <w:r>
              <w:rPr>
                <w:rFonts w:hint="eastAsia"/>
                <w:b w:val="0"/>
                <w:bCs/>
                <w:color w:val="auto"/>
                <w:lang w:val="en-US" w:eastAsia="zh-CN"/>
              </w:rPr>
              <w:t>主要生产设备与产能</w:t>
            </w:r>
            <w:r>
              <w:rPr>
                <w:rFonts w:hint="eastAsia"/>
                <w:b w:val="0"/>
                <w:bCs/>
                <w:color w:val="auto"/>
              </w:rPr>
              <w:t>是匹配的。</w:t>
            </w:r>
          </w:p>
          <w:p w14:paraId="04A608CC">
            <w:pPr>
              <w:spacing w:line="360" w:lineRule="auto"/>
              <w:rPr>
                <w:rFonts w:hint="default" w:ascii="Times New Roman" w:hAnsi="Times New Roman" w:cs="Times New Roman"/>
                <w:color w:val="auto"/>
                <w:sz w:val="24"/>
                <w:szCs w:val="24"/>
              </w:rPr>
            </w:pPr>
            <w:r>
              <w:rPr>
                <w:rFonts w:hint="eastAsia" w:cs="Times New Roman"/>
                <w:b/>
                <w:color w:val="auto"/>
                <w:sz w:val="24"/>
                <w:szCs w:val="24"/>
                <w:lang w:val="en-US" w:eastAsia="zh-CN"/>
              </w:rPr>
              <w:t>6</w:t>
            </w:r>
            <w:r>
              <w:rPr>
                <w:rFonts w:hint="default" w:ascii="Times New Roman" w:hAnsi="Times New Roman" w:cs="Times New Roman"/>
                <w:b/>
                <w:color w:val="auto"/>
                <w:sz w:val="24"/>
                <w:szCs w:val="24"/>
              </w:rPr>
              <w:t>、主要原辅材料及燃料</w:t>
            </w:r>
          </w:p>
          <w:p w14:paraId="1EBCABB9">
            <w:pPr>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szCs w:val="24"/>
              </w:rPr>
              <w:t>建设项目主要原辅材料及燃料消耗详见下表。</w:t>
            </w:r>
          </w:p>
          <w:p w14:paraId="5C096BED">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表2-6  建设项目原辅材料及燃料用量一览表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15"/>
              <w:gridCol w:w="1661"/>
              <w:gridCol w:w="1248"/>
              <w:gridCol w:w="1293"/>
              <w:gridCol w:w="1307"/>
              <w:gridCol w:w="1179"/>
            </w:tblGrid>
            <w:tr w14:paraId="0EF5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8D8C2AC">
                  <w:pPr>
                    <w:jc w:val="center"/>
                    <w:rPr>
                      <w:rFonts w:hint="default" w:ascii="Times New Roman" w:hAnsi="Times New Roman" w:cs="Times New Roman"/>
                      <w:b/>
                      <w:color w:val="auto"/>
                      <w:spacing w:val="-2"/>
                      <w:kern w:val="0"/>
                      <w:szCs w:val="21"/>
                    </w:rPr>
                  </w:pPr>
                  <w:r>
                    <w:rPr>
                      <w:rFonts w:hint="default" w:ascii="Times New Roman" w:hAnsi="Times New Roman" w:cs="Times New Roman"/>
                      <w:b/>
                      <w:color w:val="auto"/>
                      <w:spacing w:val="-2"/>
                      <w:kern w:val="0"/>
                      <w:szCs w:val="21"/>
                    </w:rPr>
                    <w:t>序号</w:t>
                  </w:r>
                </w:p>
              </w:tc>
              <w:tc>
                <w:tcPr>
                  <w:tcW w:w="768" w:type="pct"/>
                  <w:vAlign w:val="center"/>
                </w:tcPr>
                <w:p w14:paraId="4CBAA045">
                  <w:pPr>
                    <w:jc w:val="center"/>
                    <w:rPr>
                      <w:rFonts w:hint="default" w:ascii="Times New Roman" w:hAnsi="Times New Roman" w:cs="Times New Roman"/>
                      <w:b/>
                      <w:color w:val="auto"/>
                      <w:spacing w:val="-2"/>
                      <w:kern w:val="0"/>
                      <w:szCs w:val="21"/>
                    </w:rPr>
                  </w:pPr>
                  <w:r>
                    <w:rPr>
                      <w:rFonts w:hint="default" w:ascii="Times New Roman" w:hAnsi="Times New Roman" w:cs="Times New Roman"/>
                      <w:b/>
                      <w:color w:val="auto"/>
                      <w:spacing w:val="-2"/>
                      <w:kern w:val="0"/>
                      <w:szCs w:val="21"/>
                    </w:rPr>
                    <w:t>物料名称</w:t>
                  </w:r>
                </w:p>
              </w:tc>
              <w:tc>
                <w:tcPr>
                  <w:tcW w:w="970" w:type="pct"/>
                  <w:vAlign w:val="center"/>
                </w:tcPr>
                <w:p w14:paraId="10366D88">
                  <w:pPr>
                    <w:jc w:val="center"/>
                    <w:rPr>
                      <w:rFonts w:hint="default" w:ascii="Times New Roman" w:hAnsi="Times New Roman" w:cs="Times New Roman"/>
                      <w:b/>
                      <w:color w:val="auto"/>
                      <w:spacing w:val="-2"/>
                      <w:kern w:val="0"/>
                      <w:szCs w:val="21"/>
                    </w:rPr>
                  </w:pPr>
                  <w:r>
                    <w:rPr>
                      <w:rFonts w:hint="default" w:ascii="Times New Roman" w:hAnsi="Times New Roman" w:cs="Times New Roman"/>
                      <w:b/>
                      <w:color w:val="auto"/>
                      <w:spacing w:val="-2"/>
                      <w:kern w:val="0"/>
                      <w:szCs w:val="21"/>
                    </w:rPr>
                    <w:t>使用量</w:t>
                  </w:r>
                </w:p>
              </w:tc>
              <w:tc>
                <w:tcPr>
                  <w:tcW w:w="729" w:type="pct"/>
                  <w:vAlign w:val="center"/>
                </w:tcPr>
                <w:p w14:paraId="198C1C6F">
                  <w:pPr>
                    <w:jc w:val="center"/>
                    <w:rPr>
                      <w:rFonts w:hint="default" w:ascii="Times New Roman" w:hAnsi="Times New Roman" w:eastAsia="宋体" w:cs="Times New Roman"/>
                      <w:b/>
                      <w:color w:val="auto"/>
                      <w:spacing w:val="-2"/>
                      <w:kern w:val="0"/>
                      <w:szCs w:val="21"/>
                      <w:lang w:val="en-US" w:eastAsia="zh-CN"/>
                    </w:rPr>
                  </w:pPr>
                  <w:r>
                    <w:rPr>
                      <w:rFonts w:hint="default" w:ascii="Times New Roman" w:hAnsi="Times New Roman" w:cs="Times New Roman"/>
                      <w:b/>
                      <w:color w:val="auto"/>
                      <w:spacing w:val="-2"/>
                      <w:kern w:val="0"/>
                      <w:szCs w:val="21"/>
                      <w:lang w:val="en-US" w:eastAsia="zh-CN"/>
                    </w:rPr>
                    <w:t>粒径/性状</w:t>
                  </w:r>
                </w:p>
              </w:tc>
              <w:tc>
                <w:tcPr>
                  <w:tcW w:w="755" w:type="pct"/>
                  <w:vAlign w:val="center"/>
                </w:tcPr>
                <w:p w14:paraId="2577D62C">
                  <w:pPr>
                    <w:jc w:val="center"/>
                    <w:rPr>
                      <w:rFonts w:hint="default" w:ascii="Times New Roman" w:hAnsi="Times New Roman" w:cs="Times New Roman"/>
                      <w:b/>
                      <w:color w:val="auto"/>
                      <w:spacing w:val="-2"/>
                      <w:kern w:val="0"/>
                      <w:szCs w:val="21"/>
                    </w:rPr>
                  </w:pPr>
                  <w:r>
                    <w:rPr>
                      <w:rFonts w:hint="default" w:ascii="Times New Roman" w:hAnsi="Times New Roman" w:cs="Times New Roman"/>
                      <w:b/>
                      <w:color w:val="auto"/>
                      <w:spacing w:val="-2"/>
                      <w:kern w:val="0"/>
                      <w:szCs w:val="21"/>
                    </w:rPr>
                    <w:t>最大储存量</w:t>
                  </w:r>
                </w:p>
              </w:tc>
              <w:tc>
                <w:tcPr>
                  <w:tcW w:w="763" w:type="pct"/>
                  <w:vAlign w:val="center"/>
                </w:tcPr>
                <w:p w14:paraId="1E611E38">
                  <w:pPr>
                    <w:jc w:val="center"/>
                    <w:rPr>
                      <w:rFonts w:hint="default" w:ascii="Times New Roman" w:hAnsi="Times New Roman" w:eastAsia="宋体" w:cs="Times New Roman"/>
                      <w:b/>
                      <w:color w:val="auto"/>
                      <w:spacing w:val="-2"/>
                      <w:kern w:val="0"/>
                      <w:szCs w:val="21"/>
                      <w:lang w:val="en-US" w:eastAsia="zh-CN"/>
                    </w:rPr>
                  </w:pPr>
                  <w:r>
                    <w:rPr>
                      <w:rFonts w:hint="default" w:ascii="Times New Roman" w:hAnsi="Times New Roman" w:cs="Times New Roman"/>
                      <w:b/>
                      <w:color w:val="auto"/>
                      <w:spacing w:val="-2"/>
                      <w:kern w:val="0"/>
                      <w:szCs w:val="21"/>
                      <w:lang w:val="en-US" w:eastAsia="zh-CN"/>
                    </w:rPr>
                    <w:t>储存地点</w:t>
                  </w:r>
                </w:p>
              </w:tc>
              <w:tc>
                <w:tcPr>
                  <w:tcW w:w="688" w:type="pct"/>
                  <w:vAlign w:val="center"/>
                </w:tcPr>
                <w:p w14:paraId="6274C06B">
                  <w:pPr>
                    <w:jc w:val="center"/>
                    <w:rPr>
                      <w:rFonts w:hint="default" w:ascii="Times New Roman" w:hAnsi="Times New Roman" w:eastAsia="宋体" w:cs="Times New Roman"/>
                      <w:b/>
                      <w:color w:val="auto"/>
                      <w:spacing w:val="-2"/>
                      <w:kern w:val="0"/>
                      <w:szCs w:val="21"/>
                      <w:lang w:val="en-US" w:eastAsia="zh-CN"/>
                    </w:rPr>
                  </w:pPr>
                  <w:r>
                    <w:rPr>
                      <w:rFonts w:hint="eastAsia" w:cs="Times New Roman"/>
                      <w:b/>
                      <w:color w:val="auto"/>
                      <w:spacing w:val="-2"/>
                      <w:kern w:val="0"/>
                      <w:szCs w:val="21"/>
                      <w:lang w:val="en-US" w:eastAsia="zh-CN"/>
                    </w:rPr>
                    <w:t>储存周期</w:t>
                  </w:r>
                </w:p>
              </w:tc>
            </w:tr>
            <w:tr w14:paraId="57E0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5C8116D">
                  <w:pPr>
                    <w:jc w:val="center"/>
                    <w:rPr>
                      <w:rFonts w:hint="default" w:ascii="Times New Roman" w:hAnsi="Times New Roman" w:cs="Times New Roman"/>
                      <w:color w:val="auto"/>
                      <w:spacing w:val="-2"/>
                      <w:kern w:val="0"/>
                      <w:szCs w:val="21"/>
                    </w:rPr>
                  </w:pPr>
                  <w:r>
                    <w:rPr>
                      <w:rFonts w:hint="default" w:ascii="Times New Roman" w:hAnsi="Times New Roman" w:cs="Times New Roman"/>
                      <w:color w:val="auto"/>
                      <w:spacing w:val="-2"/>
                      <w:kern w:val="0"/>
                      <w:szCs w:val="21"/>
                    </w:rPr>
                    <w:t>1</w:t>
                  </w:r>
                </w:p>
              </w:tc>
              <w:tc>
                <w:tcPr>
                  <w:tcW w:w="768" w:type="pct"/>
                  <w:vAlign w:val="center"/>
                </w:tcPr>
                <w:p w14:paraId="2A3AA0F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稻谷</w:t>
                  </w:r>
                </w:p>
              </w:tc>
              <w:tc>
                <w:tcPr>
                  <w:tcW w:w="970" w:type="pct"/>
                  <w:vAlign w:val="center"/>
                </w:tcPr>
                <w:p w14:paraId="065E45DA">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19247.03t/a</w:t>
                  </w:r>
                </w:p>
              </w:tc>
              <w:tc>
                <w:tcPr>
                  <w:tcW w:w="729" w:type="pct"/>
                  <w:vAlign w:val="center"/>
                </w:tcPr>
                <w:p w14:paraId="22975E2E">
                  <w:pPr>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颗粒状</w:t>
                  </w:r>
                </w:p>
              </w:tc>
              <w:tc>
                <w:tcPr>
                  <w:tcW w:w="755" w:type="pct"/>
                  <w:vAlign w:val="center"/>
                </w:tcPr>
                <w:p w14:paraId="0043CB2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1000</w:t>
                  </w:r>
                  <w:r>
                    <w:rPr>
                      <w:rFonts w:hint="default" w:ascii="Times New Roman" w:hAnsi="Times New Roman" w:cs="Times New Roman"/>
                      <w:color w:val="auto"/>
                      <w:szCs w:val="21"/>
                      <w:lang w:val="en-US" w:eastAsia="zh-CN"/>
                    </w:rPr>
                    <w:t>t</w:t>
                  </w:r>
                </w:p>
              </w:tc>
              <w:tc>
                <w:tcPr>
                  <w:tcW w:w="763" w:type="pct"/>
                  <w:vAlign w:val="center"/>
                </w:tcPr>
                <w:p w14:paraId="7ACD2862">
                  <w:pPr>
                    <w:jc w:val="center"/>
                    <w:rPr>
                      <w:rFonts w:hint="default" w:ascii="Times New Roman" w:hAnsi="Times New Roman" w:cs="Times New Roman"/>
                      <w:color w:val="auto"/>
                    </w:rPr>
                  </w:pPr>
                  <w:r>
                    <w:rPr>
                      <w:rFonts w:hint="default" w:ascii="Times New Roman" w:hAnsi="Times New Roman" w:cs="Times New Roman"/>
                      <w:color w:val="auto"/>
                      <w:spacing w:val="-2"/>
                      <w:kern w:val="0"/>
                      <w:szCs w:val="21"/>
                      <w:lang w:val="en-US" w:eastAsia="zh-CN"/>
                    </w:rPr>
                    <w:t>原</w:t>
                  </w:r>
                  <w:r>
                    <w:rPr>
                      <w:rFonts w:hint="eastAsia" w:cs="Times New Roman"/>
                      <w:color w:val="auto"/>
                      <w:sz w:val="21"/>
                      <w:szCs w:val="21"/>
                      <w:vertAlign w:val="baseline"/>
                      <w:lang w:val="en-US" w:eastAsia="zh-CN"/>
                    </w:rPr>
                    <w:t>粮</w:t>
                  </w:r>
                  <w:r>
                    <w:rPr>
                      <w:rFonts w:hint="default" w:ascii="Times New Roman" w:hAnsi="Times New Roman" w:cs="Times New Roman"/>
                      <w:color w:val="auto"/>
                      <w:spacing w:val="-2"/>
                      <w:kern w:val="0"/>
                      <w:szCs w:val="21"/>
                      <w:lang w:val="en-US" w:eastAsia="zh-CN"/>
                    </w:rPr>
                    <w:t>仓</w:t>
                  </w:r>
                </w:p>
              </w:tc>
              <w:tc>
                <w:tcPr>
                  <w:tcW w:w="688" w:type="pct"/>
                  <w:vAlign w:val="center"/>
                </w:tcPr>
                <w:p w14:paraId="08D6BE78">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pacing w:val="-2"/>
                      <w:kern w:val="0"/>
                      <w:szCs w:val="21"/>
                      <w:lang w:val="en-US" w:eastAsia="zh-CN"/>
                    </w:rPr>
                    <w:t>18天</w:t>
                  </w:r>
                </w:p>
              </w:tc>
            </w:tr>
            <w:tr w14:paraId="3310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54A74EE">
                  <w:pPr>
                    <w:jc w:val="center"/>
                    <w:rPr>
                      <w:rFonts w:hint="default" w:ascii="Times New Roman" w:hAnsi="Times New Roman" w:cs="Times New Roman"/>
                      <w:color w:val="auto"/>
                      <w:spacing w:val="-2"/>
                      <w:kern w:val="0"/>
                      <w:szCs w:val="21"/>
                      <w:lang w:val="en-US" w:eastAsia="zh-CN"/>
                    </w:rPr>
                  </w:pPr>
                  <w:r>
                    <w:rPr>
                      <w:rFonts w:hint="default" w:ascii="Times New Roman" w:hAnsi="Times New Roman" w:cs="Times New Roman"/>
                      <w:color w:val="auto"/>
                      <w:spacing w:val="-2"/>
                      <w:kern w:val="0"/>
                      <w:szCs w:val="21"/>
                      <w:lang w:val="en-US" w:eastAsia="zh-CN"/>
                    </w:rPr>
                    <w:t>2</w:t>
                  </w:r>
                </w:p>
              </w:tc>
              <w:tc>
                <w:tcPr>
                  <w:tcW w:w="768" w:type="pct"/>
                  <w:vAlign w:val="center"/>
                </w:tcPr>
                <w:p w14:paraId="0520D3F9">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包装材料</w:t>
                  </w:r>
                </w:p>
              </w:tc>
              <w:tc>
                <w:tcPr>
                  <w:tcW w:w="970" w:type="pct"/>
                  <w:vAlign w:val="center"/>
                </w:tcPr>
                <w:p w14:paraId="4DA4B575">
                  <w:pPr>
                    <w:jc w:val="center"/>
                    <w:rPr>
                      <w:rFonts w:hint="default" w:ascii="Times New Roman" w:hAnsi="Times New Roman" w:cs="Times New Roman"/>
                      <w:color w:val="auto"/>
                      <w:lang w:val="en-US" w:eastAsia="zh-CN"/>
                    </w:rPr>
                  </w:pPr>
                  <w:r>
                    <w:rPr>
                      <w:rFonts w:hint="eastAsia" w:cs="Times New Roman"/>
                      <w:color w:val="auto"/>
                      <w:lang w:val="en-US" w:eastAsia="zh-CN"/>
                    </w:rPr>
                    <w:t>5</w:t>
                  </w:r>
                  <w:r>
                    <w:rPr>
                      <w:rFonts w:hint="default" w:ascii="Times New Roman" w:hAnsi="Times New Roman" w:cs="Times New Roman"/>
                      <w:color w:val="auto"/>
                      <w:lang w:val="en-US" w:eastAsia="zh-CN"/>
                    </w:rPr>
                    <w:t>t</w:t>
                  </w:r>
                </w:p>
              </w:tc>
              <w:tc>
                <w:tcPr>
                  <w:tcW w:w="729" w:type="pct"/>
                  <w:vAlign w:val="center"/>
                </w:tcPr>
                <w:p w14:paraId="543FC3A7">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55" w:type="pct"/>
                  <w:vAlign w:val="center"/>
                </w:tcPr>
                <w:p w14:paraId="0467C13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0.42</w:t>
                  </w:r>
                  <w:r>
                    <w:rPr>
                      <w:rFonts w:hint="default" w:ascii="Times New Roman" w:hAnsi="Times New Roman" w:cs="Times New Roman"/>
                      <w:color w:val="auto"/>
                      <w:lang w:val="en-US" w:eastAsia="zh-CN"/>
                    </w:rPr>
                    <w:t>t</w:t>
                  </w:r>
                </w:p>
              </w:tc>
              <w:tc>
                <w:tcPr>
                  <w:tcW w:w="763" w:type="pct"/>
                  <w:vAlign w:val="center"/>
                </w:tcPr>
                <w:p w14:paraId="577FBA7B">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p>
              </w:tc>
              <w:tc>
                <w:tcPr>
                  <w:tcW w:w="688" w:type="pct"/>
                  <w:vAlign w:val="center"/>
                </w:tcPr>
                <w:p w14:paraId="54B635E3">
                  <w:pPr>
                    <w:jc w:val="center"/>
                    <w:rPr>
                      <w:rFonts w:hint="default" w:ascii="Times New Roman" w:hAnsi="Times New Roman" w:cs="Times New Roman"/>
                      <w:color w:val="auto"/>
                      <w:spacing w:val="-2"/>
                      <w:kern w:val="0"/>
                      <w:szCs w:val="21"/>
                      <w:lang w:val="en-US" w:eastAsia="zh-CN"/>
                    </w:rPr>
                  </w:pPr>
                  <w:r>
                    <w:rPr>
                      <w:rFonts w:hint="eastAsia" w:cs="Times New Roman"/>
                      <w:color w:val="auto"/>
                      <w:spacing w:val="-2"/>
                      <w:kern w:val="0"/>
                      <w:szCs w:val="21"/>
                      <w:lang w:val="en-US" w:eastAsia="zh-CN"/>
                    </w:rPr>
                    <w:t>1个月</w:t>
                  </w:r>
                </w:p>
              </w:tc>
            </w:tr>
            <w:tr w14:paraId="64A6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6307279F">
                  <w:pPr>
                    <w:jc w:val="center"/>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cs="Times New Roman"/>
                      <w:color w:val="auto"/>
                      <w:spacing w:val="-2"/>
                      <w:kern w:val="0"/>
                      <w:szCs w:val="21"/>
                      <w:lang w:val="en-US" w:eastAsia="zh-CN"/>
                    </w:rPr>
                    <w:t>3</w:t>
                  </w:r>
                </w:p>
              </w:tc>
              <w:tc>
                <w:tcPr>
                  <w:tcW w:w="768" w:type="pct"/>
                  <w:shd w:val="clear" w:color="auto" w:fill="auto"/>
                  <w:vAlign w:val="center"/>
                </w:tcPr>
                <w:p w14:paraId="3F22DF03">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黄油</w:t>
                  </w:r>
                </w:p>
              </w:tc>
              <w:tc>
                <w:tcPr>
                  <w:tcW w:w="970" w:type="pct"/>
                  <w:shd w:val="clear" w:color="auto" w:fill="auto"/>
                  <w:vAlign w:val="center"/>
                </w:tcPr>
                <w:p w14:paraId="19B4AED5">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0.</w:t>
                  </w:r>
                  <w:r>
                    <w:rPr>
                      <w:rFonts w:hint="eastAsia" w:cs="Times New Roman"/>
                      <w:color w:val="auto"/>
                      <w:lang w:val="en-US" w:eastAsia="zh-CN"/>
                    </w:rPr>
                    <w:t>02</w:t>
                  </w:r>
                  <w:r>
                    <w:rPr>
                      <w:rFonts w:hint="default" w:ascii="Times New Roman" w:hAnsi="Times New Roman" w:cs="Times New Roman"/>
                      <w:color w:val="auto"/>
                    </w:rPr>
                    <w:t>t/a</w:t>
                  </w:r>
                </w:p>
              </w:tc>
              <w:tc>
                <w:tcPr>
                  <w:tcW w:w="729" w:type="pct"/>
                  <w:vAlign w:val="center"/>
                </w:tcPr>
                <w:p w14:paraId="04162C40">
                  <w:pPr>
                    <w:jc w:val="center"/>
                    <w:rPr>
                      <w:rFonts w:hint="default" w:ascii="Times New Roman" w:hAnsi="Times New Roman" w:cs="Times New Roman"/>
                      <w:color w:val="auto"/>
                      <w:lang w:val="en-US" w:eastAsia="zh-CN"/>
                    </w:rPr>
                  </w:pPr>
                  <w:r>
                    <w:rPr>
                      <w:rFonts w:hint="eastAsia" w:cs="Times New Roman"/>
                      <w:color w:val="auto"/>
                      <w:lang w:val="en-US" w:eastAsia="zh-CN"/>
                    </w:rPr>
                    <w:t>用于生产设备润滑</w:t>
                  </w:r>
                </w:p>
              </w:tc>
              <w:tc>
                <w:tcPr>
                  <w:tcW w:w="755" w:type="pct"/>
                  <w:vAlign w:val="center"/>
                </w:tcPr>
                <w:p w14:paraId="3575C5E9">
                  <w:pPr>
                    <w:jc w:val="center"/>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763" w:type="pct"/>
                  <w:vAlign w:val="center"/>
                </w:tcPr>
                <w:p w14:paraId="1BC54135">
                  <w:pPr>
                    <w:jc w:val="center"/>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688" w:type="pct"/>
                  <w:vAlign w:val="center"/>
                </w:tcPr>
                <w:p w14:paraId="66423386">
                  <w:pPr>
                    <w:jc w:val="center"/>
                    <w:rPr>
                      <w:rFonts w:hint="default" w:ascii="Times New Roman" w:hAnsi="Times New Roman" w:cs="Times New Roman"/>
                      <w:color w:val="auto"/>
                      <w:spacing w:val="-2"/>
                      <w:kern w:val="0"/>
                      <w:szCs w:val="21"/>
                      <w:lang w:val="en-US" w:eastAsia="zh-CN"/>
                    </w:rPr>
                  </w:pPr>
                  <w:r>
                    <w:rPr>
                      <w:rFonts w:hint="default" w:ascii="Times New Roman" w:hAnsi="Times New Roman" w:cs="Times New Roman"/>
                      <w:color w:val="auto"/>
                    </w:rPr>
                    <w:t>/</w:t>
                  </w:r>
                </w:p>
              </w:tc>
            </w:tr>
            <w:tr w14:paraId="4C94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18C9EED0">
                  <w:pPr>
                    <w:jc w:val="center"/>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color w:val="auto"/>
                      <w:spacing w:val="-2"/>
                      <w:kern w:val="0"/>
                      <w:szCs w:val="21"/>
                      <w:lang w:val="en-US" w:eastAsia="zh-CN"/>
                    </w:rPr>
                    <w:t>4</w:t>
                  </w:r>
                </w:p>
              </w:tc>
              <w:tc>
                <w:tcPr>
                  <w:tcW w:w="768" w:type="pct"/>
                  <w:vAlign w:val="center"/>
                </w:tcPr>
                <w:p w14:paraId="219BEDD6">
                  <w:pPr>
                    <w:jc w:val="center"/>
                    <w:rPr>
                      <w:rFonts w:hint="default" w:ascii="Times New Roman" w:hAnsi="Times New Roman" w:cs="Times New Roman"/>
                      <w:color w:val="auto"/>
                    </w:rPr>
                  </w:pPr>
                  <w:r>
                    <w:rPr>
                      <w:rFonts w:hint="default" w:ascii="Times New Roman" w:hAnsi="Times New Roman" w:cs="Times New Roman"/>
                      <w:color w:val="auto"/>
                    </w:rPr>
                    <w:t>自来水</w:t>
                  </w:r>
                </w:p>
              </w:tc>
              <w:tc>
                <w:tcPr>
                  <w:tcW w:w="970" w:type="pct"/>
                  <w:vAlign w:val="center"/>
                </w:tcPr>
                <w:p w14:paraId="4D21D3CC">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330</w:t>
                  </w:r>
                  <w:r>
                    <w:rPr>
                      <w:rFonts w:hint="default" w:ascii="Times New Roman" w:hAnsi="Times New Roman" w:cs="Times New Roman"/>
                      <w:color w:val="auto"/>
                    </w:rPr>
                    <w:t>t/a</w:t>
                  </w:r>
                </w:p>
              </w:tc>
              <w:tc>
                <w:tcPr>
                  <w:tcW w:w="729" w:type="pct"/>
                  <w:vAlign w:val="center"/>
                </w:tcPr>
                <w:p w14:paraId="2C5E752E">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55" w:type="pct"/>
                  <w:vAlign w:val="center"/>
                </w:tcPr>
                <w:p w14:paraId="4BEBD453">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63" w:type="pct"/>
                  <w:vAlign w:val="center"/>
                </w:tcPr>
                <w:p w14:paraId="09133110">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688" w:type="pct"/>
                  <w:vAlign w:val="center"/>
                </w:tcPr>
                <w:p w14:paraId="2D45FF2A">
                  <w:pPr>
                    <w:jc w:val="center"/>
                    <w:rPr>
                      <w:rFonts w:hint="default" w:ascii="Times New Roman" w:hAnsi="Times New Roman" w:eastAsia="宋体" w:cs="Times New Roman"/>
                      <w:color w:val="auto"/>
                      <w:spacing w:val="-2"/>
                      <w:kern w:val="0"/>
                      <w:szCs w:val="21"/>
                      <w:lang w:val="en-US" w:eastAsia="zh-CN"/>
                    </w:rPr>
                  </w:pPr>
                  <w:r>
                    <w:rPr>
                      <w:rFonts w:hint="default" w:ascii="Times New Roman" w:hAnsi="Times New Roman" w:cs="Times New Roman"/>
                      <w:color w:val="auto"/>
                      <w:spacing w:val="-2"/>
                      <w:kern w:val="0"/>
                      <w:szCs w:val="21"/>
                      <w:lang w:val="en-US" w:eastAsia="zh-CN"/>
                    </w:rPr>
                    <w:t>/</w:t>
                  </w:r>
                </w:p>
              </w:tc>
            </w:tr>
            <w:tr w14:paraId="3F40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65ECDDE6">
                  <w:pPr>
                    <w:jc w:val="center"/>
                    <w:rPr>
                      <w:rFonts w:hint="default" w:ascii="Times New Roman" w:hAnsi="Times New Roman" w:eastAsia="宋体" w:cs="Times New Roman"/>
                      <w:color w:val="auto"/>
                      <w:spacing w:val="-2"/>
                      <w:kern w:val="0"/>
                      <w:sz w:val="21"/>
                      <w:szCs w:val="21"/>
                      <w:lang w:val="en-US" w:eastAsia="zh-CN" w:bidi="ar-SA"/>
                    </w:rPr>
                  </w:pPr>
                  <w:r>
                    <w:rPr>
                      <w:rFonts w:hint="eastAsia" w:cs="Times New Roman"/>
                      <w:color w:val="auto"/>
                      <w:spacing w:val="-2"/>
                      <w:kern w:val="0"/>
                      <w:szCs w:val="21"/>
                      <w:lang w:val="en-US" w:eastAsia="zh-CN"/>
                    </w:rPr>
                    <w:t>5</w:t>
                  </w:r>
                </w:p>
              </w:tc>
              <w:tc>
                <w:tcPr>
                  <w:tcW w:w="768" w:type="pct"/>
                  <w:vAlign w:val="center"/>
                </w:tcPr>
                <w:p w14:paraId="6037FAEB">
                  <w:pPr>
                    <w:jc w:val="center"/>
                    <w:rPr>
                      <w:rFonts w:hint="default" w:ascii="Times New Roman" w:hAnsi="Times New Roman" w:cs="Times New Roman"/>
                      <w:color w:val="auto"/>
                    </w:rPr>
                  </w:pPr>
                  <w:r>
                    <w:rPr>
                      <w:rFonts w:hint="default" w:ascii="Times New Roman" w:hAnsi="Times New Roman" w:cs="Times New Roman"/>
                      <w:color w:val="auto"/>
                    </w:rPr>
                    <w:t>电</w:t>
                  </w:r>
                </w:p>
              </w:tc>
              <w:tc>
                <w:tcPr>
                  <w:tcW w:w="970" w:type="pct"/>
                  <w:vAlign w:val="center"/>
                </w:tcPr>
                <w:p w14:paraId="4C2D8D29">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20</w:t>
                  </w:r>
                  <w:r>
                    <w:rPr>
                      <w:rFonts w:hint="default" w:ascii="Times New Roman" w:hAnsi="Times New Roman" w:cs="Times New Roman"/>
                      <w:color w:val="auto"/>
                      <w:lang w:val="en-US" w:eastAsia="zh-CN"/>
                    </w:rPr>
                    <w:t>万</w:t>
                  </w:r>
                  <w:r>
                    <w:rPr>
                      <w:rFonts w:hint="default" w:ascii="Times New Roman" w:hAnsi="Times New Roman" w:cs="Times New Roman"/>
                      <w:color w:val="auto"/>
                    </w:rPr>
                    <w:t>kwh/</w:t>
                  </w:r>
                  <w:r>
                    <w:rPr>
                      <w:rFonts w:hint="eastAsia" w:cs="Times New Roman"/>
                      <w:color w:val="auto"/>
                      <w:lang w:val="en-US" w:eastAsia="zh-CN"/>
                    </w:rPr>
                    <w:t>a</w:t>
                  </w:r>
                </w:p>
              </w:tc>
              <w:tc>
                <w:tcPr>
                  <w:tcW w:w="729" w:type="pct"/>
                  <w:vAlign w:val="center"/>
                </w:tcPr>
                <w:p w14:paraId="351F5325">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55" w:type="pct"/>
                  <w:vAlign w:val="center"/>
                </w:tcPr>
                <w:p w14:paraId="172B35D8">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63" w:type="pct"/>
                  <w:vAlign w:val="center"/>
                </w:tcPr>
                <w:p w14:paraId="4431A712">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688" w:type="pct"/>
                  <w:vAlign w:val="center"/>
                </w:tcPr>
                <w:p w14:paraId="2DDAFE88">
                  <w:pPr>
                    <w:jc w:val="center"/>
                    <w:rPr>
                      <w:rFonts w:hint="default" w:ascii="Times New Roman" w:hAnsi="Times New Roman" w:eastAsia="宋体" w:cs="Times New Roman"/>
                      <w:color w:val="auto"/>
                      <w:spacing w:val="-2"/>
                      <w:kern w:val="0"/>
                      <w:szCs w:val="21"/>
                      <w:lang w:val="en-US" w:eastAsia="zh-CN"/>
                    </w:rPr>
                  </w:pPr>
                  <w:r>
                    <w:rPr>
                      <w:rFonts w:hint="default" w:ascii="Times New Roman" w:hAnsi="Times New Roman" w:cs="Times New Roman"/>
                      <w:color w:val="auto"/>
                      <w:spacing w:val="-2"/>
                      <w:kern w:val="0"/>
                      <w:szCs w:val="21"/>
                      <w:lang w:val="en-US" w:eastAsia="zh-CN"/>
                    </w:rPr>
                    <w:t>/</w:t>
                  </w:r>
                </w:p>
              </w:tc>
            </w:tr>
          </w:tbl>
          <w:p w14:paraId="7FA2E0AC">
            <w:pPr>
              <w:spacing w:line="360" w:lineRule="auto"/>
              <w:rPr>
                <w:rFonts w:hint="default" w:ascii="Times New Roman" w:hAnsi="Times New Roman" w:cs="Times New Roman"/>
                <w:color w:val="auto"/>
                <w:sz w:val="24"/>
                <w:szCs w:val="24"/>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、水平衡分析</w:t>
            </w:r>
          </w:p>
          <w:p w14:paraId="0FBAEFD3">
            <w:pPr>
              <w:widowControl/>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（1）生活用水</w:t>
            </w:r>
          </w:p>
          <w:p w14:paraId="5EB09A97">
            <w:pPr>
              <w:widowControl/>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项目定员为1</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人，均</w:t>
            </w:r>
            <w:r>
              <w:rPr>
                <w:rFonts w:hint="default" w:ascii="Times New Roman" w:hAnsi="Times New Roman" w:cs="Times New Roman"/>
                <w:bCs/>
                <w:color w:val="auto"/>
                <w:sz w:val="24"/>
                <w:szCs w:val="24"/>
                <w:lang w:eastAsia="zh-CN"/>
              </w:rPr>
              <w:t>不</w:t>
            </w:r>
            <w:r>
              <w:rPr>
                <w:rFonts w:hint="default" w:ascii="Times New Roman" w:hAnsi="Times New Roman" w:cs="Times New Roman"/>
                <w:bCs/>
                <w:color w:val="auto"/>
                <w:sz w:val="24"/>
                <w:szCs w:val="24"/>
              </w:rPr>
              <w:t>在厂内食宿。参照《安徽省行业用水定额》（DB34/T 679-20</w:t>
            </w:r>
            <w:r>
              <w:rPr>
                <w:rFonts w:hint="default" w:ascii="Times New Roman" w:hAnsi="Times New Roman" w:cs="Times New Roman"/>
                <w:bCs/>
                <w:color w:val="auto"/>
                <w:sz w:val="24"/>
                <w:szCs w:val="24"/>
                <w:lang w:val="en-US" w:eastAsia="zh-CN"/>
              </w:rPr>
              <w:t>25</w:t>
            </w:r>
            <w:r>
              <w:rPr>
                <w:rFonts w:hint="default" w:ascii="Times New Roman" w:hAnsi="Times New Roman" w:cs="Times New Roman"/>
                <w:bCs/>
                <w:color w:val="auto"/>
                <w:sz w:val="24"/>
                <w:szCs w:val="24"/>
              </w:rPr>
              <w:t>）中</w:t>
            </w:r>
            <w:r>
              <w:rPr>
                <w:rFonts w:hint="default" w:ascii="Times New Roman" w:hAnsi="Times New Roman" w:cs="Times New Roman"/>
                <w:color w:val="auto"/>
                <w:sz w:val="24"/>
              </w:rPr>
              <w:t>企业的独立办公楼用水参照国家行政机构用水定额</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即15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/（人·</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）计</w:t>
            </w:r>
            <w:r>
              <w:rPr>
                <w:rFonts w:hint="default" w:ascii="Times New Roman" w:hAnsi="Times New Roman" w:cs="Times New Roman"/>
                <w:bCs/>
                <w:color w:val="auto"/>
                <w:sz w:val="24"/>
                <w:szCs w:val="24"/>
              </w:rPr>
              <w:t>，</w:t>
            </w:r>
            <w:r>
              <w:rPr>
                <w:rFonts w:hint="default" w:ascii="Times New Roman" w:hAnsi="Times New Roman" w:cs="Times New Roman"/>
                <w:color w:val="auto"/>
                <w:sz w:val="24"/>
              </w:rPr>
              <w:t>则本项目生活用水年用量为</w:t>
            </w:r>
            <w:r>
              <w:rPr>
                <w:rFonts w:hint="eastAsia" w:cs="Times New Roman"/>
                <w:color w:val="auto"/>
                <w:sz w:val="24"/>
                <w:lang w:val="en-US" w:eastAsia="zh-CN"/>
              </w:rPr>
              <w:t>225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项目年工作</w:t>
            </w:r>
            <w:r>
              <w:rPr>
                <w:rFonts w:hint="default" w:ascii="Times New Roman" w:hAnsi="Times New Roman" w:cs="Times New Roman"/>
                <w:color w:val="auto"/>
                <w:sz w:val="24"/>
                <w:lang w:val="en-US" w:eastAsia="zh-CN"/>
              </w:rPr>
              <w:t>300</w:t>
            </w:r>
            <w:r>
              <w:rPr>
                <w:rFonts w:hint="default" w:ascii="Times New Roman" w:hAnsi="Times New Roman" w:cs="Times New Roman"/>
                <w:color w:val="auto"/>
                <w:sz w:val="24"/>
              </w:rPr>
              <w:t>天，则生活用水量</w:t>
            </w:r>
            <w:r>
              <w:rPr>
                <w:rFonts w:hint="default" w:ascii="Times New Roman" w:hAnsi="Times New Roman" w:cs="Times New Roman"/>
                <w:color w:val="auto"/>
                <w:sz w:val="24"/>
                <w:lang w:val="en-US" w:eastAsia="zh-CN"/>
              </w:rPr>
              <w:t>每天</w:t>
            </w:r>
            <w:r>
              <w:rPr>
                <w:rFonts w:hint="default" w:ascii="Times New Roman" w:hAnsi="Times New Roman" w:cs="Times New Roman"/>
                <w:color w:val="auto"/>
                <w:sz w:val="24"/>
              </w:rPr>
              <w:t>为</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75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/d，排污系数按0.8计，则本项目生活污水年</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量为</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/a（计为</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/d）</w:t>
            </w:r>
            <w:r>
              <w:rPr>
                <w:rFonts w:hint="default" w:ascii="Times New Roman" w:hAnsi="Times New Roman" w:cs="Times New Roman"/>
                <w:bCs/>
                <w:color w:val="auto"/>
                <w:sz w:val="24"/>
                <w:szCs w:val="24"/>
              </w:rPr>
              <w:t>。</w:t>
            </w:r>
          </w:p>
          <w:p w14:paraId="699A25B7">
            <w:pPr>
              <w:widowControl/>
              <w:spacing w:line="360" w:lineRule="auto"/>
              <w:ind w:firstLine="480" w:firstLineChars="200"/>
              <w:jc w:val="left"/>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（2）抛光用水</w:t>
            </w:r>
          </w:p>
          <w:p w14:paraId="6EDF7669">
            <w:pPr>
              <w:widowControl/>
              <w:spacing w:line="360" w:lineRule="auto"/>
              <w:ind w:firstLine="480" w:firstLineChars="200"/>
              <w:jc w:val="left"/>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生产过程中对经过碾米、分级的白米进行抛光时采用的是湿式抛光法，因此会加入少量的自来水，根据</w:t>
            </w:r>
            <w:r>
              <w:rPr>
                <w:rFonts w:hint="default" w:ascii="Times New Roman" w:hAnsi="Times New Roman" w:cs="Times New Roman"/>
                <w:bCs/>
                <w:color w:val="auto"/>
                <w:sz w:val="24"/>
                <w:szCs w:val="24"/>
              </w:rPr>
              <w:t>《安徽省行业用水定额》（DB34/T 679-20</w:t>
            </w:r>
            <w:r>
              <w:rPr>
                <w:rFonts w:hint="default" w:ascii="Times New Roman" w:hAnsi="Times New Roman" w:cs="Times New Roman"/>
                <w:bCs/>
                <w:color w:val="auto"/>
                <w:sz w:val="24"/>
                <w:szCs w:val="24"/>
                <w:lang w:val="en-US" w:eastAsia="zh-CN"/>
              </w:rPr>
              <w:t>25</w:t>
            </w:r>
            <w:r>
              <w:rPr>
                <w:rFonts w:hint="default" w:ascii="Times New Roman" w:hAnsi="Times New Roman" w:cs="Times New Roman"/>
                <w:bCs/>
                <w:color w:val="auto"/>
                <w:sz w:val="24"/>
                <w:szCs w:val="24"/>
              </w:rPr>
              <w:t>）</w:t>
            </w:r>
            <w:r>
              <w:rPr>
                <w:rFonts w:hint="eastAsia" w:ascii="Times New Roman" w:hAnsi="Times New Roman" w:cs="Times New Roman"/>
                <w:bCs/>
                <w:color w:val="auto"/>
                <w:sz w:val="24"/>
                <w:szCs w:val="24"/>
                <w:lang w:val="en-US" w:eastAsia="zh-CN"/>
              </w:rPr>
              <w:t>中“谷物磨制-大米-每吨产品使用0.02m</w:t>
            </w:r>
            <w:r>
              <w:rPr>
                <w:rFonts w:hint="eastAsia"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水</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项目年产大米10000t，计算抛光</w:t>
            </w:r>
            <w:r>
              <w:rPr>
                <w:rFonts w:hint="default" w:ascii="Times New Roman" w:hAnsi="Times New Roman" w:cs="Times New Roman"/>
                <w:bCs/>
                <w:color w:val="auto"/>
                <w:sz w:val="24"/>
                <w:szCs w:val="24"/>
                <w:lang w:val="en-US" w:eastAsia="zh-CN"/>
              </w:rPr>
              <w:t>用水量为0.</w:t>
            </w:r>
            <w:r>
              <w:rPr>
                <w:rFonts w:hint="eastAsia" w:cs="Times New Roman"/>
                <w:bCs/>
                <w:color w:val="auto"/>
                <w:sz w:val="24"/>
                <w:szCs w:val="24"/>
                <w:lang w:val="en-US" w:eastAsia="zh-CN"/>
              </w:rPr>
              <w:t>67</w:t>
            </w:r>
            <w:r>
              <w:rPr>
                <w:rFonts w:hint="default" w:ascii="Times New Roman" w:hAnsi="Times New Roman" w:cs="Times New Roman"/>
                <w:bCs/>
                <w:color w:val="auto"/>
                <w:sz w:val="24"/>
                <w:szCs w:val="24"/>
                <w:lang w:val="en-US" w:eastAsia="zh-CN"/>
              </w:rPr>
              <w:t>t/d，</w:t>
            </w:r>
            <w:r>
              <w:rPr>
                <w:rFonts w:hint="eastAsia" w:cs="Times New Roman"/>
                <w:bCs/>
                <w:color w:val="auto"/>
                <w:sz w:val="24"/>
                <w:szCs w:val="24"/>
                <w:lang w:val="en-US" w:eastAsia="zh-CN"/>
              </w:rPr>
              <w:t>200</w:t>
            </w:r>
            <w:r>
              <w:rPr>
                <w:rFonts w:hint="default" w:ascii="Times New Roman" w:hAnsi="Times New Roman" w:cs="Times New Roman"/>
                <w:bCs/>
                <w:color w:val="auto"/>
                <w:sz w:val="24"/>
                <w:szCs w:val="24"/>
                <w:lang w:val="en-US" w:eastAsia="zh-CN"/>
              </w:rPr>
              <w:t>t/a，该部分水进入产品以及蒸发，不外排。</w:t>
            </w:r>
          </w:p>
          <w:p w14:paraId="14EF158C">
            <w:pPr>
              <w:widowControl/>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综上所述，本项目总用水量约为</w:t>
            </w:r>
            <w:r>
              <w:rPr>
                <w:rFonts w:hint="eastAsia" w:cs="Times New Roman"/>
                <w:bCs/>
                <w:color w:val="auto"/>
                <w:sz w:val="24"/>
                <w:szCs w:val="24"/>
                <w:lang w:val="en-US" w:eastAsia="zh-CN"/>
              </w:rPr>
              <w:t>425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w:t>
            </w:r>
            <w:r>
              <w:rPr>
                <w:rFonts w:hint="eastAsia" w:cs="Times New Roman"/>
                <w:bCs/>
                <w:color w:val="auto"/>
                <w:sz w:val="24"/>
                <w:szCs w:val="24"/>
                <w:lang w:eastAsia="zh-CN"/>
              </w:rPr>
              <w:t>、</w:t>
            </w:r>
            <w:r>
              <w:rPr>
                <w:rFonts w:hint="eastAsia" w:cs="Times New Roman"/>
                <w:bCs/>
                <w:color w:val="auto"/>
                <w:sz w:val="24"/>
                <w:szCs w:val="24"/>
                <w:lang w:val="en-US" w:eastAsia="zh-CN"/>
              </w:rPr>
              <w:t>1.42</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w:t>
            </w:r>
            <w:r>
              <w:rPr>
                <w:rFonts w:hint="eastAsia" w:ascii="Times New Roman" w:hAnsi="Times New Roman" w:cs="Times New Roman"/>
                <w:bCs/>
                <w:color w:val="auto"/>
                <w:sz w:val="24"/>
                <w:szCs w:val="24"/>
                <w:lang w:val="en-US" w:eastAsia="zh-CN"/>
              </w:rPr>
              <w:t>a</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生活污水</w:t>
            </w:r>
            <w:r>
              <w:rPr>
                <w:rFonts w:hint="default" w:ascii="Times New Roman" w:hAnsi="Times New Roman" w:cs="Times New Roman"/>
                <w:bCs/>
                <w:color w:val="auto"/>
                <w:sz w:val="24"/>
                <w:szCs w:val="24"/>
              </w:rPr>
              <w:t>产生量为</w:t>
            </w:r>
            <w:r>
              <w:rPr>
                <w:rFonts w:hint="default" w:ascii="Times New Roman" w:hAnsi="Times New Roman" w:cs="Times New Roman"/>
                <w:bCs/>
                <w:color w:val="auto"/>
                <w:sz w:val="24"/>
                <w:szCs w:val="24"/>
                <w:lang w:val="en-US" w:eastAsia="zh-CN"/>
              </w:rPr>
              <w:t>1</w:t>
            </w:r>
            <w:r>
              <w:rPr>
                <w:rFonts w:hint="eastAsia" w:cs="Times New Roman"/>
                <w:bCs/>
                <w:color w:val="auto"/>
                <w:sz w:val="24"/>
                <w:szCs w:val="24"/>
                <w:lang w:val="en-US" w:eastAsia="zh-CN"/>
              </w:rPr>
              <w:t>80</w:t>
            </w:r>
            <w:r>
              <w:rPr>
                <w:rFonts w:hint="default" w:ascii="Times New Roman" w:hAnsi="Times New Roman" w:cs="Times New Roman"/>
                <w:bCs/>
                <w:color w:val="auto"/>
                <w:sz w:val="24"/>
                <w:szCs w:val="24"/>
              </w:rPr>
              <w:t>t/a</w:t>
            </w:r>
            <w:r>
              <w:rPr>
                <w:rFonts w:hint="eastAsia" w:cs="Times New Roman"/>
                <w:bCs/>
                <w:color w:val="auto"/>
                <w:sz w:val="24"/>
                <w:szCs w:val="24"/>
                <w:lang w:eastAsia="zh-CN"/>
              </w:rPr>
              <w:t>、</w:t>
            </w:r>
            <w:r>
              <w:rPr>
                <w:rFonts w:hint="eastAsia" w:cs="Times New Roman"/>
                <w:bCs/>
                <w:color w:val="auto"/>
                <w:sz w:val="24"/>
                <w:szCs w:val="24"/>
                <w:lang w:val="en-US" w:eastAsia="zh-CN"/>
              </w:rPr>
              <w:t>0.6</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w:t>
            </w:r>
            <w:r>
              <w:rPr>
                <w:rFonts w:hint="eastAsia" w:ascii="Times New Roman" w:hAnsi="Times New Roman" w:cs="Times New Roman"/>
                <w:bCs/>
                <w:color w:val="auto"/>
                <w:sz w:val="24"/>
                <w:szCs w:val="24"/>
                <w:lang w:val="en-US" w:eastAsia="zh-CN"/>
              </w:rPr>
              <w:t>a</w:t>
            </w:r>
            <w:r>
              <w:rPr>
                <w:rFonts w:hint="default" w:ascii="Times New Roman" w:hAnsi="Times New Roman" w:cs="Times New Roman"/>
                <w:bCs/>
                <w:color w:val="auto"/>
                <w:sz w:val="24"/>
                <w:szCs w:val="24"/>
              </w:rPr>
              <w:t>。</w:t>
            </w:r>
          </w:p>
          <w:p w14:paraId="5E0D55C9">
            <w:pPr>
              <w:widowControl/>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本项目水平衡情况见图2-1。</w:t>
            </w:r>
          </w:p>
          <w:p w14:paraId="2A787233">
            <w:pPr>
              <w:widowControl/>
              <w:spacing w:line="360" w:lineRule="auto"/>
              <w:ind w:firstLine="480" w:firstLineChars="200"/>
              <w:jc w:val="left"/>
              <w:rPr>
                <w:rFonts w:hint="default" w:ascii="Times New Roman" w:hAnsi="Times New Roman" w:cs="Times New Roman"/>
                <w:bCs/>
                <w:color w:val="auto"/>
                <w:sz w:val="24"/>
                <w:szCs w:val="24"/>
              </w:rPr>
            </w:pPr>
          </w:p>
          <w:p w14:paraId="5C2972A4">
            <w:pPr>
              <w:spacing w:line="360" w:lineRule="auto"/>
              <w:jc w:val="center"/>
              <w:rPr>
                <w:rFonts w:hint="default" w:ascii="Times New Roman" w:hAnsi="Times New Roman" w:cs="Times New Roman"/>
                <w:b/>
                <w:bCs/>
                <w:color w:val="auto"/>
                <w:szCs w:val="21"/>
              </w:rPr>
            </w:pPr>
            <w:r>
              <w:rPr>
                <w:rFonts w:hint="default" w:ascii="Times New Roman" w:hAnsi="Times New Roman" w:cs="Times New Roman"/>
                <w:color w:val="auto"/>
                <w:sz w:val="24"/>
              </w:rPr>
              <mc:AlternateContent>
                <mc:Choice Requires="wpc">
                  <w:drawing>
                    <wp:inline distT="0" distB="0" distL="114300" distR="114300">
                      <wp:extent cx="5372100" cy="1403985"/>
                      <wp:effectExtent l="0" t="0" r="0" b="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矩形 4"/>
                              <wps:cNvSpPr/>
                              <wps:spPr>
                                <a:xfrm>
                                  <a:off x="759460" y="470748"/>
                                  <a:ext cx="914400" cy="2973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92F303">
                                    <w:pPr>
                                      <w:jc w:val="center"/>
                                      <w:rPr>
                                        <w:rFonts w:hint="eastAsia"/>
                                        <w:szCs w:val="21"/>
                                      </w:rPr>
                                    </w:pPr>
                                    <w:r>
                                      <w:rPr>
                                        <w:rFonts w:hint="eastAsia"/>
                                        <w:szCs w:val="21"/>
                                      </w:rPr>
                                      <w:t>职工生活用水</w:t>
                                    </w:r>
                                  </w:p>
                                </w:txbxContent>
                              </wps:txbx>
                              <wps:bodyPr lIns="18000" tIns="45720" rIns="18000" bIns="45720" upright="1"/>
                            </wps:wsp>
                            <wps:wsp>
                              <wps:cNvPr id="12" name="直接连接符 5"/>
                              <wps:cNvCnPr/>
                              <wps:spPr>
                                <a:xfrm>
                                  <a:off x="1673860" y="614323"/>
                                  <a:ext cx="383540" cy="635"/>
                                </a:xfrm>
                                <a:prstGeom prst="line">
                                  <a:avLst/>
                                </a:prstGeom>
                                <a:ln w="9525" cap="flat" cmpd="sng">
                                  <a:solidFill>
                                    <a:srgbClr val="000000"/>
                                  </a:solidFill>
                                  <a:prstDash val="solid"/>
                                  <a:headEnd type="none" w="med" len="med"/>
                                  <a:tailEnd type="triangle" w="med" len="med"/>
                                </a:ln>
                              </wps:spPr>
                              <wps:bodyPr upright="1"/>
                            </wps:wsp>
                            <wps:wsp>
                              <wps:cNvPr id="20" name="矩形 6"/>
                              <wps:cNvSpPr/>
                              <wps:spPr>
                                <a:xfrm>
                                  <a:off x="1684020" y="383078"/>
                                  <a:ext cx="571500" cy="297314"/>
                                </a:xfrm>
                                <a:prstGeom prst="rect">
                                  <a:avLst/>
                                </a:prstGeom>
                                <a:noFill/>
                                <a:ln>
                                  <a:noFill/>
                                </a:ln>
                              </wps:spPr>
                              <wps:txbx>
                                <w:txbxContent>
                                  <w:p w14:paraId="0B23202A">
                                    <w:pPr>
                                      <w:rPr>
                                        <w:rFonts w:hint="default" w:eastAsia="宋体"/>
                                        <w:szCs w:val="21"/>
                                        <w:lang w:val="en-US" w:eastAsia="zh-CN"/>
                                      </w:rPr>
                                    </w:pPr>
                                    <w:r>
                                      <w:rPr>
                                        <w:rFonts w:hint="eastAsia"/>
                                        <w:szCs w:val="21"/>
                                        <w:lang w:val="en-US" w:eastAsia="zh-CN"/>
                                      </w:rPr>
                                      <w:t>0.6</w:t>
                                    </w:r>
                                  </w:p>
                                </w:txbxContent>
                              </wps:txbx>
                              <wps:bodyPr upright="1"/>
                            </wps:wsp>
                            <wps:wsp>
                              <wps:cNvPr id="21" name="曲线连接符 8"/>
                              <wps:cNvCnPr/>
                              <wps:spPr>
                                <a:xfrm rot="-5400000">
                                  <a:off x="1159510" y="187410"/>
                                  <a:ext cx="200025" cy="230609"/>
                                </a:xfrm>
                                <a:prstGeom prst="curvedConnector2">
                                  <a:avLst/>
                                </a:prstGeom>
                                <a:ln w="9525" cap="flat" cmpd="sng">
                                  <a:solidFill>
                                    <a:srgbClr val="000000"/>
                                  </a:solidFill>
                                  <a:prstDash val="dash"/>
                                  <a:headEnd type="none" w="med" len="med"/>
                                  <a:tailEnd type="triangle" w="med" len="med"/>
                                </a:ln>
                              </wps:spPr>
                              <wps:bodyPr/>
                            </wps:wsp>
                            <wps:wsp>
                              <wps:cNvPr id="23" name="矩形 9"/>
                              <wps:cNvSpPr/>
                              <wps:spPr>
                                <a:xfrm>
                                  <a:off x="1349375" y="50800"/>
                                  <a:ext cx="572135" cy="297180"/>
                                </a:xfrm>
                                <a:prstGeom prst="rect">
                                  <a:avLst/>
                                </a:prstGeom>
                                <a:noFill/>
                                <a:ln>
                                  <a:noFill/>
                                </a:ln>
                              </wps:spPr>
                              <wps:txbx>
                                <w:txbxContent>
                                  <w:p w14:paraId="219BF40D">
                                    <w:pPr>
                                      <w:rPr>
                                        <w:rFonts w:hint="default" w:eastAsia="宋体"/>
                                        <w:szCs w:val="21"/>
                                        <w:lang w:val="en-US" w:eastAsia="zh-CN"/>
                                      </w:rPr>
                                    </w:pPr>
                                    <w:r>
                                      <w:rPr>
                                        <w:rFonts w:hint="eastAsia" w:eastAsia="宋体"/>
                                        <w:szCs w:val="21"/>
                                        <w:lang w:val="en-US" w:eastAsia="zh-CN"/>
                                      </w:rPr>
                                      <w:t>0.</w:t>
                                    </w:r>
                                    <w:r>
                                      <w:rPr>
                                        <w:rFonts w:hint="eastAsia"/>
                                        <w:szCs w:val="21"/>
                                        <w:lang w:val="en-US" w:eastAsia="zh-CN"/>
                                      </w:rPr>
                                      <w:t>15</w:t>
                                    </w:r>
                                  </w:p>
                                </w:txbxContent>
                              </wps:txbx>
                              <wps:bodyPr upright="1"/>
                            </wps:wsp>
                            <wps:wsp>
                              <wps:cNvPr id="25" name="矩形 10"/>
                              <wps:cNvSpPr/>
                              <wps:spPr>
                                <a:xfrm>
                                  <a:off x="2057400" y="484724"/>
                                  <a:ext cx="610235" cy="2719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37E9E">
                                    <w:pPr>
                                      <w:jc w:val="center"/>
                                      <w:rPr>
                                        <w:rFonts w:hint="eastAsia"/>
                                        <w:szCs w:val="21"/>
                                      </w:rPr>
                                    </w:pPr>
                                    <w:r>
                                      <w:rPr>
                                        <w:rFonts w:hint="eastAsia" w:hAnsi="宋体"/>
                                        <w:szCs w:val="21"/>
                                      </w:rPr>
                                      <w:t>化粪池</w:t>
                                    </w:r>
                                  </w:p>
                                </w:txbxContent>
                              </wps:txbx>
                              <wps:bodyPr lIns="18000" tIns="10800" rIns="18000" bIns="45720" upright="1"/>
                            </wps:wsp>
                            <wps:wsp>
                              <wps:cNvPr id="37" name="直接连接符 11"/>
                              <wps:cNvCnPr/>
                              <wps:spPr>
                                <a:xfrm flipV="1">
                                  <a:off x="2678430" y="619405"/>
                                  <a:ext cx="261620" cy="635"/>
                                </a:xfrm>
                                <a:prstGeom prst="line">
                                  <a:avLst/>
                                </a:prstGeom>
                                <a:ln w="9525" cap="flat" cmpd="sng">
                                  <a:solidFill>
                                    <a:srgbClr val="000000"/>
                                  </a:solidFill>
                                  <a:prstDash val="solid"/>
                                  <a:headEnd type="none" w="med" len="med"/>
                                  <a:tailEnd type="triangle" w="med" len="med"/>
                                </a:ln>
                              </wps:spPr>
                              <wps:bodyPr upright="1"/>
                            </wps:wsp>
                            <wps:wsp>
                              <wps:cNvPr id="38" name="直接连接符 17"/>
                              <wps:cNvCnPr/>
                              <wps:spPr>
                                <a:xfrm>
                                  <a:off x="269240" y="594629"/>
                                  <a:ext cx="480695" cy="635"/>
                                </a:xfrm>
                                <a:prstGeom prst="line">
                                  <a:avLst/>
                                </a:prstGeom>
                                <a:ln w="9525" cap="flat" cmpd="sng">
                                  <a:solidFill>
                                    <a:srgbClr val="000000"/>
                                  </a:solidFill>
                                  <a:prstDash val="solid"/>
                                  <a:headEnd type="none" w="med" len="med"/>
                                  <a:tailEnd type="triangle" w="med" len="med"/>
                                </a:ln>
                              </wps:spPr>
                              <wps:bodyPr upright="1"/>
                            </wps:wsp>
                            <wps:wsp>
                              <wps:cNvPr id="39" name="矩形 18"/>
                              <wps:cNvSpPr/>
                              <wps:spPr>
                                <a:xfrm>
                                  <a:off x="2943860" y="429260"/>
                                  <a:ext cx="1916430" cy="425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F2A6D0">
                                    <w:pPr>
                                      <w:jc w:val="center"/>
                                      <w:rPr>
                                        <w:rFonts w:hint="default" w:eastAsia="宋体"/>
                                        <w:sz w:val="21"/>
                                        <w:szCs w:val="21"/>
                                        <w:lang w:val="en-US" w:eastAsia="zh-CN"/>
                                      </w:rPr>
                                    </w:pPr>
                                    <w:r>
                                      <w:rPr>
                                        <w:rFonts w:hint="default" w:ascii="Times New Roman" w:hAnsi="Times New Roman" w:eastAsia="宋体" w:cs="Times New Roman"/>
                                        <w:color w:val="auto"/>
                                        <w:sz w:val="21"/>
                                        <w:szCs w:val="21"/>
                                        <w:lang w:val="en-US" w:eastAsia="zh-CN"/>
                                      </w:rPr>
                                      <w:t>经厂区内化粪池</w:t>
                                    </w:r>
                                    <w:r>
                                      <w:rPr>
                                        <w:rFonts w:hint="eastAsia" w:cs="Times New Roman"/>
                                        <w:color w:val="auto"/>
                                        <w:sz w:val="21"/>
                                        <w:szCs w:val="21"/>
                                        <w:lang w:val="en-US" w:eastAsia="zh-CN"/>
                                      </w:rPr>
                                      <w:t>处理后定期清掏用于农田施肥</w:t>
                                    </w:r>
                                  </w:p>
                                </w:txbxContent>
                              </wps:txbx>
                              <wps:bodyPr upright="1"/>
                            </wps:wsp>
                            <wps:wsp>
                              <wps:cNvPr id="40" name="矩形 19"/>
                              <wps:cNvSpPr/>
                              <wps:spPr>
                                <a:xfrm>
                                  <a:off x="734060" y="1075055"/>
                                  <a:ext cx="101028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4A0789">
                                    <w:pPr>
                                      <w:jc w:val="center"/>
                                      <w:rPr>
                                        <w:rFonts w:hint="default"/>
                                        <w:szCs w:val="21"/>
                                        <w:lang w:val="en-US"/>
                                      </w:rPr>
                                    </w:pPr>
                                    <w:r>
                                      <w:rPr>
                                        <w:rFonts w:hint="eastAsia"/>
                                        <w:szCs w:val="21"/>
                                        <w:lang w:val="en-US" w:eastAsia="zh-CN"/>
                                      </w:rPr>
                                      <w:t>抛光用水</w:t>
                                    </w:r>
                                  </w:p>
                                </w:txbxContent>
                              </wps:txbx>
                              <wps:bodyPr lIns="18000" tIns="45720" rIns="18000" bIns="45720" upright="1"/>
                            </wps:wsp>
                            <wps:wsp>
                              <wps:cNvPr id="41" name="直接连接符 22"/>
                              <wps:cNvCnPr/>
                              <wps:spPr>
                                <a:xfrm>
                                  <a:off x="258445" y="1196881"/>
                                  <a:ext cx="457200" cy="635"/>
                                </a:xfrm>
                                <a:prstGeom prst="line">
                                  <a:avLst/>
                                </a:prstGeom>
                                <a:ln w="9525" cap="flat" cmpd="sng">
                                  <a:solidFill>
                                    <a:srgbClr val="000000"/>
                                  </a:solidFill>
                                  <a:prstDash val="solid"/>
                                  <a:headEnd type="none" w="med" len="med"/>
                                  <a:tailEnd type="triangle" w="med" len="med"/>
                                </a:ln>
                              </wps:spPr>
                              <wps:bodyPr upright="1"/>
                            </wps:wsp>
                            <wps:wsp>
                              <wps:cNvPr id="42" name="直接连接符 27"/>
                              <wps:cNvCnPr/>
                              <wps:spPr>
                                <a:xfrm flipV="1">
                                  <a:off x="258445" y="375455"/>
                                  <a:ext cx="635" cy="802368"/>
                                </a:xfrm>
                                <a:prstGeom prst="line">
                                  <a:avLst/>
                                </a:prstGeom>
                                <a:ln w="9525" cap="flat" cmpd="sng">
                                  <a:solidFill>
                                    <a:srgbClr val="000000"/>
                                  </a:solidFill>
                                  <a:prstDash val="solid"/>
                                  <a:headEnd type="none" w="med" len="med"/>
                                  <a:tailEnd type="none" w="med" len="med"/>
                                </a:ln>
                              </wps:spPr>
                              <wps:bodyPr upright="1"/>
                            </wps:wsp>
                            <wps:wsp>
                              <wps:cNvPr id="43" name="矩形 28"/>
                              <wps:cNvSpPr/>
                              <wps:spPr>
                                <a:xfrm>
                                  <a:off x="291465" y="355761"/>
                                  <a:ext cx="571500" cy="343055"/>
                                </a:xfrm>
                                <a:prstGeom prst="rect">
                                  <a:avLst/>
                                </a:prstGeom>
                                <a:noFill/>
                                <a:ln>
                                  <a:noFill/>
                                </a:ln>
                              </wps:spPr>
                              <wps:txbx>
                                <w:txbxContent>
                                  <w:p w14:paraId="31F18FF1">
                                    <w:pPr>
                                      <w:rPr>
                                        <w:rFonts w:hint="default" w:eastAsia="宋体"/>
                                        <w:szCs w:val="21"/>
                                        <w:lang w:val="en-US" w:eastAsia="zh-CN"/>
                                      </w:rPr>
                                    </w:pPr>
                                    <w:r>
                                      <w:rPr>
                                        <w:rFonts w:hint="eastAsia"/>
                                        <w:szCs w:val="21"/>
                                        <w:lang w:val="en-US" w:eastAsia="zh-CN"/>
                                      </w:rPr>
                                      <w:t>0.75</w:t>
                                    </w:r>
                                  </w:p>
                                </w:txbxContent>
                              </wps:txbx>
                              <wps:bodyPr upright="1"/>
                            </wps:wsp>
                            <wps:wsp>
                              <wps:cNvPr id="44" name="矩形 29"/>
                              <wps:cNvSpPr/>
                              <wps:spPr>
                                <a:xfrm>
                                  <a:off x="238760" y="951230"/>
                                  <a:ext cx="914400" cy="297180"/>
                                </a:xfrm>
                                <a:prstGeom prst="rect">
                                  <a:avLst/>
                                </a:prstGeom>
                                <a:noFill/>
                                <a:ln>
                                  <a:noFill/>
                                </a:ln>
                              </wps:spPr>
                              <wps:txbx>
                                <w:txbxContent>
                                  <w:p w14:paraId="4E3C9F8C">
                                    <w:pPr>
                                      <w:rPr>
                                        <w:rFonts w:hint="default" w:eastAsia="宋体"/>
                                        <w:szCs w:val="21"/>
                                        <w:lang w:val="en-US" w:eastAsia="zh-CN"/>
                                      </w:rPr>
                                    </w:pPr>
                                    <w:r>
                                      <w:rPr>
                                        <w:rFonts w:hint="eastAsia"/>
                                        <w:szCs w:val="21"/>
                                        <w:lang w:val="en-US" w:eastAsia="zh-CN"/>
                                      </w:rPr>
                                      <w:t>0.67</w:t>
                                    </w:r>
                                  </w:p>
                                </w:txbxContent>
                              </wps:txbx>
                              <wps:bodyPr upright="1"/>
                            </wps:wsp>
                            <wps:wsp>
                              <wps:cNvPr id="45" name="矩形 30"/>
                              <wps:cNvSpPr/>
                              <wps:spPr>
                                <a:xfrm>
                                  <a:off x="31750" y="71120"/>
                                  <a:ext cx="1034415" cy="350520"/>
                                </a:xfrm>
                                <a:prstGeom prst="rect">
                                  <a:avLst/>
                                </a:prstGeom>
                                <a:noFill/>
                                <a:ln>
                                  <a:noFill/>
                                </a:ln>
                              </wps:spPr>
                              <wps:txbx>
                                <w:txbxContent>
                                  <w:p w14:paraId="747C5D8D">
                                    <w:pPr>
                                      <w:jc w:val="center"/>
                                      <w:rPr>
                                        <w:rFonts w:hint="default" w:eastAsia="宋体"/>
                                        <w:szCs w:val="21"/>
                                        <w:lang w:val="en-US" w:eastAsia="zh-CN"/>
                                      </w:rPr>
                                    </w:pPr>
                                    <w:r>
                                      <w:rPr>
                                        <w:rFonts w:hint="eastAsia"/>
                                        <w:szCs w:val="21"/>
                                      </w:rPr>
                                      <w:t>新鲜水</w:t>
                                    </w:r>
                                    <w:r>
                                      <w:rPr>
                                        <w:rFonts w:hint="eastAsia"/>
                                        <w:szCs w:val="21"/>
                                        <w:lang w:val="en-US" w:eastAsia="zh-CN"/>
                                      </w:rPr>
                                      <w:t>1.42</w:t>
                                    </w:r>
                                  </w:p>
                                </w:txbxContent>
                              </wps:txbx>
                              <wps:bodyPr upright="1"/>
                            </wps:wsp>
                            <wps:wsp>
                              <wps:cNvPr id="46" name="曲线连接符 31"/>
                              <wps:cNvCnPr/>
                              <wps:spPr>
                                <a:xfrm rot="-5400000">
                                  <a:off x="1139825" y="849379"/>
                                  <a:ext cx="200025" cy="230609"/>
                                </a:xfrm>
                                <a:prstGeom prst="curvedConnector2">
                                  <a:avLst/>
                                </a:prstGeom>
                                <a:ln w="9525" cap="flat" cmpd="sng">
                                  <a:solidFill>
                                    <a:srgbClr val="000000"/>
                                  </a:solidFill>
                                  <a:prstDash val="dash"/>
                                  <a:headEnd type="none" w="med" len="med"/>
                                  <a:tailEnd type="triangle" w="med" len="med"/>
                                </a:ln>
                              </wps:spPr>
                              <wps:bodyPr/>
                            </wps:wsp>
                            <wps:wsp>
                              <wps:cNvPr id="47" name="矩形 32"/>
                              <wps:cNvSpPr/>
                              <wps:spPr>
                                <a:xfrm>
                                  <a:off x="1279525" y="779145"/>
                                  <a:ext cx="541655" cy="297180"/>
                                </a:xfrm>
                                <a:prstGeom prst="rect">
                                  <a:avLst/>
                                </a:prstGeom>
                                <a:noFill/>
                                <a:ln>
                                  <a:noFill/>
                                </a:ln>
                              </wps:spPr>
                              <wps:txbx>
                                <w:txbxContent>
                                  <w:p w14:paraId="729EFD2F">
                                    <w:pPr>
                                      <w:rPr>
                                        <w:rFonts w:hint="default" w:eastAsia="宋体"/>
                                        <w:szCs w:val="21"/>
                                        <w:lang w:val="en-US" w:eastAsia="zh-CN"/>
                                      </w:rPr>
                                    </w:pPr>
                                    <w:r>
                                      <w:rPr>
                                        <w:rFonts w:hint="eastAsia"/>
                                        <w:szCs w:val="21"/>
                                        <w:lang w:val="en-US" w:eastAsia="zh-CN"/>
                                      </w:rPr>
                                      <w:t>0.67</w:t>
                                    </w:r>
                                  </w:p>
                                </w:txbxContent>
                              </wps:txbx>
                              <wps:bodyPr upright="1"/>
                            </wps:wsp>
                            <wps:wsp>
                              <wps:cNvPr id="48" name="矩形 33"/>
                              <wps:cNvSpPr/>
                              <wps:spPr>
                                <a:xfrm>
                                  <a:off x="2628900" y="396419"/>
                                  <a:ext cx="571500" cy="297314"/>
                                </a:xfrm>
                                <a:prstGeom prst="rect">
                                  <a:avLst/>
                                </a:prstGeom>
                                <a:noFill/>
                                <a:ln>
                                  <a:noFill/>
                                </a:ln>
                              </wps:spPr>
                              <wps:txbx>
                                <w:txbxContent>
                                  <w:p w14:paraId="7C5F1875">
                                    <w:pPr>
                                      <w:rPr>
                                        <w:rFonts w:hint="default" w:eastAsia="宋体"/>
                                        <w:szCs w:val="21"/>
                                        <w:lang w:val="en-US" w:eastAsia="zh-CN"/>
                                      </w:rPr>
                                    </w:pPr>
                                    <w:r>
                                      <w:rPr>
                                        <w:rFonts w:hint="eastAsia"/>
                                        <w:szCs w:val="21"/>
                                        <w:lang w:val="en-US" w:eastAsia="zh-CN"/>
                                      </w:rPr>
                                      <w:t>0.6</w:t>
                                    </w:r>
                                  </w:p>
                                </w:txbxContent>
                              </wps:txbx>
                              <wps:bodyPr upright="1"/>
                            </wps:wsp>
                          </wpc:wpc>
                        </a:graphicData>
                      </a:graphic>
                    </wp:inline>
                  </w:drawing>
                </mc:Choice>
                <mc:Fallback>
                  <w:pict>
                    <v:group id="_x0000_s1026" o:spid="_x0000_s1026" o:spt="203" style="height:110.55pt;width:423pt;" coordsize="5372100,1403985" editas="canvas"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DU1iFX7BQAA4CUAAA4AAABkcnMvZTJvRG9jLnhtbO1ay27b&#10;RhTdF+g/ENzH4jz4EixnYSdGgaINkLZ7mqQkAnxhSFv2uvuuugvQAgVaoEBXRRdFiyJfk7if0TMz&#10;JCXRkiU7iaM00kLiS8OZM+eee+aSh48vs9S4iEWVFPnIJAeWacR5WERJPhmZX3/19JFnGlUd5FGQ&#10;Fnk8Mq/iynx89Oknh7NyGNNiWqRRLAw0klfDWTkyp3VdDgeDKpzGWVAdFGWc4+S4EFlQY1dMBpEI&#10;Zmg9SwfUspzBrBBRKYowriocPdEnzaZFsU2DxXichPFJEZ5ncV7rVkWcBjWGVE2TsjKPVG/H4zis&#10;vxyPq7g20pGJkdbqGzfB9pn8HhwdBsOJCMppEjZdCLbpQm9MWZDkuGnX1ElQB8a5SG40lSWhKKpi&#10;XB+ERTbQA1GIYBTE6mFzKorzUo1lMpxNyg50TFQP9Xs3G35x8UwYSTQyGTeNPMgw49ff//3qz28N&#10;HAA6s3IyxEWnonxePhPNgYnekwO+HItM/mIoxqXC9arDNb6sjRAHbeZSYgHyEOcIt5jv2Rr5cIrp&#10;ufG/cPpkwz8H7Y0Hsn9dd2YlOFnNgareDKjn06CMFf6VxKAFqsPpx19f/fOT0cCkLukwqoYV4FoB&#10;kGv73AEUQIK7lss9DUQLlU84b5GivsuIar0bbjAsRVWfxkVmyI2RKcBwRbzg4vOqxvTg0vYSefeq&#10;SJPoaZKmakdMzo5TYVwEiIan6iPvjr8sXZbmxmxk+ja1MWMBQnyM0MJmVoImVT5R91v6R7XYsKU+&#10;qxqWHTsJqqnugGpBjz5L6ligJ8FwGgfRkzwy6qsSTMyhQKbsTBZHppHGECy5pa6sgyTd5kqMLs0x&#10;SMkNPSdyq748u0QzcvOsiK4wtelnOehCPPQeOqF2uO1S7IjFM2eLZ85LkUymmAaihtvQTzf7znlI&#10;aEfEF3+8/u7nf1/+gO/r334xVHDJzoC0x3kTte3o28jpQpY4LvMaSjqEM8o0wC0lmcds3gSvw1Tb&#10;6/mYJpgxOZFr+Pjw3Lovo2qRBPkkXcO/1axqqPReaSEZ2+i41idHTmfDhs36RByPW7INCBRm3nJ7&#10;AmW7xH6bApUXUp1URMswDYbdgdUQ3wzc94s2adF+/eL3679ezoNQ4XZ7EBqigHY8QnTJjwqbJo0S&#10;Yvs20bNAPJdjU0HUxiSMlKXkGbNEmeVYvhKgeWy3OaBJE+G5uIij4yLPkS8KQXcgRCMkAj2oh49Q&#10;YKnyATT6gcQaoroclWrCto9Kxn3mIh9jvm0LOWqZDshTBMqs/BVcA5LY7XTY5Bq6GNS584MLSkCx&#10;JIE6fLZGm1q2q1yYNGked6kyYcGwjT6HWLSD2yW+pTLm+qS4Ce71Xmpv0prctd6kERUOu2rSmNtR&#10;sWfSiPKMGxLEOE3Kb6S9lJmxyQ3UcT3OdG5wiM+tZi3VspM6xJEJXC629n6tWS+sNhO74NcY6i2N&#10;WPUZ4koVv50hS7zwqfTpMkVgjUlVhpmLFvcsx29yxJ4Wu08Lv6OFtvFk0VBu9vHU592qjlOfYoG3&#10;5CCJTxylIlImOLW5/YaeYZ/EVmvMji1YpEIse6O7OVGXcSw3lMoQy7Utu5d9CMqYFOU97UWxWoRr&#10;lXZ77dJkb4421bq25dUHV8Hi3eL5upf6KL1b6rM9zsE5SBkhvuN5ylst5D5ZyNtbouUS6mpa7YIl&#10;4msrm3QLS2SsNM1zhmAdzfuqJQ2RUiwPKztHZdr1ivX/qXGur6/vMDn6lRR6V2NEuKO1gtm26/Sk&#10;YrG+yWCQNFPWk2FT+vrASyl8/lRQ21C9rNi+lMI8t7ELKGiiVLnsQnuPuz72wpXMYUvmTOO1NdoM&#10;bkt7M5cQ1ACWHb/FOCeNzjE4N33Bx0ttpwW7X7pn25Rmbqnd4/m2LM7DjXiybNtbiO9r93iye/+n&#10;a3IxIQPi4Wr3fF7D0xrIFt3p5qU4oa5+mA5CuC4kr7dksjlxkGb21Xv9IgpeieiJoCqvby2C1KGe&#10;L90+4Ga+w0kv/hYz/Nt4xeLdZXj1cgte/FHL5+YlJflm0eK+iob5i1l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BPsx921gAAAAUBAAAPAAAAAAAAAAEAIAAAACIAAABkcnMvZG93bnJldi54bWxQ&#10;SwECFAAUAAAACACHTuJANTWIVfsFAADgJQAADgAAAAAAAAABACAAAAAlAQAAZHJzL2Uyb0RvYy54&#10;bWxQSwUGAAAAAAYABgBZAQAAkgkAAAAA&#10;">
                      <o:lock v:ext="edit" aspectratio="f"/>
                      <v:shape id="_x0000_s1026" o:spid="_x0000_s1026" style="position:absolute;left:0;top:0;height:1403985;width:53721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FZo9CaqBQAAWyUAAA4AAABkcnMvZTJvRG9jLnhtbO1azW7b&#10;RhC+F+g7ELzH4v6QSwqWc7DrokDRBkjb+4qkJAL8w5KW5JfoCwRogQIpUCCnoKcCRZ6mcR+jM7vU&#10;Dxnrx4ljK410kJfa9XB29puZb4Y8fTrPUmsaqyop8oFNThzbivOwiJJ8PLB//OHyiW9bVS3zSKZF&#10;Hg/s67iyn559+cXprOzHtJgUaRQrC4TkVX9WDuxJXZf9Xq8KJ3Emq5OijHOYHBUqkzVcqnEvUnIG&#10;0rO0Rx3H680KFZWqCOOqgl8vzKTdSFT7CCxGoySML4rwKovz2khVcSpr2FI1ScrKPtPajkZxWH8/&#10;GlVxbaUDG3Za62+4CYyH+N07O5X9sZLlJAkbFeQ+KnT2lMkkh5suRV3IWlpXKnlHVJaEqqiKUX0S&#10;FlnPbERbBHZBnI5tzmU+lWYzIdh6oSCM7lHucIx658VlkqZgjR5I7+Nv+HcGpx3jdJq3F5lf9Npm&#10;zawEOFTlEhjVh6n4fCLLWB9j1Q+/mz5TVhINbGZbucwAlDe//vHP379ZHM8P7wxLnpfPVHNVwRD1&#10;nY9Uhn/BzNZ8YAs34B4c/PXA5sIR3DenH89rK4TpgHDuwHQI8zQQjGjpvZWYUlX113GRWTgY2ArA&#10;pc9cTr+tajSd7C+W4F2rIk0itKq+UOPheaqsqQQgXuoP3h3+pbUsza0ZaOJSF/SQ4F0jQDUMsxJ2&#10;X+Vjfb/Wf1Trgh39uU0wKnYhq4lRQEswu8+SOlagiexPYhl9lUdWfV2ChXNwfhuVyeLIttIYYgWO&#10;9MpaJuk+K2F3CByASdU3Z4Kjej6cgxgcDovoGo42/SYHuBAftAcX1RfcFRQu1PrMcH3mqlTJeALH&#10;QPR2URrAz4j96DgkdAnEF3++/fnlv29+ge+bV79bLmqDygAiz/NdiCSeYH4DSY9wRpkx8AKSzGcu&#10;byDpMS17Mx7TBE4MD3IDHh8eW++LqFolMh+nG/B3O6oaKD0qLBCxrfjkraFhd3wins8dlAEBCE7e&#10;EZ0A5Qri3meAWsb8LfF9u+M+rrXJwtpvX7y++evNygm13bY7oaUKiB1PwLvwo92myRKEuIFLzCkQ&#10;X3AY6qC38EngMI4Oz5gmmOM5Ac5vdsvwSk3j6LzIc8gXhaIH4KIRJAKzqYf3ULTVwwZrCKptr9QH&#10;1sBjD69kPGAC8jGct+tAjmrDAfIUgci8YA2QxLbDYRdr+NSdEkzRCoHGffa2NnVcoVkYWJv7XFBN&#10;wmR/4X0ecejS3IIEjs6Ym71vl7k3c6kjSWuYzGaSRrQ7HCpJY2IJxQ5JI5oz7kgQozQpf0J6iZSq&#10;yQ3UEz5nJjd4JOCOpmQrdFKPeJjAsYQ48rWmXjhcvsag1dEEqy5CBEbx7Qhp4SKgyNMxRUCNSXWG&#10;WcGC+44XNDniCIvDh0WwhIVpM5B1QrmbMdCAL6s6TgMKBR6AaQUHEhBPRxEME5y63P1AznBMYrfH&#10;mHc7DY9asGCEaHOjuzFRwTiUGzrKEEe4jtvJPgQ6iNRfcFGoFoG1It0+drCOHaxlMms6qXxZPN90&#10;Uh+ld0t9rs85YA5CGSGB5/uaW62CnW7kHSlRu4V6e7g6hBYW39jZpHtQIutW0rxCCNTRvBu1kBBp&#10;wuxDZefpTLs5Yv1/epyb++sHDI5uJ4XelRgR7plYwVxXeJ1Qsd7fZECQDFI2g2FXbf+Jt1I479AF&#10;U1bs30phvmjoAjQ0oVXZZqGdx12fe+MKc1iLnBl77W1tBmzLcDNBCPQA2ozfYZyTJs4xYG5mwecL&#10;bW9h7G7rnu3TmtnSu2eBj815YCM+tm07hfixdw9Pdt//6RoWE+gQD/egla96eKYUZ+vsdHcpTqgw&#10;D9MBEEJAyOuUTC4nHqSZY/fevF8Br0R0gqBur+8dBKlH/QAfUYK5WeBx0vG/9Qx/H69YfLwMb15t&#10;KUNdPjfvB+FLPevX2htW70Sd/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ZCAAAW0NvbnRlbnRfVHlwZXNdLnhtbFBLAQIUAAoAAAAAAIdO4kAA&#10;AAAAAAAAAAAAAAAGAAAAAAAAAAAAEAAAAPsGAABfcmVscy9QSwECFAAUAAAACACHTuJAihRmPNEA&#10;AACUAQAACwAAAAAAAAABACAAAAAfBwAAX3JlbHMvLnJlbHNQSwECFAAKAAAAAACHTuJAAAAAAAAA&#10;AAAAAAAABAAAAAAAAAAAABAAAAAAAAAAZHJzL1BLAQIUABQAAAAIAIdO4kBPsx921gAAAAUBAAAP&#10;AAAAAAAAAAEAIAAAACIAAABkcnMvZG93bnJldi54bWxQSwECFAAUAAAACACHTuJAVmj0JqoFAABb&#10;JQAADgAAAAAAAAABACAAAAAlAQAAZHJzL2Uyb0RvYy54bWxQSwUGAAAAAAYABgBZAQAAQQkAAAAA&#10;">
                        <v:fill on="f" focussize="0,0"/>
                        <v:stroke on="f"/>
                        <v:imagedata o:title=""/>
                        <o:lock v:ext="edit" aspectratio="t"/>
                      </v:shape>
                      <v:rect id="矩形 4" o:spid="_x0000_s1026" o:spt="1" style="position:absolute;left:759460;top:470748;height:297314;width:914400;" fillcolor="#FFFFFF" filled="t" stroked="t" coordsize="21600,21600" o:gfxdata="UEsDBAoAAAAAAIdO4kAAAAAAAAAAAAAAAAAEAAAAZHJzL1BLAwQUAAAACACHTuJAjENIxtMAAAAF&#10;AQAADwAAAGRycy9kb3ducmV2LnhtbE2PQUvDQBCF74L/YRnBi9hNQgk1zaQHQY9qW71vs9MkNDsb&#10;spu0/feOXvTy4PGG974pNxfXq5nG0HlGSBcJKOLa244bhM/9y+MKVIiGrek9E8KVAmyq25vSFNaf&#10;eUvzLjZKSjgUBqGNcSi0DnVLzoSFH4glO/rRmSh2bLQdzVnKXa+zJMm1Mx3LQmsGem6pPu0mh/Cx&#10;n47b9zl3T2/2unzgLxpeIyHe36XJGlSkS/w7hh98QYdKmA5+YhtUjyCPxF+VbLXMxR4QsixNQVel&#10;/k9ffQNQSwMEFAAAAAgAh07iQKPdPp4mAgAAZgQAAA4AAABkcnMvZTJvRG9jLnhtbK1US27bMBDd&#10;F+gdCO5rSY4c24LlLOq6KFC0AdIegCYpiQB/IGlLPk2B7nqIHqfoNTKk3MRJs/AiWkgzmtGb92aG&#10;Wt0MSqIDd14YXeNikmPENTVM6LbG379t3y0w8oFoRqTRvMZH7vHN+u2bVW8rPjWdkYw7BCDaV72t&#10;cReCrbLM044r4ifGcg3BxjhFAriuzZgjPaArmU3z/DrrjWPWGcq9h7ebMYhPiO4SQNM0gvKNoXvF&#10;dRhRHZckgCTfCevxOrFtGk7D16bxPCBZY1Aa0h2KgL2L92y9IlXriO0EPVEgl1B4pkkRoaHoA9SG&#10;BIL2TvwHpQR1xpsmTKhR2SgkdQRUFPmz3tx1xPKkBVrt7UPT/evB0i+HW4cEq/EVRpooGPjfH7/+&#10;/P6Jytib3voKUu7srTt5HswodGicik+QgIYaz2fL8hqaeqxxOc/n5WLsLB8CohBeFmWZQ5hCfLqc&#10;XxUJPXuEsc6Hj9woFI0aOxhc6ic5fPYBSkPqv5RY1Rsp2FZImRzX7t5Lhw4EhrxNV6wOnzxJkxr1&#10;wGQ2nQEPApvbwMaAqSyo97pN9Z584c+B83S9BByJbYjvRgIJYVSvROAOmJCq44R90AyFo4UOazhY&#10;OJJRnGEkOZzDaKXMQIS8JBPUSQ0i44TGmUQrDLsBYKK5M+wIo5WfNKxLsQD2sP7JKWfzKTjuPLI7&#10;j+ytE20HYyiS3IgG65c6ejoqcb/P/UTk8fewv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Q0jG&#10;0wAAAAUBAAAPAAAAAAAAAAEAIAAAACIAAABkcnMvZG93bnJldi54bWxQSwECFAAUAAAACACHTuJA&#10;o90+niYCAABmBAAADgAAAAAAAAABACAAAAAiAQAAZHJzL2Uyb0RvYy54bWxQSwUGAAAAAAYABgBZ&#10;AQAAugUAAAAA&#10;">
                        <v:fill on="t" focussize="0,0"/>
                        <v:stroke color="#000000" joinstyle="miter"/>
                        <v:imagedata o:title=""/>
                        <o:lock v:ext="edit" aspectratio="f"/>
                        <v:textbox inset="0.5mm,1.27mm,0.5mm,1.27mm">
                          <w:txbxContent>
                            <w:p w14:paraId="7A92F303">
                              <w:pPr>
                                <w:jc w:val="center"/>
                                <w:rPr>
                                  <w:rFonts w:hint="eastAsia"/>
                                  <w:szCs w:val="21"/>
                                </w:rPr>
                              </w:pPr>
                              <w:r>
                                <w:rPr>
                                  <w:rFonts w:hint="eastAsia"/>
                                  <w:szCs w:val="21"/>
                                </w:rPr>
                                <w:t>职工生活用水</w:t>
                              </w:r>
                            </w:p>
                          </w:txbxContent>
                        </v:textbox>
                      </v:rect>
                      <v:line id="直接连接符 5" o:spid="_x0000_s1026" o:spt="20" style="position:absolute;left:1673860;top:614323;height:635;width:383540;"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EbF/2cLAgAA9QMAAA4AAABkcnMvZTJvRG9jLnhtbK1TzY7T&#10;MBC+I/EOlu80bbMt3ajpHrYsFwSVYB9gajuJJf/Jdpv2JXgBJG5w4sidt2F5DMZO2cIipD2QgzPO&#10;jL/5vi/j5dVBK7IXPkhrajoZjSkRhlkuTVvT23c3zxaUhAiGg7JG1PQoAr1aPX2y7F0lprazigtP&#10;EMSEqnc17WJ0VVEE1gkNYWSdMJhsrNcQcevbgnvoEV2rYjoez4veeu68ZSIE/LoekvSE6B8DaJtG&#10;MrG2bKeFiQOqFwoiSgqddIGuMtumESy+aZogIlE1RaUxr9gE421ai9USqtaD6yQ7UYDHUHigSYM0&#10;2PQeag0RyM7Lv6C0ZN4G28QRs7oYhGRHUMVk/MCbtx04kbWg1cHdmx7+Hyx7vd94IjlOwpQSAxr/&#10;+N2Hr9/ff/rx7SOud18+k1lyqXehwuJrs/GnXXAbnyQfGq/TG8WQA+LMn5eLOfp7rOl8clFOy8Fk&#10;cYiEYb5clLMLTLOULzN2cQZxPsSXwmqSgpoqaZIBUMH+VYjYGEt/laTPypC+ppez6QwBAaexwSnA&#10;UDtUFEybzwarJL+RSqUTwbfba+XJHtJE5CfxQ9w/ylKTNYRuqMupQUYngL8wnMSjQ6sMXhGaKGjB&#10;KVECb1SKEBCqCFKdK6OXYFr1j2psrwyySC4PvqZoa/kR/87Oedl26MYkM00ZnIbM+TS5adx+32ek&#10;821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w4Jp1gAAAAUBAAAPAAAAAAAAAAEAIAAAACIA&#10;AABkcnMvZG93bnJldi54bWxQSwECFAAUAAAACACHTuJARsX/ZwsCAAD1AwAADgAAAAAAAAABACAA&#10;AAAlAQAAZHJzL2Uyb0RvYy54bWxQSwUGAAAAAAYABgBZAQAAogUAAAAA&#10;">
                        <v:fill on="f" focussize="0,0"/>
                        <v:stroke color="#000000" joinstyle="round" endarrow="block"/>
                        <v:imagedata o:title=""/>
                        <o:lock v:ext="edit" aspectratio="f"/>
                      </v:line>
                      <v:rect id="矩形 6" o:spid="_x0000_s1026" o:spt="1" style="position:absolute;left:1684020;top:383078;height:297314;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Gz0GWqsAQAATAMAAA4AAABkcnMvZTJvRG9jLnhtbK1TS27b&#10;MBTcF+gdCO5rSnZiO4LlbIx0U6QB0h6ApkiLAH/goy35NAWy6yF6nKLX6KOk5rvJohvq/TBvZkht&#10;rntryElG0N7VtJwVlEgnfKPdoabfv918WlMCibuGG+9kTc8S6PX244dNFyo59603jYwEQRxUXahp&#10;m1KoGAPRSsth5oN02FQ+Wp4wjQfWRN4hujVsXhRL1vnYhOiFBMDqbmzSCTG+B9ArpYXceXG00qUR&#10;NUrDE0qCVgeg24GtUlKkr0qBTMTUFJWm4cQlGO/zybYbXh0iD60WEwX+HgqvNFmuHS59hNrxxMkx&#10;6jdQVovowas0E96yUcjgCKooi1fe3Lc8yEELWg3h0XT4f7Di9nQXiW5qOkdLHLd4439+/Pz964Es&#10;szldgApn7sNdnDLAMCvtVbT5ixpIjw9pub4oMsa5pov1olitR29ln4jA/uWqvCywLbA/v1otyovc&#10;Z084IUL6LL0lOahpxKsbHOWnL5DG0X8jea3zN9oYrPPKuBcFxMwVlqmPZHOU+n0/Kdj75oyijyHq&#10;Q4uryoFJHkKTB07Tg8i3+DwfQJ9+gu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7MfdtYAAAAF&#10;AQAADwAAAAAAAAABACAAAAAiAAAAZHJzL2Rvd25yZXYueG1sUEsBAhQAFAAAAAgAh07iQGz0GWqs&#10;AQAATAMAAA4AAAAAAAAAAQAgAAAAJQEAAGRycy9lMm9Eb2MueG1sUEsFBgAAAAAGAAYAWQEAAEMF&#10;AAAAAA==&#10;">
                        <v:fill on="f" focussize="0,0"/>
                        <v:stroke on="f"/>
                        <v:imagedata o:title=""/>
                        <o:lock v:ext="edit" aspectratio="f"/>
                        <v:textbox>
                          <w:txbxContent>
                            <w:p w14:paraId="0B23202A">
                              <w:pPr>
                                <w:rPr>
                                  <w:rFonts w:hint="default" w:eastAsia="宋体"/>
                                  <w:szCs w:val="21"/>
                                  <w:lang w:val="en-US" w:eastAsia="zh-CN"/>
                                </w:rPr>
                              </w:pPr>
                              <w:r>
                                <w:rPr>
                                  <w:rFonts w:hint="eastAsia"/>
                                  <w:szCs w:val="21"/>
                                  <w:lang w:val="en-US" w:eastAsia="zh-CN"/>
                                </w:rPr>
                                <w:t>0.6</w:t>
                              </w:r>
                            </w:p>
                          </w:txbxContent>
                        </v:textbox>
                      </v:rect>
                      <v:shape id="曲线连接符 8" o:spid="_x0000_s1026" o:spt="37" type="#_x0000_t37" style="position:absolute;left:1159510;top:187410;height:230609;width:200025;rotation:-5898240f;" filled="f" stroked="t" coordsize="21600,21600" o:gfxdata="UEsDBAoAAAAAAIdO4kAAAAAAAAAAAAAAAAAEAAAAZHJzL1BLAwQUAAAACACHTuJAPw/fotUAAAAF&#10;AQAADwAAAGRycy9kb3ducmV2LnhtbE2PzU7DMBCE70i8g7VI3KiTgEKVxumhEkitcmlB4ura2yQQ&#10;ryPb/YGnZ+ECl5FGs5r5tl5e3ChOGOLgSUE+y0AgGW8H6hS8vjzdzUHEpMnq0RMq+MQIy+b6qtaV&#10;9Wfa4mmXOsElFCutoE9pqqSMpken48xPSJwdfHA6sQ2dtEGfudyNssiyUjo9EC/0esJVj+Zjd3QK&#10;2ue3L//e3pftpl3bsFqb7ebRKHV7k2cLEAkv6e8YfvAZHRpm2vsj2ShGBfxI+lXO5g8l272Coshz&#10;kE0t/9M331BLAwQUAAAACACHTuJA1xXa/xYCAAAGBAAADgAAAGRycy9lMm9Eb2MueG1srVPNbhMx&#10;EL4j8Q6W781ulqYkUTY9JJQLgkjAAzi2d9eS/zR2sslL8AJI3ODEiSOXvk3LYzD2hhaKkHrAB2vs&#10;mflmvs/jxeXBaLKXEJSzNR2PSkqk5U4o29b0/bursyklITIrmHZW1vQoA71cPn2y6P1cVq5zWkgg&#10;CGLDvPc17WL086IIvJOGhZHz0qKzcWBYxCO0hQDWI7rRRVWWF0XvQHhwXIaAt+vBSU+I8BhA1zSK&#10;y7XjOyNtHFBBahaRUuiUD3SZu20ayeObpgkyEl1TZBrzjkXQ3qa9WC7YvAXmO8VPLbDHtPCAk2HK&#10;YtE7qDWLjOxA/QVlFAcXXBNH3JliIJIVQRbj8oE2bzvmZeaCUgd/J3r4f7D89X4DRImaVmNKLDP4&#10;4jcfv91+v/5x/enmw+fbr1/INKnU+zDH4JXdwOkU/AYS5UMDhoBDac8m52VaWQnkRg44YOPJbDJG&#10;uY9oT5+fo5k1l4dIOPpxJMpqQglHf/WsvChnyV8MsAneQ4gvpTMkGTXlO9hLsXLW4ts6qHIttn8V&#10;4pD2Kzylakv6ms4mGZ/hrDY4I1jKeOQbbJtzg9NKXCmtU0aAdrvSQPYszUtep3b+CEtF1ix0Q5xA&#10;ayDVSSZeWEHi0aOOFv8PTR0YKSjREr9bsjL9yJS+j4ygmG31P6JRDG1Rk/QEg+jJ2jpxzG+R73E8&#10;smqnUU7z9/s5Z99/3+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w/fotUAAAAFAQAADwAAAAAA&#10;AAABACAAAAAiAAAAZHJzL2Rvd25yZXYueG1sUEsBAhQAFAAAAAgAh07iQNcV2v8WAgAABgQAAA4A&#10;AAAAAAAAAQAgAAAAJAEAAGRycy9lMm9Eb2MueG1sUEsFBgAAAAAGAAYAWQEAAKwFAAAAAA==&#10;">
                        <v:fill on="f" focussize="0,0"/>
                        <v:stroke color="#000000" joinstyle="round" dashstyle="dash" endarrow="block"/>
                        <v:imagedata o:title=""/>
                        <o:lock v:ext="edit" aspectratio="f"/>
                      </v:shape>
                      <v:rect id="矩形 9" o:spid="_x0000_s1026" o:spt="1" style="position:absolute;left:1349375;top:50800;height:297180;width:572135;"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CaVK3uuAQAASwMAAA4AAABkcnMvZTJvRG9jLnhtbK1TS27b&#10;MBDdF+gdCO5rfVzXtmA5GyPdFGmANAegKdIiwB+GtCWfJkB2OUSPU/QaHdJq0qabLLqhZjiD9+a9&#10;oTZXo9HkJCAoZ1tazUpKhOWuU/bQ0vtv1x9WlITIbMe0s6KlZxHo1fb9u83gG1G73ulOAEEQG5rB&#10;t7SP0TdFEXgvDAsz54XFonRgWMQUDkUHbEB0o4u6LD8Vg4POg+MiBLzdXYp0QoS3ADopFRc7x49G&#10;2HhBBaFZREmhVz7QbZ5WSsHjVymDiES3FJXGfCIJxvt0FtsNaw7AfK/4NAJ7ywivNBmmLJI+Q+1Y&#10;ZOQI6h8oozi44GSccWeKi5DsCKqoylfe3PXMi6wFrQ7+2fTw/2D5zekWiOpaWs8psczgxn8+PP34&#10;/kjWyZzBhwZ77vwtTFnAMCkdJZj0RQ1kxIc0/7ieLxeUnFu6KFflZK0YI+FYXizrao5VjuV6vaxW&#10;uV68wHgI8bNwhqSgpYCby4ay05cQkRpbf7ckVuuuldZ5e9r+dYGN6aZIk19mTVEc9+MkYO+6M2o+&#10;elCHHqmqpDO3o8eZaHoPaYl/5rnr5R/Y/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JpUr&#10;e64BAABLAwAADgAAAAAAAAABACAAAAAlAQAAZHJzL2Uyb0RvYy54bWxQSwUGAAAAAAYABgBZAQAA&#10;RQUAAAAA&#10;">
                        <v:fill on="f" focussize="0,0"/>
                        <v:stroke on="f"/>
                        <v:imagedata o:title=""/>
                        <o:lock v:ext="edit" aspectratio="f"/>
                        <v:textbox>
                          <w:txbxContent>
                            <w:p w14:paraId="219BF40D">
                              <w:pPr>
                                <w:rPr>
                                  <w:rFonts w:hint="default" w:eastAsia="宋体"/>
                                  <w:szCs w:val="21"/>
                                  <w:lang w:val="en-US" w:eastAsia="zh-CN"/>
                                </w:rPr>
                              </w:pPr>
                              <w:r>
                                <w:rPr>
                                  <w:rFonts w:hint="eastAsia" w:eastAsia="宋体"/>
                                  <w:szCs w:val="21"/>
                                  <w:lang w:val="en-US" w:eastAsia="zh-CN"/>
                                </w:rPr>
                                <w:t>0.</w:t>
                              </w:r>
                              <w:r>
                                <w:rPr>
                                  <w:rFonts w:hint="eastAsia"/>
                                  <w:szCs w:val="21"/>
                                  <w:lang w:val="en-US" w:eastAsia="zh-CN"/>
                                </w:rPr>
                                <w:t>15</w:t>
                              </w:r>
                            </w:p>
                          </w:txbxContent>
                        </v:textbox>
                      </v:rect>
                      <v:rect id="矩形 10" o:spid="_x0000_s1026" o:spt="1" style="position:absolute;left:2057400;top:484724;height:271903;width:610235;" fillcolor="#FFFFFF" filled="t" stroked="t" coordsize="21600,21600" o:gfxdata="UEsDBAoAAAAAAIdO4kAAAAAAAAAAAAAAAAAEAAAAZHJzL1BLAwQUAAAACACHTuJAamcYedUAAAAF&#10;AQAADwAAAGRycy9kb3ducmV2LnhtbE2PQUvDQBCF74L/YRnBm90kSCxpNj0oguipqVS9bbPTbGh2&#10;NmQ3Tf33jl7s5cHjDe99U67PrhcnHEPnSUG6SEAgNd501Cp43z7fLUGEqMno3hMq+MYA6+r6qtSF&#10;8TNt8FTHVnAJhUIrsDEOhZShseh0WPgBibODH52ObMdWmlHPXO56mSVJLp3uiBesHvDRYnOsJ6dg&#10;bp76w/Tx8PVi37a72n/m3Wb3qtTtTZqsQEQ8x/9j+MVndKiYae8nMkH0CviR+KecLe9ztnsFWZam&#10;IKtSXtJXP1BLAwQUAAAACACHTuJAPu1mjCYCAABpBAAADgAAAGRycy9lMm9Eb2MueG1srVRLbtsw&#10;EN0X6B0I7mt9YseOYTmLui4KFG2AtAegKUoiwB84tCWfpkB3PUSPU/QaGVJu7KRdZFEtpBnN6M28&#10;N0OtbgetyEF4kNZUtJjklAjDbS1NW9GvX7ZvFpRAYKZmyhpR0aMAert+/WrVu6UobWdVLTxBEAPL&#10;3lW0C8Etswx4JzSDiXXCYLCxXrOArm+z2rMe0bXKyjy/znrra+ctFwD4djMG6QnRvwTQNo3kYmP5&#10;XgsTRlQvFAtICTrpgK5Tt00jePjcNCACURVFpiHdsQjau3jP1iu2bD1zneSnFthLWnjGSTNpsOgj&#10;1IYFRvZe/gWlJfcWbBMm3OpsJJIUQRZF/kyb+445kbig1OAeRYf/B8s/He48kXVFyxklhmmc+O9v&#10;P379/E6KpE7vYIlJ9+7Oo1bRAzQj1aHxOj6RBBnw+3w2n+ao67Gi08V0Xk5HccUQCMf4dZGXV1iD&#10;Y7ycFzf5VYxnZxznIbwXVpNoVNTj7JKk7PARwpj6JyWWBatkvZVKJce3u7fKkwPDOW/TdUJ/kqYM&#10;6St6M4tcOcPlbXBp0NQOBQDTpnpPvoBL4Dxd/wKOjW0YdGMDCWFkr2UQPi1ZJ1j9ztQkHB1qbPBs&#10;0diMFjUlSuBRjFbKDEyql2SidsqghOehRCsMuwFhormz9RGnqz4Y3Jhigd3jCRidHD1K/GVkl5zp&#10;bF5iZO+8bDscQ5HoRjTcwDSv02mJK37pp0bOf4j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n&#10;GHnVAAAABQEAAA8AAAAAAAAAAQAgAAAAIgAAAGRycy9kb3ducmV2LnhtbFBLAQIUABQAAAAIAIdO&#10;4kA+7WaMJgIAAGkEAAAOAAAAAAAAAAEAIAAAACQBAABkcnMvZTJvRG9jLnhtbFBLBQYAAAAABgAG&#10;AFkBAAC8BQAAAAA=&#10;">
                        <v:fill on="t" focussize="0,0"/>
                        <v:stroke color="#000000" joinstyle="miter"/>
                        <v:imagedata o:title=""/>
                        <o:lock v:ext="edit" aspectratio="f"/>
                        <v:textbox inset="0.5mm,0.3mm,0.5mm,1.27mm">
                          <w:txbxContent>
                            <w:p w14:paraId="01037E9E">
                              <w:pPr>
                                <w:jc w:val="center"/>
                                <w:rPr>
                                  <w:rFonts w:hint="eastAsia"/>
                                  <w:szCs w:val="21"/>
                                </w:rPr>
                              </w:pPr>
                              <w:r>
                                <w:rPr>
                                  <w:rFonts w:hint="eastAsia" w:hAnsi="宋体"/>
                                  <w:szCs w:val="21"/>
                                </w:rPr>
                                <w:t>化粪池</w:t>
                              </w:r>
                            </w:p>
                          </w:txbxContent>
                        </v:textbox>
                      </v:rect>
                      <v:line id="直接连接符 11" o:spid="_x0000_s1026" o:spt="20" style="position:absolute;left:2678430;top:619405;flip:y;height:635;width:261620;" filled="f" stroked="t" coordsize="21600,21600" o:gfxdata="UEsDBAoAAAAAAIdO4kAAAAAAAAAAAAAAAAAEAAAAZHJzL1BLAwQUAAAACACHTuJACqsXOtUAAAAF&#10;AQAADwAAAGRycy9kb3ducmV2LnhtbE2PQUvDQBCF74L/YRnBm91sqKXGbHoQBU+irQjettkxic3O&#10;xuy0qf56Ry96efB4w3vflKtj6NUBx9RFsmBmGSikOvqOGgvPm7uLJajEjrzrI6GFT0ywqk5PSlf4&#10;ONETHtbcKCmhVDgLLfNQaJ3qFoNLszggSfYWx+BY7NhoP7pJykOv8yxb6OA6koXWDXjTYr1b74OF&#10;q810GR/H3cvcdB+vX7fvPNw/sLXnZya7BsV45L9j+MEXdKiEaRv35JPqLcgj/KuSLecLsVsLeW4M&#10;6KrU/+mrb1BLAwQUAAAACACHTuJABOxjzRMCAAAABAAADgAAAGRycy9lMm9Eb2MueG1srVPNbhMx&#10;EL4j8Q6W72SzSZO2q2x6aCgXBJGgvU9s764l/8l2sslL8AJI3ODEsXfehvIYjL2hhSKkHtiDNd75&#10;/M18n8eLi71WZCd8kNbUtByNKRGGWS5NW9Pr91cvzigJEQwHZY2o6UEEerF8/mzRu0pMbGcVF54g&#10;iQlV72raxeiqogisExrCyDphMNlYryHi1rcF99Aju1bFZDyeF7313HnLRAj4dzUk6ZHRP4XQNo1k&#10;YmXZVgsTB1YvFESUFDrpAl3mbptGsPi2aYKIRNUUlca8YhGMN2ktlguoWg+uk+zYAjylhUeaNEiD&#10;Re+pVhCBbL38i0pL5m2wTRwxq4tBSHYEVZTjR96868CJrAWtDu7e9PD/aNmb3doTyWs6PaXEgMYb&#10;v/t4+/3D5x/fPuF69/ULKctkU+9ChehLs/bHXXBrnzTvG69Jo6S7wXnKLqAusq/pZH56djJFqw81&#10;nZfnJ+PZ4LfYR8JyvpxPMM1SfpqTxUCXaJ0P8ZWwmqSgpkqa5AVUsHsdIraA0F+Q9FsZ0tf0fDaZ&#10;ISHgYDY4EBhqh+KCafPZYJXkV1KpdCL4dnOpPNlBGo78pf6Q9w9YKrKC0A24nBpkdAL4S8NJPDh0&#10;zeBroakFLTglSuDjShESQhVBqgdk9BJMq/6BxvLKYBfJ78HhFG0sP+BFbZ2XbYdu5CvJGByM3PNx&#10;iNPk/b7PTA8Pd/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qsXOtUAAAAFAQAADwAAAAAAAAAB&#10;ACAAAAAiAAAAZHJzL2Rvd25yZXYueG1sUEsBAhQAFAAAAAgAh07iQATsY80TAgAAAAQAAA4AAAAA&#10;AAAAAQAgAAAAJAEAAGRycy9lMm9Eb2MueG1sUEsFBgAAAAAGAAYAWQEAAKkFAAAAAA==&#10;">
                        <v:fill on="f" focussize="0,0"/>
                        <v:stroke color="#000000" joinstyle="round" endarrow="block"/>
                        <v:imagedata o:title=""/>
                        <o:lock v:ext="edit" aspectratio="f"/>
                      </v:line>
                      <v:line id="直接连接符 17" o:spid="_x0000_s1026" o:spt="20" style="position:absolute;left:269240;top:594629;height:635;width:480695;"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PHlBVoLAgAA9QMAAA4AAABkcnMvZTJvRG9jLnhtbK1TzY7T&#10;MBC+I/EOlu80bbYt26jpHrYsFwSVgAeYOk5iyX/yuE37ErwAEjc4ceS+b8PyGIyTsoVFSHsgB2fs&#10;GX/+vs/j5dXBaLaXAZWzJZ+MxpxJK1ylbFPy9+9unl1yhhFsBdpZWfKjRH61evpk2flC5q51upKB&#10;EYjFovMlb2P0RZahaKUBHDkvLSVrFwxEmoYmqwJ0hG50lo/H86xzofLBCYlIq+shyU+I4TGArq6V&#10;kGsndkbaOKAGqSGSJGyVR77q2da1FPFNXaOMTJeclMZ+pEMo3qYxWy2haAL4VokTBXgMhQeaDChL&#10;h95DrSEC2wX1F5RRIjh0dRwJZ7JBSO8IqZiMH3jztgUvey1kNfp70/H/wYrX+01gqir5Bd27BUM3&#10;fvfx2/cPn3/cfqLx7usXNnmebOo8FlR9bTfhNEO/CUnzoQ4m/UkNO5Q8ny/yKfl7LPlsMZ3ni8Fk&#10;eYhMUHp6OZ4vZpwJys8vZimZnTF8wPhSOsNSUHKtbDIACti/wjiU/ipJy9qyruSLWZ4Agbqxpi6g&#10;0HhShLbp96LTqrpRWqcdGJrttQ5sD6kj+u9E4Y+ydMgasB3q+tQgo5VQvbAVi0dPVll6IjxRMLLi&#10;TEt6USkiolBEUPpcGYMC2+h/VJMD2pIRyeTB1hRtXXWk29n5oJqW3Jj0TFOGuqG37dS5qd1+n/dI&#10;59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w4Jp1gAAAAUBAAAPAAAAAAAAAAEAIAAAACIA&#10;AABkcnMvZG93bnJldi54bWxQSwECFAAUAAAACACHTuJA8eUFWgsCAAD1AwAADgAAAAAAAAABACAA&#10;AAAlAQAAZHJzL2Uyb0RvYy54bWxQSwUGAAAAAAYABgBZAQAAogUAAAAA&#10;">
                        <v:fill on="f" focussize="0,0"/>
                        <v:stroke color="#000000" joinstyle="round" endarrow="block"/>
                        <v:imagedata o:title=""/>
                        <o:lock v:ext="edit" aspectratio="f"/>
                      </v:line>
                      <v:rect id="矩形 18" o:spid="_x0000_s1026" o:spt="1" style="position:absolute;left:2943860;top:429260;height:425450;width:1916430;" fillcolor="#FFFFFF" filled="t" stroked="t" coordsize="21600,21600" o:gfxdata="UEsDBAoAAAAAAIdO4kAAAAAAAAAAAAAAAAAEAAAAZHJzL1BLAwQUAAAACACHTuJAitMFo9QAAAAF&#10;AQAADwAAAGRycy9kb3ducmV2LnhtbE2PQU+DQBCF7yb+h82YeLMLaJqKLD1oauKxpRdvAzsCys4S&#10;dmnRX+/oRS8veXmT974ptosb1Imm0Hs2kK4SUMSNtz23Bo7V7mYDKkRki4NnMvBJAbbl5UWBufVn&#10;3tPpEFslJRxyNNDFOOZah6Yjh2HlR2LJ3vzkMIqdWm0nPEu5G3SWJGvtsGdZ6HCkx46aj8PsDNR9&#10;dsSvffWcuPvdbXxZqvf59cmY66s0eQAVaYl/x/CDL+hQClPtZ7ZBDQbkkfirkm3u1mJrA1mWpqDL&#10;Qv+nL78BUEsDBBQAAAAIAIdO4kBzM8qYDQIAADYEAAAOAAAAZHJzL2Uyb0RvYy54bWytU8uu0zAQ&#10;3SPxD5b3NE360G3V9C4oZYPgShc+wLWdxJJf8rhN+jVI7PgIPgfxG4ydcl+w6AIvnHFmfGbOmfHm&#10;djCanGQA5WxNy8mUEmm5E8q2Nf3yef/mhhKIzAqmnZU1PUugt9vXrza9X8vKdU4LGQiCWFj3vqZd&#10;jH5dFMA7aRhMnJcWnY0LhkU8hrYQgfWIbnRRTafLondB+OC4BMC/u9FJL4jhGkDXNIrLneNHI20c&#10;UYPULCIl6JQHus3VNo3k8VPTgIxE1xSZxrxjErQPaS+2G7ZuA/Od4pcS2DUlvOBkmLKY9AFqxyIj&#10;x6D+gjKKBweuiRPuTDESyYogi3L6Qpv7jnmZuaDU4B9Eh/8Hyz+e7gJRoqazFSWWGez4r6/ff/74&#10;RsqbpE7vYY1B9/4uXE6AZqI6NMGkL5IgQ02r1Xx2s0RdzzWdV6sKzSyuHCLh6C9X5XI+Qz/PAYv5&#10;IgcUj0A+QHwvnSHJqGnA5mVN2ekDRMTC0D8hKS84rcReaZ0PoT281YGcGDZ6n1dKj1eehWlL+pqu&#10;FtUC62A4vQ1ODZrGowJg25zv2Q14CjzN61/AqbAdg24sICOM9I2KMmQhOsnEOytIPHsU2eLjoqkY&#10;IwUlWuJbTFaOjEzpayKRnbZIMvVo7Eqy4nAYECaZByfO2N6jD6rtUNIyl548OE5Zncvop3l9es6g&#10;j89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0wWj1AAAAAUBAAAPAAAAAAAAAAEAIAAAACIA&#10;AABkcnMvZG93bnJldi54bWxQSwECFAAUAAAACACHTuJAczPKmA0CAAA2BAAADgAAAAAAAAABACAA&#10;AAAjAQAAZHJzL2Uyb0RvYy54bWxQSwUGAAAAAAYABgBZAQAAogUAAAAA&#10;">
                        <v:fill on="t" focussize="0,0"/>
                        <v:stroke color="#000000" joinstyle="miter"/>
                        <v:imagedata o:title=""/>
                        <o:lock v:ext="edit" aspectratio="f"/>
                        <v:textbox>
                          <w:txbxContent>
                            <w:p w14:paraId="33F2A6D0">
                              <w:pPr>
                                <w:jc w:val="center"/>
                                <w:rPr>
                                  <w:rFonts w:hint="default" w:eastAsia="宋体"/>
                                  <w:sz w:val="21"/>
                                  <w:szCs w:val="21"/>
                                  <w:lang w:val="en-US" w:eastAsia="zh-CN"/>
                                </w:rPr>
                              </w:pPr>
                              <w:r>
                                <w:rPr>
                                  <w:rFonts w:hint="default" w:ascii="Times New Roman" w:hAnsi="Times New Roman" w:eastAsia="宋体" w:cs="Times New Roman"/>
                                  <w:color w:val="auto"/>
                                  <w:sz w:val="21"/>
                                  <w:szCs w:val="21"/>
                                  <w:lang w:val="en-US" w:eastAsia="zh-CN"/>
                                </w:rPr>
                                <w:t>经厂区内化粪池</w:t>
                              </w:r>
                              <w:r>
                                <w:rPr>
                                  <w:rFonts w:hint="eastAsia" w:cs="Times New Roman"/>
                                  <w:color w:val="auto"/>
                                  <w:sz w:val="21"/>
                                  <w:szCs w:val="21"/>
                                  <w:lang w:val="en-US" w:eastAsia="zh-CN"/>
                                </w:rPr>
                                <w:t>处理后定期清掏用于农田施肥</w:t>
                              </w:r>
                            </w:p>
                          </w:txbxContent>
                        </v:textbox>
                      </v:rect>
                      <v:rect id="矩形 19" o:spid="_x0000_s1026" o:spt="1" style="position:absolute;left:734060;top:1075055;height:257175;width:1010285;" fillcolor="#FFFFFF" filled="t" stroked="t" coordsize="21600,21600" o:gfxdata="UEsDBAoAAAAAAIdO4kAAAAAAAAAAAAAAAAAEAAAAZHJzL1BLAwQUAAAACACHTuJAjENIxtMAAAAF&#10;AQAADwAAAGRycy9kb3ducmV2LnhtbE2PQUvDQBCF74L/YRnBi9hNQgk1zaQHQY9qW71vs9MkNDsb&#10;spu0/feOXvTy4PGG974pNxfXq5nG0HlGSBcJKOLa244bhM/9y+MKVIiGrek9E8KVAmyq25vSFNaf&#10;eUvzLjZKSjgUBqGNcSi0DnVLzoSFH4glO/rRmSh2bLQdzVnKXa+zJMm1Mx3LQmsGem6pPu0mh/Cx&#10;n47b9zl3T2/2unzgLxpeIyHe36XJGlSkS/w7hh98QYdKmA5+YhtUjyCPxF+VbLXMxR4QsixNQVel&#10;/k9ffQNQSwMEFAAAAAgAh07iQLEZWtcnAgAAagQAAA4AAABkcnMvZTJvRG9jLnhtbK1UzY7TMBC+&#10;I/EOlu80PzTbbtR0D5QiJAQrLTyAazuJJf/Jdpv0aZC48RA8DuI1GDtlt/tz6IEckpnM5Jv5vhln&#10;dTMqiQ7ceWF0g4tZjhHX1DChuwZ/+7p9s8TIB6IZkUbzBh+5xzfr169Wg615aXojGXcIQLSvB9vg&#10;PgRbZ5mnPVfEz4zlGoKtcYoEcF2XMUcGQFcyK/P8KhuMY9YZyr2Ht5spiE+I7hJA07aC8o2he8V1&#10;mFAdlyQAJd8L6/E6ddu2nIYvbet5QLLBwDSkOxQBexfv2XpF6s4R2wt6aoFc0sITTooIDUXvoTYk&#10;ELR34hmUEtQZb9owo0ZlE5GkCLAo8ifa3PXE8sQFpPb2XnT//2Dp58OtQ4I1eA6SaKJg4n++//z9&#10;6wcqrqM6g/U1JN3ZW3fyPJiR6tg6FZ9AAo0NXryd51eAcYSlyhdVXlWTuHwMiEK8AH7lssKIQkZZ&#10;LYpFSsgegKzz4QM3CkWjwQ6GlzQlh08+QHFI/ZcS63ojBdsKKZPjut076dCBwKC36Yrl4ZNHaVKj&#10;ocHXVRn7ILC9LWwNmMqCAl53qd6jL/w5cJ6ul4BjYxvi+6mBhDDRVyJwB52QuueEvdcMhaMFkTUc&#10;LhybUZxhJDmcxWilzECEvCQT2EkNJOOMpqlEK4y7EWCiuTPsCOOVHzWsTLGE7uEIJGdeLUpw3Hlk&#10;dx7ZWye6HsZQJLoRDVYwKXo6LnHHz/3UyMMvY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ENI&#10;xtMAAAAFAQAADwAAAAAAAAABACAAAAAiAAAAZHJzL2Rvd25yZXYueG1sUEsBAhQAFAAAAAgAh07i&#10;QLEZWtcnAgAAagQAAA4AAAAAAAAAAQAgAAAAIgEAAGRycy9lMm9Eb2MueG1sUEsFBgAAAAAGAAYA&#10;WQEAALsFAAAAAA==&#10;">
                        <v:fill on="t" focussize="0,0"/>
                        <v:stroke color="#000000" joinstyle="miter"/>
                        <v:imagedata o:title=""/>
                        <o:lock v:ext="edit" aspectratio="f"/>
                        <v:textbox inset="0.5mm,1.27mm,0.5mm,1.27mm">
                          <w:txbxContent>
                            <w:p w14:paraId="574A0789">
                              <w:pPr>
                                <w:jc w:val="center"/>
                                <w:rPr>
                                  <w:rFonts w:hint="default"/>
                                  <w:szCs w:val="21"/>
                                  <w:lang w:val="en-US"/>
                                </w:rPr>
                              </w:pPr>
                              <w:r>
                                <w:rPr>
                                  <w:rFonts w:hint="eastAsia"/>
                                  <w:szCs w:val="21"/>
                                  <w:lang w:val="en-US" w:eastAsia="zh-CN"/>
                                </w:rPr>
                                <w:t>抛光用水</w:t>
                              </w:r>
                            </w:p>
                          </w:txbxContent>
                        </v:textbox>
                      </v:rect>
                      <v:line id="直接连接符 22" o:spid="_x0000_s1026" o:spt="20" style="position:absolute;left:258445;top:1196881;height:635;width:457200;"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Ck7BNkLAgAA9gMAAA4AAABkcnMvZTJvRG9jLnhtbK1TS44T&#10;MRDdI3EHy3vSSZOETCudWUwYNggiwRygYru7Lfkn20knl+ACSOxgxZI9t2E4BmV3ZgKDkGZBL9xl&#10;1/Nzvefy8vKgFdkLH6Q1NZ2MxpQIwyyXpq3pzfvrZwtKQgTDQVkjanoUgV6unj5Z9q4Spe2s4sIT&#10;JDGh6l1NuxhdVRSBdUJDGFknDCYb6zVEnPq24B56ZNeqKMfjedFbz523TISAq+shSU+M/jGEtmkk&#10;E2vLdlqYOLB6oSCipNBJF+gqV9s0gsW3TRNEJKqmqDTmEQ/BeJvGYrWEqvXgOslOJcBjSnigSYM0&#10;eOg91RoikJ2Xf1FpybwNtokjZnUxCMmOoIrJ+IE37zpwImtBq4O7Nz38P1r2Zr/xRPKaTieUGNB4&#10;47cfv/348Pnn90843n79Qsoy2dS7UCH6ymz8aRbcxifNh8br9Ec15FDTcraYTmeUHLG7JhfzxWIy&#10;uCwOkTDMT2cvsA8oYQiYP5+lZHEmcT7EV8JqkoKaKmmSA1DB/nWIA/QOkpaVIX1NL2YlHsgA27HB&#10;NsBQO5QUTJv3Bqskv5ZKpR3Bt9sr5ckeUkvk71TCH7B0yBpCN+ByapDRCeAvDSfx6NArg2+EphK0&#10;4JQogU8qRVgoVBGkOiOjl2Ba9Q80OqAMGpFcHnxN0dbyI17PznnZduhGdjJjsB2ybafWTf32+zwz&#10;nZ/r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w4Jp1gAAAAUBAAAPAAAAAAAAAAEAIAAAACIA&#10;AABkcnMvZG93bnJldi54bWxQSwECFAAUAAAACACHTuJAKTsE2QsCAAD2AwAADgAAAAAAAAABACAA&#10;AAAlAQAAZHJzL2Uyb0RvYy54bWxQSwUGAAAAAAYABgBZAQAAogUAAAAA&#10;">
                        <v:fill on="f" focussize="0,0"/>
                        <v:stroke color="#000000" joinstyle="round" endarrow="block"/>
                        <v:imagedata o:title=""/>
                        <o:lock v:ext="edit" aspectratio="f"/>
                      </v:line>
                      <v:line id="直接连接符 27" o:spid="_x0000_s1026" o:spt="20" style="position:absolute;left:258445;top:375455;flip:y;height:802368;width:635;" filled="f" stroked="t" coordsize="21600,21600" o:gfxdata="UEsDBAoAAAAAAIdO4kAAAAAAAAAAAAAAAAAEAAAAZHJzL1BLAwQUAAAACACHTuJA/YEup9QAAAAF&#10;AQAADwAAAGRycy9kb3ducmV2LnhtbE2PQUvDQBCF70L/wzKF3uxuUik1ZlNE1IsgWKPnTXZMgruz&#10;IbtN67939KKXB483vPdNuT97J2ac4hBIQ7ZWIJDaYAfqNNSvD5c7EDEZssYFQg1fGGFfLS5KU9hw&#10;ohecD6kTXEKxMBr6lMZCytj26E1chxGJs48weZPYTp20kzlxuXcyV2orvRmIF3oz4l2P7efh6DXc&#10;vj/db57nxgdnr7v6zfpaPeZar5aZugGR8Jz+juEHn9GhYqYmHMlG4TTwI+lXOdtdbdk2GvI8y0BW&#10;pfxPX30DUEsDBBQAAAAIAIdO4kDDWtXpCgIAAPsDAAAOAAAAZHJzL2Uyb0RvYy54bWytU7uOEzEU&#10;7ZH4B8s9mckkkw2jTLbYsDQIIvHoHT9mLPkl28kkP8EPINFBRUnP37B8BteesMDSpMCFde1zfXzP&#10;8fXq+qgVOnAfpDUtnk5KjLihlknTtfjtm9snS4xCJIYRZQ1v8YkHfL1+/Gg1uIZXtreKcY+AxIRm&#10;cC3uY3RNUQTac03CxDpuABTWaxJh6buCeTIAu1ZFVZaLYrCeOW8pDwF2NyOIz4z+EkIrhKR8Y+le&#10;cxNHVs8ViSAp9NIFvM7VCsFpfCVE4BGpFoPSmGe4BOJdmov1ijSdJ66X9FwCuaSEB5o0kQYuvafa&#10;kEjQ3st/qLSk3gYr4oRaXYxCsiOgYlo+8OZ1TxzPWsDq4O5ND/+Plr48bD2SrMXzCiNDNLz43Yev&#10;399/+vHtI8x3Xz6j6irZNLjQQPaN2frzKritT5qPwmsklHTvoJ+yC6ALHVtc1cv5vMbo1OLZVT2v&#10;69FufoyIAryYAUYBXJbVbLFMYDGyJVbnQ3zOrUYpaLGSJllBGnJ4EeKY+islbSuDhhY/ravESaAv&#10;BfQDhNqBtmC6fDZYJdmtVCqdCL7b3SiPDiT1Rh7nEv5KS5dsSOjHvAyNMnpO2DPDUDw5MM3AZ8Gp&#10;BM0ZRorD30oRFEqaSKS6JBPUKwMmJKtHc1O0s+wEb7R3XnY9ODHNVSYEeiJbdu7f1HR/rjPT7z+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gS6n1AAAAAUBAAAPAAAAAAAAAAEAIAAAACIAAABk&#10;cnMvZG93bnJldi54bWxQSwECFAAUAAAACACHTuJAw1rV6QoCAAD7AwAADgAAAAAAAAABACAAAAAj&#10;AQAAZHJzL2Uyb0RvYy54bWxQSwUGAAAAAAYABgBZAQAAnwUAAAAA&#10;">
                        <v:fill on="f" focussize="0,0"/>
                        <v:stroke color="#000000" joinstyle="round"/>
                        <v:imagedata o:title=""/>
                        <o:lock v:ext="edit" aspectratio="f"/>
                      </v:line>
                      <v:rect id="矩形 28" o:spid="_x0000_s1026" o:spt="1" style="position:absolute;left:291465;top:355761;height:343055;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BwGotSuAQAATAMAAA4AAABkcnMvZTJvRG9jLnhtbK1TS27b&#10;MBTcF+gdCO5rSrblJILpbIx0U7QB0h6ApkiLAH8gaUs+TYHueogep+g1+kipSZtssuiGfD/MmxlK&#10;29vRaHQWISpnKa4XFUbCctcpe6T4y+e7d9cYxcRsx7SzguKLiPh29/bNdvCtWLre6U4EBCA2toOn&#10;uE/Jt4RE3gvD4sJ5YaEpXTAsQRqOpAtsAHSjybKqNmRwofPBcREjVPdTE8+I4TWATkrFxd7xkxE2&#10;TahBaJZAUuyVj3hX2EopePokZRQJaYpBaSonLIH4kE+y27L2GJjvFZ8psNdQeKbJMGVh6SPUniWG&#10;TkG9gDKKBxedTAvuDJmEFEdARV098+ahZ14ULWB19I+mx/8Hyz+e7wNSHcXrFUaWGXjxX1+///zx&#10;DS2vszuDjy0MPfj7MGcRwix1lMHkG0SgkeLlTb3eNBhdKF41zdWmnrwVY0Ic2s1V3VTgOs/99apq&#10;mtwnTzA+xPReOINyQHGApyuOsvOHmKbRPyN5q3V3Smuos1bbfwqAmSskM5+45iiNh3EWcHDdBUSf&#10;fFDHHlYVpmUcTC6c5g8iv+LfeQF9+gl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HAai&#10;1K4BAABMAwAADgAAAAAAAAABACAAAAAlAQAAZHJzL2Uyb0RvYy54bWxQSwUGAAAAAAYABgBZAQAA&#10;RQUAAAAA&#10;">
                        <v:fill on="f" focussize="0,0"/>
                        <v:stroke on="f"/>
                        <v:imagedata o:title=""/>
                        <o:lock v:ext="edit" aspectratio="f"/>
                        <v:textbox>
                          <w:txbxContent>
                            <w:p w14:paraId="31F18FF1">
                              <w:pPr>
                                <w:rPr>
                                  <w:rFonts w:hint="default" w:eastAsia="宋体"/>
                                  <w:szCs w:val="21"/>
                                  <w:lang w:val="en-US" w:eastAsia="zh-CN"/>
                                </w:rPr>
                              </w:pPr>
                              <w:r>
                                <w:rPr>
                                  <w:rFonts w:hint="eastAsia"/>
                                  <w:szCs w:val="21"/>
                                  <w:lang w:val="en-US" w:eastAsia="zh-CN"/>
                                </w:rPr>
                                <w:t>0.75</w:t>
                              </w:r>
                            </w:p>
                          </w:txbxContent>
                        </v:textbox>
                      </v:rect>
                      <v:rect id="矩形 29" o:spid="_x0000_s1026" o:spt="1" style="position:absolute;left:238760;top:951230;height:297180;width:9144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BQEA+ivAQAATAMAAA4AAABkcnMvZTJvRG9jLnhtbK1TS27b&#10;MBDdF+gdCO5rSoqb2ILpbIx0U7QB0h6ApiiLAH8Y0pZ8mgLd9RA9TtFrdEirSZtusuiGnOEM3pv3&#10;RtrcTtaQk4KoveO0XlSUKCd9p92B08+f7t6sKIlJuE4Y7xSnZxXp7fb1q80YWtX4wZtOAUEQF9sx&#10;cDqkFFrGohyUFXHhg3JY7D1YkTCFA+tAjIhuDWuq6pqNHroAXqoY8XV3KdIZEV4C6PteS7Xz8miV&#10;SxdUUEYklBQHHSLdlmn7Xsn0se+jSsRwikpTOZEE430+2XYj2gOIMGg5jyBeMsIzTVZoh6SPUDuR&#10;BDmC/gfKagk++j4tpLfsIqQ4girq6pk3D4MIqmhBq2N4ND3+P1j54XQPRHecLpeUOGFx4z+/fPvx&#10;/Stp1tmdMcQWmx7CPcxZxDBLnXqw+UYRZOK0uVrdXKOtZ07Xb+vmavZWTYlILK/r5bLCssR6s76p&#10;V6XOnmACxPROeUtywCng6oqj4vQ+JqTG1t8tmdX5O21MWZ9xfz1gY35hefLLrDlK036aBex9d0bR&#10;xwD6MCBVnXWWdjS5EM0fRN7in3npevoJt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7MfdtYA&#10;AAAFAQAADwAAAAAAAAABACAAAAAiAAAAZHJzL2Rvd25yZXYueG1sUEsBAhQAFAAAAAgAh07iQBQE&#10;A+ivAQAATAMAAA4AAAAAAAAAAQAgAAAAJQEAAGRycy9lMm9Eb2MueG1sUEsFBgAAAAAGAAYAWQEA&#10;AEYFAAAAAA==&#10;">
                        <v:fill on="f" focussize="0,0"/>
                        <v:stroke on="f"/>
                        <v:imagedata o:title=""/>
                        <o:lock v:ext="edit" aspectratio="f"/>
                        <v:textbox>
                          <w:txbxContent>
                            <w:p w14:paraId="4E3C9F8C">
                              <w:pPr>
                                <w:rPr>
                                  <w:rFonts w:hint="default" w:eastAsia="宋体"/>
                                  <w:szCs w:val="21"/>
                                  <w:lang w:val="en-US" w:eastAsia="zh-CN"/>
                                </w:rPr>
                              </w:pPr>
                              <w:r>
                                <w:rPr>
                                  <w:rFonts w:hint="eastAsia"/>
                                  <w:szCs w:val="21"/>
                                  <w:lang w:val="en-US" w:eastAsia="zh-CN"/>
                                </w:rPr>
                                <w:t>0.67</w:t>
                              </w:r>
                            </w:p>
                          </w:txbxContent>
                        </v:textbox>
                      </v:rect>
                      <v:rect id="矩形 30" o:spid="_x0000_s1026" o:spt="1" style="position:absolute;left:31750;top:71120;height:350520;width:1034415;"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EFdMBmsAQAASwMAAA4AAABkcnMvZTJvRG9jLnhtbK1TS27b&#10;MBDdF+gdCO5rSv40hWA6GyPdFG2AtAegKcoiwB+GtCWfJkB2PUSOE/QaHdJK3KabLLqhZjiD9+a9&#10;odbXozXkqCBq7zitZxUlyknfarfn9Mf3mw+fKIlJuFYY7xSnJxXp9eb9u/UQGjX3vTetAoIgLjZD&#10;4LRPKTSMRdkrK+LMB+Ww2HmwImEKe9aCGBDdGjavqo9s8NAG8FLFiLfbc5FOiPAWQN91Wqqtlwer&#10;XDqjgjIioaTY6xDppkzbdUqmb10XVSKGU1SayokkGO/yyTZr0exBhF7LaQTxlhFeabJCOyR9gdqK&#10;JMgB9D9QVkvw0XdpJr1lZyHFEVRRV6+8uetFUEULWh3Di+nx/8HKr8dbILrldLmixAmLG/91//Pp&#10;8YEsijtDiA023YVbQK9yFjHMUscObP6iCDJyuqivVujqidOrup5PzqoxEYnFuloslzUySKwvVtXq&#10;3MAuKAFi+qy8JTngFHBzxVBx/BITMmPrc0smdf5GG1O2Z9xfF9iYb9hl1BylcTdO8+98e0LNhwB6&#10;3yNVnR9BaUePC9H0HvIS/8xL1+Uf2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7MfdtYAAAAF&#10;AQAADwAAAAAAAAABACAAAAAiAAAAZHJzL2Rvd25yZXYueG1sUEsBAhQAFAAAAAgAh07iQEFdMBms&#10;AQAASwMAAA4AAAAAAAAAAQAgAAAAJQEAAGRycy9lMm9Eb2MueG1sUEsFBgAAAAAGAAYAWQEAAEMF&#10;AAAAAA==&#10;">
                        <v:fill on="f" focussize="0,0"/>
                        <v:stroke on="f"/>
                        <v:imagedata o:title=""/>
                        <o:lock v:ext="edit" aspectratio="f"/>
                        <v:textbox>
                          <w:txbxContent>
                            <w:p w14:paraId="747C5D8D">
                              <w:pPr>
                                <w:jc w:val="center"/>
                                <w:rPr>
                                  <w:rFonts w:hint="default" w:eastAsia="宋体"/>
                                  <w:szCs w:val="21"/>
                                  <w:lang w:val="en-US" w:eastAsia="zh-CN"/>
                                </w:rPr>
                              </w:pPr>
                              <w:r>
                                <w:rPr>
                                  <w:rFonts w:hint="eastAsia"/>
                                  <w:szCs w:val="21"/>
                                </w:rPr>
                                <w:t>新鲜水</w:t>
                              </w:r>
                              <w:r>
                                <w:rPr>
                                  <w:rFonts w:hint="eastAsia"/>
                                  <w:szCs w:val="21"/>
                                  <w:lang w:val="en-US" w:eastAsia="zh-CN"/>
                                </w:rPr>
                                <w:t>1.42</w:t>
                              </w:r>
                            </w:p>
                          </w:txbxContent>
                        </v:textbox>
                      </v:rect>
                      <v:shape id="曲线连接符 31" o:spid="_x0000_s1026" o:spt="37" type="#_x0000_t37" style="position:absolute;left:1139825;top:849379;height:230609;width:200025;rotation:-5898240f;" filled="f" stroked="t" coordsize="21600,21600" o:gfxdata="UEsDBAoAAAAAAIdO4kAAAAAAAAAAAAAAAAAEAAAAZHJzL1BLAwQUAAAACACHTuJAPw/fotUAAAAF&#10;AQAADwAAAGRycy9kb3ducmV2LnhtbE2PzU7DMBCE70i8g7VI3KiTgEKVxumhEkitcmlB4ura2yQQ&#10;ryPb/YGnZ+ECl5FGs5r5tl5e3ChOGOLgSUE+y0AgGW8H6hS8vjzdzUHEpMnq0RMq+MQIy+b6qtaV&#10;9Wfa4mmXOsElFCutoE9pqqSMpken48xPSJwdfHA6sQ2dtEGfudyNssiyUjo9EC/0esJVj+Zjd3QK&#10;2ue3L//e3pftpl3bsFqb7ebRKHV7k2cLEAkv6e8YfvAZHRpm2vsj2ShGBfxI+lXO5g8l272Coshz&#10;kE0t/9M331BLAwQUAAAACACHTuJAMNexaBoCAAAHBAAADgAAAGRycy9lMm9Eb2MueG1srVNLjhMx&#10;EN0jcQfL+0l3viRROrNIGDYIIgEHcGx3tyX/VHZ+l+ACSOxgxYrlbOY2MxyDsjvMwCCkWeCFVXZV&#10;var3XF5cHo0mewlBOVvRfq+kRFruhLJNRT+8v7qYUhIis4JpZ2VFTzLQy+XzZ4uDn8uBa50WEgiC&#10;2DA/+Iq2Mfp5UQTeSsNCz3lp0Vk7MCziEZpCADsgutHFoCwnxcGB8OC4DAFv152TnhHhKYCurhWX&#10;a8d3RtrYoYLULCKl0Cof6DJ3W9eSx7d1HWQkuqLINOYdi6C9TXuxXLB5A8y3ip9bYE9p4REnw5TF&#10;ovdQaxYZ2YH6C8ooDi64Ova4M0VHJCuCLPrlI23etczLzAWlDv5e9PD/YPmb/QaIEhUdTSixzOCL&#10;3376fnd98+Pm8+3HL3ffvpJhP8l08GGO0Su7gfMp+A0kzscaDAGH2l6MR2VaWQokR444Yf3hbDoY&#10;U3Kq6HQ0G76YdaLLYyQc/TgTZXJz9A+G5aTM/qKDTfAeQnwlnSHJqCjfwV6KlbMWH9fBINdi+9ch&#10;YluY9is8pWpLDhWdjTM+w2GtcUiwlPFIONgm5wanlbhSWqeMAM12pYHsWRqYvFK7iPtHWCqyZqHt&#10;4gRaHalWMvHSChJPHoW0+IFo6sBIQYmW+N+ShXhsHpnSD5ERFLON/kc0VtcWm0hP0ImerK0Tp/wW&#10;+R7nI7d5nuU0gL+fc/bD/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8P36LVAAAABQEAAA8A&#10;AAAAAAAAAQAgAAAAIgAAAGRycy9kb3ducmV2LnhtbFBLAQIUABQAAAAIAIdO4kAw17FoGgIAAAcE&#10;AAAOAAAAAAAAAAEAIAAAACQBAABkcnMvZTJvRG9jLnhtbFBLBQYAAAAABgAGAFkBAACwBQAAAAA=&#10;">
                        <v:fill on="f" focussize="0,0"/>
                        <v:stroke color="#000000" joinstyle="round" dashstyle="dash" endarrow="block"/>
                        <v:imagedata o:title=""/>
                        <o:lock v:ext="edit" aspectratio="f"/>
                      </v:shape>
                      <v:rect id="矩形 32" o:spid="_x0000_s1026" o:spt="1" style="position:absolute;left:1279525;top:779145;height:297180;width:541655;"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F9JgPyxAQAATQMAAA4AAABkcnMvZTJvRG9jLnhtbK1TS27b&#10;MBDdF8gdCO5rWqoVxYLlbIxkU6QB0h6ApkiLAH8gaUs+TYHseogep+g1OqTUpE02WWRDzXAG7817&#10;Q22uR63QifsgrWlxsVhixA2znTSHFn/7evPxCqMQqemosoa3+MwDvt5efNgMruGl7a3quEcAYkIz&#10;uBb3MbqGkMB6rmlYWMcNFIX1mkZI/YF0ng6ArhUpl8tLMljfOW8ZDwFud1MRz4j+LYBWCMn4zrKj&#10;5iZOqJ4rGkFS6KULeJunFYKz+EWIwCNSLQalMZ9AAvE+nWS7oc3BU9dLNo9A3zLCC02aSgOkT1A7&#10;Gik6evkKSkvmbbAiLpjVZBKSHQEVxfKFNw89dTxrAauDezI9vB8suzvdeyS7Fq9qjAzVsPHf33/8&#10;+vmIPpXJncGFBpoe3L2fswBhkjoKr9MXRKARXlJZr6uywujc4rpeF6tqMpePETGoV6visoIyg3q5&#10;rourbD55xnE+xFtuNUpBiz3sLltKT59DBG5o/duSaI29kUrl/Snz3wU0phuSRp+GTVEc9+OsYG+7&#10;M6g+Oi8PPVAVadLcDi5novlFpDX+m+eu579g+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sx92&#10;1gAAAAUBAAAPAAAAAAAAAAEAIAAAACIAAABkcnMvZG93bnJldi54bWxQSwECFAAUAAAACACHTuJA&#10;X0mA/LEBAABNAwAADgAAAAAAAAABACAAAAAlAQAAZHJzL2Uyb0RvYy54bWxQSwUGAAAAAAYABgBZ&#10;AQAASAUAAAAA&#10;">
                        <v:fill on="f" focussize="0,0"/>
                        <v:stroke on="f"/>
                        <v:imagedata o:title=""/>
                        <o:lock v:ext="edit" aspectratio="f"/>
                        <v:textbox>
                          <w:txbxContent>
                            <w:p w14:paraId="729EFD2F">
                              <w:pPr>
                                <w:rPr>
                                  <w:rFonts w:hint="default" w:eastAsia="宋体"/>
                                  <w:szCs w:val="21"/>
                                  <w:lang w:val="en-US" w:eastAsia="zh-CN"/>
                                </w:rPr>
                              </w:pPr>
                              <w:r>
                                <w:rPr>
                                  <w:rFonts w:hint="eastAsia"/>
                                  <w:szCs w:val="21"/>
                                  <w:lang w:val="en-US" w:eastAsia="zh-CN"/>
                                </w:rPr>
                                <w:t>0.67</w:t>
                              </w:r>
                            </w:p>
                          </w:txbxContent>
                        </v:textbox>
                      </v:rect>
                      <v:rect id="矩形 33" o:spid="_x0000_s1026" o:spt="1" style="position:absolute;left:2628900;top:396419;height:297314;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OTpq8CwAQAATQMAAA4AAABkcnMvZTJvRG9jLnhtbK1TS27b&#10;MBDdF+gdCO5rSrLjxILpbIx0U7QB0hyApkiLgPjBkLbk0xTorofocYpeo0NJTdp0k0U35HBm8Oa9&#10;N9L2drAdOSuIxjtOy0VBiXLSN8YdOX38fPfuhpKYhGtE553i9KIivd29fbPtQ60q3/quUUAQxMW6&#10;D5y2KYWasShbZUVc+KAcFrUHKxI+4cgaED2i245VRbFmvYcmgJcqRszupyKdEeE1gF5rI9Xey5NV&#10;Lk2ooDqRUFJsTYh0N7LVWsn0SeuoEuk4RaVpPHEIxod8st1W1EcQoTVypiBeQ+GFJiuMw6FPUHuR&#10;BDmB+QfKGgk+ep0W0ls2CRkdQRVl8cKbh1YENWpBq2N4Mj3+P1j58XwPxDScrnDvTljc+M8v3358&#10;/0qWy+xOH2KNTQ/hHuZXxDBLHTTYfKMIMnBaraubTYG+XjhdbtarcjOZq4ZEJNavrsurXJZYrzbX&#10;y3KV6+wZJ0BM75W3JAecAu5utFScP8Q0tf5uyWOdvzNdh3lRd+6vBGLmDMvUJ7I5SsNhmBUcfHNB&#10;1acA5tjiqHJkkpvQ5ZHT/EXkNf75HkGf/4Ld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H3bW&#10;AAAABQEAAA8AAAAAAAAAAQAgAAAAIgAAAGRycy9kb3ducmV2LnhtbFBLAQIUABQAAAAIAIdO4kDk&#10;6avAsAEAAE0DAAAOAAAAAAAAAAEAIAAAACUBAABkcnMvZTJvRG9jLnhtbFBLBQYAAAAABgAGAFkB&#10;AABHBQAAAAA=&#10;">
                        <v:fill on="f" focussize="0,0"/>
                        <v:stroke on="f"/>
                        <v:imagedata o:title=""/>
                        <o:lock v:ext="edit" aspectratio="f"/>
                        <v:textbox>
                          <w:txbxContent>
                            <w:p w14:paraId="7C5F1875">
                              <w:pPr>
                                <w:rPr>
                                  <w:rFonts w:hint="default" w:eastAsia="宋体"/>
                                  <w:szCs w:val="21"/>
                                  <w:lang w:val="en-US" w:eastAsia="zh-CN"/>
                                </w:rPr>
                              </w:pPr>
                              <w:r>
                                <w:rPr>
                                  <w:rFonts w:hint="eastAsia"/>
                                  <w:szCs w:val="21"/>
                                  <w:lang w:val="en-US" w:eastAsia="zh-CN"/>
                                </w:rPr>
                                <w:t>0.6</w:t>
                              </w:r>
                            </w:p>
                          </w:txbxContent>
                        </v:textbox>
                      </v:rect>
                      <w10:wrap type="none"/>
                      <w10:anchorlock/>
                    </v:group>
                  </w:pict>
                </mc:Fallback>
              </mc:AlternateContent>
            </w:r>
          </w:p>
          <w:p w14:paraId="0BF83815">
            <w:pPr>
              <w:spacing w:line="360" w:lineRule="auto"/>
              <w:jc w:val="center"/>
              <w:rPr>
                <w:rFonts w:hint="eastAsia" w:cs="Times New Roman"/>
                <w:b/>
                <w:color w:val="auto"/>
                <w:sz w:val="24"/>
                <w:szCs w:val="24"/>
                <w:lang w:val="en-US" w:eastAsia="zh-CN"/>
              </w:rPr>
            </w:pPr>
            <w:r>
              <w:rPr>
                <w:rFonts w:hint="default" w:ascii="Times New Roman" w:hAnsi="Times New Roman" w:cs="Times New Roman"/>
                <w:b/>
                <w:bCs/>
                <w:color w:val="auto"/>
                <w:szCs w:val="21"/>
              </w:rPr>
              <w:t xml:space="preserve">图2-1  </w:t>
            </w:r>
            <w:r>
              <w:rPr>
                <w:rFonts w:hint="default" w:ascii="Times New Roman" w:hAnsi="Times New Roman" w:cs="Times New Roman"/>
                <w:b/>
                <w:color w:val="auto"/>
                <w:szCs w:val="21"/>
              </w:rPr>
              <w:t>建设项目水平衡图</w:t>
            </w:r>
            <w:r>
              <w:rPr>
                <w:rFonts w:hint="default" w:ascii="Times New Roman" w:hAnsi="Times New Roman" w:cs="Times New Roman"/>
                <w:color w:val="auto"/>
                <w:szCs w:val="21"/>
              </w:rPr>
              <w:t xml:space="preserve">  </w:t>
            </w:r>
            <w:r>
              <w:rPr>
                <w:rFonts w:hint="default" w:ascii="Times New Roman" w:hAnsi="Times New Roman" w:cs="Times New Roman"/>
                <w:b/>
                <w:color w:val="auto"/>
                <w:szCs w:val="21"/>
              </w:rPr>
              <w:t>单位：</w:t>
            </w:r>
            <w:r>
              <w:rPr>
                <w:rFonts w:hint="default" w:ascii="Times New Roman" w:hAnsi="Times New Roman" w:cs="Times New Roman"/>
                <w:b/>
                <w:bCs/>
                <w:color w:val="auto"/>
                <w:szCs w:val="21"/>
              </w:rPr>
              <w:t>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/d</w:t>
            </w:r>
          </w:p>
          <w:p w14:paraId="38B8A0DA">
            <w:pPr>
              <w:spacing w:line="360" w:lineRule="auto"/>
              <w:rPr>
                <w:rFonts w:hint="default" w:ascii="Times New Roman" w:hAnsi="Times New Roman" w:cs="Times New Roman"/>
                <w:color w:val="auto"/>
                <w:sz w:val="24"/>
                <w:szCs w:val="24"/>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、劳动定员</w:t>
            </w:r>
          </w:p>
          <w:p w14:paraId="0B4FFC30">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劳动定员：项目定员</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5</w:t>
            </w:r>
            <w:r>
              <w:rPr>
                <w:rFonts w:hint="default" w:ascii="Times New Roman" w:hAnsi="Times New Roman" w:cs="Times New Roman"/>
                <w:color w:val="auto"/>
                <w:sz w:val="24"/>
              </w:rPr>
              <w:t>人，厂内</w:t>
            </w:r>
            <w:r>
              <w:rPr>
                <w:rFonts w:hint="default" w:ascii="Times New Roman" w:hAnsi="Times New Roman" w:cs="Times New Roman"/>
                <w:color w:val="auto"/>
                <w:sz w:val="24"/>
                <w:lang w:val="en-US" w:eastAsia="zh-CN"/>
              </w:rPr>
              <w:t>不设置食宿</w:t>
            </w:r>
            <w:r>
              <w:rPr>
                <w:rFonts w:hint="default" w:ascii="Times New Roman" w:hAnsi="Times New Roman" w:cs="Times New Roman"/>
                <w:color w:val="auto"/>
                <w:sz w:val="24"/>
              </w:rPr>
              <w:t>。工作制度：年工作3</w:t>
            </w:r>
            <w:r>
              <w:rPr>
                <w:rFonts w:hint="default" w:ascii="Times New Roman" w:hAnsi="Times New Roman" w:cs="Times New Roman"/>
                <w:color w:val="auto"/>
                <w:sz w:val="24"/>
                <w:lang w:val="en-US" w:eastAsia="zh-CN"/>
              </w:rPr>
              <w:t>00</w:t>
            </w:r>
            <w:r>
              <w:rPr>
                <w:rFonts w:hint="default" w:ascii="Times New Roman" w:hAnsi="Times New Roman" w:cs="Times New Roman"/>
                <w:color w:val="auto"/>
                <w:sz w:val="24"/>
              </w:rPr>
              <w:t>天，实行</w:t>
            </w:r>
            <w:r>
              <w:rPr>
                <w:rFonts w:hint="default" w:ascii="Times New Roman" w:hAnsi="Times New Roman" w:cs="Times New Roman"/>
                <w:color w:val="auto"/>
                <w:sz w:val="24"/>
                <w:lang w:val="en-US" w:eastAsia="zh-CN"/>
              </w:rPr>
              <w:t>单班制生产</w:t>
            </w:r>
            <w:r>
              <w:rPr>
                <w:rFonts w:hint="eastAsia" w:cs="Times New Roman"/>
                <w:color w:val="auto"/>
                <w:sz w:val="24"/>
                <w:lang w:val="en-US" w:eastAsia="zh-CN"/>
              </w:rPr>
              <w:t>，</w:t>
            </w:r>
            <w:r>
              <w:rPr>
                <w:rFonts w:hint="default" w:ascii="Times New Roman" w:hAnsi="Times New Roman" w:cs="Times New Roman"/>
                <w:color w:val="auto"/>
                <w:sz w:val="24"/>
                <w:lang w:eastAsia="zh-CN"/>
              </w:rPr>
              <w:t>每班工作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小时，年工作时长</w:t>
            </w:r>
            <w:r>
              <w:rPr>
                <w:rFonts w:hint="default" w:ascii="Times New Roman" w:hAnsi="Times New Roman" w:cs="Times New Roman"/>
                <w:color w:val="auto"/>
                <w:sz w:val="24"/>
                <w:lang w:val="en-US" w:eastAsia="zh-CN"/>
              </w:rPr>
              <w:t>2400</w:t>
            </w:r>
            <w:r>
              <w:rPr>
                <w:rFonts w:hint="default" w:ascii="Times New Roman" w:hAnsi="Times New Roman" w:cs="Times New Roman"/>
                <w:color w:val="auto"/>
                <w:sz w:val="24"/>
              </w:rPr>
              <w:t>h。</w:t>
            </w:r>
          </w:p>
          <w:p w14:paraId="57586EBA">
            <w:pPr>
              <w:keepNext w:val="0"/>
              <w:keepLines w:val="0"/>
              <w:pageBreakBefore w:val="0"/>
              <w:widowControl w:val="0"/>
              <w:numPr>
                <w:ilvl w:val="0"/>
                <w:numId w:val="4"/>
              </w:numPr>
              <w:kinsoku/>
              <w:wordWrap/>
              <w:overflowPunct/>
              <w:topLinePunct w:val="0"/>
              <w:bidi w:val="0"/>
              <w:adjustRightInd w:val="0"/>
              <w:snapToGrid/>
              <w:spacing w:line="360" w:lineRule="auto"/>
              <w:textAlignment w:val="auto"/>
              <w:rPr>
                <w:rFonts w:hint="eastAsia" w:cs="Times New Roman"/>
                <w:b/>
                <w:bCs/>
                <w:color w:val="auto"/>
                <w:sz w:val="24"/>
                <w:lang w:val="en-US" w:eastAsia="zh-CN"/>
              </w:rPr>
            </w:pPr>
            <w:r>
              <w:rPr>
                <w:rFonts w:hint="eastAsia" w:cs="Times New Roman"/>
                <w:b/>
                <w:bCs/>
                <w:color w:val="auto"/>
                <w:sz w:val="24"/>
                <w:lang w:val="en-US" w:eastAsia="zh-CN"/>
              </w:rPr>
              <w:t>物料平衡</w:t>
            </w:r>
          </w:p>
          <w:p w14:paraId="4C7A3214">
            <w:pPr>
              <w:pStyle w:val="14"/>
              <w:spacing w:line="360" w:lineRule="auto"/>
              <w:rPr>
                <w:rFonts w:hint="default" w:ascii="Times New Roman" w:hAnsi="Times New Roman" w:cs="Times New Roman"/>
                <w:color w:val="auto"/>
                <w:lang w:val="en-US" w:eastAsia="zh-CN"/>
              </w:rPr>
            </w:pPr>
            <w:r>
              <w:rPr>
                <w:rFonts w:hint="eastAsia" w:cs="Times New Roman"/>
                <w:b/>
                <w:bCs/>
                <w:color w:val="auto"/>
                <w:sz w:val="24"/>
                <w:lang w:val="en-US" w:eastAsia="zh-CN"/>
              </w:rPr>
              <w:t xml:space="preserve">   </w:t>
            </w:r>
            <w:r>
              <w:rPr>
                <w:rFonts w:hint="eastAsia" w:cs="Times New Roman"/>
                <w:b w:val="0"/>
                <w:bCs w:val="0"/>
                <w:color w:val="auto"/>
                <w:sz w:val="24"/>
                <w:lang w:val="en-US" w:eastAsia="zh-CN"/>
              </w:rPr>
              <w:t>根据建设单位提供资料，</w:t>
            </w:r>
            <w:r>
              <w:rPr>
                <w:rFonts w:hint="default" w:ascii="Times New Roman" w:hAnsi="Times New Roman" w:cs="Times New Roman"/>
                <w:b w:val="0"/>
                <w:bCs w:val="0"/>
                <w:color w:val="auto"/>
                <w:sz w:val="24"/>
                <w:lang w:val="en-US" w:eastAsia="zh-CN"/>
              </w:rPr>
              <w:t>稻谷加工产生的优质大米、稻壳、碎米、米糠、霉米重量比为</w:t>
            </w:r>
            <w:r>
              <w:rPr>
                <w:rFonts w:hint="eastAsia" w:ascii="Times New Roman" w:hAnsi="Times New Roman" w:cs="Times New Roman"/>
                <w:b w:val="0"/>
                <w:bCs w:val="0"/>
                <w:color w:val="auto"/>
                <w:sz w:val="24"/>
                <w:lang w:val="en-US" w:eastAsia="zh-CN"/>
              </w:rPr>
              <w:t>26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11：6</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6：1，物料平衡见下表。</w:t>
            </w:r>
          </w:p>
          <w:p w14:paraId="0B152645">
            <w:pPr>
              <w:spacing w:line="360" w:lineRule="auto"/>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表2-</w:t>
            </w:r>
            <w:r>
              <w:rPr>
                <w:rFonts w:hint="eastAsia"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建设项目</w:t>
            </w:r>
            <w:r>
              <w:rPr>
                <w:rFonts w:hint="eastAsia" w:ascii="Times New Roman" w:hAnsi="Times New Roman" w:cs="Times New Roman"/>
                <w:b/>
                <w:color w:val="auto"/>
                <w:szCs w:val="21"/>
                <w:lang w:val="en-US" w:eastAsia="zh-CN"/>
              </w:rPr>
              <w:t>物料平衡</w:t>
            </w:r>
            <w:r>
              <w:rPr>
                <w:rFonts w:hint="default" w:ascii="Times New Roman" w:hAnsi="Times New Roman" w:cs="Times New Roman"/>
                <w:b/>
                <w:color w:val="auto"/>
                <w:szCs w:val="21"/>
              </w:rPr>
              <w:t>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272"/>
              <w:gridCol w:w="1362"/>
              <w:gridCol w:w="762"/>
              <w:gridCol w:w="2809"/>
              <w:gridCol w:w="1426"/>
            </w:tblGrid>
            <w:tr w14:paraId="284B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80" w:type="pct"/>
                  <w:gridSpan w:val="3"/>
                  <w:vAlign w:val="center"/>
                </w:tcPr>
                <w:p w14:paraId="303094BF">
                  <w:pPr>
                    <w:jc w:val="center"/>
                    <w:rPr>
                      <w:rFonts w:hint="eastAsia" w:ascii="Times New Roman" w:hAnsi="Times New Roman" w:eastAsia="宋体" w:cs="Times New Roman"/>
                      <w:b/>
                      <w:color w:val="auto"/>
                      <w:spacing w:val="-2"/>
                      <w:kern w:val="0"/>
                      <w:szCs w:val="21"/>
                      <w:lang w:val="en-US" w:eastAsia="zh-CN"/>
                    </w:rPr>
                  </w:pPr>
                  <w:r>
                    <w:rPr>
                      <w:rFonts w:hint="eastAsia" w:ascii="Times New Roman" w:hAnsi="Times New Roman" w:cs="Times New Roman"/>
                      <w:b/>
                      <w:color w:val="auto"/>
                      <w:spacing w:val="-2"/>
                      <w:kern w:val="0"/>
                      <w:szCs w:val="21"/>
                      <w:lang w:val="en-US" w:eastAsia="zh-CN"/>
                    </w:rPr>
                    <w:t>投入</w:t>
                  </w:r>
                </w:p>
              </w:tc>
              <w:tc>
                <w:tcPr>
                  <w:tcW w:w="2919" w:type="pct"/>
                  <w:gridSpan w:val="3"/>
                  <w:vAlign w:val="center"/>
                </w:tcPr>
                <w:p w14:paraId="52337EC0">
                  <w:pPr>
                    <w:jc w:val="center"/>
                    <w:rPr>
                      <w:rFonts w:hint="default" w:ascii="Times New Roman" w:hAnsi="Times New Roman" w:eastAsia="宋体" w:cs="Times New Roman"/>
                      <w:b/>
                      <w:color w:val="auto"/>
                      <w:spacing w:val="-2"/>
                      <w:kern w:val="0"/>
                      <w:szCs w:val="21"/>
                      <w:lang w:val="en-US" w:eastAsia="zh-CN"/>
                    </w:rPr>
                  </w:pPr>
                  <w:r>
                    <w:rPr>
                      <w:rFonts w:hint="eastAsia" w:ascii="Times New Roman" w:hAnsi="Times New Roman" w:eastAsia="宋体" w:cs="Times New Roman"/>
                      <w:b/>
                      <w:color w:val="auto"/>
                      <w:spacing w:val="-2"/>
                      <w:kern w:val="0"/>
                      <w:szCs w:val="21"/>
                      <w:lang w:val="en-US" w:eastAsia="zh-CN"/>
                    </w:rPr>
                    <w:t>产出</w:t>
                  </w:r>
                </w:p>
              </w:tc>
            </w:tr>
            <w:tr w14:paraId="7DA1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vAlign w:val="center"/>
                </w:tcPr>
                <w:p w14:paraId="304A78AE">
                  <w:pPr>
                    <w:jc w:val="center"/>
                    <w:rPr>
                      <w:rFonts w:hint="eastAsia" w:ascii="Times New Roman" w:hAnsi="Times New Roman" w:eastAsia="宋体" w:cs="Times New Roman"/>
                      <w:color w:val="auto"/>
                      <w:spacing w:val="-2"/>
                      <w:kern w:val="0"/>
                      <w:szCs w:val="21"/>
                      <w:lang w:val="en-US" w:eastAsia="zh-CN"/>
                    </w:rPr>
                  </w:pPr>
                  <w:r>
                    <w:rPr>
                      <w:rFonts w:hint="eastAsia" w:ascii="Times New Roman" w:hAnsi="Times New Roman" w:cs="Times New Roman"/>
                      <w:color w:val="auto"/>
                      <w:spacing w:val="-2"/>
                      <w:kern w:val="0"/>
                      <w:szCs w:val="21"/>
                      <w:lang w:val="en-US" w:eastAsia="zh-CN"/>
                    </w:rPr>
                    <w:t>序号</w:t>
                  </w:r>
                </w:p>
              </w:tc>
              <w:tc>
                <w:tcPr>
                  <w:tcW w:w="743" w:type="pct"/>
                  <w:vAlign w:val="center"/>
                </w:tcPr>
                <w:p w14:paraId="5F01DDE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名称</w:t>
                  </w:r>
                </w:p>
              </w:tc>
              <w:tc>
                <w:tcPr>
                  <w:tcW w:w="795" w:type="pct"/>
                  <w:vAlign w:val="center"/>
                </w:tcPr>
                <w:p w14:paraId="4E121A2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数量（t/a）</w:t>
                  </w:r>
                </w:p>
              </w:tc>
              <w:tc>
                <w:tcPr>
                  <w:tcW w:w="445" w:type="pct"/>
                  <w:vAlign w:val="center"/>
                </w:tcPr>
                <w:p w14:paraId="7E0AB36D">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pacing w:val="-2"/>
                      <w:kern w:val="0"/>
                      <w:szCs w:val="21"/>
                      <w:lang w:val="en-US" w:eastAsia="zh-CN"/>
                    </w:rPr>
                    <w:t>序号</w:t>
                  </w:r>
                </w:p>
              </w:tc>
              <w:tc>
                <w:tcPr>
                  <w:tcW w:w="1641" w:type="pct"/>
                  <w:vAlign w:val="center"/>
                </w:tcPr>
                <w:p w14:paraId="1ADEB6F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名称</w:t>
                  </w:r>
                </w:p>
              </w:tc>
              <w:tc>
                <w:tcPr>
                  <w:tcW w:w="832" w:type="pct"/>
                  <w:vAlign w:val="center"/>
                </w:tcPr>
                <w:p w14:paraId="5D25AE69">
                  <w:pPr>
                    <w:jc w:val="center"/>
                    <w:rPr>
                      <w:rFonts w:hint="default" w:ascii="Times New Roman" w:hAnsi="Times New Roman" w:eastAsia="宋体" w:cs="Times New Roman"/>
                      <w:color w:val="auto"/>
                      <w:spacing w:val="-2"/>
                      <w:kern w:val="0"/>
                      <w:szCs w:val="21"/>
                      <w:lang w:val="en-US" w:eastAsia="zh-CN"/>
                    </w:rPr>
                  </w:pPr>
                  <w:r>
                    <w:rPr>
                      <w:rFonts w:hint="eastAsia" w:ascii="Times New Roman" w:hAnsi="Times New Roman" w:eastAsia="宋体" w:cs="Times New Roman"/>
                      <w:color w:val="auto"/>
                      <w:szCs w:val="21"/>
                      <w:lang w:val="en-US" w:eastAsia="zh-CN"/>
                    </w:rPr>
                    <w:t>数量（t/a）</w:t>
                  </w:r>
                </w:p>
              </w:tc>
            </w:tr>
            <w:tr w14:paraId="68DC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vAlign w:val="center"/>
                </w:tcPr>
                <w:p w14:paraId="054E69B7">
                  <w:pPr>
                    <w:jc w:val="center"/>
                    <w:rPr>
                      <w:rFonts w:hint="default" w:ascii="Times New Roman" w:hAnsi="Times New Roman" w:cs="Times New Roman"/>
                      <w:color w:val="auto"/>
                      <w:spacing w:val="-2"/>
                      <w:kern w:val="0"/>
                      <w:szCs w:val="21"/>
                      <w:lang w:val="en-US" w:eastAsia="zh-CN"/>
                    </w:rPr>
                  </w:pPr>
                  <w:r>
                    <w:rPr>
                      <w:rFonts w:hint="eastAsia" w:ascii="Times New Roman" w:hAnsi="Times New Roman" w:cs="Times New Roman"/>
                      <w:color w:val="auto"/>
                      <w:spacing w:val="-2"/>
                      <w:kern w:val="0"/>
                      <w:szCs w:val="21"/>
                      <w:lang w:val="en-US" w:eastAsia="zh-CN"/>
                    </w:rPr>
                    <w:t>1</w:t>
                  </w:r>
                </w:p>
              </w:tc>
              <w:tc>
                <w:tcPr>
                  <w:tcW w:w="743" w:type="pct"/>
                  <w:vAlign w:val="center"/>
                </w:tcPr>
                <w:p w14:paraId="20C1F984">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稻谷</w:t>
                  </w:r>
                </w:p>
              </w:tc>
              <w:tc>
                <w:tcPr>
                  <w:tcW w:w="795" w:type="pct"/>
                  <w:vAlign w:val="center"/>
                </w:tcPr>
                <w:p w14:paraId="0458C30E">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19247.03</w:t>
                  </w:r>
                </w:p>
              </w:tc>
              <w:tc>
                <w:tcPr>
                  <w:tcW w:w="445" w:type="pct"/>
                  <w:vAlign w:val="center"/>
                </w:tcPr>
                <w:p w14:paraId="02367FA6">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641" w:type="pct"/>
                  <w:vAlign w:val="center"/>
                </w:tcPr>
                <w:p w14:paraId="60DCBB3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优质大米</w:t>
                  </w:r>
                </w:p>
              </w:tc>
              <w:tc>
                <w:tcPr>
                  <w:tcW w:w="832" w:type="pct"/>
                  <w:vAlign w:val="center"/>
                </w:tcPr>
                <w:p w14:paraId="51262F83">
                  <w:pPr>
                    <w:jc w:val="center"/>
                    <w:rPr>
                      <w:rFonts w:hint="default" w:ascii="Times New Roman" w:hAnsi="Times New Roman" w:cs="Times New Roman"/>
                      <w:color w:val="auto"/>
                      <w:spacing w:val="-2"/>
                      <w:kern w:val="0"/>
                      <w:szCs w:val="21"/>
                      <w:lang w:val="en-US" w:eastAsia="zh-CN"/>
                    </w:rPr>
                  </w:pPr>
                  <w:r>
                    <w:rPr>
                      <w:rFonts w:hint="eastAsia" w:ascii="Times New Roman" w:hAnsi="Times New Roman" w:cs="Times New Roman"/>
                      <w:color w:val="auto"/>
                      <w:spacing w:val="-2"/>
                      <w:kern w:val="0"/>
                      <w:szCs w:val="21"/>
                      <w:lang w:val="en-US" w:eastAsia="zh-CN"/>
                    </w:rPr>
                    <w:t>10000</w:t>
                  </w:r>
                </w:p>
              </w:tc>
            </w:tr>
            <w:tr w14:paraId="706A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57338DD9">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shd w:val="clear" w:color="auto" w:fill="auto"/>
                  <w:vAlign w:val="center"/>
                </w:tcPr>
                <w:p w14:paraId="0584FAF4">
                  <w:pPr>
                    <w:jc w:val="center"/>
                    <w:rPr>
                      <w:rFonts w:hint="default" w:ascii="Times New Roman" w:hAnsi="Times New Roman" w:eastAsia="宋体" w:cs="Times New Roman"/>
                      <w:color w:val="auto"/>
                      <w:kern w:val="2"/>
                      <w:sz w:val="21"/>
                      <w:lang w:val="en-US" w:eastAsia="zh-CN" w:bidi="ar-SA"/>
                    </w:rPr>
                  </w:pPr>
                </w:p>
              </w:tc>
              <w:tc>
                <w:tcPr>
                  <w:tcW w:w="795" w:type="pct"/>
                  <w:shd w:val="clear" w:color="auto" w:fill="auto"/>
                  <w:vAlign w:val="center"/>
                </w:tcPr>
                <w:p w14:paraId="2FF3F4ED">
                  <w:pPr>
                    <w:jc w:val="center"/>
                    <w:rPr>
                      <w:rFonts w:hint="default" w:ascii="Times New Roman" w:hAnsi="Times New Roman" w:eastAsia="宋体" w:cs="Times New Roman"/>
                      <w:color w:val="auto"/>
                      <w:kern w:val="2"/>
                      <w:sz w:val="21"/>
                      <w:lang w:val="en-US" w:eastAsia="zh-CN" w:bidi="ar-SA"/>
                    </w:rPr>
                  </w:pPr>
                </w:p>
              </w:tc>
              <w:tc>
                <w:tcPr>
                  <w:tcW w:w="445" w:type="pct"/>
                  <w:vAlign w:val="center"/>
                </w:tcPr>
                <w:p w14:paraId="52788327">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641" w:type="pct"/>
                  <w:vAlign w:val="center"/>
                </w:tcPr>
                <w:p w14:paraId="3E257DA3">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稻壳</w:t>
                  </w:r>
                </w:p>
              </w:tc>
              <w:tc>
                <w:tcPr>
                  <w:tcW w:w="832" w:type="pct"/>
                  <w:vAlign w:val="center"/>
                </w:tcPr>
                <w:p w14:paraId="3EC97829">
                  <w:pPr>
                    <w:jc w:val="center"/>
                    <w:rPr>
                      <w:rFonts w:hint="default" w:ascii="Times New Roman" w:hAnsi="Times New Roman" w:cs="Times New Roman"/>
                      <w:color w:val="auto"/>
                      <w:spacing w:val="-2"/>
                      <w:kern w:val="0"/>
                      <w:szCs w:val="21"/>
                      <w:lang w:val="en-US" w:eastAsia="zh-CN"/>
                    </w:rPr>
                  </w:pPr>
                  <w:r>
                    <w:rPr>
                      <w:rFonts w:hint="eastAsia" w:cs="Times New Roman"/>
                      <w:color w:val="auto"/>
                      <w:spacing w:val="-2"/>
                      <w:kern w:val="0"/>
                      <w:szCs w:val="21"/>
                      <w:lang w:val="en-US" w:eastAsia="zh-CN"/>
                    </w:rPr>
                    <w:t>4235</w:t>
                  </w:r>
                </w:p>
              </w:tc>
            </w:tr>
            <w:tr w14:paraId="6D6C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10AC36E2">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14B7BD91">
                  <w:pPr>
                    <w:jc w:val="center"/>
                    <w:rPr>
                      <w:rFonts w:hint="default" w:ascii="Times New Roman" w:hAnsi="Times New Roman" w:cs="Times New Roman"/>
                      <w:color w:val="auto"/>
                    </w:rPr>
                  </w:pPr>
                </w:p>
              </w:tc>
              <w:tc>
                <w:tcPr>
                  <w:tcW w:w="795" w:type="pct"/>
                  <w:vAlign w:val="center"/>
                </w:tcPr>
                <w:p w14:paraId="652AFF45">
                  <w:pPr>
                    <w:jc w:val="center"/>
                    <w:rPr>
                      <w:rFonts w:hint="default" w:ascii="Times New Roman" w:hAnsi="Times New Roman" w:cs="Times New Roman"/>
                      <w:color w:val="auto"/>
                    </w:rPr>
                  </w:pPr>
                </w:p>
              </w:tc>
              <w:tc>
                <w:tcPr>
                  <w:tcW w:w="445" w:type="pct"/>
                  <w:vAlign w:val="center"/>
                </w:tcPr>
                <w:p w14:paraId="1AF39DF5">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641" w:type="pct"/>
                  <w:vAlign w:val="center"/>
                </w:tcPr>
                <w:p w14:paraId="2CAC1F53">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碎米</w:t>
                  </w:r>
                </w:p>
              </w:tc>
              <w:tc>
                <w:tcPr>
                  <w:tcW w:w="832" w:type="pct"/>
                  <w:vAlign w:val="center"/>
                </w:tcPr>
                <w:p w14:paraId="361531CE">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pacing w:val="-2"/>
                      <w:kern w:val="0"/>
                      <w:szCs w:val="21"/>
                      <w:lang w:val="en-US" w:eastAsia="zh-CN"/>
                    </w:rPr>
                    <w:t>2310</w:t>
                  </w:r>
                </w:p>
              </w:tc>
            </w:tr>
            <w:tr w14:paraId="521F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41" w:type="pct"/>
                  <w:shd w:val="clear" w:color="auto" w:fill="auto"/>
                  <w:vAlign w:val="center"/>
                </w:tcPr>
                <w:p w14:paraId="6BD9D947">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11D9A82F">
                  <w:pPr>
                    <w:jc w:val="center"/>
                    <w:rPr>
                      <w:rFonts w:hint="default" w:ascii="Times New Roman" w:hAnsi="Times New Roman" w:cs="Times New Roman"/>
                      <w:color w:val="auto"/>
                    </w:rPr>
                  </w:pPr>
                </w:p>
              </w:tc>
              <w:tc>
                <w:tcPr>
                  <w:tcW w:w="795" w:type="pct"/>
                  <w:vAlign w:val="center"/>
                </w:tcPr>
                <w:p w14:paraId="40B17D7D">
                  <w:pPr>
                    <w:jc w:val="center"/>
                    <w:rPr>
                      <w:rFonts w:hint="eastAsia" w:ascii="Times New Roman" w:hAnsi="Times New Roman" w:eastAsia="宋体" w:cs="Times New Roman"/>
                      <w:color w:val="auto"/>
                      <w:lang w:val="en-US" w:eastAsia="zh-CN"/>
                    </w:rPr>
                  </w:pPr>
                </w:p>
              </w:tc>
              <w:tc>
                <w:tcPr>
                  <w:tcW w:w="445" w:type="pct"/>
                  <w:vAlign w:val="center"/>
                </w:tcPr>
                <w:p w14:paraId="704D74F5">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1641" w:type="pct"/>
                  <w:vAlign w:val="center"/>
                </w:tcPr>
                <w:p w14:paraId="7CB6C777">
                  <w:pPr>
                    <w:jc w:val="center"/>
                    <w:rPr>
                      <w:rFonts w:hint="default" w:ascii="Times New Roman" w:hAnsi="Times New Roman" w:cs="Times New Roman"/>
                      <w:color w:val="auto"/>
                    </w:rPr>
                  </w:pPr>
                  <w:r>
                    <w:rPr>
                      <w:rFonts w:hint="default" w:ascii="Times New Roman" w:hAnsi="Times New Roman" w:cs="Times New Roman"/>
                      <w:color w:val="auto"/>
                    </w:rPr>
                    <w:t>米糠</w:t>
                  </w:r>
                </w:p>
              </w:tc>
              <w:tc>
                <w:tcPr>
                  <w:tcW w:w="832" w:type="pct"/>
                  <w:vAlign w:val="center"/>
                </w:tcPr>
                <w:p w14:paraId="621E1284">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pacing w:val="-2"/>
                      <w:kern w:val="0"/>
                      <w:szCs w:val="21"/>
                      <w:lang w:val="en-US" w:eastAsia="zh-CN"/>
                    </w:rPr>
                    <w:t>2310</w:t>
                  </w:r>
                </w:p>
              </w:tc>
            </w:tr>
            <w:tr w14:paraId="6430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41" w:type="pct"/>
                  <w:shd w:val="clear" w:color="auto" w:fill="auto"/>
                  <w:vAlign w:val="center"/>
                </w:tcPr>
                <w:p w14:paraId="579E62E3">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69DEB41C">
                  <w:pPr>
                    <w:jc w:val="center"/>
                    <w:rPr>
                      <w:rFonts w:hint="default" w:ascii="Times New Roman" w:hAnsi="Times New Roman" w:cs="Times New Roman"/>
                      <w:color w:val="auto"/>
                    </w:rPr>
                  </w:pPr>
                </w:p>
              </w:tc>
              <w:tc>
                <w:tcPr>
                  <w:tcW w:w="795" w:type="pct"/>
                  <w:vAlign w:val="center"/>
                </w:tcPr>
                <w:p w14:paraId="62A9352C">
                  <w:pPr>
                    <w:jc w:val="center"/>
                    <w:rPr>
                      <w:rFonts w:hint="eastAsia" w:ascii="Times New Roman" w:hAnsi="Times New Roman" w:eastAsia="宋体" w:cs="Times New Roman"/>
                      <w:color w:val="auto"/>
                      <w:lang w:val="en-US" w:eastAsia="zh-CN"/>
                    </w:rPr>
                  </w:pPr>
                </w:p>
              </w:tc>
              <w:tc>
                <w:tcPr>
                  <w:tcW w:w="445" w:type="pct"/>
                  <w:shd w:val="clear" w:color="auto" w:fill="auto"/>
                  <w:vAlign w:val="center"/>
                </w:tcPr>
                <w:p w14:paraId="1BB7D801">
                  <w:pPr>
                    <w:jc w:val="center"/>
                    <w:rPr>
                      <w:rFonts w:hint="eastAsia"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5</w:t>
                  </w:r>
                </w:p>
              </w:tc>
              <w:tc>
                <w:tcPr>
                  <w:tcW w:w="1641" w:type="pct"/>
                  <w:vAlign w:val="center"/>
                </w:tcPr>
                <w:p w14:paraId="184C4272">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霉米</w:t>
                  </w:r>
                </w:p>
              </w:tc>
              <w:tc>
                <w:tcPr>
                  <w:tcW w:w="832" w:type="pct"/>
                  <w:vAlign w:val="center"/>
                </w:tcPr>
                <w:p w14:paraId="51C1F3EA">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pacing w:val="-2"/>
                      <w:kern w:val="0"/>
                      <w:szCs w:val="21"/>
                      <w:lang w:val="en-US" w:eastAsia="zh-CN"/>
                    </w:rPr>
                    <w:t>385</w:t>
                  </w:r>
                </w:p>
              </w:tc>
            </w:tr>
            <w:tr w14:paraId="0AA3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58D9C072">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7C5DBD2D">
                  <w:pPr>
                    <w:jc w:val="center"/>
                    <w:rPr>
                      <w:rFonts w:hint="default" w:ascii="Times New Roman" w:hAnsi="Times New Roman" w:cs="Times New Roman"/>
                      <w:color w:val="auto"/>
                    </w:rPr>
                  </w:pPr>
                </w:p>
              </w:tc>
              <w:tc>
                <w:tcPr>
                  <w:tcW w:w="795" w:type="pct"/>
                  <w:vAlign w:val="center"/>
                </w:tcPr>
                <w:p w14:paraId="3A4C3F50">
                  <w:pPr>
                    <w:jc w:val="center"/>
                    <w:rPr>
                      <w:rFonts w:hint="eastAsia" w:ascii="Times New Roman" w:hAnsi="Times New Roman" w:eastAsia="宋体" w:cs="Times New Roman"/>
                      <w:color w:val="auto"/>
                      <w:lang w:val="en-US" w:eastAsia="zh-CN"/>
                    </w:rPr>
                  </w:pPr>
                </w:p>
              </w:tc>
              <w:tc>
                <w:tcPr>
                  <w:tcW w:w="445" w:type="pct"/>
                  <w:shd w:val="clear" w:color="auto" w:fill="auto"/>
                  <w:vAlign w:val="center"/>
                </w:tcPr>
                <w:p w14:paraId="4E66F211">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6</w:t>
                  </w:r>
                </w:p>
              </w:tc>
              <w:tc>
                <w:tcPr>
                  <w:tcW w:w="1641" w:type="pct"/>
                  <w:vAlign w:val="center"/>
                </w:tcPr>
                <w:p w14:paraId="3E768756">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有组织粉尘排放量</w:t>
                  </w:r>
                </w:p>
              </w:tc>
              <w:tc>
                <w:tcPr>
                  <w:tcW w:w="832" w:type="pct"/>
                  <w:vAlign w:val="center"/>
                </w:tcPr>
                <w:p w14:paraId="0C9C0A8B">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pacing w:val="-2"/>
                      <w:kern w:val="0"/>
                      <w:szCs w:val="21"/>
                      <w:lang w:val="en-US" w:eastAsia="zh-CN"/>
                    </w:rPr>
                    <w:t>0.0546</w:t>
                  </w:r>
                </w:p>
              </w:tc>
            </w:tr>
            <w:tr w14:paraId="07E3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0D1CF4EF">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466B2BB6">
                  <w:pPr>
                    <w:jc w:val="center"/>
                    <w:rPr>
                      <w:rFonts w:hint="default" w:ascii="Times New Roman" w:hAnsi="Times New Roman" w:cs="Times New Roman"/>
                      <w:color w:val="auto"/>
                    </w:rPr>
                  </w:pPr>
                </w:p>
              </w:tc>
              <w:tc>
                <w:tcPr>
                  <w:tcW w:w="795" w:type="pct"/>
                  <w:vAlign w:val="center"/>
                </w:tcPr>
                <w:p w14:paraId="314C52CC">
                  <w:pPr>
                    <w:jc w:val="center"/>
                    <w:rPr>
                      <w:rFonts w:hint="eastAsia" w:ascii="Times New Roman" w:hAnsi="Times New Roman" w:eastAsia="宋体" w:cs="Times New Roman"/>
                      <w:color w:val="auto"/>
                      <w:lang w:val="en-US" w:eastAsia="zh-CN"/>
                    </w:rPr>
                  </w:pPr>
                </w:p>
              </w:tc>
              <w:tc>
                <w:tcPr>
                  <w:tcW w:w="445" w:type="pct"/>
                  <w:shd w:val="clear" w:color="auto" w:fill="auto"/>
                  <w:vAlign w:val="center"/>
                </w:tcPr>
                <w:p w14:paraId="1D437C09">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7</w:t>
                  </w:r>
                </w:p>
              </w:tc>
              <w:tc>
                <w:tcPr>
                  <w:tcW w:w="1641" w:type="pct"/>
                  <w:vAlign w:val="center"/>
                </w:tcPr>
                <w:p w14:paraId="02C4B7CE">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4"/>
                      <w:lang w:val="en-US" w:eastAsia="zh-CN" w:bidi="ar-SA"/>
                    </w:rPr>
                    <w:t>除尘器收集粉尘</w:t>
                  </w:r>
                </w:p>
              </w:tc>
              <w:tc>
                <w:tcPr>
                  <w:tcW w:w="832" w:type="pct"/>
                  <w:vAlign w:val="center"/>
                </w:tcPr>
                <w:p w14:paraId="594EA1EF">
                  <w:pPr>
                    <w:jc w:val="center"/>
                    <w:rPr>
                      <w:rFonts w:hint="default" w:ascii="Times New Roman" w:hAnsi="Times New Roman" w:eastAsia="宋体" w:cs="Times New Roman"/>
                      <w:color w:val="auto"/>
                      <w:spacing w:val="-2"/>
                      <w:kern w:val="0"/>
                      <w:szCs w:val="21"/>
                      <w:lang w:val="en-US" w:eastAsia="zh-CN"/>
                    </w:rPr>
                  </w:pPr>
                  <w:r>
                    <w:rPr>
                      <w:rFonts w:hint="default" w:ascii="Times New Roman" w:hAnsi="Times New Roman" w:eastAsia="宋体" w:cs="Times New Roman"/>
                      <w:color w:val="auto"/>
                      <w:spacing w:val="-2"/>
                      <w:kern w:val="0"/>
                      <w:szCs w:val="21"/>
                      <w:lang w:val="en-US" w:eastAsia="zh-CN"/>
                    </w:rPr>
                    <w:t>5.4374</w:t>
                  </w:r>
                </w:p>
              </w:tc>
            </w:tr>
            <w:tr w14:paraId="0ED5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669BDBCD">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50B2BF68">
                  <w:pPr>
                    <w:jc w:val="center"/>
                    <w:rPr>
                      <w:rFonts w:hint="default" w:ascii="Times New Roman" w:hAnsi="Times New Roman" w:cs="Times New Roman"/>
                      <w:color w:val="auto"/>
                    </w:rPr>
                  </w:pPr>
                </w:p>
              </w:tc>
              <w:tc>
                <w:tcPr>
                  <w:tcW w:w="795" w:type="pct"/>
                  <w:vAlign w:val="center"/>
                </w:tcPr>
                <w:p w14:paraId="76317D7B">
                  <w:pPr>
                    <w:jc w:val="center"/>
                    <w:rPr>
                      <w:rFonts w:hint="eastAsia" w:ascii="Times New Roman" w:hAnsi="Times New Roman" w:eastAsia="宋体" w:cs="Times New Roman"/>
                      <w:color w:val="auto"/>
                      <w:lang w:val="en-US" w:eastAsia="zh-CN"/>
                    </w:rPr>
                  </w:pPr>
                </w:p>
              </w:tc>
              <w:tc>
                <w:tcPr>
                  <w:tcW w:w="445" w:type="pct"/>
                  <w:shd w:val="clear" w:color="auto" w:fill="auto"/>
                  <w:vAlign w:val="center"/>
                </w:tcPr>
                <w:p w14:paraId="46BC3C5F">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8</w:t>
                  </w:r>
                </w:p>
              </w:tc>
              <w:tc>
                <w:tcPr>
                  <w:tcW w:w="1641" w:type="pct"/>
                  <w:vAlign w:val="center"/>
                </w:tcPr>
                <w:p w14:paraId="641AF106">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无组织粉尘排放量</w:t>
                  </w:r>
                </w:p>
              </w:tc>
              <w:tc>
                <w:tcPr>
                  <w:tcW w:w="832" w:type="pct"/>
                  <w:vAlign w:val="center"/>
                </w:tcPr>
                <w:p w14:paraId="2EE7C46F">
                  <w:pPr>
                    <w:jc w:val="center"/>
                    <w:rPr>
                      <w:rFonts w:hint="default" w:ascii="Times New Roman" w:hAnsi="Times New Roman" w:eastAsia="宋体" w:cs="Times New Roman"/>
                      <w:color w:val="auto"/>
                      <w:spacing w:val="-2"/>
                      <w:kern w:val="0"/>
                      <w:szCs w:val="21"/>
                      <w:lang w:val="en-US" w:eastAsia="zh-CN"/>
                    </w:rPr>
                  </w:pPr>
                  <w:r>
                    <w:rPr>
                      <w:rFonts w:hint="eastAsia" w:cs="Times New Roman"/>
                      <w:color w:val="auto"/>
                      <w:sz w:val="21"/>
                      <w:szCs w:val="21"/>
                      <w:lang w:val="en-US" w:eastAsia="zh-CN"/>
                    </w:rPr>
                    <w:t>0.578</w:t>
                  </w:r>
                </w:p>
              </w:tc>
            </w:tr>
            <w:tr w14:paraId="72F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6D376EC7">
                  <w:pPr>
                    <w:jc w:val="center"/>
                    <w:rPr>
                      <w:rFonts w:hint="default" w:ascii="Times New Roman" w:hAnsi="Times New Roman" w:eastAsia="宋体" w:cs="Times New Roman"/>
                      <w:color w:val="auto"/>
                      <w:spacing w:val="-2"/>
                      <w:kern w:val="0"/>
                      <w:sz w:val="21"/>
                      <w:szCs w:val="21"/>
                      <w:lang w:val="en-US" w:eastAsia="zh-CN" w:bidi="ar-SA"/>
                    </w:rPr>
                  </w:pPr>
                </w:p>
              </w:tc>
              <w:tc>
                <w:tcPr>
                  <w:tcW w:w="743" w:type="pct"/>
                  <w:vAlign w:val="center"/>
                </w:tcPr>
                <w:p w14:paraId="358AFA42">
                  <w:pPr>
                    <w:jc w:val="center"/>
                    <w:rPr>
                      <w:rFonts w:hint="default" w:ascii="Times New Roman" w:hAnsi="Times New Roman" w:cs="Times New Roman"/>
                      <w:color w:val="auto"/>
                    </w:rPr>
                  </w:pPr>
                </w:p>
              </w:tc>
              <w:tc>
                <w:tcPr>
                  <w:tcW w:w="795" w:type="pct"/>
                  <w:vAlign w:val="center"/>
                </w:tcPr>
                <w:p w14:paraId="28284569">
                  <w:pPr>
                    <w:jc w:val="center"/>
                    <w:rPr>
                      <w:rFonts w:hint="eastAsia" w:ascii="Times New Roman" w:hAnsi="Times New Roman" w:eastAsia="宋体" w:cs="Times New Roman"/>
                      <w:color w:val="auto"/>
                      <w:lang w:val="en-US" w:eastAsia="zh-CN"/>
                    </w:rPr>
                  </w:pPr>
                </w:p>
              </w:tc>
              <w:tc>
                <w:tcPr>
                  <w:tcW w:w="445" w:type="pct"/>
                  <w:shd w:val="clear" w:color="auto" w:fill="auto"/>
                  <w:vAlign w:val="center"/>
                </w:tcPr>
                <w:p w14:paraId="01F2E8B3">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9</w:t>
                  </w:r>
                </w:p>
              </w:tc>
              <w:tc>
                <w:tcPr>
                  <w:tcW w:w="1641" w:type="pct"/>
                  <w:vAlign w:val="center"/>
                </w:tcPr>
                <w:p w14:paraId="5F60A5A6">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砂石杂质</w:t>
                  </w:r>
                </w:p>
              </w:tc>
              <w:tc>
                <w:tcPr>
                  <w:tcW w:w="832" w:type="pct"/>
                  <w:vAlign w:val="center"/>
                </w:tcPr>
                <w:p w14:paraId="3C6C0771">
                  <w:pPr>
                    <w:jc w:val="center"/>
                    <w:rPr>
                      <w:rFonts w:hint="default" w:ascii="Times New Roman" w:hAnsi="Times New Roman" w:eastAsia="宋体" w:cs="Times New Roman"/>
                      <w:color w:val="auto"/>
                      <w:spacing w:val="-2"/>
                      <w:kern w:val="0"/>
                      <w:szCs w:val="21"/>
                      <w:lang w:val="en-US" w:eastAsia="zh-CN"/>
                    </w:rPr>
                  </w:pPr>
                  <w:r>
                    <w:rPr>
                      <w:rFonts w:hint="default" w:ascii="Times New Roman" w:hAnsi="Times New Roman" w:eastAsia="宋体" w:cs="Times New Roman"/>
                      <w:color w:val="auto"/>
                      <w:spacing w:val="-2"/>
                      <w:kern w:val="0"/>
                      <w:szCs w:val="21"/>
                      <w:lang w:val="en-US" w:eastAsia="zh-CN"/>
                    </w:rPr>
                    <w:t>0.9</w:t>
                  </w:r>
                  <w:r>
                    <w:rPr>
                      <w:rFonts w:hint="eastAsia" w:cs="Times New Roman"/>
                      <w:color w:val="auto"/>
                      <w:spacing w:val="-2"/>
                      <w:kern w:val="0"/>
                      <w:szCs w:val="21"/>
                      <w:lang w:val="en-US" w:eastAsia="zh-CN"/>
                    </w:rPr>
                    <w:t>6</w:t>
                  </w:r>
                </w:p>
              </w:tc>
            </w:tr>
            <w:tr w14:paraId="22AC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1" w:type="pct"/>
                  <w:shd w:val="clear" w:color="auto" w:fill="auto"/>
                  <w:vAlign w:val="center"/>
                </w:tcPr>
                <w:p w14:paraId="040AD4F4">
                  <w:pPr>
                    <w:jc w:val="center"/>
                    <w:rPr>
                      <w:rFonts w:hint="default" w:ascii="Times New Roman" w:hAnsi="Times New Roman" w:eastAsia="宋体" w:cs="Times New Roman"/>
                      <w:color w:val="auto"/>
                      <w:spacing w:val="-2"/>
                      <w:kern w:val="0"/>
                      <w:sz w:val="21"/>
                      <w:szCs w:val="21"/>
                      <w:lang w:val="en-US" w:eastAsia="zh-CN" w:bidi="ar-SA"/>
                    </w:rPr>
                  </w:pPr>
                  <w:r>
                    <w:rPr>
                      <w:rFonts w:hint="eastAsia" w:ascii="Times New Roman" w:hAnsi="Times New Roman" w:eastAsia="宋体" w:cs="Times New Roman"/>
                      <w:color w:val="auto"/>
                      <w:spacing w:val="-2"/>
                      <w:kern w:val="0"/>
                      <w:sz w:val="21"/>
                      <w:szCs w:val="21"/>
                      <w:lang w:val="en-US" w:eastAsia="zh-CN" w:bidi="ar-SA"/>
                    </w:rPr>
                    <w:t>合计</w:t>
                  </w:r>
                </w:p>
              </w:tc>
              <w:tc>
                <w:tcPr>
                  <w:tcW w:w="1539" w:type="pct"/>
                  <w:gridSpan w:val="2"/>
                  <w:vAlign w:val="center"/>
                </w:tcPr>
                <w:p w14:paraId="5EB13666">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19247.03</w:t>
                  </w:r>
                </w:p>
              </w:tc>
              <w:tc>
                <w:tcPr>
                  <w:tcW w:w="445" w:type="pct"/>
                  <w:vAlign w:val="center"/>
                </w:tcPr>
                <w:p w14:paraId="22D509F5">
                  <w:pPr>
                    <w:jc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2473" w:type="pct"/>
                  <w:gridSpan w:val="2"/>
                  <w:vAlign w:val="center"/>
                </w:tcPr>
                <w:p w14:paraId="731DFECD">
                  <w:pPr>
                    <w:jc w:val="center"/>
                    <w:rPr>
                      <w:rFonts w:hint="default" w:ascii="Times New Roman" w:hAnsi="Times New Roman" w:eastAsia="宋体" w:cs="Times New Roman"/>
                      <w:color w:val="auto"/>
                      <w:spacing w:val="-2"/>
                      <w:kern w:val="0"/>
                      <w:szCs w:val="21"/>
                      <w:lang w:val="en-US" w:eastAsia="zh-CN"/>
                    </w:rPr>
                  </w:pPr>
                  <w:r>
                    <w:rPr>
                      <w:rFonts w:hint="default" w:ascii="Times New Roman" w:hAnsi="Times New Roman" w:cs="Times New Roman"/>
                      <w:color w:val="auto"/>
                      <w:lang w:val="en-US" w:eastAsia="zh-CN"/>
                    </w:rPr>
                    <w:t>19247.03</w:t>
                  </w:r>
                </w:p>
              </w:tc>
            </w:tr>
          </w:tbl>
          <w:p w14:paraId="1E9CAF86">
            <w:pPr>
              <w:keepNext w:val="0"/>
              <w:keepLines w:val="0"/>
              <w:pageBreakBefore w:val="0"/>
              <w:widowControl w:val="0"/>
              <w:numPr>
                <w:ilvl w:val="0"/>
                <w:numId w:val="0"/>
              </w:numPr>
              <w:kinsoku/>
              <w:wordWrap/>
              <w:overflowPunct/>
              <w:topLinePunct w:val="0"/>
              <w:bidi w:val="0"/>
              <w:adjustRightInd w:val="0"/>
              <w:snapToGrid/>
              <w:spacing w:line="360" w:lineRule="auto"/>
              <w:textAlignment w:val="auto"/>
              <w:rPr>
                <w:rFonts w:hint="default" w:cs="Times New Roman"/>
                <w:color w:val="auto"/>
                <w:sz w:val="24"/>
                <w:lang w:val="en-US" w:eastAsia="zh-CN"/>
              </w:rPr>
            </w:pPr>
          </w:p>
        </w:tc>
      </w:tr>
      <w:tr w14:paraId="21A9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1" w:hRule="atLeast"/>
          <w:jc w:val="center"/>
        </w:trPr>
        <w:tc>
          <w:tcPr>
            <w:tcW w:w="569" w:type="dxa"/>
            <w:vAlign w:val="center"/>
          </w:tcPr>
          <w:p w14:paraId="5067C4C4">
            <w:pPr>
              <w:widowControl/>
              <w:spacing w:line="360" w:lineRule="auto"/>
              <w:jc w:val="center"/>
              <w:rPr>
                <w:bCs/>
                <w:color w:val="auto"/>
                <w:szCs w:val="21"/>
              </w:rPr>
            </w:pPr>
            <w:r>
              <w:rPr>
                <w:rFonts w:hint="eastAsia"/>
                <w:bCs/>
                <w:color w:val="auto"/>
                <w:sz w:val="24"/>
                <w:szCs w:val="24"/>
              </w:rPr>
              <w:t>工艺流程和产排污环节</w:t>
            </w:r>
          </w:p>
        </w:tc>
        <w:tc>
          <w:tcPr>
            <w:tcW w:w="8676" w:type="dxa"/>
            <w:vAlign w:val="center"/>
          </w:tcPr>
          <w:p w14:paraId="47D7A9CD">
            <w:pPr>
              <w:spacing w:line="360" w:lineRule="auto"/>
              <w:rPr>
                <w:rFonts w:hint="default" w:ascii="Times New Roman" w:hAnsi="Times New Roman" w:cs="Times New Roman"/>
                <w:b/>
                <w:color w:val="auto"/>
                <w:sz w:val="24"/>
                <w:lang w:val="en-US" w:eastAsia="zh-CN"/>
              </w:rPr>
            </w:pPr>
            <w:r>
              <w:rPr>
                <w:rFonts w:hint="eastAsia"/>
                <w:b/>
                <w:color w:val="auto"/>
                <w:sz w:val="24"/>
                <w:szCs w:val="24"/>
              </w:rPr>
              <w:t>营运期工艺流程和产排污环节</w:t>
            </w:r>
          </w:p>
          <w:p w14:paraId="44C0A829">
            <w:pPr>
              <w:tabs>
                <w:tab w:val="left" w:pos="2001"/>
              </w:tabs>
              <w:jc w:val="center"/>
              <w:rPr>
                <w:rFonts w:hint="default" w:ascii="Times New Roman" w:hAnsi="Times New Roman" w:cs="Times New Roman"/>
                <w:b/>
                <w:bCs/>
                <w:color w:val="auto"/>
                <w:sz w:val="21"/>
                <w:szCs w:val="21"/>
              </w:rPr>
            </w:pPr>
            <w:r>
              <w:rPr>
                <w:color w:val="auto"/>
              </w:rPr>
              <mc:AlternateContent>
                <mc:Choice Requires="wpc">
                  <w:drawing>
                    <wp:inline distT="0" distB="0" distL="114300" distR="114300">
                      <wp:extent cx="5401310" cy="7829550"/>
                      <wp:effectExtent l="0" t="0" r="0" b="0"/>
                      <wp:docPr id="197" name="画布 573"/>
                      <wp:cNvGraphicFramePr/>
                      <a:graphic xmlns:a="http://schemas.openxmlformats.org/drawingml/2006/main">
                        <a:graphicData uri="http://schemas.microsoft.com/office/word/2010/wordprocessingCanvas">
                          <wpc:wpc>
                            <wpc:bg>
                              <a:noFill/>
                            </wpc:bg>
                            <wpc:whole>
                              <a:ln w="9525" cap="flat" cmpd="sng">
                                <a:noFill/>
                                <a:prstDash val="solid"/>
                                <a:miter/>
                                <a:headEnd type="none" w="med" len="med"/>
                                <a:tailEnd type="none" w="med" len="med"/>
                              </a:ln>
                            </wpc:whole>
                            <wps:wsp>
                              <wps:cNvPr id="227" name="文本框 575"/>
                              <wps:cNvSpPr txBox="1"/>
                              <wps:spPr>
                                <a:xfrm>
                                  <a:off x="2219960" y="0"/>
                                  <a:ext cx="812165" cy="320675"/>
                                </a:xfrm>
                                <a:prstGeom prst="rect">
                                  <a:avLst/>
                                </a:prstGeom>
                                <a:noFill/>
                                <a:ln w="9525" cap="flat" cmpd="sng">
                                  <a:noFill/>
                                  <a:prstDash val="solid"/>
                                  <a:miter/>
                                  <a:headEnd type="none" w="med" len="med"/>
                                  <a:tailEnd type="none" w="med" len="med"/>
                                </a:ln>
                              </wps:spPr>
                              <wps:txbx>
                                <w:txbxContent>
                                  <w:p w14:paraId="08B8BDBC">
                                    <w:pPr>
                                      <w:rPr>
                                        <w:rFonts w:hint="default" w:eastAsia="宋体"/>
                                        <w:szCs w:val="21"/>
                                        <w:lang w:val="en-US" w:eastAsia="zh-CN"/>
                                      </w:rPr>
                                    </w:pPr>
                                    <w:r>
                                      <w:rPr>
                                        <w:rFonts w:hint="eastAsia"/>
                                        <w:szCs w:val="21"/>
                                        <w:lang w:val="en-US" w:eastAsia="zh-CN"/>
                                      </w:rPr>
                                      <w:t>干燥原粮</w:t>
                                    </w:r>
                                  </w:p>
                                </w:txbxContent>
                              </wps:txbx>
                              <wps:bodyPr vert="horz" wrap="square" anchor="t" anchorCtr="0" upright="1"/>
                            </wps:wsp>
                            <wps:wsp>
                              <wps:cNvPr id="235" name="文本框 577"/>
                              <wps:cNvSpPr txBox="1"/>
                              <wps:spPr>
                                <a:xfrm>
                                  <a:off x="2177415" y="91757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6FDCD">
                                    <w:pPr>
                                      <w:jc w:val="center"/>
                                      <w:rPr>
                                        <w:rFonts w:hint="default" w:eastAsia="宋体"/>
                                        <w:lang w:val="en-US" w:eastAsia="zh-CN"/>
                                      </w:rPr>
                                    </w:pPr>
                                    <w:r>
                                      <w:rPr>
                                        <w:rFonts w:hint="eastAsia"/>
                                        <w:lang w:val="en-US" w:eastAsia="zh-CN"/>
                                      </w:rPr>
                                      <w:t>除杂、清理</w:t>
                                    </w:r>
                                  </w:p>
                                </w:txbxContent>
                              </wps:txbx>
                              <wps:bodyPr vert="horz" wrap="square" anchor="t" anchorCtr="0" upright="1"/>
                            </wps:wsp>
                            <wps:wsp>
                              <wps:cNvPr id="236" name="直线 580"/>
                              <wps:cNvCnPr/>
                              <wps:spPr>
                                <a:xfrm>
                                  <a:off x="2607945" y="701675"/>
                                  <a:ext cx="0" cy="215900"/>
                                </a:xfrm>
                                <a:prstGeom prst="line">
                                  <a:avLst/>
                                </a:prstGeom>
                                <a:ln w="9525" cap="flat" cmpd="sng">
                                  <a:solidFill>
                                    <a:srgbClr val="000000"/>
                                  </a:solidFill>
                                  <a:prstDash val="solid"/>
                                  <a:headEnd type="none" w="med" len="med"/>
                                  <a:tailEnd type="triangle" w="med" len="med"/>
                                </a:ln>
                              </wps:spPr>
                              <wps:bodyPr/>
                            </wps:wsp>
                            <wps:wsp>
                              <wps:cNvPr id="239" name="直线 580"/>
                              <wps:cNvCnPr/>
                              <wps:spPr>
                                <a:xfrm>
                                  <a:off x="2618105" y="1175385"/>
                                  <a:ext cx="0" cy="215900"/>
                                </a:xfrm>
                                <a:prstGeom prst="line">
                                  <a:avLst/>
                                </a:prstGeom>
                                <a:ln w="9525" cap="flat" cmpd="sng">
                                  <a:solidFill>
                                    <a:srgbClr val="000000"/>
                                  </a:solidFill>
                                  <a:prstDash val="solid"/>
                                  <a:headEnd type="none" w="med" len="med"/>
                                  <a:tailEnd type="triangle" w="med" len="med"/>
                                </a:ln>
                              </wps:spPr>
                              <wps:bodyPr/>
                            </wps:wsp>
                            <wps:wsp>
                              <wps:cNvPr id="240" name="文本框 577"/>
                              <wps:cNvSpPr txBox="1"/>
                              <wps:spPr>
                                <a:xfrm>
                                  <a:off x="2180590" y="1374140"/>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33BDE">
                                    <w:pPr>
                                      <w:jc w:val="center"/>
                                      <w:rPr>
                                        <w:rFonts w:hint="default" w:eastAsia="宋体"/>
                                        <w:lang w:val="en-US" w:eastAsia="zh-CN"/>
                                      </w:rPr>
                                    </w:pPr>
                                    <w:r>
                                      <w:rPr>
                                        <w:rFonts w:hint="eastAsia"/>
                                        <w:lang w:val="en-US" w:eastAsia="zh-CN"/>
                                      </w:rPr>
                                      <w:t>去石</w:t>
                                    </w:r>
                                  </w:p>
                                </w:txbxContent>
                              </wps:txbx>
                              <wps:bodyPr vert="horz" wrap="square" anchor="t" anchorCtr="0" upright="1"/>
                            </wps:wsp>
                            <wps:wsp>
                              <wps:cNvPr id="241" name="直线 580"/>
                              <wps:cNvCnPr/>
                              <wps:spPr>
                                <a:xfrm>
                                  <a:off x="2627630" y="1630680"/>
                                  <a:ext cx="0" cy="215900"/>
                                </a:xfrm>
                                <a:prstGeom prst="line">
                                  <a:avLst/>
                                </a:prstGeom>
                                <a:ln w="9525" cap="flat" cmpd="sng">
                                  <a:solidFill>
                                    <a:srgbClr val="000000"/>
                                  </a:solidFill>
                                  <a:prstDash val="solid"/>
                                  <a:headEnd type="none" w="med" len="med"/>
                                  <a:tailEnd type="triangle" w="med" len="med"/>
                                </a:ln>
                              </wps:spPr>
                              <wps:bodyPr/>
                            </wps:wsp>
                            <wps:wsp>
                              <wps:cNvPr id="242" name="文本框 577"/>
                              <wps:cNvSpPr txBox="1"/>
                              <wps:spPr>
                                <a:xfrm>
                                  <a:off x="2185670" y="185610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EC2F45">
                                    <w:pPr>
                                      <w:jc w:val="center"/>
                                      <w:rPr>
                                        <w:rFonts w:hint="default" w:eastAsia="宋体"/>
                                        <w:lang w:val="en-US" w:eastAsia="zh-CN"/>
                                      </w:rPr>
                                    </w:pPr>
                                    <w:r>
                                      <w:rPr>
                                        <w:rFonts w:hint="default" w:ascii="Times New Roman" w:hAnsi="Times New Roman" w:eastAsia="宋体" w:cs="Times New Roman"/>
                                        <w:sz w:val="21"/>
                                        <w:szCs w:val="21"/>
                                        <w:shd w:val="clear" w:color="auto" w:fill="auto"/>
                                        <w:lang w:val="en-US" w:eastAsia="zh-CN"/>
                                      </w:rPr>
                                      <w:t>砻谷</w:t>
                                    </w:r>
                                  </w:p>
                                </w:txbxContent>
                              </wps:txbx>
                              <wps:bodyPr vert="horz" wrap="square" anchor="t" anchorCtr="0" upright="1"/>
                            </wps:wsp>
                            <wps:wsp>
                              <wps:cNvPr id="247" name="直线 580"/>
                              <wps:cNvCnPr/>
                              <wps:spPr>
                                <a:xfrm>
                                  <a:off x="2637790" y="2112010"/>
                                  <a:ext cx="0" cy="215900"/>
                                </a:xfrm>
                                <a:prstGeom prst="line">
                                  <a:avLst/>
                                </a:prstGeom>
                                <a:ln w="9525" cap="flat" cmpd="sng">
                                  <a:solidFill>
                                    <a:srgbClr val="000000"/>
                                  </a:solidFill>
                                  <a:prstDash val="solid"/>
                                  <a:headEnd type="none" w="med" len="med"/>
                                  <a:tailEnd type="triangle" w="med" len="med"/>
                                </a:ln>
                              </wps:spPr>
                              <wps:bodyPr/>
                            </wps:wsp>
                            <wps:wsp>
                              <wps:cNvPr id="95" name="直线 580"/>
                              <wps:cNvCnPr/>
                              <wps:spPr>
                                <a:xfrm>
                                  <a:off x="2599690" y="223520"/>
                                  <a:ext cx="0" cy="215900"/>
                                </a:xfrm>
                                <a:prstGeom prst="line">
                                  <a:avLst/>
                                </a:prstGeom>
                                <a:ln w="9525" cap="flat" cmpd="sng">
                                  <a:solidFill>
                                    <a:srgbClr val="000000"/>
                                  </a:solidFill>
                                  <a:prstDash val="solid"/>
                                  <a:headEnd type="none" w="med" len="med"/>
                                  <a:tailEnd type="triangle" w="med" len="med"/>
                                </a:ln>
                              </wps:spPr>
                              <wps:bodyPr/>
                            </wps:wsp>
                            <wps:wsp>
                              <wps:cNvPr id="1" name="文本框 577"/>
                              <wps:cNvSpPr txBox="1"/>
                              <wps:spPr>
                                <a:xfrm>
                                  <a:off x="2179955" y="44259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7DE726">
                                    <w:pPr>
                                      <w:jc w:val="center"/>
                                      <w:rPr>
                                        <w:rFonts w:hint="default" w:eastAsia="宋体"/>
                                        <w:lang w:val="en-US" w:eastAsia="zh-CN"/>
                                      </w:rPr>
                                    </w:pPr>
                                    <w:r>
                                      <w:rPr>
                                        <w:rFonts w:hint="eastAsia"/>
                                        <w:lang w:val="en-US" w:eastAsia="zh-CN"/>
                                      </w:rPr>
                                      <w:t>卸粮</w:t>
                                    </w:r>
                                  </w:p>
                                </w:txbxContent>
                              </wps:txbx>
                              <wps:bodyPr vert="horz" wrap="square" anchor="t" anchorCtr="0" upright="1"/>
                            </wps:wsp>
                            <wps:wsp>
                              <wps:cNvPr id="109" name="文本框 575"/>
                              <wps:cNvSpPr txBox="1"/>
                              <wps:spPr>
                                <a:xfrm>
                                  <a:off x="3311525" y="362585"/>
                                  <a:ext cx="1536065" cy="419735"/>
                                </a:xfrm>
                                <a:prstGeom prst="rect">
                                  <a:avLst/>
                                </a:prstGeom>
                                <a:noFill/>
                                <a:ln w="9525" cap="flat" cmpd="sng">
                                  <a:noFill/>
                                  <a:prstDash val="solid"/>
                                  <a:miter/>
                                  <a:headEnd type="none" w="med" len="med"/>
                                  <a:tailEnd type="none" w="med" len="med"/>
                                </a:ln>
                              </wps:spPr>
                              <wps:txbx>
                                <w:txbxContent>
                                  <w:p w14:paraId="2CB23A95">
                                    <w:pPr>
                                      <w:jc w:val="center"/>
                                      <w:rPr>
                                        <w:rFonts w:hint="default" w:eastAsia="宋体"/>
                                        <w:szCs w:val="21"/>
                                        <w:lang w:val="en-US" w:eastAsia="zh-CN"/>
                                      </w:rPr>
                                    </w:pPr>
                                    <w:r>
                                      <w:rPr>
                                        <w:rFonts w:hint="eastAsia"/>
                                        <w:szCs w:val="21"/>
                                        <w:lang w:val="en-US" w:eastAsia="zh-CN"/>
                                      </w:rPr>
                                      <w:t>G1卸粮粉尘、S1杂质（稻草节）</w:t>
                                    </w:r>
                                  </w:p>
                                </w:txbxContent>
                              </wps:txbx>
                              <wps:bodyPr vert="horz" wrap="square" anchor="t" anchorCtr="0" upright="1"/>
                            </wps:wsp>
                            <wps:wsp>
                              <wps:cNvPr id="110" name="直线 580"/>
                              <wps:cNvCnPr/>
                              <wps:spPr>
                                <a:xfrm flipV="1">
                                  <a:off x="1487170" y="4347845"/>
                                  <a:ext cx="720090" cy="0"/>
                                </a:xfrm>
                                <a:prstGeom prst="line">
                                  <a:avLst/>
                                </a:prstGeom>
                                <a:ln w="9525" cap="flat" cmpd="sng">
                                  <a:solidFill>
                                    <a:srgbClr val="000000"/>
                                  </a:solidFill>
                                  <a:prstDash val="solid"/>
                                  <a:headEnd type="none" w="med" len="med"/>
                                  <a:tailEnd type="triangle" w="med" len="med"/>
                                </a:ln>
                              </wps:spPr>
                              <wps:bodyPr/>
                            </wps:wsp>
                            <wps:wsp>
                              <wps:cNvPr id="111" name="文本框 575"/>
                              <wps:cNvSpPr txBox="1"/>
                              <wps:spPr>
                                <a:xfrm>
                                  <a:off x="1558925" y="4126865"/>
                                  <a:ext cx="530225" cy="320675"/>
                                </a:xfrm>
                                <a:prstGeom prst="rect">
                                  <a:avLst/>
                                </a:prstGeom>
                                <a:noFill/>
                                <a:ln w="9525" cap="flat" cmpd="sng">
                                  <a:noFill/>
                                  <a:prstDash val="solid"/>
                                  <a:miter/>
                                  <a:headEnd type="none" w="med" len="med"/>
                                  <a:tailEnd type="none" w="med" len="med"/>
                                </a:ln>
                              </wps:spPr>
                              <wps:txbx>
                                <w:txbxContent>
                                  <w:p w14:paraId="3A55D0A8">
                                    <w:pPr>
                                      <w:jc w:val="center"/>
                                      <w:rPr>
                                        <w:rFonts w:hint="default" w:eastAsia="宋体"/>
                                        <w:szCs w:val="21"/>
                                        <w:lang w:val="en-US" w:eastAsia="zh-CN"/>
                                      </w:rPr>
                                    </w:pPr>
                                    <w:r>
                                      <w:rPr>
                                        <w:rFonts w:hint="eastAsia"/>
                                        <w:szCs w:val="21"/>
                                        <w:lang w:val="en-US" w:eastAsia="zh-CN"/>
                                      </w:rPr>
                                      <w:t>加水</w:t>
                                    </w:r>
                                  </w:p>
                                </w:txbxContent>
                              </wps:txbx>
                              <wps:bodyPr vert="horz" wrap="square" anchor="t" anchorCtr="0" upright="1"/>
                            </wps:wsp>
                            <wps:wsp>
                              <wps:cNvPr id="11" name="文本框 577"/>
                              <wps:cNvSpPr txBox="1"/>
                              <wps:spPr>
                                <a:xfrm>
                                  <a:off x="2191385" y="232854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3A2F1D">
                                    <w:pPr>
                                      <w:jc w:val="center"/>
                                      <w:rPr>
                                        <w:rFonts w:hint="default" w:eastAsia="宋体"/>
                                        <w:lang w:val="en-US" w:eastAsia="zh-CN"/>
                                      </w:rPr>
                                    </w:pPr>
                                    <w:r>
                                      <w:rPr>
                                        <w:rFonts w:hint="eastAsia"/>
                                        <w:lang w:val="en-US" w:eastAsia="zh-CN"/>
                                      </w:rPr>
                                      <w:t>谷糙分离</w:t>
                                    </w:r>
                                  </w:p>
                                </w:txbxContent>
                              </wps:txbx>
                              <wps:bodyPr vert="horz" wrap="square" anchor="t" anchorCtr="0" upright="1"/>
                            </wps:wsp>
                            <wps:wsp>
                              <wps:cNvPr id="17" name="直线 580"/>
                              <wps:cNvCnPr/>
                              <wps:spPr>
                                <a:xfrm>
                                  <a:off x="2656205" y="2585085"/>
                                  <a:ext cx="0" cy="215900"/>
                                </a:xfrm>
                                <a:prstGeom prst="line">
                                  <a:avLst/>
                                </a:prstGeom>
                                <a:ln w="9525" cap="flat" cmpd="sng">
                                  <a:solidFill>
                                    <a:srgbClr val="000000"/>
                                  </a:solidFill>
                                  <a:prstDash val="solid"/>
                                  <a:headEnd type="none" w="med" len="med"/>
                                  <a:tailEnd type="triangle" w="med" len="med"/>
                                </a:ln>
                              </wps:spPr>
                              <wps:bodyPr/>
                            </wps:wsp>
                            <wps:wsp>
                              <wps:cNvPr id="2" name="文本框 577"/>
                              <wps:cNvSpPr txBox="1"/>
                              <wps:spPr>
                                <a:xfrm>
                                  <a:off x="2191385" y="327342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172477">
                                    <w:pPr>
                                      <w:jc w:val="center"/>
                                      <w:rPr>
                                        <w:rFonts w:hint="default" w:eastAsia="宋体"/>
                                        <w:lang w:val="en-US" w:eastAsia="zh-CN"/>
                                      </w:rPr>
                                    </w:pPr>
                                    <w:r>
                                      <w:rPr>
                                        <w:rFonts w:hint="eastAsia"/>
                                        <w:lang w:val="en-US" w:eastAsia="zh-CN"/>
                                      </w:rPr>
                                      <w:t>碾米</w:t>
                                    </w:r>
                                  </w:p>
                                </w:txbxContent>
                              </wps:txbx>
                              <wps:bodyPr vert="horz" wrap="square" anchor="t" anchorCtr="0" upright="1"/>
                            </wps:wsp>
                            <wps:wsp>
                              <wps:cNvPr id="6" name="直线 580"/>
                              <wps:cNvCnPr/>
                              <wps:spPr>
                                <a:xfrm>
                                  <a:off x="2656205" y="3060065"/>
                                  <a:ext cx="0" cy="215900"/>
                                </a:xfrm>
                                <a:prstGeom prst="line">
                                  <a:avLst/>
                                </a:prstGeom>
                                <a:ln w="9525" cap="flat" cmpd="sng">
                                  <a:solidFill>
                                    <a:srgbClr val="000000"/>
                                  </a:solidFill>
                                  <a:prstDash val="solid"/>
                                  <a:headEnd type="none" w="med" len="med"/>
                                  <a:tailEnd type="triangle" w="med" len="med"/>
                                </a:ln>
                              </wps:spPr>
                              <wps:bodyPr/>
                            </wps:wsp>
                            <wps:wsp>
                              <wps:cNvPr id="18" name="文本框 577"/>
                              <wps:cNvSpPr txBox="1"/>
                              <wps:spPr>
                                <a:xfrm>
                                  <a:off x="2214245" y="421830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3890C">
                                    <w:pPr>
                                      <w:jc w:val="center"/>
                                      <w:rPr>
                                        <w:rFonts w:hint="default" w:eastAsia="宋体"/>
                                        <w:lang w:val="en-US" w:eastAsia="zh-CN"/>
                                      </w:rPr>
                                    </w:pPr>
                                    <w:r>
                                      <w:rPr>
                                        <w:rFonts w:hint="eastAsia"/>
                                        <w:lang w:val="en-US" w:eastAsia="zh-CN"/>
                                      </w:rPr>
                                      <w:t>一次抛光</w:t>
                                    </w:r>
                                  </w:p>
                                </w:txbxContent>
                              </wps:txbx>
                              <wps:bodyPr vert="horz" wrap="square" anchor="t" anchorCtr="0" upright="1"/>
                            </wps:wsp>
                            <wps:wsp>
                              <wps:cNvPr id="19" name="文本框 577"/>
                              <wps:cNvSpPr txBox="1"/>
                              <wps:spPr>
                                <a:xfrm>
                                  <a:off x="2147570" y="3745865"/>
                                  <a:ext cx="102743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96306">
                                    <w:pPr>
                                      <w:jc w:val="center"/>
                                      <w:rPr>
                                        <w:rFonts w:hint="default" w:eastAsia="宋体"/>
                                        <w:lang w:val="en-US" w:eastAsia="zh-CN"/>
                                      </w:rPr>
                                    </w:pPr>
                                    <w:r>
                                      <w:rPr>
                                        <w:rFonts w:hint="eastAsia"/>
                                        <w:lang w:val="en-US" w:eastAsia="zh-CN"/>
                                      </w:rPr>
                                      <w:t>一次白米分级</w:t>
                                    </w:r>
                                  </w:p>
                                </w:txbxContent>
                              </wps:txbx>
                              <wps:bodyPr vert="horz" wrap="square" anchor="t" anchorCtr="0" upright="1"/>
                            </wps:wsp>
                            <wps:wsp>
                              <wps:cNvPr id="22" name="直线 580"/>
                              <wps:cNvCnPr/>
                              <wps:spPr>
                                <a:xfrm>
                                  <a:off x="2656205" y="3540125"/>
                                  <a:ext cx="0" cy="215900"/>
                                </a:xfrm>
                                <a:prstGeom prst="line">
                                  <a:avLst/>
                                </a:prstGeom>
                                <a:ln w="9525" cap="flat" cmpd="sng">
                                  <a:solidFill>
                                    <a:srgbClr val="000000"/>
                                  </a:solidFill>
                                  <a:prstDash val="solid"/>
                                  <a:headEnd type="none" w="med" len="med"/>
                                  <a:tailEnd type="triangle" w="med" len="med"/>
                                </a:ln>
                              </wps:spPr>
                              <wps:bodyPr/>
                            </wps:wsp>
                            <wps:wsp>
                              <wps:cNvPr id="24" name="直线 580"/>
                              <wps:cNvCnPr/>
                              <wps:spPr>
                                <a:xfrm>
                                  <a:off x="2671445" y="4485005"/>
                                  <a:ext cx="0" cy="215900"/>
                                </a:xfrm>
                                <a:prstGeom prst="line">
                                  <a:avLst/>
                                </a:prstGeom>
                                <a:ln w="9525" cap="flat" cmpd="sng">
                                  <a:solidFill>
                                    <a:srgbClr val="000000"/>
                                  </a:solidFill>
                                  <a:prstDash val="solid"/>
                                  <a:headEnd type="none" w="med" len="med"/>
                                  <a:tailEnd type="triangle" w="med" len="med"/>
                                </a:ln>
                              </wps:spPr>
                              <wps:bodyPr/>
                            </wps:wsp>
                            <wps:wsp>
                              <wps:cNvPr id="26" name="文本框 577"/>
                              <wps:cNvSpPr txBox="1"/>
                              <wps:spPr>
                                <a:xfrm>
                                  <a:off x="2225040" y="469836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9BD7A7">
                                    <w:pPr>
                                      <w:jc w:val="center"/>
                                      <w:rPr>
                                        <w:rFonts w:hint="default" w:eastAsia="宋体"/>
                                        <w:lang w:val="en-US" w:eastAsia="zh-CN"/>
                                      </w:rPr>
                                    </w:pPr>
                                    <w:r>
                                      <w:rPr>
                                        <w:rFonts w:hint="eastAsia"/>
                                        <w:lang w:val="en-US" w:eastAsia="zh-CN"/>
                                      </w:rPr>
                                      <w:t>二次色选</w:t>
                                    </w:r>
                                  </w:p>
                                </w:txbxContent>
                              </wps:txbx>
                              <wps:bodyPr vert="horz" wrap="square" anchor="t" anchorCtr="0" upright="1"/>
                            </wps:wsp>
                            <wps:wsp>
                              <wps:cNvPr id="27" name="直线 580"/>
                              <wps:cNvCnPr/>
                              <wps:spPr>
                                <a:xfrm>
                                  <a:off x="2694305" y="4949825"/>
                                  <a:ext cx="0" cy="215900"/>
                                </a:xfrm>
                                <a:prstGeom prst="line">
                                  <a:avLst/>
                                </a:prstGeom>
                                <a:ln w="9525" cap="flat" cmpd="sng">
                                  <a:solidFill>
                                    <a:srgbClr val="000000"/>
                                  </a:solidFill>
                                  <a:prstDash val="solid"/>
                                  <a:headEnd type="none" w="med" len="med"/>
                                  <a:tailEnd type="triangle" w="med" len="med"/>
                                </a:ln>
                              </wps:spPr>
                              <wps:bodyPr/>
                            </wps:wsp>
                            <wps:wsp>
                              <wps:cNvPr id="28" name="文本框 577"/>
                              <wps:cNvSpPr txBox="1"/>
                              <wps:spPr>
                                <a:xfrm>
                                  <a:off x="2244725" y="516318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9543B">
                                    <w:pPr>
                                      <w:jc w:val="center"/>
                                      <w:rPr>
                                        <w:rFonts w:hint="default" w:eastAsia="宋体"/>
                                        <w:lang w:val="en-US" w:eastAsia="zh-CN"/>
                                      </w:rPr>
                                    </w:pPr>
                                    <w:r>
                                      <w:rPr>
                                        <w:rFonts w:hint="eastAsia"/>
                                        <w:lang w:val="en-US" w:eastAsia="zh-CN"/>
                                      </w:rPr>
                                      <w:t>二次抛光</w:t>
                                    </w:r>
                                  </w:p>
                                </w:txbxContent>
                              </wps:txbx>
                              <wps:bodyPr vert="horz" wrap="square" anchor="t" anchorCtr="0" upright="1"/>
                            </wps:wsp>
                            <wps:wsp>
                              <wps:cNvPr id="29" name="文本框 577"/>
                              <wps:cNvSpPr txBox="1"/>
                              <wps:spPr>
                                <a:xfrm>
                                  <a:off x="2259965" y="562800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285288">
                                    <w:pPr>
                                      <w:jc w:val="center"/>
                                      <w:rPr>
                                        <w:rFonts w:hint="default" w:eastAsia="宋体"/>
                                        <w:lang w:val="en-US" w:eastAsia="zh-CN"/>
                                      </w:rPr>
                                    </w:pPr>
                                    <w:r>
                                      <w:rPr>
                                        <w:rFonts w:hint="eastAsia"/>
                                        <w:lang w:val="en-US" w:eastAsia="zh-CN"/>
                                      </w:rPr>
                                      <w:t>三次色选</w:t>
                                    </w:r>
                                  </w:p>
                                </w:txbxContent>
                              </wps:txbx>
                              <wps:bodyPr vert="horz" wrap="square" anchor="t" anchorCtr="0" upright="1"/>
                            </wps:wsp>
                            <wps:wsp>
                              <wps:cNvPr id="30" name="直线 580"/>
                              <wps:cNvCnPr/>
                              <wps:spPr>
                                <a:xfrm>
                                  <a:off x="2694305" y="5422265"/>
                                  <a:ext cx="0" cy="215900"/>
                                </a:xfrm>
                                <a:prstGeom prst="line">
                                  <a:avLst/>
                                </a:prstGeom>
                                <a:ln w="9525" cap="flat" cmpd="sng">
                                  <a:solidFill>
                                    <a:srgbClr val="000000"/>
                                  </a:solidFill>
                                  <a:prstDash val="solid"/>
                                  <a:headEnd type="none" w="med" len="med"/>
                                  <a:tailEnd type="triangle" w="med" len="med"/>
                                </a:ln>
                              </wps:spPr>
                              <wps:bodyPr/>
                            </wps:wsp>
                            <wps:wsp>
                              <wps:cNvPr id="31" name="直线 580"/>
                              <wps:cNvCnPr/>
                              <wps:spPr>
                                <a:xfrm>
                                  <a:off x="2709545" y="5879465"/>
                                  <a:ext cx="0" cy="215900"/>
                                </a:xfrm>
                                <a:prstGeom prst="line">
                                  <a:avLst/>
                                </a:prstGeom>
                                <a:ln w="9525" cap="flat" cmpd="sng">
                                  <a:solidFill>
                                    <a:srgbClr val="000000"/>
                                  </a:solidFill>
                                  <a:prstDash val="solid"/>
                                  <a:headEnd type="none" w="med" len="med"/>
                                  <a:tailEnd type="triangle" w="med" len="med"/>
                                </a:ln>
                              </wps:spPr>
                              <wps:bodyPr/>
                            </wps:wsp>
                            <wps:wsp>
                              <wps:cNvPr id="32" name="文本框 577"/>
                              <wps:cNvSpPr txBox="1"/>
                              <wps:spPr>
                                <a:xfrm>
                                  <a:off x="2282825" y="750252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91DB2B">
                                    <w:pPr>
                                      <w:jc w:val="center"/>
                                      <w:rPr>
                                        <w:rFonts w:hint="default" w:eastAsia="宋体"/>
                                        <w:lang w:val="en-US" w:eastAsia="zh-CN"/>
                                      </w:rPr>
                                    </w:pPr>
                                    <w:r>
                                      <w:rPr>
                                        <w:rFonts w:hint="eastAsia"/>
                                        <w:lang w:val="en-US" w:eastAsia="zh-CN"/>
                                      </w:rPr>
                                      <w:t>成品入库</w:t>
                                    </w:r>
                                  </w:p>
                                </w:txbxContent>
                              </wps:txbx>
                              <wps:bodyPr vert="horz" wrap="square" anchor="t" anchorCtr="0" upright="1"/>
                            </wps:wsp>
                            <wps:wsp>
                              <wps:cNvPr id="33" name="文本框 577"/>
                              <wps:cNvSpPr txBox="1"/>
                              <wps:spPr>
                                <a:xfrm>
                                  <a:off x="2191385" y="6092825"/>
                                  <a:ext cx="10826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CE5F4">
                                    <w:pPr>
                                      <w:jc w:val="center"/>
                                      <w:rPr>
                                        <w:rFonts w:hint="default" w:eastAsia="宋体"/>
                                        <w:lang w:val="en-US" w:eastAsia="zh-CN"/>
                                      </w:rPr>
                                    </w:pPr>
                                    <w:r>
                                      <w:rPr>
                                        <w:rFonts w:hint="eastAsia"/>
                                        <w:lang w:val="en-US" w:eastAsia="zh-CN"/>
                                      </w:rPr>
                                      <w:t>二次白米分级</w:t>
                                    </w:r>
                                  </w:p>
                                </w:txbxContent>
                              </wps:txbx>
                              <wps:bodyPr vert="horz" wrap="square" anchor="t" anchorCtr="0" upright="1"/>
                            </wps:wsp>
                            <wps:wsp>
                              <wps:cNvPr id="84" name="直线 580"/>
                              <wps:cNvCnPr/>
                              <wps:spPr>
                                <a:xfrm>
                                  <a:off x="2724785" y="6351905"/>
                                  <a:ext cx="0" cy="215900"/>
                                </a:xfrm>
                                <a:prstGeom prst="line">
                                  <a:avLst/>
                                </a:prstGeom>
                                <a:ln w="9525" cap="flat" cmpd="sng">
                                  <a:solidFill>
                                    <a:srgbClr val="000000"/>
                                  </a:solidFill>
                                  <a:prstDash val="solid"/>
                                  <a:headEnd type="none" w="med" len="med"/>
                                  <a:tailEnd type="triangle" w="med" len="med"/>
                                </a:ln>
                              </wps:spPr>
                              <wps:bodyPr/>
                            </wps:wsp>
                            <wps:wsp>
                              <wps:cNvPr id="85" name="文本框 577"/>
                              <wps:cNvSpPr txBox="1"/>
                              <wps:spPr>
                                <a:xfrm>
                                  <a:off x="2290445" y="656526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B29707">
                                    <w:pPr>
                                      <w:jc w:val="center"/>
                                      <w:rPr>
                                        <w:rFonts w:hint="default" w:eastAsia="宋体"/>
                                        <w:lang w:val="en-US" w:eastAsia="zh-CN"/>
                                      </w:rPr>
                                    </w:pPr>
                                    <w:r>
                                      <w:rPr>
                                        <w:rFonts w:hint="eastAsia"/>
                                        <w:lang w:val="en-US" w:eastAsia="zh-CN"/>
                                      </w:rPr>
                                      <w:t>精选</w:t>
                                    </w:r>
                                  </w:p>
                                </w:txbxContent>
                              </wps:txbx>
                              <wps:bodyPr vert="horz" wrap="square" anchor="t" anchorCtr="0" upright="1"/>
                            </wps:wsp>
                            <wps:wsp>
                              <wps:cNvPr id="86" name="直线 580"/>
                              <wps:cNvCnPr/>
                              <wps:spPr>
                                <a:xfrm>
                                  <a:off x="2724785" y="6824345"/>
                                  <a:ext cx="0" cy="215900"/>
                                </a:xfrm>
                                <a:prstGeom prst="line">
                                  <a:avLst/>
                                </a:prstGeom>
                                <a:ln w="9525" cap="flat" cmpd="sng">
                                  <a:solidFill>
                                    <a:srgbClr val="000000"/>
                                  </a:solidFill>
                                  <a:prstDash val="solid"/>
                                  <a:headEnd type="none" w="med" len="med"/>
                                  <a:tailEnd type="triangle" w="med" len="med"/>
                                </a:ln>
                              </wps:spPr>
                              <wps:bodyPr/>
                            </wps:wsp>
                            <wps:wsp>
                              <wps:cNvPr id="87" name="文本框 577"/>
                              <wps:cNvSpPr txBox="1"/>
                              <wps:spPr>
                                <a:xfrm>
                                  <a:off x="2046605" y="7037705"/>
                                  <a:ext cx="136398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AFCA9">
                                    <w:pPr>
                                      <w:jc w:val="center"/>
                                      <w:rPr>
                                        <w:rFonts w:hint="default" w:eastAsia="宋体"/>
                                        <w:lang w:val="en-US" w:eastAsia="zh-CN"/>
                                      </w:rPr>
                                    </w:pPr>
                                    <w:r>
                                      <w:rPr>
                                        <w:rFonts w:hint="eastAsia"/>
                                        <w:lang w:val="en-US" w:eastAsia="zh-CN"/>
                                      </w:rPr>
                                      <w:t>四次色选、计量包装</w:t>
                                    </w:r>
                                  </w:p>
                                </w:txbxContent>
                              </wps:txbx>
                              <wps:bodyPr vert="horz" wrap="square" anchor="t" anchorCtr="0" upright="1"/>
                            </wps:wsp>
                            <wps:wsp>
                              <wps:cNvPr id="88" name="直线 580"/>
                              <wps:cNvCnPr/>
                              <wps:spPr>
                                <a:xfrm>
                                  <a:off x="2724785" y="7289165"/>
                                  <a:ext cx="0" cy="215900"/>
                                </a:xfrm>
                                <a:prstGeom prst="line">
                                  <a:avLst/>
                                </a:prstGeom>
                                <a:ln w="9525" cap="flat" cmpd="sng">
                                  <a:solidFill>
                                    <a:srgbClr val="000000"/>
                                  </a:solidFill>
                                  <a:prstDash val="solid"/>
                                  <a:headEnd type="none" w="med" len="med"/>
                                  <a:tailEnd type="triangle" w="med" len="med"/>
                                </a:ln>
                              </wps:spPr>
                              <wps:bodyPr/>
                            </wps:wsp>
                            <wps:wsp>
                              <wps:cNvPr id="89" name="直线 580"/>
                              <wps:cNvCnPr/>
                              <wps:spPr>
                                <a:xfrm flipV="1">
                                  <a:off x="1520825" y="5292725"/>
                                  <a:ext cx="720090" cy="0"/>
                                </a:xfrm>
                                <a:prstGeom prst="line">
                                  <a:avLst/>
                                </a:prstGeom>
                                <a:ln w="9525" cap="flat" cmpd="sng">
                                  <a:solidFill>
                                    <a:srgbClr val="000000"/>
                                  </a:solidFill>
                                  <a:prstDash val="solid"/>
                                  <a:headEnd type="none" w="med" len="med"/>
                                  <a:tailEnd type="triangle" w="med" len="med"/>
                                </a:ln>
                              </wps:spPr>
                              <wps:bodyPr/>
                            </wps:wsp>
                            <wps:wsp>
                              <wps:cNvPr id="90" name="文本框 575"/>
                              <wps:cNvSpPr txBox="1"/>
                              <wps:spPr>
                                <a:xfrm>
                                  <a:off x="1584960" y="5064125"/>
                                  <a:ext cx="530225" cy="320675"/>
                                </a:xfrm>
                                <a:prstGeom prst="rect">
                                  <a:avLst/>
                                </a:prstGeom>
                                <a:noFill/>
                                <a:ln w="9525" cap="flat" cmpd="sng">
                                  <a:noFill/>
                                  <a:prstDash val="solid"/>
                                  <a:miter/>
                                  <a:headEnd type="none" w="med" len="med"/>
                                  <a:tailEnd type="none" w="med" len="med"/>
                                </a:ln>
                              </wps:spPr>
                              <wps:txbx>
                                <w:txbxContent>
                                  <w:p w14:paraId="3B044100">
                                    <w:pPr>
                                      <w:jc w:val="center"/>
                                      <w:rPr>
                                        <w:rFonts w:hint="default" w:eastAsia="宋体"/>
                                        <w:szCs w:val="21"/>
                                        <w:lang w:val="en-US" w:eastAsia="zh-CN"/>
                                      </w:rPr>
                                    </w:pPr>
                                    <w:r>
                                      <w:rPr>
                                        <w:rFonts w:hint="eastAsia"/>
                                        <w:szCs w:val="21"/>
                                        <w:lang w:val="en-US" w:eastAsia="zh-CN"/>
                                      </w:rPr>
                                      <w:t>加水</w:t>
                                    </w:r>
                                  </w:p>
                                </w:txbxContent>
                              </wps:txbx>
                              <wps:bodyPr vert="horz" wrap="square" anchor="t" anchorCtr="0" upright="1"/>
                            </wps:wsp>
                            <wps:wsp>
                              <wps:cNvPr id="93" name="直线 592"/>
                              <wps:cNvCnPr/>
                              <wps:spPr>
                                <a:xfrm flipV="1">
                                  <a:off x="3121025" y="4355465"/>
                                  <a:ext cx="288290" cy="0"/>
                                </a:xfrm>
                                <a:prstGeom prst="line">
                                  <a:avLst/>
                                </a:prstGeom>
                                <a:ln w="9525" cap="flat" cmpd="sng">
                                  <a:solidFill>
                                    <a:srgbClr val="000000"/>
                                  </a:solidFill>
                                  <a:prstDash val="dash"/>
                                  <a:headEnd type="none" w="med" len="med"/>
                                  <a:tailEnd type="triangle" w="med" len="med"/>
                                </a:ln>
                              </wps:spPr>
                              <wps:bodyPr/>
                            </wps:wsp>
                            <wps:wsp>
                              <wps:cNvPr id="94" name="直线 592"/>
                              <wps:cNvCnPr/>
                              <wps:spPr>
                                <a:xfrm flipV="1">
                                  <a:off x="3174365" y="3883025"/>
                                  <a:ext cx="288290" cy="0"/>
                                </a:xfrm>
                                <a:prstGeom prst="line">
                                  <a:avLst/>
                                </a:prstGeom>
                                <a:ln w="9525" cap="flat" cmpd="sng">
                                  <a:solidFill>
                                    <a:srgbClr val="000000"/>
                                  </a:solidFill>
                                  <a:prstDash val="dash"/>
                                  <a:headEnd type="none" w="med" len="med"/>
                                  <a:tailEnd type="triangle" w="med" len="med"/>
                                </a:ln>
                              </wps:spPr>
                              <wps:bodyPr/>
                            </wps:wsp>
                            <wps:wsp>
                              <wps:cNvPr id="96" name="直线 592"/>
                              <wps:cNvCnPr/>
                              <wps:spPr>
                                <a:xfrm flipV="1">
                                  <a:off x="3098165" y="3402965"/>
                                  <a:ext cx="288290" cy="0"/>
                                </a:xfrm>
                                <a:prstGeom prst="line">
                                  <a:avLst/>
                                </a:prstGeom>
                                <a:ln w="9525" cap="flat" cmpd="sng">
                                  <a:solidFill>
                                    <a:srgbClr val="000000"/>
                                  </a:solidFill>
                                  <a:prstDash val="dash"/>
                                  <a:headEnd type="none" w="med" len="med"/>
                                  <a:tailEnd type="triangle" w="med" len="med"/>
                                </a:ln>
                              </wps:spPr>
                              <wps:bodyPr/>
                            </wps:wsp>
                            <wps:wsp>
                              <wps:cNvPr id="103" name="直线 592"/>
                              <wps:cNvCnPr/>
                              <wps:spPr>
                                <a:xfrm flipV="1">
                                  <a:off x="3090545" y="2458085"/>
                                  <a:ext cx="288290" cy="0"/>
                                </a:xfrm>
                                <a:prstGeom prst="line">
                                  <a:avLst/>
                                </a:prstGeom>
                                <a:ln w="9525" cap="flat" cmpd="sng">
                                  <a:solidFill>
                                    <a:srgbClr val="000000"/>
                                  </a:solidFill>
                                  <a:prstDash val="dash"/>
                                  <a:headEnd type="none" w="med" len="med"/>
                                  <a:tailEnd type="triangle" w="med" len="med"/>
                                </a:ln>
                              </wps:spPr>
                              <wps:bodyPr/>
                            </wps:wsp>
                            <wps:wsp>
                              <wps:cNvPr id="104" name="直线 592"/>
                              <wps:cNvCnPr/>
                              <wps:spPr>
                                <a:xfrm flipV="1">
                                  <a:off x="3098165" y="1985645"/>
                                  <a:ext cx="288290" cy="0"/>
                                </a:xfrm>
                                <a:prstGeom prst="line">
                                  <a:avLst/>
                                </a:prstGeom>
                                <a:ln w="9525" cap="flat" cmpd="sng">
                                  <a:solidFill>
                                    <a:srgbClr val="000000"/>
                                  </a:solidFill>
                                  <a:prstDash val="dash"/>
                                  <a:headEnd type="none" w="med" len="med"/>
                                  <a:tailEnd type="triangle" w="med" len="med"/>
                                </a:ln>
                              </wps:spPr>
                              <wps:bodyPr/>
                            </wps:wsp>
                            <wps:wsp>
                              <wps:cNvPr id="105" name="直线 592"/>
                              <wps:cNvCnPr/>
                              <wps:spPr>
                                <a:xfrm flipV="1">
                                  <a:off x="3082925" y="1497965"/>
                                  <a:ext cx="288290" cy="0"/>
                                </a:xfrm>
                                <a:prstGeom prst="line">
                                  <a:avLst/>
                                </a:prstGeom>
                                <a:ln w="9525" cap="flat" cmpd="sng">
                                  <a:solidFill>
                                    <a:srgbClr val="000000"/>
                                  </a:solidFill>
                                  <a:prstDash val="dash"/>
                                  <a:headEnd type="none" w="med" len="med"/>
                                  <a:tailEnd type="triangle" w="med" len="med"/>
                                </a:ln>
                              </wps:spPr>
                              <wps:bodyPr/>
                            </wps:wsp>
                            <wps:wsp>
                              <wps:cNvPr id="106" name="直线 592"/>
                              <wps:cNvCnPr/>
                              <wps:spPr>
                                <a:xfrm flipV="1">
                                  <a:off x="3090545" y="1033145"/>
                                  <a:ext cx="288290" cy="0"/>
                                </a:xfrm>
                                <a:prstGeom prst="line">
                                  <a:avLst/>
                                </a:prstGeom>
                                <a:ln w="9525" cap="flat" cmpd="sng">
                                  <a:solidFill>
                                    <a:srgbClr val="000000"/>
                                  </a:solidFill>
                                  <a:prstDash val="dash"/>
                                  <a:headEnd type="none" w="med" len="med"/>
                                  <a:tailEnd type="triangle" w="med" len="med"/>
                                </a:ln>
                              </wps:spPr>
                              <wps:bodyPr/>
                            </wps:wsp>
                            <wps:wsp>
                              <wps:cNvPr id="107" name="直线 592"/>
                              <wps:cNvCnPr/>
                              <wps:spPr>
                                <a:xfrm flipV="1">
                                  <a:off x="3090545" y="568325"/>
                                  <a:ext cx="288290" cy="0"/>
                                </a:xfrm>
                                <a:prstGeom prst="line">
                                  <a:avLst/>
                                </a:prstGeom>
                                <a:ln w="9525" cap="flat" cmpd="sng">
                                  <a:solidFill>
                                    <a:srgbClr val="000000"/>
                                  </a:solidFill>
                                  <a:prstDash val="dash"/>
                                  <a:headEnd type="none" w="med" len="med"/>
                                  <a:tailEnd type="triangle" w="med" len="med"/>
                                </a:ln>
                              </wps:spPr>
                              <wps:bodyPr/>
                            </wps:wsp>
                            <wps:wsp>
                              <wps:cNvPr id="114" name="直线 592"/>
                              <wps:cNvCnPr/>
                              <wps:spPr>
                                <a:xfrm flipV="1">
                                  <a:off x="3189605" y="6694805"/>
                                  <a:ext cx="288290" cy="0"/>
                                </a:xfrm>
                                <a:prstGeom prst="line">
                                  <a:avLst/>
                                </a:prstGeom>
                                <a:ln w="9525" cap="flat" cmpd="sng">
                                  <a:solidFill>
                                    <a:srgbClr val="000000"/>
                                  </a:solidFill>
                                  <a:prstDash val="dash"/>
                                  <a:headEnd type="none" w="med" len="med"/>
                                  <a:tailEnd type="triangle" w="med" len="med"/>
                                </a:ln>
                              </wps:spPr>
                              <wps:bodyPr/>
                            </wps:wsp>
                            <wps:wsp>
                              <wps:cNvPr id="115" name="直线 592"/>
                              <wps:cNvCnPr/>
                              <wps:spPr>
                                <a:xfrm flipV="1">
                                  <a:off x="3281045" y="6229985"/>
                                  <a:ext cx="288290" cy="0"/>
                                </a:xfrm>
                                <a:prstGeom prst="line">
                                  <a:avLst/>
                                </a:prstGeom>
                                <a:ln w="9525" cap="flat" cmpd="sng">
                                  <a:solidFill>
                                    <a:srgbClr val="000000"/>
                                  </a:solidFill>
                                  <a:prstDash val="dash"/>
                                  <a:headEnd type="none" w="med" len="med"/>
                                  <a:tailEnd type="triangle" w="med" len="med"/>
                                </a:ln>
                              </wps:spPr>
                              <wps:bodyPr/>
                            </wps:wsp>
                            <wps:wsp>
                              <wps:cNvPr id="116" name="直线 592"/>
                              <wps:cNvCnPr/>
                              <wps:spPr>
                                <a:xfrm flipV="1">
                                  <a:off x="3159125" y="5757545"/>
                                  <a:ext cx="288290" cy="0"/>
                                </a:xfrm>
                                <a:prstGeom prst="line">
                                  <a:avLst/>
                                </a:prstGeom>
                                <a:ln w="9525" cap="flat" cmpd="sng">
                                  <a:solidFill>
                                    <a:srgbClr val="000000"/>
                                  </a:solidFill>
                                  <a:prstDash val="dash"/>
                                  <a:headEnd type="none" w="med" len="med"/>
                                  <a:tailEnd type="triangle" w="med" len="med"/>
                                </a:ln>
                              </wps:spPr>
                              <wps:bodyPr/>
                            </wps:wsp>
                            <wps:wsp>
                              <wps:cNvPr id="117" name="直线 592"/>
                              <wps:cNvCnPr/>
                              <wps:spPr>
                                <a:xfrm flipV="1">
                                  <a:off x="3143885" y="5292725"/>
                                  <a:ext cx="288290" cy="0"/>
                                </a:xfrm>
                                <a:prstGeom prst="line">
                                  <a:avLst/>
                                </a:prstGeom>
                                <a:ln w="9525" cap="flat" cmpd="sng">
                                  <a:solidFill>
                                    <a:srgbClr val="000000"/>
                                  </a:solidFill>
                                  <a:prstDash val="dash"/>
                                  <a:headEnd type="none" w="med" len="med"/>
                                  <a:tailEnd type="triangle" w="med" len="med"/>
                                </a:ln>
                              </wps:spPr>
                              <wps:bodyPr/>
                            </wps:wsp>
                            <wps:wsp>
                              <wps:cNvPr id="118" name="直线 592"/>
                              <wps:cNvCnPr/>
                              <wps:spPr>
                                <a:xfrm flipV="1">
                                  <a:off x="3136265" y="4835525"/>
                                  <a:ext cx="288290" cy="0"/>
                                </a:xfrm>
                                <a:prstGeom prst="line">
                                  <a:avLst/>
                                </a:prstGeom>
                                <a:ln w="9525" cap="flat" cmpd="sng">
                                  <a:solidFill>
                                    <a:srgbClr val="000000"/>
                                  </a:solidFill>
                                  <a:prstDash val="dash"/>
                                  <a:headEnd type="none" w="med" len="med"/>
                                  <a:tailEnd type="triangle" w="med" len="med"/>
                                </a:ln>
                              </wps:spPr>
                              <wps:bodyPr/>
                            </wps:wsp>
                            <wps:wsp>
                              <wps:cNvPr id="119" name="文本框 575"/>
                              <wps:cNvSpPr txBox="1"/>
                              <wps:spPr>
                                <a:xfrm>
                                  <a:off x="3317240" y="888365"/>
                                  <a:ext cx="1817370" cy="297815"/>
                                </a:xfrm>
                                <a:prstGeom prst="rect">
                                  <a:avLst/>
                                </a:prstGeom>
                                <a:noFill/>
                                <a:ln w="9525" cap="flat" cmpd="sng">
                                  <a:noFill/>
                                  <a:prstDash val="solid"/>
                                  <a:miter/>
                                  <a:headEnd type="none" w="med" len="med"/>
                                  <a:tailEnd type="none" w="med" len="med"/>
                                </a:ln>
                              </wps:spPr>
                              <wps:txbx>
                                <w:txbxContent>
                                  <w:p w14:paraId="103356E8">
                                    <w:pPr>
                                      <w:jc w:val="center"/>
                                      <w:rPr>
                                        <w:rFonts w:hint="default" w:eastAsia="宋体"/>
                                        <w:szCs w:val="21"/>
                                        <w:lang w:val="en-US" w:eastAsia="zh-CN"/>
                                      </w:rPr>
                                    </w:pPr>
                                    <w:r>
                                      <w:rPr>
                                        <w:rFonts w:hint="eastAsia"/>
                                        <w:szCs w:val="21"/>
                                        <w:lang w:val="en-US" w:eastAsia="zh-CN"/>
                                      </w:rPr>
                                      <w:t>G2除杂粉尘、S2砂石杂质</w:t>
                                    </w:r>
                                  </w:p>
                                </w:txbxContent>
                              </wps:txbx>
                              <wps:bodyPr vert="horz" wrap="square" anchor="t" anchorCtr="0" upright="1"/>
                            </wps:wsp>
                            <wps:wsp>
                              <wps:cNvPr id="120" name="文本框 575"/>
                              <wps:cNvSpPr txBox="1"/>
                              <wps:spPr>
                                <a:xfrm>
                                  <a:off x="3319145" y="1345565"/>
                                  <a:ext cx="1550670" cy="297815"/>
                                </a:xfrm>
                                <a:prstGeom prst="rect">
                                  <a:avLst/>
                                </a:prstGeom>
                                <a:noFill/>
                                <a:ln w="9525" cap="flat" cmpd="sng">
                                  <a:noFill/>
                                  <a:prstDash val="solid"/>
                                  <a:miter/>
                                  <a:headEnd type="none" w="med" len="med"/>
                                  <a:tailEnd type="none" w="med" len="med"/>
                                </a:ln>
                              </wps:spPr>
                              <wps:txbx>
                                <w:txbxContent>
                                  <w:p w14:paraId="4877C652">
                                    <w:pPr>
                                      <w:jc w:val="center"/>
                                      <w:rPr>
                                        <w:rFonts w:hint="default" w:eastAsia="宋体"/>
                                        <w:szCs w:val="21"/>
                                        <w:lang w:val="en-US" w:eastAsia="zh-CN"/>
                                      </w:rPr>
                                    </w:pPr>
                                    <w:r>
                                      <w:rPr>
                                        <w:rFonts w:hint="eastAsia"/>
                                        <w:szCs w:val="21"/>
                                        <w:lang w:val="en-US" w:eastAsia="zh-CN"/>
                                      </w:rPr>
                                      <w:t>G3去石粉尘、S2砂石</w:t>
                                    </w:r>
                                  </w:p>
                                </w:txbxContent>
                              </wps:txbx>
                              <wps:bodyPr vert="horz" wrap="square" anchor="t" anchorCtr="0" upright="1"/>
                            </wps:wsp>
                            <wps:wsp>
                              <wps:cNvPr id="121" name="文本框 575"/>
                              <wps:cNvSpPr txBox="1"/>
                              <wps:spPr>
                                <a:xfrm>
                                  <a:off x="3242945" y="1840865"/>
                                  <a:ext cx="1459230" cy="297815"/>
                                </a:xfrm>
                                <a:prstGeom prst="rect">
                                  <a:avLst/>
                                </a:prstGeom>
                                <a:noFill/>
                                <a:ln w="9525" cap="flat" cmpd="sng">
                                  <a:noFill/>
                                  <a:prstDash val="solid"/>
                                  <a:miter/>
                                  <a:headEnd type="none" w="med" len="med"/>
                                  <a:tailEnd type="none" w="med" len="med"/>
                                </a:ln>
                              </wps:spPr>
                              <wps:txbx>
                                <w:txbxContent>
                                  <w:p w14:paraId="6C5C4C53">
                                    <w:pPr>
                                      <w:jc w:val="center"/>
                                      <w:rPr>
                                        <w:rFonts w:hint="default" w:eastAsia="宋体"/>
                                        <w:szCs w:val="21"/>
                                        <w:lang w:val="en-US" w:eastAsia="zh-CN"/>
                                      </w:rPr>
                                    </w:pPr>
                                    <w:r>
                                      <w:rPr>
                                        <w:rFonts w:hint="eastAsia"/>
                                        <w:szCs w:val="21"/>
                                        <w:lang w:val="en-US" w:eastAsia="zh-CN"/>
                                      </w:rPr>
                                      <w:t>稻壳、G4砻谷粉尘</w:t>
                                    </w:r>
                                  </w:p>
                                </w:txbxContent>
                              </wps:txbx>
                              <wps:bodyPr vert="horz" wrap="square" anchor="t" anchorCtr="0" upright="1"/>
                            </wps:wsp>
                            <wps:wsp>
                              <wps:cNvPr id="123" name="文本框 575"/>
                              <wps:cNvSpPr txBox="1"/>
                              <wps:spPr>
                                <a:xfrm>
                                  <a:off x="3288665" y="2313305"/>
                                  <a:ext cx="1571625" cy="282575"/>
                                </a:xfrm>
                                <a:prstGeom prst="rect">
                                  <a:avLst/>
                                </a:prstGeom>
                                <a:noFill/>
                                <a:ln w="9525" cap="flat" cmpd="sng">
                                  <a:noFill/>
                                  <a:prstDash val="solid"/>
                                  <a:miter/>
                                  <a:headEnd type="none" w="med" len="med"/>
                                  <a:tailEnd type="none" w="med" len="med"/>
                                </a:ln>
                              </wps:spPr>
                              <wps:txbx>
                                <w:txbxContent>
                                  <w:p w14:paraId="1F5FBFB8">
                                    <w:pPr>
                                      <w:jc w:val="center"/>
                                      <w:rPr>
                                        <w:rFonts w:hint="eastAsia"/>
                                        <w:szCs w:val="21"/>
                                        <w:lang w:val="en-US" w:eastAsia="zh-CN"/>
                                      </w:rPr>
                                    </w:pPr>
                                    <w:r>
                                      <w:rPr>
                                        <w:rFonts w:hint="eastAsia"/>
                                        <w:szCs w:val="21"/>
                                        <w:lang w:val="en-US" w:eastAsia="zh-CN"/>
                                      </w:rPr>
                                      <w:t>谷糠、G5谷糙分离粉尘</w:t>
                                    </w:r>
                                  </w:p>
                                  <w:p w14:paraId="24BADB0C">
                                    <w:pPr>
                                      <w:jc w:val="center"/>
                                      <w:rPr>
                                        <w:rFonts w:hint="default" w:eastAsia="宋体"/>
                                        <w:szCs w:val="21"/>
                                        <w:lang w:val="en-US" w:eastAsia="zh-CN"/>
                                      </w:rPr>
                                    </w:pPr>
                                  </w:p>
                                </w:txbxContent>
                              </wps:txbx>
                              <wps:bodyPr vert="horz" wrap="square" anchor="t" anchorCtr="0" upright="1"/>
                            </wps:wsp>
                            <wps:wsp>
                              <wps:cNvPr id="124" name="文本框 575"/>
                              <wps:cNvSpPr txBox="1"/>
                              <wps:spPr>
                                <a:xfrm>
                                  <a:off x="3250565" y="3250565"/>
                                  <a:ext cx="1419860" cy="297815"/>
                                </a:xfrm>
                                <a:prstGeom prst="rect">
                                  <a:avLst/>
                                </a:prstGeom>
                                <a:noFill/>
                                <a:ln w="9525" cap="flat" cmpd="sng">
                                  <a:noFill/>
                                  <a:prstDash val="solid"/>
                                  <a:miter/>
                                  <a:headEnd type="none" w="med" len="med"/>
                                  <a:tailEnd type="none" w="med" len="med"/>
                                </a:ln>
                              </wps:spPr>
                              <wps:txbx>
                                <w:txbxContent>
                                  <w:p w14:paraId="7C340AE8">
                                    <w:pPr>
                                      <w:jc w:val="center"/>
                                      <w:rPr>
                                        <w:rFonts w:hint="default" w:eastAsia="宋体"/>
                                        <w:szCs w:val="21"/>
                                        <w:lang w:val="en-US" w:eastAsia="zh-CN"/>
                                      </w:rPr>
                                    </w:pPr>
                                    <w:r>
                                      <w:rPr>
                                        <w:rFonts w:hint="eastAsia"/>
                                        <w:szCs w:val="21"/>
                                        <w:lang w:val="en-US" w:eastAsia="zh-CN"/>
                                      </w:rPr>
                                      <w:t>米糠、G7碾米粉尘</w:t>
                                    </w:r>
                                  </w:p>
                                </w:txbxContent>
                              </wps:txbx>
                              <wps:bodyPr vert="horz" wrap="square" anchor="t" anchorCtr="0" upright="1"/>
                            </wps:wsp>
                            <wps:wsp>
                              <wps:cNvPr id="126" name="文本框 575"/>
                              <wps:cNvSpPr txBox="1"/>
                              <wps:spPr>
                                <a:xfrm>
                                  <a:off x="3341370" y="3738245"/>
                                  <a:ext cx="1991360" cy="320675"/>
                                </a:xfrm>
                                <a:prstGeom prst="rect">
                                  <a:avLst/>
                                </a:prstGeom>
                                <a:noFill/>
                                <a:ln w="9525" cap="flat" cmpd="sng">
                                  <a:noFill/>
                                  <a:prstDash val="solid"/>
                                  <a:miter/>
                                  <a:headEnd type="none" w="med" len="med"/>
                                  <a:tailEnd type="none" w="med" len="med"/>
                                </a:ln>
                              </wps:spPr>
                              <wps:txbx>
                                <w:txbxContent>
                                  <w:p w14:paraId="5CBAE03E">
                                    <w:pPr>
                                      <w:jc w:val="center"/>
                                      <w:rPr>
                                        <w:rFonts w:hint="default" w:eastAsia="宋体"/>
                                        <w:szCs w:val="21"/>
                                        <w:lang w:val="en-US" w:eastAsia="zh-CN"/>
                                      </w:rPr>
                                    </w:pPr>
                                    <w:r>
                                      <w:rPr>
                                        <w:rFonts w:hint="eastAsia"/>
                                        <w:szCs w:val="21"/>
                                        <w:lang w:val="en-US" w:eastAsia="zh-CN"/>
                                      </w:rPr>
                                      <w:t>碎米、G8一次白米分级粉尘</w:t>
                                    </w:r>
                                  </w:p>
                                </w:txbxContent>
                              </wps:txbx>
                              <wps:bodyPr vert="horz" wrap="square" anchor="t" anchorCtr="0" upright="1"/>
                            </wps:wsp>
                            <wps:wsp>
                              <wps:cNvPr id="127" name="文本框 575"/>
                              <wps:cNvSpPr txBox="1"/>
                              <wps:spPr>
                                <a:xfrm>
                                  <a:off x="3303905" y="4195445"/>
                                  <a:ext cx="1680210" cy="320675"/>
                                </a:xfrm>
                                <a:prstGeom prst="rect">
                                  <a:avLst/>
                                </a:prstGeom>
                                <a:noFill/>
                                <a:ln w="9525" cap="flat" cmpd="sng">
                                  <a:noFill/>
                                  <a:prstDash val="solid"/>
                                  <a:miter/>
                                  <a:headEnd type="none" w="med" len="med"/>
                                  <a:tailEnd type="none" w="med" len="med"/>
                                </a:ln>
                              </wps:spPr>
                              <wps:txbx>
                                <w:txbxContent>
                                  <w:p w14:paraId="4429F160">
                                    <w:pPr>
                                      <w:jc w:val="center"/>
                                      <w:rPr>
                                        <w:rFonts w:hint="default" w:eastAsia="宋体"/>
                                        <w:szCs w:val="21"/>
                                        <w:lang w:val="en-US" w:eastAsia="zh-CN"/>
                                      </w:rPr>
                                    </w:pPr>
                                    <w:r>
                                      <w:rPr>
                                        <w:rFonts w:hint="eastAsia"/>
                                        <w:szCs w:val="21"/>
                                        <w:lang w:val="en-US" w:eastAsia="zh-CN"/>
                                      </w:rPr>
                                      <w:t>米糠、G9一次抛光粉尘</w:t>
                                    </w:r>
                                  </w:p>
                                </w:txbxContent>
                              </wps:txbx>
                              <wps:bodyPr vert="horz" wrap="square" anchor="t" anchorCtr="0" upright="1"/>
                            </wps:wsp>
                            <wps:wsp>
                              <wps:cNvPr id="128" name="文本框 575"/>
                              <wps:cNvSpPr txBox="1"/>
                              <wps:spPr>
                                <a:xfrm>
                                  <a:off x="3357880" y="5140325"/>
                                  <a:ext cx="1641475" cy="320675"/>
                                </a:xfrm>
                                <a:prstGeom prst="rect">
                                  <a:avLst/>
                                </a:prstGeom>
                                <a:noFill/>
                                <a:ln w="9525" cap="flat" cmpd="sng">
                                  <a:noFill/>
                                  <a:prstDash val="solid"/>
                                  <a:miter/>
                                  <a:headEnd type="none" w="med" len="med"/>
                                  <a:tailEnd type="none" w="med" len="med"/>
                                </a:ln>
                              </wps:spPr>
                              <wps:txbx>
                                <w:txbxContent>
                                  <w:p w14:paraId="60530B83">
                                    <w:pPr>
                                      <w:jc w:val="center"/>
                                      <w:rPr>
                                        <w:rFonts w:hint="default" w:eastAsia="宋体"/>
                                        <w:szCs w:val="21"/>
                                        <w:lang w:val="en-US" w:eastAsia="zh-CN"/>
                                      </w:rPr>
                                    </w:pPr>
                                    <w:r>
                                      <w:rPr>
                                        <w:rFonts w:hint="eastAsia"/>
                                        <w:szCs w:val="21"/>
                                        <w:lang w:val="en-US" w:eastAsia="zh-CN"/>
                                      </w:rPr>
                                      <w:t>米糠、G11二次抛光粉尘</w:t>
                                    </w:r>
                                  </w:p>
                                </w:txbxContent>
                              </wps:txbx>
                              <wps:bodyPr vert="horz" wrap="square" anchor="t" anchorCtr="0" upright="1"/>
                            </wps:wsp>
                            <wps:wsp>
                              <wps:cNvPr id="129" name="文本框 575"/>
                              <wps:cNvSpPr txBox="1"/>
                              <wps:spPr>
                                <a:xfrm>
                                  <a:off x="3387725" y="4698365"/>
                                  <a:ext cx="1617980" cy="267335"/>
                                </a:xfrm>
                                <a:prstGeom prst="rect">
                                  <a:avLst/>
                                </a:prstGeom>
                                <a:noFill/>
                                <a:ln w="9525" cap="flat" cmpd="sng">
                                  <a:noFill/>
                                  <a:prstDash val="solid"/>
                                  <a:miter/>
                                  <a:headEnd type="none" w="med" len="med"/>
                                  <a:tailEnd type="none" w="med" len="med"/>
                                </a:ln>
                              </wps:spPr>
                              <wps:txbx>
                                <w:txbxContent>
                                  <w:p w14:paraId="7DCD9ED3">
                                    <w:pPr>
                                      <w:jc w:val="center"/>
                                      <w:rPr>
                                        <w:rFonts w:hint="default" w:eastAsia="宋体"/>
                                        <w:szCs w:val="21"/>
                                        <w:lang w:val="en-US" w:eastAsia="zh-CN"/>
                                      </w:rPr>
                                    </w:pPr>
                                    <w:r>
                                      <w:rPr>
                                        <w:rFonts w:hint="eastAsia"/>
                                        <w:szCs w:val="21"/>
                                        <w:lang w:val="en-US" w:eastAsia="zh-CN"/>
                                      </w:rPr>
                                      <w:t>霉米、G10二次色选粉尘</w:t>
                                    </w:r>
                                  </w:p>
                                </w:txbxContent>
                              </wps:txbx>
                              <wps:bodyPr vert="horz" wrap="square" anchor="t" anchorCtr="0" upright="1"/>
                            </wps:wsp>
                            <wps:wsp>
                              <wps:cNvPr id="130" name="文本框 575"/>
                              <wps:cNvSpPr txBox="1"/>
                              <wps:spPr>
                                <a:xfrm>
                                  <a:off x="3395345" y="5628005"/>
                                  <a:ext cx="1634490" cy="267335"/>
                                </a:xfrm>
                                <a:prstGeom prst="rect">
                                  <a:avLst/>
                                </a:prstGeom>
                                <a:noFill/>
                                <a:ln w="9525" cap="flat" cmpd="sng">
                                  <a:noFill/>
                                  <a:prstDash val="solid"/>
                                  <a:miter/>
                                  <a:headEnd type="none" w="med" len="med"/>
                                  <a:tailEnd type="none" w="med" len="med"/>
                                </a:ln>
                              </wps:spPr>
                              <wps:txbx>
                                <w:txbxContent>
                                  <w:p w14:paraId="149E2A98">
                                    <w:pPr>
                                      <w:jc w:val="center"/>
                                      <w:rPr>
                                        <w:rFonts w:hint="default" w:eastAsia="宋体"/>
                                        <w:szCs w:val="21"/>
                                        <w:lang w:val="en-US" w:eastAsia="zh-CN"/>
                                      </w:rPr>
                                    </w:pPr>
                                    <w:r>
                                      <w:rPr>
                                        <w:rFonts w:hint="eastAsia"/>
                                        <w:szCs w:val="21"/>
                                        <w:lang w:val="en-US" w:eastAsia="zh-CN"/>
                                      </w:rPr>
                                      <w:t>霉米、G12三次色选粉尘</w:t>
                                    </w:r>
                                  </w:p>
                                </w:txbxContent>
                              </wps:txbx>
                              <wps:bodyPr vert="horz" wrap="square" anchor="t" anchorCtr="0" upright="1"/>
                            </wps:wsp>
                            <wps:wsp>
                              <wps:cNvPr id="131" name="文本框 575"/>
                              <wps:cNvSpPr txBox="1"/>
                              <wps:spPr>
                                <a:xfrm>
                                  <a:off x="3494405" y="6100445"/>
                                  <a:ext cx="1869440" cy="320675"/>
                                </a:xfrm>
                                <a:prstGeom prst="rect">
                                  <a:avLst/>
                                </a:prstGeom>
                                <a:noFill/>
                                <a:ln w="9525" cap="flat" cmpd="sng">
                                  <a:noFill/>
                                  <a:prstDash val="solid"/>
                                  <a:miter/>
                                  <a:headEnd type="none" w="med" len="med"/>
                                  <a:tailEnd type="none" w="med" len="med"/>
                                </a:ln>
                              </wps:spPr>
                              <wps:txbx>
                                <w:txbxContent>
                                  <w:p w14:paraId="4B85E07A">
                                    <w:pPr>
                                      <w:jc w:val="center"/>
                                      <w:rPr>
                                        <w:rFonts w:hint="default" w:eastAsia="宋体"/>
                                        <w:szCs w:val="21"/>
                                        <w:lang w:val="en-US" w:eastAsia="zh-CN"/>
                                      </w:rPr>
                                    </w:pPr>
                                    <w:r>
                                      <w:rPr>
                                        <w:rFonts w:hint="eastAsia"/>
                                        <w:szCs w:val="21"/>
                                        <w:lang w:val="en-US" w:eastAsia="zh-CN"/>
                                      </w:rPr>
                                      <w:t>碎米、G13二次白米分级粉尘</w:t>
                                    </w:r>
                                  </w:p>
                                </w:txbxContent>
                              </wps:txbx>
                              <wps:bodyPr vert="horz" wrap="square" anchor="t" anchorCtr="0" upright="1"/>
                            </wps:wsp>
                            <wps:wsp>
                              <wps:cNvPr id="132" name="文本框 575"/>
                              <wps:cNvSpPr txBox="1"/>
                              <wps:spPr>
                                <a:xfrm>
                                  <a:off x="3317875" y="6550025"/>
                                  <a:ext cx="1626235" cy="320675"/>
                                </a:xfrm>
                                <a:prstGeom prst="rect">
                                  <a:avLst/>
                                </a:prstGeom>
                                <a:noFill/>
                                <a:ln w="9525" cap="flat" cmpd="sng">
                                  <a:noFill/>
                                  <a:prstDash val="solid"/>
                                  <a:miter/>
                                  <a:headEnd type="none" w="med" len="med"/>
                                  <a:tailEnd type="none" w="med" len="med"/>
                                </a:ln>
                              </wps:spPr>
                              <wps:txbx>
                                <w:txbxContent>
                                  <w:p w14:paraId="5D477947">
                                    <w:pPr>
                                      <w:jc w:val="center"/>
                                      <w:rPr>
                                        <w:rFonts w:hint="default" w:eastAsia="宋体"/>
                                        <w:szCs w:val="21"/>
                                        <w:lang w:val="en-US" w:eastAsia="zh-CN"/>
                                      </w:rPr>
                                    </w:pPr>
                                    <w:r>
                                      <w:rPr>
                                        <w:rFonts w:hint="eastAsia"/>
                                        <w:szCs w:val="21"/>
                                        <w:lang w:val="en-US" w:eastAsia="zh-CN"/>
                                      </w:rPr>
                                      <w:t>碎米、G14精选粉尘</w:t>
                                    </w:r>
                                  </w:p>
                                </w:txbxContent>
                              </wps:txbx>
                              <wps:bodyPr vert="horz" wrap="square" anchor="t" anchorCtr="0" upright="1"/>
                            </wps:wsp>
                            <wps:wsp>
                              <wps:cNvPr id="133" name="文本框 575"/>
                              <wps:cNvSpPr txBox="1"/>
                              <wps:spPr>
                                <a:xfrm>
                                  <a:off x="3562985" y="7030085"/>
                                  <a:ext cx="1428115" cy="259715"/>
                                </a:xfrm>
                                <a:prstGeom prst="rect">
                                  <a:avLst/>
                                </a:prstGeom>
                                <a:noFill/>
                                <a:ln w="9525" cap="flat" cmpd="sng">
                                  <a:noFill/>
                                  <a:prstDash val="solid"/>
                                  <a:miter/>
                                  <a:headEnd type="none" w="med" len="med"/>
                                  <a:tailEnd type="none" w="med" len="med"/>
                                </a:ln>
                              </wps:spPr>
                              <wps:txbx>
                                <w:txbxContent>
                                  <w:p w14:paraId="4FF8D2B7">
                                    <w:pPr>
                                      <w:jc w:val="center"/>
                                      <w:rPr>
                                        <w:rFonts w:hint="default" w:eastAsia="宋体"/>
                                        <w:szCs w:val="21"/>
                                        <w:lang w:val="en-US" w:eastAsia="zh-CN"/>
                                      </w:rPr>
                                    </w:pPr>
                                    <w:r>
                                      <w:rPr>
                                        <w:rFonts w:hint="eastAsia"/>
                                        <w:szCs w:val="21"/>
                                        <w:lang w:val="en-US" w:eastAsia="zh-CN"/>
                                      </w:rPr>
                                      <w:t>霉米、S3废包装袋</w:t>
                                    </w:r>
                                  </w:p>
                                </w:txbxContent>
                              </wps:txbx>
                              <wps:bodyPr vert="horz" wrap="square" anchor="t" anchorCtr="0" upright="1"/>
                            </wps:wsp>
                            <wps:wsp>
                              <wps:cNvPr id="134" name="直线 592"/>
                              <wps:cNvCnPr/>
                              <wps:spPr>
                                <a:xfrm flipV="1">
                                  <a:off x="3410585" y="7174865"/>
                                  <a:ext cx="288290" cy="0"/>
                                </a:xfrm>
                                <a:prstGeom prst="line">
                                  <a:avLst/>
                                </a:prstGeom>
                                <a:ln w="9525" cap="flat" cmpd="sng">
                                  <a:solidFill>
                                    <a:srgbClr val="000000"/>
                                  </a:solidFill>
                                  <a:prstDash val="dash"/>
                                  <a:headEnd type="none" w="med" len="med"/>
                                  <a:tailEnd type="triangle" w="med" len="med"/>
                                </a:ln>
                              </wps:spPr>
                              <wps:bodyPr/>
                            </wps:wsp>
                            <wps:wsp>
                              <wps:cNvPr id="8" name="文本框 577"/>
                              <wps:cNvSpPr txBox="1"/>
                              <wps:spPr>
                                <a:xfrm>
                                  <a:off x="2191385" y="280860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EA7B18">
                                    <w:pPr>
                                      <w:jc w:val="center"/>
                                      <w:rPr>
                                        <w:rFonts w:hint="default" w:eastAsia="宋体"/>
                                        <w:lang w:val="en-US" w:eastAsia="zh-CN"/>
                                      </w:rPr>
                                    </w:pPr>
                                    <w:r>
                                      <w:rPr>
                                        <w:rFonts w:hint="eastAsia"/>
                                        <w:lang w:val="en-US" w:eastAsia="zh-CN"/>
                                      </w:rPr>
                                      <w:t>一次色选</w:t>
                                    </w:r>
                                  </w:p>
                                </w:txbxContent>
                              </wps:txbx>
                              <wps:bodyPr vert="horz" wrap="square" anchor="t" anchorCtr="0" upright="1"/>
                            </wps:wsp>
                            <wps:wsp>
                              <wps:cNvPr id="9" name="直线 592"/>
                              <wps:cNvCnPr/>
                              <wps:spPr>
                                <a:xfrm flipV="1">
                                  <a:off x="3105785" y="2945765"/>
                                  <a:ext cx="288290" cy="0"/>
                                </a:xfrm>
                                <a:prstGeom prst="line">
                                  <a:avLst/>
                                </a:prstGeom>
                                <a:ln w="9525" cap="flat" cmpd="sng">
                                  <a:solidFill>
                                    <a:srgbClr val="000000"/>
                                  </a:solidFill>
                                  <a:prstDash val="dash"/>
                                  <a:headEnd type="none" w="med" len="med"/>
                                  <a:tailEnd type="triangle" w="med" len="med"/>
                                </a:ln>
                              </wps:spPr>
                              <wps:bodyPr/>
                            </wps:wsp>
                            <wps:wsp>
                              <wps:cNvPr id="10" name="文本框 575"/>
                              <wps:cNvSpPr txBox="1"/>
                              <wps:spPr>
                                <a:xfrm>
                                  <a:off x="3281045" y="2793365"/>
                                  <a:ext cx="1710055" cy="267335"/>
                                </a:xfrm>
                                <a:prstGeom prst="rect">
                                  <a:avLst/>
                                </a:prstGeom>
                                <a:noFill/>
                                <a:ln w="9525" cap="flat" cmpd="sng">
                                  <a:noFill/>
                                  <a:prstDash val="solid"/>
                                  <a:miter/>
                                  <a:headEnd type="none" w="med" len="med"/>
                                  <a:tailEnd type="none" w="med" len="med"/>
                                </a:ln>
                              </wps:spPr>
                              <wps:txbx>
                                <w:txbxContent>
                                  <w:p w14:paraId="78D2A38E">
                                    <w:pPr>
                                      <w:jc w:val="center"/>
                                      <w:rPr>
                                        <w:rFonts w:hint="default" w:eastAsia="宋体"/>
                                        <w:szCs w:val="21"/>
                                        <w:lang w:val="en-US" w:eastAsia="zh-CN"/>
                                      </w:rPr>
                                    </w:pPr>
                                    <w:r>
                                      <w:rPr>
                                        <w:rFonts w:hint="default"/>
                                        <w:szCs w:val="21"/>
                                        <w:lang w:val="en-US" w:eastAsia="zh-CN"/>
                                      </w:rPr>
                                      <w:t>霉米、G6一次色选粉尘</w:t>
                                    </w:r>
                                  </w:p>
                                </w:txbxContent>
                              </wps:txbx>
                              <wps:bodyPr vert="horz" wrap="square" anchor="t" anchorCtr="0" upright="1"/>
                            </wps:wsp>
                            <wps:wsp>
                              <wps:cNvPr id="49" name="直线 580"/>
                              <wps:cNvCnPr/>
                              <wps:spPr>
                                <a:xfrm>
                                  <a:off x="2656205" y="4004945"/>
                                  <a:ext cx="0" cy="2159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573" o:spid="_x0000_s1026" o:spt="203" style="height:616.5pt;width:425.3pt;" coordsize="5401310,7829550" editas="canvas" o:gfxdata="UEsDBAoAAAAAAIdO4kAAAAAAAAAAAAAAAAAEAAAAZHJzL1BLAwQUAAAACACHTuJAhI1hsNcAAAAG&#10;AQAADwAAAGRycy9kb3ducmV2LnhtbE2PQWvCQBCF74L/YZlCL1J3VSqSZuNBkEopSGPrec1Ok9Ds&#10;bMyuif33nfZiLw+G93jvm3R9dY3osQu1Jw2zqQKBVHhbU6nh/bB9WIEI0ZA1jSfU8I0B1tl4lJrE&#10;+oHesM9jKbiEQmI0VDG2iZShqNCZMPUtEnufvnMm8tmV0nZm4HLXyLlSS+lMTbxQmRY3FRZf+cVp&#10;GIp9fzy8Psv95LjzdN6dN/nHi9b3dzP1BCLiNd7C8IvP6JAx08lfyAbRaOBH4p+yt3pUSxAnDs0X&#10;CwUyS+V//OwHUEsDBBQAAAAIAIdO4kBsNmq4aQoAAMKYAAAOAAAAZHJzL2Uyb0RvYy54bWztXcuO&#10;28gV3QfIPwjax816saoEtweIe+xNMDEwk+xpiXoAEsmQ7FY72wDJDwTZJJvss5xFkCzyNbF/I+fy&#10;JYlUZ9RsZiIJ5UWbrZaKYvHw3nPPvXXr9VePm/XoIUyzVRzdjtkrbzwKo2k8W0WL2/Gvvnv3MzMe&#10;ZXkQzYJ1HIW3409hNv7qzU9/8nqbTEIeL+P1LExHGCTKJtvkdrzM82Ryc5NNl+EmyF7FSRjhj/M4&#10;3QQ5fk0XN7M02GL0zfqGe55/s43TWZLG0zDL8Opd+cdxNWJ6yoDxfL6ahnfx9H4TRnk5ahqugxyX&#10;lC1XSTZ+U3zb+Tyc5r+cz7MwH61vx7jSvPiJk+D4I/28efM6mCzSIFmuptVXCE75Cq1r2gSrCCdt&#10;hroL8mB0n646Q21W0zTO4nn+ahpvbsoLKWYEV8G81ty8T+P7pLiWxWS7SJpJx41qzXrvYaffPHxI&#10;R6sZkGD1eBQFG9zyL3/857///ruR0oLmZ5ssJnjb+zT5NvmQVi8syt/okh/n6Yb+x8WMHouZ/dTM&#10;bPiYj6Z4UUmPCYZJn+Jv2nCrVDX30yVuUOdz0+XXP/DJm/rEN/T9mq+zTYDKbDdV2cum6ttlkITF&#10;HchoDqqp4ryZqs9/+sPnv/zt819/j9lS5WwV76SpGuWPP49x8ax+PcOLR2aMc2atj8npzpthnPmq&#10;nDbBPb88R3PtwSRJs/x9GG9GdHA7TgH4AofBwy+yHPcKb63fQmeO4ner9boA/ToabW/HVnEaPsCD&#10;PMcDhMNNAjBk0aIYZu/9NMxdkC1HDwGepSxer2Z0XcFks8pDgkUwWYbB7OtoNso/JUBRBPMxpnNs&#10;wtl4tA5hbeioeGcerNanvBNffx3hKui2lrNHR/njx0cMQ4cf49knzDTsGa5+Gae/xRnxNOML/uY+&#10;SHH+IJri5dsxLq08fJuXj/99kq4WS3yquD3FGQCcctT/PYIEZr182PYRpGukAGvPQhDTWjIMCQRZ&#10;pisoBpP68TPWaos/09PHFfdwjPnrD6Pi7hOS6K5n6eLj2zXuAeHiXfGvGv3gbSfh7eATBwN7xb9j&#10;Aztg1r73WV7gCdMm/BqYX/78/Zd//GukTGGp6WEDKt9GlQuon8faDDf2n/uetrLEovZYZbJ2WKyc&#10;AGfKesXIT8NwvYIFIYg9Yc1+fEj1tXB5ugqixTo8bg+PW7nStNFzSnP/Y9om+2IIMMO8EgIM5kiY&#10;wt44DFwOBiQe0yH9k/HwuBf+iQm4Kgxf8ADnoNJiHvralac51nGbcgXMSbIamb0dFNe+qMCIA790&#10;cM46XZB14jUGhmHPRvm6AgQOyXU56+TiOhKZntRmnqDPslEGelsnoXXlKjljpAodghE4LcI4x58b&#10;PeG4r/t/8WcKtCsdrWcEpSAH1RDgAvG6Q8D4kiKohqEM4520hVxacGcpuSq1mx1bcdqOEx3biYPj&#10;zol5TWC/D8y+srUQjBXqMURF4XPVDvKZEr5Xi9cS6QVonqRm7BSjWpl24vVFideMEjnP93Cj+XqV&#10;/Jr0dpL0qmwRk0azintLIbWBcnjAvTVyhuQLifM4ubBIn5wX3WHsqLvra1WYUsZSTgr3WzLuG1iQ&#10;A0Ao4fEiZ0Vmx6XE0jJjdfnCznEY9c+IWUayM8GIC25U26442uRo04m06eUhvfJ5lQ4hmuS1mZIL&#10;6TslAufl4waWG3emSXAtENMdejhnmpxpOs00vTxXv7NMSISgOq8FRWeZztwyMVRrDpin5UzyqnZD&#10;cmaEy4RQrOoq3J6fCWFHtab+dF6iqg3WiII+LVUnKmQe15KSuq7EzdVe1rXlx2VQ3rC53im6Pa9J&#10;lc1tAlfD0KXozjRFx2XtNXtDQDNZO0qJkK7tKB0Ezpw48YY77+dCevsnSJIe1cyRaulbI9pE2sV0&#10;LqY7LabbrS3pbZssmFCloFtpjXNPWI1ySfUDfOCgTkpNGRPYJsV8wdryo7NNzjadaJuGDepQzGKp&#10;QICA6XPTIVEOmA6YpwGTIv/nVyTs1SFwf+c0leSctwmcI/RnTuhFU4bQlzdprIusYjplsIbNQeDC&#10;eJNolJ1hYjrDiTuTe9LKw7rZVnLEuSfnnk50T6J2T4MAk+0SyL5nC5AelEgxz3Bad+vEcNeIoGm0&#10;clwMNy9WQjVH1WZpJX2hmHVK6IV5Tbp5Q6aQrVcr477yVYdIO6/pvOZpXtM0En1vRr9nmwxHfXmL&#10;wbmg7syDOtPUXg5CnDzp+5Uyrj2ss2z7KiZ8YbEc3BEnR5x+iDg1Gv0AxklzY6nP1wGLr2HoqgjO&#10;tIrANGr4cyBwfBkUFvnWWoPillO+5gAMbhnUmXsqWqPWZdHFXaxaZz2noRtTRtYtAZXnYyFUCw9u&#10;FdR1Nga0jVJU2xTLyRL89/ZrR22KQO9IqJZlTYpQqqNnc4NGnJWXuYyllTP0nyztYt+GSZdUBmA7&#10;2swLsIDq2CrVKgzqutv2xGGh3aT0vFYg2U4s3B8LnjVFU1nkNYT0OKXgD7iGw8J5Y4F5AzoJLK6v&#10;k55Y+WE6axMdGM4dDAN6iT3LwCw6obX1MgeGcwdDo+W/nD4iIK0bMTCJ/tHOTVxWFSnzBuUMjZuA&#10;+xHMWYZLA0OjpA9gGXacQflGuFjiwrDABqQMzECnqtL/qKFEn2cXTFySyIAebrVw+XLDwNH2vaqg&#10;9Dm3oJAODJcFhgEpA/JWJFsX1f20JYmjDJfmJgakDExCdqzAcCy/5SLLM48sd41GXu4mUGZBZWFk&#10;GaRBZsIRyEuzDE3me78sp3D2PZKdCCdRRIpEFPBgkJxoCw3YTEYLav5R9Paw2oCyQLB2jWQvfRc0&#10;dLevuedAOLIkTBCOGGr9UH16SD/RWxRb6DkgXd12esh0DwokLnm9hRkz0ut2G5LK8qbbkLNI19OE&#10;ljeptUEsEmitXzEdLpjo9FNjSjO0Tq9cGyrA3AafRCCuoJvxrsXQMEBSHrkzcm3QW4vjg5w9Q4N9&#10;Q3vIOo5U70x5LUBqJJlBgCQkNuADTghIWmBRRJsjWSwurIHk+qvThs3XAqRGzhkGSJ6gtX4EJNge&#10;RWu+Di0S9tVDAWJpkRyQrglIzdKHYYCktKE1NwCSwsagnXQiQ/kzun86IJEduqZN0BkfWEYyuu5z&#10;dbQHH/OZ3q3u8rVwGxJdiWvbtf8ZxiJZRUtFC4t0rC8VmqhJWVfOo9OCA9K1cKRdE6FBgCStlHVx&#10;BPOKdfGHHMmgZIKUb4raHEe6Io50vBVRQZHJ5k6/eXjOcjDKkBiiQICJDxG7s3wDIpKPnUIdkK6O&#10;I4lhBUn0WaSqHAISVsB7nXJ/7P9gipKgso++1S7Xdi0cacCiP4kt0msUMS07+RFXzXHe1RxHA/je&#10;vc/32pGhiStU6JYS5Dr+uI4/p3X8afSAAWqMPMhKpaOjXK5u1wI4E3XeJmq3x/AgkdheZTLXVnRr&#10;jDTiM9plveA9LqS/mrSH7NgUaM0Iwqso7G30Ia1+K6XV3e7k1Q7VqFRsdu+UiOGpMOQgiK/Cd+76&#10;9Dy/Tw8qkRaT7SIpqvkWaZAsV9O7IA/2f8fxNpmEPF7G61mYvv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QwAAFtDb250ZW50X1R5cGVzXS54&#10;bWxQSwECFAAKAAAAAACHTuJAAAAAAAAAAAAAAAAABgAAAAAAAAAAABAAAAC7CwAAX3JlbHMvUEsB&#10;AhQAFAAAAAgAh07iQIoUZjzRAAAAlAEAAAsAAAAAAAAAAQAgAAAA3wsAAF9yZWxzLy5yZWxzUEsB&#10;AhQACgAAAAAAh07iQAAAAAAAAAAAAAAAAAQAAAAAAAAAAAAQAAAAAAAAAGRycy9QSwECFAAUAAAA&#10;CACHTuJAhI1hsNcAAAAGAQAADwAAAAAAAAABACAAAAAiAAAAZHJzL2Rvd25yZXYueG1sUEsBAhQA&#10;FAAAAAgAh07iQGw2arhpCgAAwpgAAA4AAAAAAAAAAQAgAAAAJgEAAGRycy9lMm9Eb2MueG1sUEsF&#10;BgAAAAAGAAYAWQEAAAEOAAAAAA==&#10;">
                      <o:lock v:ext="edit" aspectratio="f"/>
                      <v:shape id="画布 573" o:spid="_x0000_s1026" style="position:absolute;left:0;top:0;height:7829550;width:5401310;" filled="f" stroked="f" coordsize="21600,21600" o:gfxdata="UEsDBAoAAAAAAIdO4kAAAAAAAAAAAAAAAAAEAAAAZHJzL1BLAwQUAAAACACHTuJAhI1hsNcAAAAG&#10;AQAADwAAAGRycy9kb3ducmV2LnhtbE2PQWvCQBCF74L/YZlCL1J3VSqSZuNBkEopSGPrec1Ok9Ds&#10;bMyuif33nfZiLw+G93jvm3R9dY3osQu1Jw2zqQKBVHhbU6nh/bB9WIEI0ZA1jSfU8I0B1tl4lJrE&#10;+oHesM9jKbiEQmI0VDG2iZShqNCZMPUtEnufvnMm8tmV0nZm4HLXyLlSS+lMTbxQmRY3FRZf+cVp&#10;GIp9fzy8Psv95LjzdN6dN/nHi9b3dzP1BCLiNd7C8IvP6JAx08lfyAbRaOBH4p+yt3pUSxAnDs0X&#10;CwUyS+V//OwHUEsDBBQAAAAIAIdO4kDsVQCRDwoAANGYAAAOAAAAZHJzL2Uyb0RvYy54bWztXc1u&#10;28oZ3RfoOwjcN+b8cWaEOBeo03RT3Aa4bfe0RFkCJFIlGdvpA7Rv0M3tpvsuu+qmb5P7Gj0f/ySR&#10;ciFTTCqxYyAxLcljknN4vvP9zDdvv3verCePUZqtkvjWY298bxLFs2S+ih9uvd//7sMvjDfJ8jCe&#10;h+skjm69z1Hmfffu5z97+7SdRjxZJut5lE4wSJxNn7a33jLPt9Obm2y2jDZh9ibZRjHeXCTpJszx&#10;Y/pwM0/DJ4y+Wd9w3w9unpJ0vk2TWZRlePV9+aZXjZieMmCyWKxm0ftk9mkTxXk5ahqtwxyXlC1X&#10;28x7V5ztYhHN8t8uFlmUT9a3Hq40L/7HH8HxPf1/8+5tOH1Iw+1yNatOITzlFFrXtAlXMf5oM9T7&#10;MA8nn9JVZ6jNapYmWbLI38ySzU15IcUdwVUwv3Vv7sL4MSwvZoZ7XZ8gjgYc9/6BzjtOPqzWa9yN&#10;G4w+pdfo+xNmO6K31/Hk6daziitvMgsx6wvcbRxutvNbL4sfimtvxgin2zTL34fZcvIY4sZnyXo1&#10;L2/1ZpVHaXHTl1E4/1U8n+Sft0BZDKx59Dc20dybrCNAk46KT+bhan3KJ2/oPKsrqM78aQuQZtsG&#10;rtl5N+6HZbiNCnBl09n3jx/TyQrXz7n2JnG4wWV8+etfvvztH1/+/ueJ0orOnk4An/xhi8/mz79M&#10;nvHI1a9neJFu7vMi3dB3oGGC9zln1gYA6OcGoNFzPpnhLcM4C2gK8JbgflD+DVx3PQTd919HyWZC&#10;B7deCvwXUxM+/ibLaXbLqaGPHMz61c1wNi3vHt3f/Pn+ubrV98n8M+406A1Xv0zSPwFTeLgBwT9+&#10;ClMgLIxnePnWA3jLw7u8ZINP23T1sMRvFdODp6AATjmBXx9BApPaRZCukfJaBDGtJcOQgIlluoJi&#10;OG1gZK22FYy44j6OS2z0hFHxfBN/EKay9OH+bo05oCf/Q/FVjX7wsZMY5eA3Dgb2i69jA/+PqWds&#10;wAxqYP704z9/+te/J8oURrPitbv4Y1o9ei+xWeBrK0ssap9VlLXDIniO2IwzZf1i5JfZbL2CjSCI&#10;vcBm3x5SfW1Ynq7C+GEdHbd4Ozu2D6aS2ug5/dbcZM+GADPMLyHAQEfCFHzjMHA9GJB4TIe0T8bH&#10;417YJyZgqjA8gL0DhHEG6qtp431OGYFykqxGZm8DxXUgKjDiICgN3A6MzkJ1fLILs1CS1xjY97/6&#10;q2ejAl0BAodkuhw7Tb+N5z42dmoiA73ZSWhdmUrOGAWJDsHo2OnC2Ykc7VI69YWAQjiohgAX8Ncd&#10;Arxr8qAahTKMddLWqtKZkpKrMnazUytOOn+9sPK4jBPzG8d+H5h9w9ZCMFbkByg2HXDVdvKZEoFf&#10;B68lsxoxT4pmuOD1lQevGSRJDws3WaxX2z9QvJ08/yr3waTRrNLeUkhtEDk80N4aKUSyhRQzdOHC&#10;IkF2Wc4YY0fNXV9WYUoZS1lHzLdkPDBgkANAKOHzIitJtONSYkgojiMldhxG/X16yyjsTDDighvV&#10;5hUnm5xsapdfHM/2s/NdehXwKh1CMslvKyXn0l+4Sz9wuHFHTYJrAZ/u0MI5anLUdBo1nZ+r3zET&#10;EiEo1mtB0THThTMTQ/HmgHlaziSvajckZ0a4TAj5qi4TgurbF4tWX1BNR2NN/eW8RFUb2IicPi1V&#10;xytkPteSkrpFbZErcRu0unZcYVDeqLm++Zlgz2oq6bO2gKth6ErcmqLuy4pZcVlbzd4Q0EzWhlLC&#10;pWsbSgeBCxdOvNHO+7mQ3vYJIUmfauYoahlYI9pC2vl0zqc7zafbrS3pzU0WSqiKoFtpjTNPWKhz&#10;TfUDfGCnTkpNGRNwk2KBYO3wo+Mmx00nctOwTh2KWSwVCBAwA246IsoB0wHzNGCS539ezV2wM5pK&#10;cs7bAs4J+gsX9KIpQ+irmzTWRVY+nTJYw+YgcGW6STSRnWF8OsNJO5N50srHutlWcsSZJ2eeTjRP&#10;ojZPgwCT7RLIgW8LkB6USDHfcFp364LhX6HVxLiC4ebsSKjmqNosWTIQilkXCb0yq0mTN2QK2fp1&#10;ZBx5EtUR0s5qOqt5mtU0TYi+t6Lf4ybDUV/eUnDOqbtwp840tZeDCCdfBkEVGdc+1lm2bRUTgbBY&#10;Du6EkxNOTcO64/UtponRD0BOmhtLfb4OVHwNQ1dFcKFVBKaJhr8GAseXQaFiqY41KG455WsOwOCW&#10;QV24paI1al0VXcxi1TrrNS0BmTKybgmo/AALoVp4cKug6taP4/LHbRMpqjnFcmKC/95+7SinCPSO&#10;RNSyrEkRSnXi2dwYfl1LK+foMFry4v9DIzbbic2cgQVUx1apVmFQ193mE4eFdhvay6pYtB1fuD8W&#10;fGuKprLIawjpc0rBH2gNh4XLxgLzBzQSWFxfJz2x8sN01iY6MFw6GAa0EnvMwCw6obXjZQ4Mlw6G&#10;JpZ/vnyEQ1o3YmAS/aOdmbiuKlLmD6oZGjMB8yOYY4ZrA0MTSR+AGXaaQQVGOF/iyrDABpQMzCBO&#10;VaX/UUOJPs/OmbimtQbo4VYHLs8nBo6271UFZcC5hYR0YLguMAwoGZC3orB1Ud1PW5I4yXBtZmJA&#10;ycAkwo4VGI7lt5xneeGe5a7RyPlmAmUWVBZGzCANMhNOQF4bMzSZ7/2ynMLY90h2wp1EESnyp8CD&#10;QXKiHWjAZjJaUPOPoreH1QaSBQFr10j22ndBQ3f7WnsOhCNLgQnCEUOtH6pPD+UneotiCz0HpGJD&#10;qTFtp4dM96BA4pLXW5gxI/1utyGpLG+6DTlGGk8TWt6k1gZhJMjaoFI6XDDR6afGlGZonV6ZNlSA&#10;uQ0+R9LNeNdiaBggKZ/MGZk2xFuL44OcPUODfUN7yDqNNK6CMLRAH9S0CYkN+IATApIWWBTR1kgW&#10;iwtrILn+6rRh81gYqQnnDMJIwhe01o+ABO5RtObrkJGwrx4KEEtGckAaE5CapQ/DAElpQ2tuACSF&#10;jUE76USG8md0/3RAIh4al9c2cBjJ6LrP1dEefCxgere6K9DCbUg0EtO2a/8zDCNZRUtFC0Y61pcK&#10;TdSkrCvn0WnBAWksGmnXRGgQIEkrZV0cwfxiXfyhRjIomaDIN3ltTiONSCMdb0VUSGTi3Nn3j69Z&#10;DkYZEkMSCDAJEMTuLN9AECnATqEOSKPTSGLYgCT6LFJVDgEJK+D9Trk/9n8wRUlQ2UffapdrG4tG&#10;GrDoT2KL9BpFTMtOfsRVc1x2NcdRB7537/O9dmRo4ooodCsS5Dr+uI4/p3X8aeIBA9QY+QgrlYaO&#10;crm6XQvgKOqyKWq3x/AgntheZTLXVnRrjDT8M9plvdA9zqUfTdpDdjgFsWY44ZUXdhd/TKufytDq&#10;bnfyaodqVCo2u3dK+PBUGHLgxFfuO3d9el7fpweVSLMp/hXVfA9puF2uZu/DPNz/GcdP22nEk2Wy&#10;nkfpu/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wwAAFtDb250ZW50X1R5cGVzXS54bWxQSwECFAAKAAAAAACHTuJAAAAAAAAAAAAAAAAABgAA&#10;AAAAAAAAABAAAABhCwAAX3JlbHMvUEsBAhQAFAAAAAgAh07iQIoUZjzRAAAAlAEAAAsAAAAAAAAA&#10;AQAgAAAAhQsAAF9yZWxzLy5yZWxzUEsBAhQACgAAAAAAh07iQAAAAAAAAAAAAAAAAAQAAAAAAAAA&#10;AAAQAAAAAAAAAGRycy9QSwECFAAUAAAACACHTuJAhI1hsNcAAAAGAQAADwAAAAAAAAABACAAAAAi&#10;AAAAZHJzL2Rvd25yZXYueG1sUEsBAhQAFAAAAAgAh07iQOxVAJEPCgAA0ZgAAA4AAAAAAAAAAQAg&#10;AAAAJgEAAGRycy9lMm9Eb2MueG1sUEsFBgAAAAAGAAYAWQEAAKcNAAAAAA==&#10;">
                        <v:fill on="f" focussize="0,0"/>
                        <v:stroke on="f" joinstyle="miter"/>
                        <v:imagedata o:title=""/>
                        <o:lock v:ext="edit" aspectratio="f"/>
                      </v:shape>
                      <v:shape id="文本框 575" o:spid="_x0000_s1026" o:spt="202" type="#_x0000_t202" style="position:absolute;left:2219960;top:0;height:320675;width:81216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XQK7kxgCAAAgBAAADgAAAGRycy9lMm9Eb2MueG1srVNLjhMx&#10;FNwjcQfLe9JJo2QmUTojQRg2CJAGDuC43WlL/mE76Q4HgBuwYsN+zpVzUHZnMqNhkwUb97Pf63qv&#10;yuXlTa8V2QsfpDUVnYzGlAjDbS3NtqJfv9y+uqYkRGZqpqwRFT2IQG9WL18sO7cQpW2tqoUnADFh&#10;0bmKtjG6RVEE3grNwsg6YZBsrNcsYuu3Re1ZB3StinI8nhWd9bXzlosQcLoekvSE6C8BtE0juVhb&#10;vtPCxAHVC8UiKIVWukBXedqmETx+apogIlEVBdOYVzRBvElrsVqyxdYz10p+GoFdMsIzTppJg6Zn&#10;qDWLjOy8/AdKS+5tsE0ccauLgUhWBCwm42fa3LXMicwFUgd3Fj38P1j+cf/ZE1lXtCyvKDFM48qP&#10;v34ef98f//wg06tpkqhzYYHKO4fa2L+xPYzzcB5wmJj3jdfpC04E+bKczOczyHw4yyz6SDhS15Ny&#10;MptSwpF6XY5nQ4/iEcL5EN8Lq0kKKupxi1lctv8QIsZB6UNJ6mjsrVQq36QypKvofFomeAZ3NnAF&#10;Qu3AMJhthnlSn2DWLLRkz2CQYJWsB0toGYXPkK1g9TtTk3hwkMbgTdDUQ4uaEiXwhFKUKyOT6pJK&#10;jK8MWCRVB/VSFPtND5gUbmx9gNJ4pGDfWv8dHWFRDPhtxzz6M8NxXFFQG8K3cfD0znm5bfFXvp7c&#10;AcbJip1Mnpz5dJ/neHzYq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Wh8Z1QAAAAYBAAAPAAAA&#10;AAAAAAEAIAAAACIAAABkcnMvZG93bnJldi54bWxQSwECFAAUAAAACACHTuJAXQK7kxgCAAAgBAAA&#10;DgAAAAAAAAABACAAAAAkAQAAZHJzL2Uyb0RvYy54bWxQSwUGAAAAAAYABgBZAQAArgUAAAAA&#10;">
                        <v:fill on="f" focussize="0,0"/>
                        <v:stroke on="f" joinstyle="miter"/>
                        <v:imagedata o:title=""/>
                        <o:lock v:ext="edit" aspectratio="f"/>
                        <v:textbox>
                          <w:txbxContent>
                            <w:p w14:paraId="08B8BDBC">
                              <w:pPr>
                                <w:rPr>
                                  <w:rFonts w:hint="default" w:eastAsia="宋体"/>
                                  <w:szCs w:val="21"/>
                                  <w:lang w:val="en-US" w:eastAsia="zh-CN"/>
                                </w:rPr>
                              </w:pPr>
                              <w:r>
                                <w:rPr>
                                  <w:rFonts w:hint="eastAsia"/>
                                  <w:szCs w:val="21"/>
                                  <w:lang w:val="en-US" w:eastAsia="zh-CN"/>
                                </w:rPr>
                                <w:t>干燥原粮</w:t>
                              </w:r>
                            </w:p>
                          </w:txbxContent>
                        </v:textbox>
                      </v:shape>
                      <v:shape id="文本框 577" o:spid="_x0000_s1026" o:spt="202" type="#_x0000_t202" style="position:absolute;left:2177415;top:91757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LHEKDs1AgAAdwQAAA4AAABkcnMvZTJvRG9jLnhtbK1US5LT&#10;MBDdU8UdVNozTgzBk1ScqWLCsKGAqoEDKLIcq0o/JCVxOADcgBWb2XOunIMnOfOFRRZ44bTU7df9&#10;XndnftFrRbbCB2lNTcdnI0qE4baRZl3TL5+vXpxTEiIzDVPWiJruRaAXi+fP5js3E6XtrGqEJwAx&#10;YbZzNe1idLOiCLwTmoUz64SBs7Ves4ijXxeNZzuga1WUo9HrYmd947zlIgTcLgcnPSL6UwBt20ou&#10;lpZvtDBxQPVCsQhKoZMu0EWutm0Fjx/bNohIVE3BNOY3ksBepXexmLPZ2jPXSX4sgZ1SwhNOmkmD&#10;pHdQSxYZ2Xj5F5SW3Ntg23jGrS4GIlkRsBiPnmhz3TEnMhdIHdyd6OH/wfIP20+eyKam5csJJYZp&#10;tPzw88fh1+/DzXcyqaok0c6FGSKvHWJj/8b2GJzb+4DLxLxvvU6/4ETgL8dV9WoMyH1Np+NqUk0G&#10;rUUfCYf/fDqtpnBz+MtJOYKNRMU9jvMhvhNWk2TU1KOVWWG2fR/iEHobktIGq2RzJZXKB79eXSpP&#10;tgxtv8rPEf1RmDJkh+omZaqDYZZbzBBM7aBHMOuc79EX4SHwKD//Ak6FLVnohgIywsBeyyh8nrlO&#10;sOataUjcOyhusGo0FaNFQ4kS2Mxk5cjIpDolEtopAwlTs4amJCv2qx4wyVzZZo8GYvehZ2f9N2TE&#10;5IPq1w3zyM8Mx3VNocFgXsZhVTbOy3WHr3LXcwbMY27XcXfSwD885zru/y8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scQoOzUCAAB3BAAADgAAAAAAAAABACAAAAAlAQAAZHJzL2Uyb0Rv&#10;Yy54bWxQSwUGAAAAAAYABgBZAQAAzAUAAAAA&#10;">
                        <v:fill on="t" focussize="0,0"/>
                        <v:stroke color="#000000" joinstyle="miter"/>
                        <v:imagedata o:title=""/>
                        <o:lock v:ext="edit" aspectratio="f"/>
                        <v:textbox>
                          <w:txbxContent>
                            <w:p w14:paraId="7536FDCD">
                              <w:pPr>
                                <w:jc w:val="center"/>
                                <w:rPr>
                                  <w:rFonts w:hint="default" w:eastAsia="宋体"/>
                                  <w:lang w:val="en-US" w:eastAsia="zh-CN"/>
                                </w:rPr>
                              </w:pPr>
                              <w:r>
                                <w:rPr>
                                  <w:rFonts w:hint="eastAsia"/>
                                  <w:lang w:val="en-US" w:eastAsia="zh-CN"/>
                                </w:rPr>
                                <w:t>除杂、清理</w:t>
                              </w:r>
                            </w:p>
                          </w:txbxContent>
                        </v:textbox>
                      </v:shape>
                      <v:line id="直线 580" o:spid="_x0000_s1026" o:spt="20" style="position:absolute;left:2607945;top:70167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AkfyWV9gEAAOEDAAAOAAAAZHJzL2Uyb0RvYy54bWytU82O&#10;0zAQviPxDpbvNGmh7TZquoctywVBJeABpo6TWPKfPN6mfRZegxMXHmdfg7FTtruLkPZADs7YM/5m&#10;vs8z6+uj0ewgAypnaz6dlJxJK1yjbFfzb19v31xxhhFsA9pZWfOTRH69ef1qPfhKzlzvdCMDIxCL&#10;1eBr3sfoq6JA0UsDOHFeWnK2LhiItA1d0QQYCN3oYlaWi2JwofHBCYlIp9vRyc+I4SWArm2VkFsn&#10;7oy0cUQNUkMkStgrj3yTq21bKeLntkUZma45MY15pSRk79NabNZQdQF8r8S5BHhJCc84GVCWkj5A&#10;bSECuwvqLyijRHDo2jgRzhQjkawIsZiWz7T50oOXmQtJjf5BdPx/sOLTYReYamo+e7vgzIKhJ7//&#10;/uP+5y82v8r6DB4rCruxu0BqpR36XUhkj20w6U802JEQFuVy9W7O2anmy3K6WM5HeeUxMkF+0lyQ&#10;azadr8qMXFwgfMD4QTrDklFzrWwiDhUcPmKktBT6JyQda8uGmq/mM8omgLqwpdcn03higrbLd9Fp&#10;1dwqrdMNDN3+Rgd2gNQJ+UvVEe6TsJRkC9iPcdk1kuglNO9tw+LJk0KWRoOnEoxsONOSJilZuZsi&#10;KH2JjEGB7fQ/oim9tlTFRdVk7V1zymLnc3r5XOe5S1NrPd7n25fJ3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e93I9cAAAAGAQAADwAAAAAAAAABACAAAAAiAAAAZHJzL2Rvd25yZXYueG1sUEsB&#10;AhQAFAAAAAgAh07iQCR/JZX2AQAA4QMAAA4AAAAAAAAAAQAgAAAAJgEAAGRycy9lMm9Eb2MueG1s&#10;UEsFBgAAAAAGAAYAWQEAAI4FAAAAAA==&#10;">
                        <v:fill on="f" focussize="0,0"/>
                        <v:stroke color="#000000" joinstyle="round" endarrow="block"/>
                        <v:imagedata o:title=""/>
                        <o:lock v:ext="edit" aspectratio="f"/>
                      </v:line>
                      <v:line id="直线 580" o:spid="_x0000_s1026" o:spt="20" style="position:absolute;left:2618105;top:117538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DFSzmv9gEAAOIDAAAOAAAAZHJzL2Uyb0RvYy54bWytU0tu&#10;2zAQ3RfoHQjua30CpbZgOYu46aZoDTQ9AE1SEgH+wGEs+yy9Rlfd9Di5RoeUG7cpCmRRLagh+fhm&#10;3uNwfXM0mhxkAOVsR6tFSYm03Allh45+ub97s6QEIrOCaWdlR08S6M3m9av15FtZu9FpIQNBEgvt&#10;5Ds6xujbogA+SsNg4by0uNm7YFjEaRgKEdiE7EYXdVleF5MLwgfHJQCubudNemYMLyF0fa+43Dr+&#10;YKSNM2uQmkWUBKPyQDe52r6XPH7qe5CR6I6i0phHTILxPo3FZs3aITA/Kn4ugb2khGeaDFMWkz5R&#10;bVlk5CGov6iM4sGB6+OCO1PMQrIjqKIqn3nzeWReZi1oNfgn0+H/0fKPh10gSnS0vlpRYpnBK3/8&#10;+u3x+w/SLLM/k4cWYbd2F9CtNAO/C0nssQ8m/VEGOSLDdbWsyoaSE/ZV9ba5Wjazv/IYCUcAms5x&#10;r66aVZmpiwuHDxDfS2dICjqqlU3KWcsOHyBiXoT+gqRlbcnU0VVTYzrOsA17vH4MjUcpYId8FpxW&#10;4k5pnU5AGPa3OpADS62Qv1Qd8v4BS0m2DMYZl7dmEaNk4p0VJJ48WmTxbdBUgpGCEi3xKaUot1Nk&#10;Sl+QMShmB/0PNKbXFqu42JqivROn7HZex6vPdZ7bNPXW7/N8+vI0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e93I9cAAAAGAQAADwAAAAAAAAABACAAAAAiAAAAZHJzL2Rvd25yZXYueG1sUEsB&#10;AhQAFAAAAAgAh07iQMVLOa/2AQAA4gMAAA4AAAAAAAAAAQAgAAAAJgEAAGRycy9lMm9Eb2MueG1s&#10;UEsFBgAAAAAGAAYAWQEAAI4FAAAAAA==&#10;">
                        <v:fill on="f" focussize="0,0"/>
                        <v:stroke color="#000000" joinstyle="round" endarrow="block"/>
                        <v:imagedata o:title=""/>
                        <o:lock v:ext="edit" aspectratio="f"/>
                      </v:line>
                      <v:shape id="文本框 577" o:spid="_x0000_s1026" o:spt="202" type="#_x0000_t202" style="position:absolute;left:2180590;top:1374140;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P/5nN81AgAAeAQAAA4AAABkcnMvZTJvRG9jLnhtbK1US5LT&#10;MBTcU8UdVNozdsyEfGqcqWJC2FBA1cABFFmOVaUfkpI4HABuwIoNe84156AlZ76wyAIvnCep3e91&#10;v6dcXPZakZ3wQVpT09FZSYkw3DbSbGr6+dPqxZSSEJlpmLJG1PQgAr1cPH92sXdzUdnOqkZ4AhIT&#10;5ntX0y5GNy+KwDuhWTizThgcttZrFrH0m6LxbA92rYqqLF8Ve+sb5y0XIWB3ORzSI6M/hdC2reRi&#10;aflWCxMHVi8Ui5AUOukCXeRq21bw+KFtg4hE1RRKY34jCeJ1eheLCzbfeOY6yY8lsFNKeKJJM2mQ&#10;9I5qySIjWy//otKSextsG8+41cUgJDsCFaPyiTfXHXMia4HVwd2ZHv4fLX+/++iJbGpancMTwzRa&#10;fvPj+83P3ze/vpHxZJIs2rswB/LaARv717bH4NzuB2wm5X3rdfqFJoLzajQtxzNQHoB9OTkfgT6b&#10;LfpIOADT2WwyG1PCAajGVYkY58U9kfMhvhVWkxTU1KOX2WK2exfiAL2FpLzBKtmspFJ54TfrK+XJ&#10;jqHvq/wc2R/BlCH7ms7GVaqDYZhbDBFC7WBIMJuc79EX4SFxmZ9/EafClix0QwGZYVCvZRQ++9AJ&#10;1rwxDYkHB8sN7hpNxWjRUKIErmaKMjIyqU5BwjtlYGHq1tCVFMV+3YMmhWvbHNBBXH742Vn/FRkx&#10;+pD6Zcs88jPDsV1TeDCEV3G4K1vn5abDV7ntOQMGMrfreHnSxD9c5zru/zA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mc3zUCAAB4BAAADgAAAAAAAAABACAAAAAlAQAAZHJzL2Uyb0Rv&#10;Yy54bWxQSwUGAAAAAAYABgBZAQAAzAUAAAAA&#10;">
                        <v:fill on="t" focussize="0,0"/>
                        <v:stroke color="#000000" joinstyle="miter"/>
                        <v:imagedata o:title=""/>
                        <o:lock v:ext="edit" aspectratio="f"/>
                        <v:textbox>
                          <w:txbxContent>
                            <w:p w14:paraId="5F033BDE">
                              <w:pPr>
                                <w:jc w:val="center"/>
                                <w:rPr>
                                  <w:rFonts w:hint="default" w:eastAsia="宋体"/>
                                  <w:lang w:val="en-US" w:eastAsia="zh-CN"/>
                                </w:rPr>
                              </w:pPr>
                              <w:r>
                                <w:rPr>
                                  <w:rFonts w:hint="eastAsia"/>
                                  <w:lang w:val="en-US" w:eastAsia="zh-CN"/>
                                </w:rPr>
                                <w:t>去石</w:t>
                              </w:r>
                            </w:p>
                          </w:txbxContent>
                        </v:textbox>
                      </v:shape>
                      <v:line id="直线 580" o:spid="_x0000_s1026" o:spt="20" style="position:absolute;left:2627630;top:1630680;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Axf9F9AEAAOIDAAAOAAAAZHJzL2Uyb0RvYy54bWytU81u&#10;EzEQviPxDpbvZJOFhHaVTQ8N5YKgUuEBJrZ315L/5HGzybPwGpy48Dh9Dcbe0EARUg/swTv2zHwz&#10;3+fx+upgDduriNq7li9mc86UE15q17f8y+ebVxecYQInwXinWn5UyK82L1+sx9Co2g/eSBUZgThs&#10;xtDyIaXQVBWKQVnAmQ/KkbPz0UKibewrGWEkdGuqej5fVaOPMkQvFCKdbicnPyHG5wD6rtNCbb24&#10;t8qlCTUqA4ko4aAD8k3ptuuUSJ+6DlVipuXENJWVipC9y2u1WUPTRwiDFqcW4DktPOFkQTsq+gi1&#10;hQTsPuq/oKwW0aPv0kx4W01EiiLEYjF/os3dAEEVLiQ1hkfR8f/Bio/728i0bHn9ZsGZA0tX/vD1&#10;28P3H2x5UfQZAzYUdu1uI6mVdxhuYyZ76KLNf6LBDoSwqt+uXpOyR5orMlZTPjTqkJigAHIJ8tWL&#10;5eW8QFdnjBAxvVfesmy03GiXmUMD+w+YqC6F/grJx8axseWXy3pJmEBj2NH1k2kDUUHXl1z0Rssb&#10;bUzOwNjvrk1ke8ijUL58+4T7R1gusgUcprjimoZkUCDfOcnSMZBEjt4Gzy1YJTkzip5Stso4JdDm&#10;HJmiBtebf0RTeeOoi7Os2dp5eSxql3O6+tLnaUzzbP2+L9nnp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vdyPXAAAABgEAAA8AAAAAAAAAAQAgAAAAIgAAAGRycy9kb3ducmV2LnhtbFBLAQIU&#10;ABQAAAAIAIdO4kBAxf9F9AEAAOIDAAAOAAAAAAAAAAEAIAAAACYBAABkcnMvZTJvRG9jLnhtbFBL&#10;BQYAAAAABgAGAFkBAACMBQAAAAA=&#10;">
                        <v:fill on="f" focussize="0,0"/>
                        <v:stroke color="#000000" joinstyle="round" endarrow="block"/>
                        <v:imagedata o:title=""/>
                        <o:lock v:ext="edit" aspectratio="f"/>
                      </v:line>
                      <v:shape id="文本框 577" o:spid="_x0000_s1026" o:spt="202" type="#_x0000_t202" style="position:absolute;left:2185670;top:185610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E/vWcw1AgAAeAQAAA4AAABkcnMvZTJvRG9jLnhtbK1Uy47T&#10;MBTdI/EPlvc0aUSn02rSkZhSNgiQBj7AdZzGkl/YbpvyAfAHrNiwn+/qd3DsdJ6wmAVZpNf2ybn3&#10;nHvdi8teK7ITPkhrajoelZQIw20jzaamXz6vXp1TEiIzDVPWiJoeRKCXi5cvLvZuLirbWdUIT0Bi&#10;wnzvatrF6OZFEXgnNAsj64TBYWu9ZhFLvykaz/Zg16qoyvKs2FvfOG+5CAG7y+GQnhj9cwht20ou&#10;lpZvtTBxYPVCsQhJoZMu0EWutm0Fjx/bNohIVE2hNOY3kiBep3exuGDzjWeuk/xUAntOCU80aSYN&#10;kt5RLVlkZOvlX1Racm+DbeOIW10MQrIjUDEun3hz3TEnshZYHdyd6eH/0fIPu0+eyKam1euKEsM0&#10;Wn78+eP46+b4+zuZTKfJor0LcyCvHbCxf2N7DM7tfsBmUt63XqdfaCI4r8bnk7MpbD4Ai3BcTgaz&#10;RR8JB+B8NpvOJpRwAKpJVSJGpuKeyPkQ3wmrSQpq6tHLbDHbvQ9xgN5CUt5glWxWUqm88Jv1lfJk&#10;x9D3VX5O7I9gypB9TWeTKtXBMMwthgihdjAkmE3O9+iL8JC4zM+/iFNhSxa6oYDMMKjXMgqfh64T&#10;rHlrGhIPDpYb3DWaitGioUQJXM0UZWRkUj0HCe+UgYWpW0NXUhT7dQ+aFK5tc0AHcfnhZ2f9N2TE&#10;6EPq1y3zyM8Mx3ZN4cEQXsXhrmydl5sOX+W25wwYyNyu0+VJE/9wneu4/8N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T+9ZzDUCAAB4BAAADgAAAAAAAAABACAAAAAlAQAAZHJzL2Uyb0Rv&#10;Yy54bWxQSwUGAAAAAAYABgBZAQAAzAUAAAAA&#10;">
                        <v:fill on="t" focussize="0,0"/>
                        <v:stroke color="#000000" joinstyle="miter"/>
                        <v:imagedata o:title=""/>
                        <o:lock v:ext="edit" aspectratio="f"/>
                        <v:textbox>
                          <w:txbxContent>
                            <w:p w14:paraId="5DEC2F45">
                              <w:pPr>
                                <w:jc w:val="center"/>
                                <w:rPr>
                                  <w:rFonts w:hint="default" w:eastAsia="宋体"/>
                                  <w:lang w:val="en-US" w:eastAsia="zh-CN"/>
                                </w:rPr>
                              </w:pPr>
                              <w:r>
                                <w:rPr>
                                  <w:rFonts w:hint="default" w:ascii="Times New Roman" w:hAnsi="Times New Roman" w:eastAsia="宋体" w:cs="Times New Roman"/>
                                  <w:sz w:val="21"/>
                                  <w:szCs w:val="21"/>
                                  <w:shd w:val="clear" w:color="auto" w:fill="auto"/>
                                  <w:lang w:val="en-US" w:eastAsia="zh-CN"/>
                                </w:rPr>
                                <w:t>砻谷</w:t>
                              </w:r>
                            </w:p>
                          </w:txbxContent>
                        </v:textbox>
                      </v:shape>
                      <v:line id="直线 580" o:spid="_x0000_s1026" o:spt="20" style="position:absolute;left:2637790;top:2112010;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D2s3Ev8QEAAOIDAAAOAAAAZHJzL2Uyb0RvYy54bWytU0uO&#10;EzEQ3SNxB8t70kkgk0krnVlMGDYIIgEHqNjubkv+yeVJJ2fhGqzYcJy5BmV3mMAgpFmQRafsen5V&#10;77m8vjlaww4qovau4bPJlDPlhJfadQ3/8vnu1TVnmMBJMN6php8U8pvNyxfrIdRq7ntvpIqMSBzW&#10;Q2h4n1KoqwpFryzgxAflKNn6aCHRMnaVjDAQuzXVfDq9qgYfZYheKETa3Y5JfmaMzyH0bauF2npx&#10;b5VLI2tUBhJJwl4H5JvSbdsqkT62LarETMNJaSpfKkLxPn+rzRrqLkLotTi3AM9p4YkmC9pR0Ueq&#10;LSRg91H/RWW1iB59mybC22oUUhwhFbPpE28+9RBU0UJWY3g0Hf8frfhw2EWmZcPnb5acObB05Q9f&#10;vz18/8EW18WfIWBNsFu3i+RWXmHYxSz22Eab/0kGOxLD1evlckXOniiezbKg0V91TEwQgFKi5Bar&#10;aUlVF44QMb1T3rIcNNxol5VDDYf3mKguQX9B8rZxbGj4ajFfECfQGLZ0/RTaQFLQdeUseqPlnTYm&#10;n8DY7W9NZAfIo1B+uTvi/QOWi2wB+xFXUqOIXoF86yRLp0AWOXobPLdgleTMKHpKOSrjlECbCzJF&#10;Da4z/0BTeeOoi4utOdp7eSpul326+tLneUzzbP2+LqcvT3P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vdyPXAAAABgEAAA8AAAAAAAAAAQAgAAAAIgAAAGRycy9kb3ducmV2LnhtbFBLAQIUABQA&#10;AAAIAIdO4kD2s3Ev8QEAAOIDAAAOAAAAAAAAAAEAIAAAACYBAABkcnMvZTJvRG9jLnhtbFBLBQYA&#10;AAAABgAGAFkBAACJBQAAAAA=&#10;">
                        <v:fill on="f" focussize="0,0"/>
                        <v:stroke color="#000000" joinstyle="round" endarrow="block"/>
                        <v:imagedata o:title=""/>
                        <o:lock v:ext="edit" aspectratio="f"/>
                      </v:line>
                      <v:line id="直线 580" o:spid="_x0000_s1026" o:spt="20" style="position:absolute;left:2599690;top:223520;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kewNc8QEAAOADAAAOAAAAZHJzL2Uyb0RvYy54bWytU82O&#10;0zAQviPxDpbvNGlQV9uo6R62LBcElWAfYGo7iSX/yeNt2mfhNThx4XH2NRi7ZQuLkPZADs7YM/5m&#10;vm/Gq5uDNWyvImrvOj6f1ZwpJ7zUbuj4/Ze7N9ecYQInwXinOn5UyG/Wr1+tptCqxo/eSBUZgThs&#10;p9DxMaXQVhWKUVnAmQ/KkbP30UKibRwqGWEidGuqpq6vqslHGaIXCpFONycnPyPGlwD6vtdCbbx4&#10;sMqlE2pUBhJRwlEH5OtSbd8rkT71ParETMeJaSorJSF7l9dqvYJ2iBBGLc4lwEtKeMbJgnaU9Alq&#10;AwnYQ9R/QVktokffp5nwtjoRKYoQi3n9TJvPIwRVuJDUGJ5Ex/8HKz7ut5Fp2fHlgjMHljr++PXb&#10;4/cfbHFd5JkCthR167aRxMo7DNuYuR76aPOfWLBDx5vFcnm1JGGPZDdvF81ZXXVITJCfPCK75otl&#10;XVzVBSJETO+VtywbHTfaZd7Qwv4DJkpLob9C8rFxbMoVN1SzABrCnppPpg1EBN1Q7qI3Wt5pY/IN&#10;jMPu1kS2hzwI5cu9J9w/wnKSDeB4iiuu04iMCuQ7J1k6BlLI0cvguQSrJGdG0UPKVhmmBNpcIlPU&#10;4Abzj2hKbxxVcVE1Wzsvj0Xsck6NL3WehzRP1u/7cvvyMN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vdyPXAAAABgEAAA8AAAAAAAAAAQAgAAAAIgAAAGRycy9kb3ducmV2LnhtbFBLAQIUABQA&#10;AAAIAIdO4kBkewNc8QEAAOADAAAOAAAAAAAAAAEAIAAAACYBAABkcnMvZTJvRG9jLnhtbFBLBQYA&#10;AAAABgAGAFkBAACJBQAAAAA=&#10;">
                        <v:fill on="f" focussize="0,0"/>
                        <v:stroke color="#000000" joinstyle="round" endarrow="block"/>
                        <v:imagedata o:title=""/>
                        <o:lock v:ext="edit" aspectratio="f"/>
                      </v:line>
                      <v:shape id="文本框 577" o:spid="_x0000_s1026" o:spt="202" type="#_x0000_t202" style="position:absolute;left:2179955;top:44259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BSpv0Y1AgAAdQQAAA4AAABkcnMvZTJvRG9jLnhtbK1US5LT&#10;MBDdU8UdVNozTlxjMknFmSomhA0FVA0cQJHlWFX6ISmJwwHgBqzYsOdcOQdPcpgfLLLAC7ulbr3u&#10;97rl+XWvFdkJH6Q1NR1fjCgRhttGmk1NP31cvbiiJERmGqasETU9iECvF8+fzfduJkrbWdUITwBi&#10;wmzvatrF6GZFEXgnNAsX1gkDZ2u9ZhFLvykaz/ZA16ooR6OXxd76xnnLRQjYXQ5OekL05wDatpVc&#10;LC3famHigOqFYhGUQiddoItcbdsKHt+3bRCRqJqCacxvJIG9Tu9iMWezjWeuk/xUAjunhCecNJMG&#10;Se+gliwysvXyLygtubfBtvGCW10MRLIiYDEePdHmtmNOZC6QOrg70cP/g+Xvdh88kQ0mgRLDNBp+&#10;/P7t+OPX8edXUk0mSaC9CzPE3TpExv6V7VPwaT9gM/HuW6/TF4wI/OV4Mp1WFSWHml5eltW0GpQW&#10;fSQc/qvpdII9wuEvq3I0+It7HOdDfCOsJsmoqUcjs75s9zZE5Ebon5CUNlglm5VUKi/8Zn2jPNkx&#10;NH2Vn5QdRx6FKUP2NZ1WZaqDYZJbTBBM7aBGMJuc79GJ8BB4lJ9/AafClix0QwEZYWCvZRQelbBZ&#10;J1jz2jQkHhwUN7hoNBWjRUOJEriXycqRkUl1TiTYKQOSqVlDU5IV+3UPmGSubXNAA3HzoWdn/Rdk&#10;xNyD6uct88jPDMd2TaHBYN7E4aJsnZebDqdy13MGTGMW9HRz0rg/XOc67v8W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FKm/RjUCAAB1BAAADgAAAAAAAAABACAAAAAlAQAAZHJzL2Uyb0Rv&#10;Yy54bWxQSwUGAAAAAAYABgBZAQAAzAUAAAAA&#10;">
                        <v:fill on="t" focussize="0,0"/>
                        <v:stroke color="#000000" joinstyle="miter"/>
                        <v:imagedata o:title=""/>
                        <o:lock v:ext="edit" aspectratio="f"/>
                        <v:textbox>
                          <w:txbxContent>
                            <w:p w14:paraId="787DE726">
                              <w:pPr>
                                <w:jc w:val="center"/>
                                <w:rPr>
                                  <w:rFonts w:hint="default" w:eastAsia="宋体"/>
                                  <w:lang w:val="en-US" w:eastAsia="zh-CN"/>
                                </w:rPr>
                              </w:pPr>
                              <w:r>
                                <w:rPr>
                                  <w:rFonts w:hint="eastAsia"/>
                                  <w:lang w:val="en-US" w:eastAsia="zh-CN"/>
                                </w:rPr>
                                <w:t>卸粮</w:t>
                              </w:r>
                            </w:p>
                          </w:txbxContent>
                        </v:textbox>
                      </v:shape>
                      <v:shape id="文本框 575" o:spid="_x0000_s1026" o:spt="202" type="#_x0000_t202" style="position:absolute;left:3311525;top:362585;height:419735;width:153606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K3CvDR4CAAAmBAAADgAAAGRycy9lMm9Eb2MueG1srVPNjtMw&#10;GLwj8Q6W7zRpS7rbqulKUJYLAqSFB3Adp7HkP2y3TXkAeANOXPbOc/U5GDvdHy2XPXBJvtiT+b4Z&#10;j5dXvVZkL3yQ1tR0PCopEYbbRpptTb9+uX51SUmIzDRMWSNqehSBXq1evlge3EJMbGdVIzwBiQmL&#10;g6tpF6NbFEXgndAsjKwTBput9ZpFfPpt0Xh2ALtWxaQsZ8XB+sZ5y0UIWF0Pm/TM6J9DaNtWcrG2&#10;fKeFiQOrF4pFSAqddIGu8rRtK3j81LZBRKJqCqUxP9EE9SY9i9WSLbaeuU7y8wjsOSM80aSZNGh6&#10;T7VmkZGdl/9Qacm9DbaNI251MQjJjkDFuHzizU3HnMhaYHVw96aH/0fLP+4/eyIbJKGcU2KYxpGf&#10;fv08/f5zuv1BqosqWXRwYQHkjQM29m9sD/jdesBiUt63Xqc3NBHsT6fjcTWpKDmink2qy0zEFqKP&#10;hKf/q+msnGGfA/B6PL+YZkDxQOR8iO+F1SQVNfU4y2wx238IEUMBegdJfY29lkrl81SGHGo6z+05&#10;Q0ZbZAOdtIPOYLaZ5hE+0axZ6MieISbBKtkMwdAyCp8pO8Gad6Yh8ehgkMHNoKmHFg0lSuAipSoj&#10;I5PqOUiMrwxUJG8HD1MV+00PmlRubHOE37iqUN9Z/x0dEVQM+G3HPPozw7FcU0gbyrdxSPbOebnt&#10;8Fc+pNwB8cmOnaOe8vn4O8/xcL1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K3CvDR4C&#10;AAAmBAAADgAAAAAAAAABACAAAAAkAQAAZHJzL2Uyb0RvYy54bWxQSwUGAAAAAAYABgBZAQAAtAUA&#10;AAAA&#10;">
                        <v:fill on="f" focussize="0,0"/>
                        <v:stroke on="f" joinstyle="miter"/>
                        <v:imagedata o:title=""/>
                        <o:lock v:ext="edit" aspectratio="f"/>
                        <v:textbox>
                          <w:txbxContent>
                            <w:p w14:paraId="2CB23A95">
                              <w:pPr>
                                <w:jc w:val="center"/>
                                <w:rPr>
                                  <w:rFonts w:hint="default" w:eastAsia="宋体"/>
                                  <w:szCs w:val="21"/>
                                  <w:lang w:val="en-US" w:eastAsia="zh-CN"/>
                                </w:rPr>
                              </w:pPr>
                              <w:r>
                                <w:rPr>
                                  <w:rFonts w:hint="eastAsia"/>
                                  <w:szCs w:val="21"/>
                                  <w:lang w:val="en-US" w:eastAsia="zh-CN"/>
                                </w:rPr>
                                <w:t>G1卸粮粉尘、S1杂质（稻草节）</w:t>
                              </w:r>
                            </w:p>
                          </w:txbxContent>
                        </v:textbox>
                      </v:shape>
                      <v:line id="直线 580" o:spid="_x0000_s1026" o:spt="20" style="position:absolute;left:1487170;top:4347845;flip:y;height:0;width:720090;" filled="f" stroked="t" coordsize="21600,21600" o:gfxdata="UEsDBAoAAAAAAIdO4kAAAAAAAAAAAAAAAAAEAAAAZHJzL1BLAwQUAAAACACHTuJAgzCbttcAAAAG&#10;AQAADwAAAGRycy9kb3ducmV2LnhtbE2PwU7DMBBE70j8g7VI3KidllYlxOkBgcQJQYuQuLnxkoTG&#10;6xBvm8LXs3CBy0irGc28LVbH0KkDDqmNZCGbGFBIVfQt1RaeN3cXS1CJHXnXRUILn5hgVZ6eFC73&#10;caQnPKy5VlJCKXcWGuY+1zpVDQaXJrFHEu8tDsGxnEOt/eBGKQ+dnhqz0MG1JAuN6/GmwWq33gcL&#10;V5txHh+H3ctl1n68ft2+c3//wNaen2XmGhTjkf/C8IMv6FAK0zbuySfVWZBH+FfFW87NAtRWQtPZ&#10;zIAuC/0fv/wGUEsDBBQAAAAIAIdO4kCxU1UA+wEAAOwDAAAOAAAAZHJzL2Uyb0RvYy54bWytU8uO&#10;EzEQvCPxD5bvZJKQkOwokz1sWC4IIi1w73jsGUt+ye3N41v4DU5c+Jz9DdqesIFFSHsgh1HbLld3&#10;Vcqr66M1bC8jau8aPhmNOZNO+Fa7ruGfP92+WnKGCVwLxjvZ8JNEfr1++WJ1CLWc+t6bVkZGJA7r&#10;Q2h4n1KoqwpFLy3gyAfp6FD5aCHRMnZVG+FA7NZU0/H4TXXwsQ3RC4lIu5vhkJ8Z43MIvVJayI0X&#10;91a6NLBGaSCRJOx1QL4u0yolRfqoFMrETMNJaSpfakL1Ln+r9QrqLkLotTiPAM8Z4YkmC9pR00eq&#10;DSRg91H/RWW1iB69SiPhbTUIKY6Qisn4iTd3PQRZtJDVGB5Nx/9HKz7st5HplpIwIU8cWPrLH75+&#10;e/j+g82XxZ9DwJpgN24bya28wrCNWexRRcuU0eELXS/ySRA70mK2XEwWxHdq+Oz1bLGczQen5TEx&#10;QYAFJeGKzgUBSpNqYMusIWJ6J71luWi40S57ADXs32OiCQj6C5K3jWOHhl/Np3OiAwqkoiBQaQOJ&#10;QteVu+iNbm+1MfkGxm53YyLbQw5F+eXpiPcPWG6yAewHXDkaRPQS2reuZekUyCxHr4TnEaxsOTOS&#10;HlWuSrASaHNBpqjBdeYfaGpvHE1xMThXO9+eiu9ln0JQ5jwHNqfs93W5fXmk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MJu21wAAAAYBAAAPAAAAAAAAAAEAIAAAACIAAABkcnMvZG93bnJldi54&#10;bWxQSwECFAAUAAAACACHTuJAsVNVAPsBAADsAwAADgAAAAAAAAABACAAAAAmAQAAZHJzL2Uyb0Rv&#10;Yy54bWxQSwUGAAAAAAYABgBZAQAAkwUAAAAA&#10;">
                        <v:fill on="f" focussize="0,0"/>
                        <v:stroke color="#000000" joinstyle="round" endarrow="block"/>
                        <v:imagedata o:title=""/>
                        <o:lock v:ext="edit" aspectratio="f"/>
                      </v:line>
                      <v:shape id="文本框 575" o:spid="_x0000_s1026" o:spt="202" type="#_x0000_t202" style="position:absolute;left:1558925;top:4126865;height:320675;width:53022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LEGWCR0CAAAmBAAADgAAAGRycy9lMm9Eb2MueG1srVPLjtMw&#10;FN0j8Q+W9zRphpRO1HQkKMMGAdLAB9zaTmPJL2y3SfkA+ANWbNjzXf0Orp3OQ8NmFmySG/vk3HuO&#10;j1dXo1bkIHyQ1rR0PispEYZZLs2upV8+X79YUhIiGA7KGtHSowj0av382WpwjahsbxUXniCJCc3g&#10;WtrH6JqiCKwXGsLMOmFws7NeQ8RPvyu4hwHZtSqqslwUg/XcectECLi6mTbpmdE/hdB2nWRiY9le&#10;CxMnVi8URJQUeukCXedpu06w+LHrgohEtRSVxvzEJlhv07NYr6DZeXC9ZOcR4CkjPNKkQRpseke1&#10;gQhk7+U/VFoyb4Pt4oxZXUxCsiOoYl4+8uamByeyFrQ6uDvTw/+jZR8OnzyRHJMwn1NiQOORn37+&#10;OP36c/r9ndSv6mTR4EKDyBuH2Di+tiPCb9cDLiblY+d1eqMmkvbrenlZ1ZQcW/pyXi2Wi8wEjRgj&#10;YQioL8oq7TMEXFTlYupU3BM5H+I7YTVJRUs9nmW2GA7vQ8ShEHoLSX2NvZZK5fNUhgwtvawzPWBG&#10;O8wGdtIOdQazyzQP8IlmA6EnB8CYBKskn4KhZRQ+U/YC+FvDSTw6NMjgzaCphxacEiXwIqUqIyNI&#10;9RQkjq8MqkjeTh6mKo7bEWlSubX8iH7jVUX1vfXfsCMGFQf8ugeP/cEwXG4pSpvKN3FK9t55uevx&#10;r3xIuQPGJzt2jnrK58PvPMf99V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haHxnVAAAABgEA&#10;AA8AAAAAAAAAAQAgAAAAIgAAAGRycy9kb3ducmV2LnhtbFBLAQIUABQAAAAIAIdO4kAsQZYJHQIA&#10;ACYEAAAOAAAAAAAAAAEAIAAAACQBAABkcnMvZTJvRG9jLnhtbFBLBQYAAAAABgAGAFkBAACzBQAA&#10;AAA=&#10;">
                        <v:fill on="f" focussize="0,0"/>
                        <v:stroke on="f" joinstyle="miter"/>
                        <v:imagedata o:title=""/>
                        <o:lock v:ext="edit" aspectratio="f"/>
                        <v:textbox>
                          <w:txbxContent>
                            <w:p w14:paraId="3A55D0A8">
                              <w:pPr>
                                <w:jc w:val="center"/>
                                <w:rPr>
                                  <w:rFonts w:hint="default" w:eastAsia="宋体"/>
                                  <w:szCs w:val="21"/>
                                  <w:lang w:val="en-US" w:eastAsia="zh-CN"/>
                                </w:rPr>
                              </w:pPr>
                              <w:r>
                                <w:rPr>
                                  <w:rFonts w:hint="eastAsia"/>
                                  <w:szCs w:val="21"/>
                                  <w:lang w:val="en-US" w:eastAsia="zh-CN"/>
                                </w:rPr>
                                <w:t>加水</w:t>
                              </w:r>
                            </w:p>
                          </w:txbxContent>
                        </v:textbox>
                      </v:shape>
                      <v:shape id="文本框 577" o:spid="_x0000_s1026" o:spt="202" type="#_x0000_t202" style="position:absolute;left:2191385;top:232854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I1ui9E0AgAAdwQAAA4AAABkcnMvZTJvRG9jLnhtbK1US44T&#10;MRTcI3EHy3vSSQ9hkiidkZgQNgiQBg7guN1pS/5hO0mHA8ANWLFhz7lyDsruzBcWWdCLzrNdXe9V&#10;vefMrzqtyE74IK2p6GgwpEQYbmtpNhX9/Gn1YkJJiMzUTFkjKnoQgV4tnj+b791MlLa1qhaegMSE&#10;2d5VtI3RzYoi8FZoFgbWCYPDxnrNIpZ+U9Se7cGuVVEOh6+KvfW185aLELC77A/pidGfQ2ibRnKx&#10;tHyrhYk9qxeKRUgKrXSBLnK1TSN4/NA0QUSiKgqlMb+RBPE6vYvFnM02nrlW8lMJ7JwSnmjSTBok&#10;vaNassjI1su/qLTk3gbbxAG3uuiFZEegYjR84s1Ny5zIWmB1cHemh/9Hy9/vPnoia0zCiBLDNDp+&#10;/PH9+PP38dc3Mr68TA7tXZgBeOMAjd1r2wF9ux+wmYR3jdfpF5IIzsvRdHQxGVNyQHxRTsYvx73X&#10;oouEAzCZTi+nOOcJMC6HiJGpuCdyPsS3wmqSgop6tDI7zHbvQuyht5CUN1gl65VUKi/8Zn2tPNkx&#10;tH2VnxP7I5gyZF/R6bhMdTDMcoMZQqgd/Ahmk/M9+iI8JB7m51/EqbAlC21fQGbo1WsZhc8z1wpW&#10;vzE1iQcHyw2uGk3FaFFTogRuZooyMjKpzkHCO2VgYepW35UUxW7dgSaFa1sf0EHcffjZWv8VGTH5&#10;kPplyzzyM8OxXVF40IfXsb8qW+flpsVXue05A+Yxt+t0d9LAP1znOu7/Lx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3kykvWAAAABgEAAA8AAAAAAAAAAQAgAAAAIgAAAGRycy9kb3ducmV2Lnht&#10;bFBLAQIUABQAAAAIAIdO4kCNbovRNAIAAHcEAAAOAAAAAAAAAAEAIAAAACUBAABkcnMvZTJvRG9j&#10;LnhtbFBLBQYAAAAABgAGAFkBAADLBQAAAAA=&#10;">
                        <v:fill on="t" focussize="0,0"/>
                        <v:stroke color="#000000" joinstyle="miter"/>
                        <v:imagedata o:title=""/>
                        <o:lock v:ext="edit" aspectratio="f"/>
                        <v:textbox>
                          <w:txbxContent>
                            <w:p w14:paraId="373A2F1D">
                              <w:pPr>
                                <w:jc w:val="center"/>
                                <w:rPr>
                                  <w:rFonts w:hint="default" w:eastAsia="宋体"/>
                                  <w:lang w:val="en-US" w:eastAsia="zh-CN"/>
                                </w:rPr>
                              </w:pPr>
                              <w:r>
                                <w:rPr>
                                  <w:rFonts w:hint="eastAsia"/>
                                  <w:lang w:val="en-US" w:eastAsia="zh-CN"/>
                                </w:rPr>
                                <w:t>谷糙分离</w:t>
                              </w:r>
                            </w:p>
                          </w:txbxContent>
                        </v:textbox>
                      </v:shape>
                      <v:line id="直线 580" o:spid="_x0000_s1026" o:spt="20" style="position:absolute;left:2656205;top:258508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xN+mh8wEAAOEDAAAOAAAAZHJzL2Uyb0RvYy54bWytU0tu&#10;2zAQ3RfoHQjua8kG5DqC5SzippuiNdDmAGOKkgjwBw5j2WfpNbrqpsfJNTqk3LhNESCLaEENycc3&#10;8x6H6+uj0ewgAypnGz6flZxJK1yrbN/wu2+371acYQTbgnZWNvwkkV9v3r5Zj76WCzc43crAiMRi&#10;PfqGDzH6uihQDNIAzpyXljY7FwxEmoa+aAOMxG50sSjLZTG60PrghESk1e20yc+M4SWEruuUkFsn&#10;7o20cWINUkMkSTgoj3yTq+06KeKXrkMZmW44KY15pCQU79NYbNZQ9wH8oMS5BHhJCU80GVCWkj5S&#10;bSECuw/qPyqjRHDoujgTzhSTkOwIqZiXT7z5OoCXWQtZjf7RdHw9WvH5sAtMtdQJ7zmzYOjGH77/&#10;ePj5i1WrbM/osSbUjd0FMivN0O9C0nrsgkl/UsGODV8sq+WirDg7UVytqnJVTfbKY2SCAOS5SHvz&#10;6qrM1MWFwweMH6UzLAUN18om4VDD4RNGykvQP5C0rC0bG35VLSidAOrCjm6fQuNJCdo+n0WnVXur&#10;tE4nMPT7Gx3YAVIn5C9VR7z/wFKSLeAw4fLWJGKQ0H6wLYsnTxZZeho8lWBky5mW9JJSlLspgtIX&#10;ZAwKbK+fQVN6bamKi60p2rv2lN3O63Tzuc5zl6bW+nueT19e5u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e93I9cAAAAGAQAADwAAAAAAAAABACAAAAAiAAAAZHJzL2Rvd25yZXYueG1sUEsBAhQA&#10;FAAAAAgAh07iQHE36aHzAQAA4QMAAA4AAAAAAAAAAQAgAAAAJgEAAGRycy9lMm9Eb2MueG1sUEsF&#10;BgAAAAAGAAYAWQEAAIsFAAAAAA==&#10;">
                        <v:fill on="f" focussize="0,0"/>
                        <v:stroke color="#000000" joinstyle="round" endarrow="block"/>
                        <v:imagedata o:title=""/>
                        <o:lock v:ext="edit" aspectratio="f"/>
                      </v:line>
                      <v:shape id="文本框 577" o:spid="_x0000_s1026" o:spt="202" type="#_x0000_t202" style="position:absolute;left:2191385;top:327342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Ds11Kk1AgAAdgQAAA4AAABkcnMvZTJvRG9jLnhtbK1US5LT&#10;MBDdU8UdVNoTJw4hnxpnqpgQNhRQNXAARZZjVemHpCQOB4AbsGLDnnPNOXiSM19YZIEXdktqve73&#10;utsXl51WZC98kNZUdDQYUiIMt7U024p+/rR+MaMkRGZqpqwRFT2KQC+Xz59dHNxClLa1qhaeAMSE&#10;xcFVtI3RLYoi8FZoFgbWCYPDxnrNIpZ+W9SeHYCuVVEOh6+Kg/W185aLELC76g/pCdGfA2ibRnKx&#10;snynhYk9qheKRVAKrXSBLnO2TSN4/NA0QUSiKgqmMb8RBPYmvYvlBVtsPXOt5KcU2DkpPOGkmTQI&#10;ege1YpGRnZd/QWnJvQ22iQNuddETyYqAxWj4RJvrljmRuUDq4O5ED/8Plr/ff/RE1hUtKTFMo+A3&#10;P77f/Px98+sbmUynSaCDCwv4XTt4xu617dA2t/sBm4l313idvmBEcF6O5qPxbELJsaLjcjp+WU56&#10;qUUXCYfDbD6fznHO4VBOyiFsRCrugZwP8a2wmiSjoh6VzAKz/bsQe9dblxQ3WCXrtVQqL/x2c6U8&#10;2TNUfZ2fE/ojN2XIoaLzCXIjnKGVG7QQTO0gRzDbHO/RjfAQeJiffwGnxFYstH0CGaFnr2UUPrdc&#10;K1j9xtQkHh0kN5g0mpLRoqZECQxmsrJnZFKd4wntlIGEqVp9VZIVu00HmGRubH1EBTH60LO1/isi&#10;ovFB9cuOecRnhmO7otCgN69iPyk75+W2xa1c9hwB7ZjLdRqd1O8P1zmP+9/F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OzXUqTUCAAB2BAAADgAAAAAAAAABACAAAAAlAQAAZHJzL2Uyb0Rv&#10;Yy54bWxQSwUGAAAAAAYABgBZAQAAzAUAAAAA&#10;">
                        <v:fill on="t" focussize="0,0"/>
                        <v:stroke color="#000000" joinstyle="miter"/>
                        <v:imagedata o:title=""/>
                        <o:lock v:ext="edit" aspectratio="f"/>
                        <v:textbox>
                          <w:txbxContent>
                            <w:p w14:paraId="5C172477">
                              <w:pPr>
                                <w:jc w:val="center"/>
                                <w:rPr>
                                  <w:rFonts w:hint="default" w:eastAsia="宋体"/>
                                  <w:lang w:val="en-US" w:eastAsia="zh-CN"/>
                                </w:rPr>
                              </w:pPr>
                              <w:r>
                                <w:rPr>
                                  <w:rFonts w:hint="eastAsia"/>
                                  <w:lang w:val="en-US" w:eastAsia="zh-CN"/>
                                </w:rPr>
                                <w:t>碾米</w:t>
                              </w:r>
                            </w:p>
                          </w:txbxContent>
                        </v:textbox>
                      </v:shape>
                      <v:line id="直线 580" o:spid="_x0000_s1026" o:spt="20" style="position:absolute;left:2656205;top:306006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n54t49AEAAOADAAAOAAAAZHJzL2Uyb0RvYy54bWytU82O&#10;0zAQviPxDpbvNGlQqt2o6R62LBcElWAfYOo4iSX/yeNt2mfhNThx4XH2NRg7ZQuLkPZADs7YM/5m&#10;vm/G65uj0ewgAypnW75clJxJK1yn7NDy+y93b644wwi2A+2sbPlJIr/ZvH61nnwjKzc63cnACMRi&#10;M/mWjzH6pihQjNIALpyXlpy9CwYibcNQdAEmQje6qMpyVUwudD44IRHpdDs7+RkxvATQ9b0ScuvE&#10;g5E2zqhBaohECUflkW9ytX0vRfzU9ygj0y0npjGvlITsfVqLzRqaIYAflTiXAC8p4RknA8pS0ieo&#10;LURgD0H9BWWUCA5dHxfCmWImkhUhFsvymTafR/AycyGp0T+Jjv8PVnw87AJTXctXnFkw1PDHr98e&#10;v/9g9VVWZ/LYUNCt3QXSKu3Q70KieuyDSX8iwY4tr1b1qiprzk4tf1uuqNP1rK48RiYogCQX5KuW&#10;9XWZoYsLhg8Y30tnWDJarpVNvKGBwweMlJdCf4WkY23Z1PLruqJ0AmgIe2o+mcYTEbRDvotOq+5O&#10;aZ1uYBj2tzqwA6RByF+qjnD/CEtJtoDjHJddM4lRQvfOdiyePElk6WXwVIKRHWda0kNKVh6mCEpf&#10;ImNQYAf9j2hKry1VcZE1WXvXnbLa+Zwan+s8D2marN/3+fblY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vdyPXAAAABgEAAA8AAAAAAAAAAQAgAAAAIgAAAGRycy9kb3ducmV2LnhtbFBLAQIU&#10;ABQAAAAIAIdO4kBn54t49AEAAOADAAAOAAAAAAAAAAEAIAAAACYBAABkcnMvZTJvRG9jLnhtbFBL&#10;BQYAAAAABgAGAFkBAACMBQAAAAA=&#10;">
                        <v:fill on="f" focussize="0,0"/>
                        <v:stroke color="#000000" joinstyle="round" endarrow="block"/>
                        <v:imagedata o:title=""/>
                        <o:lock v:ext="edit" aspectratio="f"/>
                      </v:line>
                      <v:shape id="文本框 577" o:spid="_x0000_s1026" o:spt="202" type="#_x0000_t202" style="position:absolute;left:2214245;top:421830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LcZJ3A1AgAAdwQAAA4AAABkcnMvZTJvRG9jLnhtbK1US5LT&#10;MBTcU8UdVNoTO2ZCPhVnqpgwbCigauAAiizHqtIPSUkcDgA3YMWGPeeac9CSM19YzAIvnCep3e91&#10;v6csz3utyF74IK2p6XhUUiIMt40025p+/nT5YkZJiMw0TFkjanoUgZ6vnj9bHtxCVLazqhGegMSE&#10;xcHVtIvRLYoi8E5oFkbWCYPD1nrNIpZ+WzSeHcCuVVGV5aviYH3jvOUiBOyuh0N6YvRPIbRtK7lY&#10;W77TwsSB1QvFIiSFTrpAV7nathU8fmjbICJRNYXSmN9IgniT3sVqyRZbz1wn+akE9pQSHmnSTBok&#10;vaVas8jIzsu/qLTk3gbbxhG3uhiEZEegYlw+8uaqY05kLbA6uFvTw/+j5e/3Hz2RDSYBfTdMo+PX&#10;P75f//x9/esbmUynyaGDCwsArxygsX9te6Bv9gM2k/C+9Tr9QhLBeVWNz6qzCSXHmp5V49nLcjJ4&#10;LfpIOACz+Xw6xzkHoJpUJWJkKu6InA/xrbCapKCmHq3MDrP9uxAH6A0k5Q1WyeZSKpUXfru5UJ7s&#10;Gdp+mZ8T+wOYMuRQ0/mkSnUwzHKLGUKoHfwIZpvzPfgi3Ccu8/Mv4lTYmoVuKCAzDOq1jMLnmesE&#10;a96YhsSjg+UGV42mYrRoKFECNzNFGRmZVE9BwjtlYGHq1tCVFMV+04MmhRvbHNFB3H342Vn/FRkx&#10;+ZD6Zcc88jPDsV1TeDCEF3G4Kjvn5bbDV7ntOQPmMbfrdHfSwN9f5zru/i9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5MpL1gAAAAYBAAAPAAAAAAAAAAEAIAAAACIAAABkcnMvZG93bnJldi54&#10;bWxQSwECFAAUAAAACACHTuJAtxkncDUCAAB3BAAADgAAAAAAAAABACAAAAAlAQAAZHJzL2Uyb0Rv&#10;Yy54bWxQSwUGAAAAAAYABgBZAQAAzAUAAAAA&#10;">
                        <v:fill on="t" focussize="0,0"/>
                        <v:stroke color="#000000" joinstyle="miter"/>
                        <v:imagedata o:title=""/>
                        <o:lock v:ext="edit" aspectratio="f"/>
                        <v:textbox>
                          <w:txbxContent>
                            <w:p w14:paraId="4C23890C">
                              <w:pPr>
                                <w:jc w:val="center"/>
                                <w:rPr>
                                  <w:rFonts w:hint="default" w:eastAsia="宋体"/>
                                  <w:lang w:val="en-US" w:eastAsia="zh-CN"/>
                                </w:rPr>
                              </w:pPr>
                              <w:r>
                                <w:rPr>
                                  <w:rFonts w:hint="eastAsia"/>
                                  <w:lang w:val="en-US" w:eastAsia="zh-CN"/>
                                </w:rPr>
                                <w:t>一次抛光</w:t>
                              </w:r>
                            </w:p>
                          </w:txbxContent>
                        </v:textbox>
                      </v:shape>
                      <v:shape id="文本框 577" o:spid="_x0000_s1026" o:spt="202" type="#_x0000_t202" style="position:absolute;left:2147570;top:3745865;height:252095;width:1027430;"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KkHaUI5AgAAeAQAAA4AAABkcnMvZTJvRG9jLnhtbK1Uy3LT&#10;MBTdM8M/aLSndt26aTN1OkND2TDATOEDFFmONaMXkpI4fAD8ASs27PmufAdHcvqERRZ44VzJR+fe&#10;c+5VLq8Grcha+CCtaejxUUmJMNy20iwb+vnTzatzSkJkpmXKGtHQrQj0avbyxeXGTUVle6ta4QlI&#10;TJhuXEP7GN20KALvhWbhyDph8LGzXrOIpV8WrWcbsGtVVGV5Vmysb523XISA3fn4ke4Z/SGEtusk&#10;F3PLV1qYOLJ6oViEpNBLF+gsV9t1gscPXRdEJKqhUBrzG0kQL9K7mF2y6dIz10u+L4EdUsIzTZpJ&#10;g6T3VHMWGVl5+ReVltzbYLt4xK0uRiHZEag4Lp95c9szJ7IWWB3cvenh/9Hy9+uPnsgWk3BBiWEa&#10;Hd/9+L77+Xv36xupJ5Pk0MaFKYC3DtA4vLYD0Hf7AZtJ+NB5nX4hieB7dXw6qSdwedvQk8lpfX5W&#10;j16LIRKeCMpqcnoCAAeiqqvyIgOKBybnQ3wrrCYpaKhHL7PFbP0uRFQF6B0kJQ5WyfZGKpUXfrm4&#10;Vp6sGfp+k5+UHkeewJQhm4Ze1FWNOhiGucMQIdQOhgSzzPmenAiPicv8/Is4FTZnoR8LyAyjfC2j&#10;8HnoesHaN6YlcevgucFdo6kYLVpKlMDVTFFGRibVIUioUwYiU7vGtqQoDosBNClc2HaLFuLyw8/e&#10;+q/IiNGH1C8r5pGfGY7thsKDMbyO411ZOS+XPU7lvucMGMhs6P7ypIl/vM51PPxhz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eTKS9YAAAAGAQAADwAAAAAAAAABACAAAAAiAAAAZHJzL2Rvd25y&#10;ZXYueG1sUEsBAhQAFAAAAAgAh07iQKkHaUI5AgAAeAQAAA4AAAAAAAAAAQAgAAAAJQEAAGRycy9l&#10;Mm9Eb2MueG1sUEsFBgAAAAAGAAYAWQEAANAFAAAAAA==&#10;">
                        <v:fill on="t" focussize="0,0"/>
                        <v:stroke color="#000000" joinstyle="miter"/>
                        <v:imagedata o:title=""/>
                        <o:lock v:ext="edit" aspectratio="f"/>
                        <v:textbox>
                          <w:txbxContent>
                            <w:p w14:paraId="00096306">
                              <w:pPr>
                                <w:jc w:val="center"/>
                                <w:rPr>
                                  <w:rFonts w:hint="default" w:eastAsia="宋体"/>
                                  <w:lang w:val="en-US" w:eastAsia="zh-CN"/>
                                </w:rPr>
                              </w:pPr>
                              <w:r>
                                <w:rPr>
                                  <w:rFonts w:hint="eastAsia"/>
                                  <w:lang w:val="en-US" w:eastAsia="zh-CN"/>
                                </w:rPr>
                                <w:t>一次白米分级</w:t>
                              </w:r>
                            </w:p>
                          </w:txbxContent>
                        </v:textbox>
                      </v:shape>
                      <v:line id="直线 580" o:spid="_x0000_s1026" o:spt="20" style="position:absolute;left:2656205;top:354012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CovcxA9AEAAOEDAAAOAAAAZHJzL2Uyb0RvYy54bWytU82O&#10;0zAQviPxDpbvNGkg1W7UdA9blguCSsADTB0nseQ/ebxN+yy8BicuPM6+BmOnbGER0h7IwRnbn7+Z&#10;7/N4fXM0mh1kQOVsy5eLkjNpheuUHVr+5fPdqyvOMILtQDsrW36SyG82L1+sJ9/Iyo1OdzIwIrHY&#10;TL7lY4y+KQoUozSAC+elpc3eBQORpmEougATsRtdVGW5KiYXOh+ckIi0up03+ZkxPIfQ9b0ScuvE&#10;vZE2zqxBaogkCUflkW9ytX0vRfzY9ygj0y0npTGPlITifRqLzRqaIYAflTiXAM8p4YkmA8pS0keq&#10;LURg90H9RWWUCA5dHxfCmWIWkh0hFcvyiTefRvAyayGr0T+ajv+PVnw47AJTXcurijMLhm784eu3&#10;h+8/WH2V7Zk8NoS6tbtAZqUZ+l1IWo99MOlPKtiRCFb1qiprzk4tf12/KZdVPdsrj5EJApDngvaq&#10;ZX1dZuriwuEDxnfSGZaClmtlk3Bo4PAeI+Ul6C9IWtaWTS2/rikFE0Bd2NPtU2g8KUE75LPotOru&#10;lNbpBIZhf6sDO0DqhPyl6oj3D1hKsgUcZ1zemkWMErq3tmPx5MkiS0+DpxKM7DjTkl5SinI3RVD6&#10;goxBgR30P9CUXluq4mJrivauO2W38zrdfK7z3KWptX6f59OXl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vdyPXAAAABgEAAA8AAAAAAAAAAQAgAAAAIgAAAGRycy9kb3ducmV2LnhtbFBLAQIU&#10;ABQAAAAIAIdO4kCovcxA9AEAAOEDAAAOAAAAAAAAAAEAIAAAACYBAABkcnMvZTJvRG9jLnhtbFBL&#10;BQYAAAAABgAGAFkBAACMBQAAAAA=&#10;">
                        <v:fill on="f" focussize="0,0"/>
                        <v:stroke color="#000000" joinstyle="round" endarrow="block"/>
                        <v:imagedata o:title=""/>
                        <o:lock v:ext="edit" aspectratio="f"/>
                      </v:line>
                      <v:line id="直线 580" o:spid="_x0000_s1026" o:spt="20" style="position:absolute;left:2671445;top:448500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DPnzgw9QEAAOEDAAAOAAAAZHJzL2Uyb0RvYy54bWytU0tu&#10;2zAQ3RfoHQjua8mGlTqC5SzippuiNdD0AGOKkgjwBw5j2WfpNbrqpsfJNTqk3LhNUSCLakENycc3&#10;8x6H65uj0ewgAypnGz6flZxJK1yrbN/wL/d3b1acYQTbgnZWNvwkkd9sXr9aj76WCzc43crAiMRi&#10;PfqGDzH6uihQDNIAzpyXljY7FwxEmoa+aAOMxG50sSjLq2J0ofXBCYlIq9tpk58Zw0sIXdcpIbdO&#10;PBhp48QapIZIknBQHvkmV9t1UsRPXYcyMt1wUhrzSEko3qex2Kyh7gP4QYlzCfCSEp5pMqAsJX2i&#10;2kIE9hDUX1RGieDQdXEmnCkmIdkRUjEvn3nzeQAvsxayGv2T6fj/aMXHwy4w1TZ8seTMgqEbf/z6&#10;7fH7D1atsj2jx5pQt3YXyKw0Q78LSeuxCyb9SQU7EsHV2/lyWXF2avhyuarKsprslcfIBAHIc0F7&#10;i3l1XWbq4sLhA8b30hmWgoZrZZNwqOHwASPlJegvSFrWlo0Nv64WlE4AdWFHt0+h8aQEbZ/PotOq&#10;vVNapxMY+v2tDuwAqRPyl6oj3j9gKckWcJhweWsSMUho39mWxZMniyw9DZ5KMLLlTEt6SSnK3RRB&#10;6QsyBgW21/9AU3ptqYqLrSnau/aU3c7rdPO5znOXptb6fZ5PX17m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73cj1wAAAAYBAAAPAAAAAAAAAAEAIAAAACIAAABkcnMvZG93bnJldi54bWxQSwEC&#10;FAAUAAAACACHTuJAz584MPUBAADhAwAADgAAAAAAAAABACAAAAAmAQAAZHJzL2Uyb0RvYy54bWxQ&#10;SwUGAAAAAAYABgBZAQAAjQUAAAAA&#10;">
                        <v:fill on="f" focussize="0,0"/>
                        <v:stroke color="#000000" joinstyle="round" endarrow="block"/>
                        <v:imagedata o:title=""/>
                        <o:lock v:ext="edit" aspectratio="f"/>
                      </v:line>
                      <v:shape id="文本框 577" o:spid="_x0000_s1026" o:spt="202" type="#_x0000_t202" style="position:absolute;left:2225040;top:469836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GR/avI3AgAAdwQAAA4AAABkcnMvZTJvRG9jLnhtbK1US5LT&#10;MBDdU8UdVNoz9phJZpIaZ6qYEDYUUDVwAEWWY1Xph6QkDgeAG7BiM3vOlXPwJGe+sMgCL+yW1Hrd&#10;73W3L696rchG+CCtqenpSUmJMNw20qxq+uXz4tUFJSEy0zBljajpTgR6NXv54nLrpqKynVWN8AQg&#10;Jky3rqZdjG5aFIF3QrNwYp0wOGyt1yxi6VdF49kW6FoVVVmOi631jfOWixCwOx8O6QHRHwNo21Zy&#10;Mbd8rYWJA6oXikVQCp10gc5ytm0rePzYtkFEomoKpjG/EQT2Mr2L2SWbrjxzneSHFNgxKTzjpJk0&#10;CHoPNWeRkbWXf0Fpyb0Nto0n3OpiIJIVAYvT8pk2Nx1zInOB1MHdix7+Hyz/sPnkiWxqWo0pMUyj&#10;4vufP/a/fu9vv5PR+XlSaOvCFI43Dq6xf2N79M3dfsBmIt63XqcvKBGcV1U1Ks+g8q6mZ+PJxevx&#10;aNBa9JFwOFxMJueTESUcDtWoKmEjUvEA5HyI74TVJBk19ShlVpht3oc4uN65pLjBKtkspFJ54VfL&#10;a+XJhqHsi/wc0J+4KUO2NZ2MqpQHQy+36CGY2kGPYFY53pMb4TFwmZ9/AafE5ix0QwIZYWCvZRQ+&#10;91wnWPPWNCTuHCQ3GDWaktGioUQJTGaysmdkUh3jCe2UgYSpWkNVkhX7ZQ+YZC5ts0MFMfvQs7P+&#10;GyKi80H165p5xGeGY7um0GAwr+MwKmvn5arDrVz2HAH9mMt1mJ3U8I/XOY+H/8Xs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3kykvWAAAABgEAAA8AAAAAAAAAAQAgAAAAIgAAAGRycy9kb3ducmV2&#10;LnhtbFBLAQIUABQAAAAIAIdO4kBkf2ryNwIAAHcEAAAOAAAAAAAAAAEAIAAAACUBAABkcnMvZTJv&#10;RG9jLnhtbFBLBQYAAAAABgAGAFkBAADOBQAAAAA=&#10;">
                        <v:fill on="t" focussize="0,0"/>
                        <v:stroke color="#000000" joinstyle="miter"/>
                        <v:imagedata o:title=""/>
                        <o:lock v:ext="edit" aspectratio="f"/>
                        <v:textbox>
                          <w:txbxContent>
                            <w:p w14:paraId="1B9BD7A7">
                              <w:pPr>
                                <w:jc w:val="center"/>
                                <w:rPr>
                                  <w:rFonts w:hint="default" w:eastAsia="宋体"/>
                                  <w:lang w:val="en-US" w:eastAsia="zh-CN"/>
                                </w:rPr>
                              </w:pPr>
                              <w:r>
                                <w:rPr>
                                  <w:rFonts w:hint="eastAsia"/>
                                  <w:lang w:val="en-US" w:eastAsia="zh-CN"/>
                                </w:rPr>
                                <w:t>二次色选</w:t>
                              </w:r>
                            </w:p>
                          </w:txbxContent>
                        </v:textbox>
                      </v:shape>
                      <v:line id="直线 580" o:spid="_x0000_s1026" o:spt="20" style="position:absolute;left:2694305;top:494982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U52Hq9gEAAOEDAAAOAAAAZHJzL2Uyb0RvYy54bWytU0tu&#10;2zAQ3RfoHQjua8mundqC5SzippuiNdD2AGOKkgjwBw5j2WfpNbrqpsfJNTqk3DhJUSCLakENycc3&#10;8x6H6+uj0ewgAypnaz6dlJxJK1yjbFfzb19v3yw5wwi2Ae2srPlJIr/evH61HnwlZ653upGBEYnF&#10;avA172P0VVGg6KUBnDgvLW22LhiINA1d0QQYiN3oYlaWV8XgQuODExKRVrfjJj8zhpcQurZVQm6d&#10;uDPSxpE1SA2RJGGvPPJNrrZtpYif2xZlZLrmpDTmkZJQvE9jsVlD1QXwvRLnEuAlJTzTZEBZSvpA&#10;tYUI7C6ov6iMEsGha+NEOFOMQrIjpGJaPvPmSw9eZi1kNfoH0/H/0YpPh11gqqn57B1nFgzd+P33&#10;H/c/f7HFMtszeKwIdWN3gcxKM/S7kLQe22DSn1SwIxFcreZvywVnp5rPV/PVcrYY7ZXHyAQByHNB&#10;e7PpYlVm6uLC4QPGD9IZloKaa2WTcKjg8BEj5SXoH0ha1pYNNV8tKAUTQF3Y0u1TaDwpQdvls+i0&#10;am6V1ukEhm5/owM7QOqE/KXqiPcJLCXZAvYjLm+NInoJzXvbsHjyZJGlp8FTCUY2nGlJLylFuZsi&#10;KH1BxqDAdvofaEqvLVVxsTVFe9ecstt5nW4+13nu0tRaj+f59OVl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e93I9cAAAAGAQAADwAAAAAAAAABACAAAAAiAAAAZHJzL2Rvd25yZXYueG1sUEsB&#10;AhQAFAAAAAgAh07iQFTnYer2AQAA4QMAAA4AAAAAAAAAAQAgAAAAJgEAAGRycy9lMm9Eb2MueG1s&#10;UEsFBgAAAAAGAAYAWQEAAI4FAAAAAA==&#10;">
                        <v:fill on="f" focussize="0,0"/>
                        <v:stroke color="#000000" joinstyle="round" endarrow="block"/>
                        <v:imagedata o:title=""/>
                        <o:lock v:ext="edit" aspectratio="f"/>
                      </v:line>
                      <v:shape id="文本框 577" o:spid="_x0000_s1026" o:spt="202" type="#_x0000_t202" style="position:absolute;left:2244725;top:516318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N84rjg2AgAAdwQAAA4AAABkcnMvZTJvRG9jLnhtbK1US5LT&#10;MBDdU8UdVNozdsxk8qlxpooJw4YCqgYOoMhyrCr9kJTE4QBwA1ZsZs+5cg6e5MwXFrPAC7sltV73&#10;e93t84teK7IVPkhrajo6KSkRhttGmnVNv3y+ejWlJERmGqasETXdi0AvFi9fnO/cXFS2s6oRngDE&#10;hPnO1bSL0c2LIvBOaBZOrBMGh631mkUs/bpoPNsBXauiKsuzYmd947zlIgTsLodDekT0zwG0bSu5&#10;WFq+0cLEAdULxSIohU66QBc527YVPH5s2yAiUTUF05jfCAJ7ld7F4pzN1565TvJjCuw5KTzhpJk0&#10;CHoHtWSRkY2Xf0Fpyb0Nto0n3OpiIJIVAYtR+USb6445kblA6uDuRA//D5Z/2H7yRDY1rVB3wzQq&#10;fvj54/Dr9+HmOxlPJkmhnQtzOF47uMb+je3RN7f7AZuJeN96nb6gRHBeVaenk2pMyb6m49HZ69F0&#10;PGgt+kg4HKaz2WSGcw6HalyVsBGpuAdyPsR3wmqSjJp6lDIrzLbvQxxcb11S3GCVbK6kUnnh16tL&#10;5cmWoexX+TmiP3JThuxqOhunPDlDL7foIZjaQY9g1jneoxvhIXCZn38Bp8SWLHRDAhlhYK9lFD73&#10;XCdY89Y0JO4dJDcYNZqS0aKhRAlMZrKyZ2RSPccT2ikDCVO1hqokK/arHjDJXNlmjwpi9qFnZ/03&#10;RETng+rXDfOIzwzHdk2hwWBexmFUNs7LdYdbuew5Avoxl+s4O6nhH65zHvf/i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eTKS9YAAAAGAQAADwAAAAAAAAABACAAAAAiAAAAZHJzL2Rvd25yZXYu&#10;eG1sUEsBAhQAFAAAAAgAh07iQN84rjg2AgAAdwQAAA4AAAAAAAAAAQAgAAAAJQEAAGRycy9lMm9E&#10;b2MueG1sUEsFBgAAAAAGAAYAWQEAAM0FAAAAAA==&#10;">
                        <v:fill on="t" focussize="0,0"/>
                        <v:stroke color="#000000" joinstyle="miter"/>
                        <v:imagedata o:title=""/>
                        <o:lock v:ext="edit" aspectratio="f"/>
                        <v:textbox>
                          <w:txbxContent>
                            <w:p w14:paraId="2829543B">
                              <w:pPr>
                                <w:jc w:val="center"/>
                                <w:rPr>
                                  <w:rFonts w:hint="default" w:eastAsia="宋体"/>
                                  <w:lang w:val="en-US" w:eastAsia="zh-CN"/>
                                </w:rPr>
                              </w:pPr>
                              <w:r>
                                <w:rPr>
                                  <w:rFonts w:hint="eastAsia"/>
                                  <w:lang w:val="en-US" w:eastAsia="zh-CN"/>
                                </w:rPr>
                                <w:t>二次抛光</w:t>
                              </w:r>
                            </w:p>
                          </w:txbxContent>
                        </v:textbox>
                      </v:shape>
                      <v:shape id="文本框 577" o:spid="_x0000_s1026" o:spt="202" type="#_x0000_t202" style="position:absolute;left:2259965;top:562800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PpwTtk2AgAAdwQAAA4AAABkcnMvZTJvRG9jLnhtbK1US47U&#10;MBDdI3EHy3smmUjpmbQmPRLTDBsESAMHcDtOx5J/2O7uNAeAG7Biw55zzTl4dnq+sOgFWSRlu/yq&#10;3quqXFyOWpGt8EFa09LTk5ISYbjtpFm39POn61fnlITITMeUNaKlexHo5eLli4udm4vKDlZ1whOA&#10;mDDfuZYOMbp5UQQ+CM3CiXXC4LC3XrOIpV8XnWc7oGtVVGU5K3bWd85bLkLA7nI6pAdEfwyg7XvJ&#10;xdLyjRYmTqheKBZBKQzSBbrI2fa94PFD3wcRiWopmMb8RhDYq/QuFhdsvvbMDZIfUmDHpPCMk2bS&#10;IOg91JJFRjZe/gWlJfc22D6ecKuLiUhWBCxOy2fa3AzMicwFUgd3L3r4f7D8/fajJ7JradVQYphG&#10;xW9/fL/9+fv21zdSn50lhXYuzOF44+Aax9d2RN/c7QdsJuJj73X6ghLBeVXVTTOrKdm3tJ5V52VZ&#10;T1qLMRIOh/OmOWtwzuFQ1VUJG5GKByDnQ3wrrCbJaKlHKbPCbPsuxMn1ziXFDVbJ7loqlRd+vbpS&#10;nmwZyn6dnwP6EzdlyK6lTV2lPBh6uUcPwdQOegSzzvGe3AiPgcv8/As4JbZkYZgSyAgTey2j8Lnn&#10;BsG6N6Yjce8gucGo0ZSMFh0lSmAyk5U9I5PqGE9opwwkTNWaqpKsOK5GwCRzZbs9KojZh56D9V8R&#10;EZ0Pql82zCM+MxzbLYUGk3kVp1HZOC/XA27lsucI6MdcrsPspIZ/vM55PPwv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eTKS9YAAAAGAQAADwAAAAAAAAABACAAAAAiAAAAZHJzL2Rvd25yZXYu&#10;eG1sUEsBAhQAFAAAAAgAh07iQPpwTtk2AgAAdwQAAA4AAAAAAAAAAQAgAAAAJQEAAGRycy9lMm9E&#10;b2MueG1sUEsFBgAAAAAGAAYAWQEAAM0FAAAAAA==&#10;">
                        <v:fill on="t" focussize="0,0"/>
                        <v:stroke color="#000000" joinstyle="miter"/>
                        <v:imagedata o:title=""/>
                        <o:lock v:ext="edit" aspectratio="f"/>
                        <v:textbox>
                          <w:txbxContent>
                            <w:p w14:paraId="71285288">
                              <w:pPr>
                                <w:jc w:val="center"/>
                                <w:rPr>
                                  <w:rFonts w:hint="default" w:eastAsia="宋体"/>
                                  <w:lang w:val="en-US" w:eastAsia="zh-CN"/>
                                </w:rPr>
                              </w:pPr>
                              <w:r>
                                <w:rPr>
                                  <w:rFonts w:hint="eastAsia"/>
                                  <w:lang w:val="en-US" w:eastAsia="zh-CN"/>
                                </w:rPr>
                                <w:t>三次色选</w:t>
                              </w:r>
                            </w:p>
                          </w:txbxContent>
                        </v:textbox>
                      </v:shape>
                      <v:line id="直线 580" o:spid="_x0000_s1026" o:spt="20" style="position:absolute;left:2694305;top:542226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D7aDe39QEAAOEDAAAOAAAAZHJzL2Uyb0RvYy54bWytU0tu&#10;2zAQ3RfoHQjua9lKZMSC5SzippuiNdD2AGOKkgjwBw5j2WfpNbrqpsfJNTqk3LhNUSCLakENycc3&#10;8x6H69uj0ewgAypnG76YzTmTVrhW2b7hXz7fv7nhDCPYFrSzsuEnifx28/rVevS1LN3gdCsDIxKL&#10;9egbPsTo66JAMUgDOHNeWtrsXDAQaRr6og0wErvRRTmfL4vRhdYHJyQirW6nTX5mDC8hdF2nhNw6&#10;8WCkjRNrkBoiScJBeeSbXG3XSRE/dh3KyHTDSWnMIyWheJ/GYrOGug/gByXOJcBLSnimyYCylPSJ&#10;agsR2ENQf1EZJYJD18WZcKaYhGRHSMVi/sybTwN4mbWQ1eifTMf/Rys+HHaBqbbhV2SJBUM3/vj1&#10;2+P3H6y6yfaMHmtC3dldILPSDP0uJK3HLpj0JxXs2PByubq+mlecnRpeXZdluawme+UxMkEASiBo&#10;r1xUq3mmLi4cPmB8J51hKWi4VjYJhxoO7zFSXoL+gqRlbdnY8FVVUjoB1IUd3T6FxpMStH0+i06r&#10;9l5pnU5g6Pd3OrADpE7IX6qOeP+ApSRbwGHC5a1JxCChfWtbFk+eLLL0NHgqwciWMy3pJaUod1ME&#10;pS/IGBTYXv8DTem1pSoutqZo79pTdjuv083nOs9dmlrr93k+fXmZ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73cj1wAAAAYBAAAPAAAAAAAAAAEAIAAAACIAAABkcnMvZG93bnJldi54bWxQSwEC&#10;FAAUAAAACACHTuJA+2g3t/UBAADhAwAADgAAAAAAAAABACAAAAAmAQAAZHJzL2Uyb0RvYy54bWxQ&#10;SwUGAAAAAAYABgBZAQAAjQUAAAAA&#10;">
                        <v:fill on="f" focussize="0,0"/>
                        <v:stroke color="#000000" joinstyle="round" endarrow="block"/>
                        <v:imagedata o:title=""/>
                        <o:lock v:ext="edit" aspectratio="f"/>
                      </v:line>
                      <v:line id="直线 580" o:spid="_x0000_s1026" o:spt="20" style="position:absolute;left:2709545;top:587946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X/atZ9wEAAOEDAAAOAAAAZHJzL2Uyb0RvYy54bWytU0tu&#10;2zAQ3RfoHQjua8lulNiC5SzippuiDZD2AGOKkgjwBw5j2WfpNbrqpsfJNTqk3LhNUSCLakENycc3&#10;8x6H6+uD0WwvAypnGz6flZxJK1yrbN/wL59v3yw5wwi2Be2sbPhRIr/evH61Hn0tF25wupWBEYnF&#10;evQNH2L0dVGgGKQBnDkvLW12LhiINA190QYYid3oYlGWl8XoQuuDExKRVrfTJj8xhpcQuq5TQm6d&#10;eDDSxok1SA2RJOGgPPJNrrbrpIifug5lZLrhpDTmkZJQvEtjsVlD3QfwgxKnEuAlJTzTZEBZSvpE&#10;tYUI7CGov6iMEsGh6+JMOFNMQrIjpGJePvPmfgAvsxayGv2T6fj/aMXH/V1gqm342zlnFgzd+OPX&#10;b4/ff7Bqme0ZPdaEurF3gcxKM/R3IWk9dMGkP6lgh4YvrspVdVFxdmx4tbxaXVxWk73yEJkgAHku&#10;aG8xr1Zlpi7OHD5gfC+dYSlouFY2CYca9h8wUl6C/oKkZW3Z2PBVtaB0AqgLO7p9Co0nJWj7fBad&#10;Vu2t0jqdwNDvbnRge0idkL9UHfH+AUtJtoDDhMtbk4hBQvvOtiwePVlk6WnwVIKRLWda0ktKUe6m&#10;CEqfkTEosL3+B5rSa0tVnG1N0c61x+x2Xqebz3WeujS11u/zfPr8M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vdyPXAAAABgEAAA8AAAAAAAAAAQAgAAAAIgAAAGRycy9kb3ducmV2LnhtbFBL&#10;AQIUABQAAAAIAIdO4kBX/atZ9wEAAOEDAAAOAAAAAAAAAAEAIAAAACYBAABkcnMvZTJvRG9jLnht&#10;bFBLBQYAAAAABgAGAFkBAACPBQAAAAA=&#10;">
                        <v:fill on="f" focussize="0,0"/>
                        <v:stroke color="#000000" joinstyle="round" endarrow="block"/>
                        <v:imagedata o:title=""/>
                        <o:lock v:ext="edit" aspectratio="f"/>
                      </v:line>
                      <v:shape id="文本框 577" o:spid="_x0000_s1026" o:spt="202" type="#_x0000_t202" style="position:absolute;left:2282825;top:750252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H8r3TEyAgAAdwQAAA4AAABkcnMvZTJvRG9jLnhtbK1Uy67T&#10;MBDdI/EPlvc0uUWlt1XTK3FL2SBAuvABruM0lvzCdpuUD4A/YMWGPd/V7+DY6X3CogsSKRl7Jmfm&#10;nBlncdVrRfbCB2lNRS9GJSXCcFtLs63o50/rF5eUhMhMzZQ1oqIHEejV8vmzRefmYmxbq2rhCUBM&#10;mHeuom2Mbl4UgbdCszCyThg4G+s1i1j6bVF71gFdq2Jclq+KzvraectFCNhdDU56QvTnANqmkVys&#10;LN9pYeKA6oViEZRCK12gy1xt0wgePzRNEJGoioJpzE8kgb1Jz2K5YPOtZ66V/FQCO6eEJ5w0kwZJ&#10;76BWLDKy8/IvKC25t8E2ccStLgYiWRGwuCifaHPTMicyF0gd3J3o4f/B8vf7j57IuqIvx5QYptHx&#10;44/vx5+/j7++kcl0mhTqXJgj8MYhNPavbY+5ud0P2EzE+8br9AYlAv94fIl7QsmhotNJOZ7AzlqL&#10;PhKOgMvZbDqDnyMA3hI2/MU9kPMhvhVWk2RU1KOVWWG2fxfiEHobkvIGq2S9lkrlhd9urpUne4a2&#10;r/N1Qn8UpgzpKjpLtRHOMMsNZgimdtAjmG3O9+iL8BC4zNe/gFNhKxbaoYCMMLDXMgqfdWgFq9+Y&#10;msSDg+QGR42mYrSoKVECJzNZOTIyqc6JhHbKQMLUraEryYr9pgdMMje2PqCDOPvQs7X+KzJi8kH1&#10;y4555GeGY7ui0GAwr+NwVHbOy22Lr3LbcwbMY27X6eykgX+4znXc/y+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5MpL1gAAAAYBAAAPAAAAAAAAAAEAIAAAACIAAABkcnMvZG93bnJldi54bWxQ&#10;SwECFAAUAAAACACHTuJAfyvdMTICAAB3BAAADgAAAAAAAAABACAAAAAlAQAAZHJzL2Uyb0RvYy54&#10;bWxQSwUGAAAAAAYABgBZAQAAyQUAAAAA&#10;">
                        <v:fill on="t" focussize="0,0"/>
                        <v:stroke color="#000000" joinstyle="miter"/>
                        <v:imagedata o:title=""/>
                        <o:lock v:ext="edit" aspectratio="f"/>
                        <v:textbox>
                          <w:txbxContent>
                            <w:p w14:paraId="4E91DB2B">
                              <w:pPr>
                                <w:jc w:val="center"/>
                                <w:rPr>
                                  <w:rFonts w:hint="default" w:eastAsia="宋体"/>
                                  <w:lang w:val="en-US" w:eastAsia="zh-CN"/>
                                </w:rPr>
                              </w:pPr>
                              <w:r>
                                <w:rPr>
                                  <w:rFonts w:hint="eastAsia"/>
                                  <w:lang w:val="en-US" w:eastAsia="zh-CN"/>
                                </w:rPr>
                                <w:t>成品入库</w:t>
                              </w:r>
                            </w:p>
                          </w:txbxContent>
                        </v:textbox>
                      </v:shape>
                      <v:shape id="文本框 577" o:spid="_x0000_s1026" o:spt="202" type="#_x0000_t202" style="position:absolute;left:2191385;top:6092825;height:252095;width:108267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Af75j45AgAAeAQAAA4AAABkcnMvZTJvRG9jLnhtbK1US5LT&#10;MBDdU8UdVNoTO55KJkmNM1VMGDYUUDVwAEWWY1Xph6QkDgeAG7Biw55z5Rw8yZkvLGaBF3ZLar3u&#10;97rbF5e9VmQnfJDW1HQ8KikRhttGmk1NP3+6fjWjJERmGqasETU9iEAvly9fXOzdQlS2s6oRngDE&#10;hMXe1bSL0S2KIvBOaBZG1gmDw9Z6zSKWflM0nu2BrlVRleW02FvfOG+5CAG7q+GQnhD9cwBt20ou&#10;VpZvtTBxQPVCsQhKoZMu0GXOtm0Fjx/aNohIVE3BNOY3gsBep3exvGCLjWeuk/yUAntOCk84aSYN&#10;gt5BrVhkZOvlX1Bacm+DbeOIW10MRLIiYDEun2hz0zEnMhdIHdyd6OH/wfL3u4+eyKamZ2eUGKZR&#10;8eOP78efv4+/vpHJ+XlSaO/CAo43Dq6xf2179M3tfsBmIt63XqcvKBGcV+P5+Gw2oeRQ02k5r2bV&#10;ZNBa9JHwBFDOquk5HDg8qklVzrNDcY/kfIhvhdUkGTX1qGWWmO3ehYis4HrrkgIHq2RzLZXKC79Z&#10;XylPdgx1v85PCo8rj9yUIfuazidIjnCGZm7RRDC1gyDBbHK8RzfCQ+AyP/8CTomtWOiGBDLCQF/L&#10;KHxuuk6w5o1pSDw4aG4wazQlo0VDiRIYzWRlz8ikeo4n2CkDkqlcQ1mSFft1D5hkrm1zQAkx/NCz&#10;s/4rIqL1QfXLlnnEZ4Zju6bQYDCv4jArW+flpsOtXPccAQ2ZBT0NT+r4h+ucx/0PY/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eTKS9YAAAAGAQAADwAAAAAAAAABACAAAAAiAAAAZHJzL2Rvd25y&#10;ZXYueG1sUEsBAhQAFAAAAAgAh07iQAf75j45AgAAeAQAAA4AAAAAAAAAAQAgAAAAJQEAAGRycy9l&#10;Mm9Eb2MueG1sUEsFBgAAAAAGAAYAWQEAANAFAAAAAA==&#10;">
                        <v:fill on="t" focussize="0,0"/>
                        <v:stroke color="#000000" joinstyle="miter"/>
                        <v:imagedata o:title=""/>
                        <o:lock v:ext="edit" aspectratio="f"/>
                        <v:textbox>
                          <w:txbxContent>
                            <w:p w14:paraId="7CFCE5F4">
                              <w:pPr>
                                <w:jc w:val="center"/>
                                <w:rPr>
                                  <w:rFonts w:hint="default" w:eastAsia="宋体"/>
                                  <w:lang w:val="en-US" w:eastAsia="zh-CN"/>
                                </w:rPr>
                              </w:pPr>
                              <w:r>
                                <w:rPr>
                                  <w:rFonts w:hint="eastAsia"/>
                                  <w:lang w:val="en-US" w:eastAsia="zh-CN"/>
                                </w:rPr>
                                <w:t>二次白米分级</w:t>
                              </w:r>
                            </w:p>
                          </w:txbxContent>
                        </v:textbox>
                      </v:shape>
                      <v:line id="直线 580" o:spid="_x0000_s1026" o:spt="20" style="position:absolute;left:2724785;top:635190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DixTAl9wEAAOEDAAAOAAAAZHJzL2Uyb0RvYy54bWytU0tu&#10;2zAQ3RfoHQjua8lqlNiC5SzippuiNZD2ADRJSQT4A4ex7LP0Gl110+PkGh1SbtwkKJBFtaCG5OOb&#10;eY/D1fXBaLKXAZSzLZ3PSkqk5U4o27f029fbdwtKIDIrmHZWtvQogV6v375Zjb6RlRucFjIQJLHQ&#10;jL6lQ4y+KQrggzQMZs5Li5udC4ZFnIa+EIGNyG50UZXlZTG6IHxwXALg6mbapCfG8BpC13WKy43j&#10;90baOLEGqVlESTAoD3Sdq+06yeOXrgMZiW4pKo15xCQY79JYrFes6QPzg+KnEthrSnimyTBlMekj&#10;1YZFRu6DekFlFA8OXBdn3JliEpIdQRXz8pk3dwPzMmtBq8E/mg7/j5Z/3m8DUaKliwtKLDN44w/f&#10;fzz8/EXqRbZn9NAg6sZuA5qVZuC3IWk9dMGkP6ogh5ZWV9XF1aKm5NjSy/f1fFnWk73yEAlHAHrO&#10;ca+a18syUxdnDh8gfpTOkBS0VCubhLOG7T9BxLwI/QNJy9qSsaXLusJ0nGEXdnj7GBqPSsD2+Sw4&#10;rcSt0jqdgNDvbnQge5Y6IX+pOuR9AktJNgyGCZe3JhGDZOKDFSQePVpk8WnQVIKRghIt8SWlKHdT&#10;ZEqfkTEoZnv9DzSm1xarONuaop0Tx+x2Xsebz3WeujS11t/zfPr8Mt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vdyPXAAAABgEAAA8AAAAAAAAAAQAgAAAAIgAAAGRycy9kb3ducmV2LnhtbFBL&#10;AQIUABQAAAAIAIdO4kDixTAl9wEAAOEDAAAOAAAAAAAAAAEAIAAAACYBAABkcnMvZTJvRG9jLnht&#10;bFBLBQYAAAAABgAGAFkBAACPBQAAAAA=&#10;">
                        <v:fill on="f" focussize="0,0"/>
                        <v:stroke color="#000000" joinstyle="round" endarrow="block"/>
                        <v:imagedata o:title=""/>
                        <o:lock v:ext="edit" aspectratio="f"/>
                      </v:line>
                      <v:shape id="文本框 577" o:spid="_x0000_s1026" o:spt="202" type="#_x0000_t202" style="position:absolute;left:2290445;top:656526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M2+3oY2AgAAdwQAAA4AAABkcnMvZTJvRG9jLnhtbK1US5LT&#10;MBDdU8UdVNoz9rjGmUkqzlQxIWwooGrgAIosx6rSD0lJHA4AN2DFhj3nmnPwJGe+sJgFXtgtqfW6&#10;3+tuzy8HrchO+CCtaejpSUmJMNy20mwa+vnT6tUFJSEy0zJljWjoQQR6uXj5Yr53M1HZ3qpWeAIQ&#10;E2Z719A+RjcrisB7oVk4sU4YHHbWaxax9Jui9WwPdK2Kqiwnxd761nnLRQjYXY6H9IjonwNou05y&#10;sbR8q4WJI6oXikVQCr10gS5ytl0nePzQdUFEohoKpjG/EQT2Or2LxZzNNp65XvJjCuw5KTzhpJk0&#10;CHoHtWSRka2Xf0Fpyb0Ntosn3OpiJJIVAYvT8ok21z1zInOB1MHdiR7+Hyx/v/voiWwbelFTYphG&#10;xW9+fL/5+fvm1zdSn58nhfYuzOB47eAah9d2QN/c7gdsJuJD53X6ghLBeVVNy7MzQB4aOqkndTWp&#10;R63FEAmHw8V0ej7FOYdDVVclbEQq7oGcD/GtsJoko6EepcwKs927EEfXW5cUN1gl25VUKi/8Zn2l&#10;PNkxlH2VnyP6IzdlyL6h07pKeTD0cocegqkd9Ahmk+M9uhEeApf5+RdwSmzJQj8mkBFG9lpG4XPP&#10;9YK1b0xL4sFBcoNRoykZLVpKlMBkJit7RibVczyhnTKQMFVrrEqy4rAeAJPMtW0PqCBmH3r21n9F&#10;RHQ+qH7ZMo/4zHBsNxQajOZVHEdl67zc9LiVy54joB9zuY6zkxr+4Trncf+/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eTKS9YAAAAGAQAADwAAAAAAAAABACAAAAAiAAAAZHJzL2Rvd25yZXYu&#10;eG1sUEsBAhQAFAAAAAgAh07iQM2+3oY2AgAAdwQAAA4AAAAAAAAAAQAgAAAAJQEAAGRycy9lMm9E&#10;b2MueG1sUEsFBgAAAAAGAAYAWQEAAM0FAAAAAA==&#10;">
                        <v:fill on="t" focussize="0,0"/>
                        <v:stroke color="#000000" joinstyle="miter"/>
                        <v:imagedata o:title=""/>
                        <o:lock v:ext="edit" aspectratio="f"/>
                        <v:textbox>
                          <w:txbxContent>
                            <w:p w14:paraId="0FB29707">
                              <w:pPr>
                                <w:jc w:val="center"/>
                                <w:rPr>
                                  <w:rFonts w:hint="default" w:eastAsia="宋体"/>
                                  <w:lang w:val="en-US" w:eastAsia="zh-CN"/>
                                </w:rPr>
                              </w:pPr>
                              <w:r>
                                <w:rPr>
                                  <w:rFonts w:hint="eastAsia"/>
                                  <w:lang w:val="en-US" w:eastAsia="zh-CN"/>
                                </w:rPr>
                                <w:t>精选</w:t>
                              </w:r>
                            </w:p>
                          </w:txbxContent>
                        </v:textbox>
                      </v:shape>
                      <v:line id="直线 580" o:spid="_x0000_s1026" o:spt="20" style="position:absolute;left:2724785;top:682434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A750jj9wEAAOEDAAAOAAAAZHJzL2Uyb0RvYy54bWytU0tu&#10;2zAQ3RfoHQjua9mq7TiC5SzippuiNZD2AGOKkgjwBw5j2WfpNbrqpsfJNTqk3LhNUSCLakENycc3&#10;8x6H65uj0ewgAypnaz6bTDmTVrhG2a7mXz7fvVlxhhFsA9pZWfOTRH6zef1qPfhKlq53upGBEYnF&#10;avA172P0VVGg6KUBnDgvLW22LhiINA1d0QQYiN3oopxOl8XgQuODExKRVrfjJj8zhpcQurZVQm6d&#10;eDDSxpE1SA2RJGGvPPJNrrZtpYif2hZlZLrmpDTmkZJQvE9jsVlD1QXwvRLnEuAlJTzTZEBZSvpE&#10;tYUI7CGov6iMEsGha+NEOFOMQrIjpGI2febNfQ9eZi1kNfon0/H/0YqPh11gqqn5asmZBUM3/vj1&#10;2+P3H2yxyvYMHitC3dpdILPSDP0uJK3HNpj0JxXsWPPyqpxfrRacnWq+XJXzt/PFaK88RiYIQJ4L&#10;2itni+tppi4uHD5gfC+dYSmouVY2CYcKDh8wUl6C/oKkZW3ZUPPrRUnpBFAXtnT7FBpPStB2+Sw6&#10;rZo7pXU6gaHb3+rADpA6IX+pOuL9A5aSbAH7EZe3RhG9hOadbVg8ebLI0tPgqQQjG860pJeUotxN&#10;EZS+IGNQYDv9DzSl15aquNiaor1rTtntvE43n+s8d2lqrd/n+fTlZ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vdyPXAAAABgEAAA8AAAAAAAAAAQAgAAAAIgAAAGRycy9kb3ducmV2LnhtbFBL&#10;AQIUABQAAAAIAIdO4kA750jj9wEAAOEDAAAOAAAAAAAAAAEAIAAAACYBAABkcnMvZTJvRG9jLnht&#10;bFBLBQYAAAAABgAGAFkBAACPBQAAAAA=&#10;">
                        <v:fill on="f" focussize="0,0"/>
                        <v:stroke color="#000000" joinstyle="round" endarrow="block"/>
                        <v:imagedata o:title=""/>
                        <o:lock v:ext="edit" aspectratio="f"/>
                      </v:line>
                      <v:shape id="文本框 577" o:spid="_x0000_s1026" o:spt="202" type="#_x0000_t202" style="position:absolute;left:2046605;top:7037705;height:252095;width:1363980;"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HwH1pI5AgAAeAQAAA4AAABkcnMvZTJvRG9jLnhtbK1US5LT&#10;MBDdU8UdVNoz9mTIZ1LjTBUThg0FVA0cQJFlW1X6ISmJwwHgBqzYzJ5z5Rw8yZkvLLLAC7sltV73&#10;e93ti8teK7IRPkhrKnp6UlIiDLe1NG1Fv3y+fjWjJERmaqasERXdiUAvFy9fXGzdXIxsZ1UtPAGI&#10;CfOtq2gXo5sXReCd0CycWCcMDhvrNYtY+raoPdsCXatiVJaTYmt97bzlIgTsLodDekD0xwDappFc&#10;LC1fa2HigOqFYhGUQiddoIucbdMIHj82TRCRqIqCacxvBIG9Su9iccHmrWeuk/yQAjsmhWecNJMG&#10;Qe+hliwysvbyLygtubfBNvGEW10MRLIiYHFaPtPmpmNOZC6QOrh70cP/g+UfNp88kXVFZ1NKDNOo&#10;+P7nj/2v3/vb72Q8nSaFti7M4Xjj4Br7N7ZH39ztB2wm4n3jdfqCEsH5qHw9mZRjSnYVnZZn0yns&#10;rLXoI+EJ4Gxydj5DGTg8RuNReZ4digck50N8J6wmyaioRy2zxGzzPkRgwfXOJQUOVsn6WiqVF75d&#10;XSlPNgx1v85PCo8rT9yUIduKno9HSJQzNHODJoKpHQQJps3xntwIj4HL/PwLOCW2ZKEbEsgIA30t&#10;o/BZiE6w+q2pSdw5aG4wazQlo0VNiRIYzWRlz8ikOsYT7JQByVSuoSzJiv2qB0wyV7beoYQYfujZ&#10;Wf8NEdH6oPp1zTziM8OxXVFoMJhXcZiVtfOy7XAr1z1HQENmQQ/Dkzr+8Trn8fDD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eTKS9YAAAAGAQAADwAAAAAAAAABACAAAAAiAAAAZHJzL2Rvd25y&#10;ZXYueG1sUEsBAhQAFAAAAAgAh07iQHwH1pI5AgAAeAQAAA4AAAAAAAAAAQAgAAAAJQEAAGRycy9l&#10;Mm9Eb2MueG1sUEsFBgAAAAAGAAYAWQEAANAFAAAAAA==&#10;">
                        <v:fill on="t" focussize="0,0"/>
                        <v:stroke color="#000000" joinstyle="miter"/>
                        <v:imagedata o:title=""/>
                        <o:lock v:ext="edit" aspectratio="f"/>
                        <v:textbox>
                          <w:txbxContent>
                            <w:p w14:paraId="45EAFCA9">
                              <w:pPr>
                                <w:jc w:val="center"/>
                                <w:rPr>
                                  <w:rFonts w:hint="default" w:eastAsia="宋体"/>
                                  <w:lang w:val="en-US" w:eastAsia="zh-CN"/>
                                </w:rPr>
                              </w:pPr>
                              <w:r>
                                <w:rPr>
                                  <w:rFonts w:hint="eastAsia"/>
                                  <w:lang w:val="en-US" w:eastAsia="zh-CN"/>
                                </w:rPr>
                                <w:t>四次色选、计量包装</w:t>
                              </w:r>
                            </w:p>
                          </w:txbxContent>
                        </v:textbox>
                      </v:shape>
                      <v:line id="直线 580" o:spid="_x0000_s1026" o:spt="20" style="position:absolute;left:2724785;top:728916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BaNvvS9gEAAOEDAAAOAAAAZHJzL2Uyb0RvYy54bWytU0tu&#10;2zAQ3RfoHQjua9lCHduC5SzippuiNdD0AGOKkgjwBw5j2WfpNbrqpsfJNTqk3LhNECCLakENOcM3&#10;894M19dHo9lBBlTO1nw2mXImrXCNsl3Nv93dvltyhhFsA9pZWfOTRH69eftmPfhKlq53upGBEYjF&#10;avA172P0VVGg6KUBnDgvLTlbFwxE2oauaAIMhG50UU6nV8XgQuODExKRTrejk58Rw2sAXdsqIbdO&#10;3Btp44gapIZIlLBXHvkmV9u2UsQvbYsyMl1zYhrzSknI3qe12Kyh6gL4XolzCfCaEp5wMqAsJX2E&#10;2kIEdh/UMyijRHDo2jgRzhQjkawIsZhNn2jztQcvMxeSGv2j6Pj/YMXnwy4w1dR8SX23YKjjD99/&#10;PPz8xebLLM/gsaKoG7sLJFbaod+FxPXYBpP+xIIda14uyveL5ZyzU80X5XI1u5qP8spjZIICSHNB&#10;vnI2X00zdHHB8AHjR+kMS0bNtbKJOFRw+ISR8lLon5B0rC0bar6al5ROAE1hS90n03higrbLd9Fp&#10;1dwqrdMNDN3+Rgd2gDQJ+UvVEe4/YSnJFrAf47JrJNFLaD7YhsWTJ4ksPQ2eSjCy4UxLeknJytMU&#10;QelLZAwKbKdfiKb02lIVF1mTtXfNKaudz6nzuc7zlKbR+nufb19e5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e93I9cAAAAGAQAADwAAAAAAAAABACAAAAAiAAAAZHJzL2Rvd25yZXYueG1sUEsB&#10;AhQAFAAAAAgAh07iQFo2+9L2AQAA4QMAAA4AAAAAAAAAAQAgAAAAJgEAAGRycy9lMm9Eb2MueG1s&#10;UEsFBgAAAAAGAAYAWQEAAI4FAAAAAA==&#10;">
                        <v:fill on="f" focussize="0,0"/>
                        <v:stroke color="#000000" joinstyle="round" endarrow="block"/>
                        <v:imagedata o:title=""/>
                        <o:lock v:ext="edit" aspectratio="f"/>
                      </v:line>
                      <v:line id="直线 580" o:spid="_x0000_s1026" o:spt="20" style="position:absolute;left:1520825;top:5292725;flip:y;height:0;width:720090;" filled="f" stroked="t" coordsize="21600,21600" o:gfxdata="UEsDBAoAAAAAAIdO4kAAAAAAAAAAAAAAAAAEAAAAZHJzL1BLAwQUAAAACACHTuJAgzCbttcAAAAG&#10;AQAADwAAAGRycy9kb3ducmV2LnhtbE2PwU7DMBBE70j8g7VI3KidllYlxOkBgcQJQYuQuLnxkoTG&#10;6xBvm8LXs3CBy0irGc28LVbH0KkDDqmNZCGbGFBIVfQt1RaeN3cXS1CJHXnXRUILn5hgVZ6eFC73&#10;caQnPKy5VlJCKXcWGuY+1zpVDQaXJrFHEu8tDsGxnEOt/eBGKQ+dnhqz0MG1JAuN6/GmwWq33gcL&#10;V5txHh+H3ctl1n68ft2+c3//wNaen2XmGhTjkf/C8IMv6FAK0zbuySfVWZBH+FfFW87NAtRWQtPZ&#10;zIAuC/0fv/wGUEsDBBQAAAAIAIdO4kB5nDQI+gEAAOsDAAAOAAAAZHJzL2Uyb0RvYy54bWytU0tu&#10;2zAQ3RfoHQjuazkC3NiC5SzippuiNdDPfkxSEgH+wGEs+yy9Rlfd9Di5RoeUG7cpCmRRLYgZ8vHN&#10;vKfh+uZoDTuoiNq7ll/N5pwpJ7zUrm/55093r5acYQInwXinWn5SyG82L1+sx9Co2g/eSBUZkThs&#10;xtDyIaXQVBWKQVnAmQ/K0WHno4VEaewrGWEkdmuqej5/XY0+yhC9UIi0u50O+ZkxPofQd50WauvF&#10;vVUuTaxRGUgkCQcdkG9Kt12nRPrQdagSMy0npamsVITifV6rzRqaPkIYtDi3AM9p4YkmC9pR0Ueq&#10;LSRg91H/RWW1iB59l2bC22oSUhwhFVfzJ958HCCoooWsxvBoOv4/WvH+sItMy5YvV5w5sPTHH75+&#10;e/j+gy2WxZ4xYEOoW7eLZFbOMOxi1nrsomWd0eELzVFRT3rYkZJFPV/WC85OLV/Uq/qa4mK0OiYm&#10;CHBNg7CiXyAIUIpUE1tmDRHTW+Uty0HLjXbZAmjg8A4TsRD0FyRvG8fGlq8WuZwAmseO5oBCG0gT&#10;ur7cRW+0vNPG5BsY+/2tiewAeSbKl7sj3j9gucgWcJhw5WgSMSiQb5xk6RTILEePhOcWrJKcGUVv&#10;KkdFbgJtLsgUNbje/ANN5Y2jLi4G52jv5an4XvZpBkqf53nNQ/Z7Xm5f3uj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Mwm7bXAAAABgEAAA8AAAAAAAAAAQAgAAAAIgAAAGRycy9kb3ducmV2Lnht&#10;bFBLAQIUABQAAAAIAIdO4kB5nDQI+gEAAOsDAAAOAAAAAAAAAAEAIAAAACYBAABkcnMvZTJvRG9j&#10;LnhtbFBLBQYAAAAABgAGAFkBAACSBQAAAAA=&#10;">
                        <v:fill on="f" focussize="0,0"/>
                        <v:stroke color="#000000" joinstyle="round" endarrow="block"/>
                        <v:imagedata o:title=""/>
                        <o:lock v:ext="edit" aspectratio="f"/>
                      </v:line>
                      <v:shape id="文本框 575" o:spid="_x0000_s1026" o:spt="202" type="#_x0000_t202" style="position:absolute;left:1584960;top:5064125;height:320675;width:53022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EZzzYhwCAAAlBAAADgAAAGRycy9lMm9Eb2MueG1srVPLjtMw&#10;FN0j8Q+W9zRpZ1JmoqYjQRk2CJAGPsB1nMaSX9hum/IB8Aes2Mye7+p3cOx0Hho2s2DjXF/fnHvP&#10;8fHiatCK7IQP0pqGTiclJcJw20qzaejXL9evLigJkZmWKWtEQw8i0KvlyxeLvavFzPZWtcITgJhQ&#10;711D+xhdXRSB90KzMLFOGBx21msWsfWbovVsD3StillZzou99a3zlosQkF2Nh/SE6J8DaLtOcrGy&#10;fKuFiSOqF4pFUAq9dIEu87RdJ3j81HVBRKIaCqYxr2iCeJ3WYrlg9cYz10t+GoE9Z4QnnDSTBk3v&#10;oVYsMrL18h8oLbm3wXZxwq0uRiJZEbCYlk+0uemZE5kLpA7uXvTw/2D5x91nT2Tb0EtIYpjGjR9/&#10;/Tz+/nO8/UGq11VSaO9CjcIbh9I4vLEDfHOXD0gm4kPndfqCEknn1cX55RyQh4ZW5fx8OstIrBZD&#10;JBwF1Vk5Q45wFJzNyvnYqXgAcj7E98JqkoKGelxlVpjtPoSIoVB6V5L6GnstlcrXqQzZg0+V4Rks&#10;2sEa6KQdaAazyTCP6hPMioWe7BhcEqyS7egLLaPwGbIXrH1nWhIPDgIZPAyaemjRUqIE3lGKcmVk&#10;Uj2nEuMrAxZJ21HDFMVhPQAmhWvbHqA3XirY99Z/R0f4FAN+2zKP/sxwpBsKamP4No7G3jovNz3+&#10;ypeUO8A9WbGT05M9H+/zHA+ve/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FofGdUAAAAGAQAA&#10;DwAAAAAAAAABACAAAAAiAAAAZHJzL2Rvd25yZXYueG1sUEsBAhQAFAAAAAgAh07iQBGc82IcAgAA&#10;JQQAAA4AAAAAAAAAAQAgAAAAJAEAAGRycy9lMm9Eb2MueG1sUEsFBgAAAAAGAAYAWQEAALIFAAAA&#10;AA==&#10;">
                        <v:fill on="f" focussize="0,0"/>
                        <v:stroke on="f" joinstyle="miter"/>
                        <v:imagedata o:title=""/>
                        <o:lock v:ext="edit" aspectratio="f"/>
                        <v:textbox>
                          <w:txbxContent>
                            <w:p w14:paraId="3B044100">
                              <w:pPr>
                                <w:jc w:val="center"/>
                                <w:rPr>
                                  <w:rFonts w:hint="default" w:eastAsia="宋体"/>
                                  <w:szCs w:val="21"/>
                                  <w:lang w:val="en-US" w:eastAsia="zh-CN"/>
                                </w:rPr>
                              </w:pPr>
                              <w:r>
                                <w:rPr>
                                  <w:rFonts w:hint="eastAsia"/>
                                  <w:szCs w:val="21"/>
                                  <w:lang w:val="en-US" w:eastAsia="zh-CN"/>
                                </w:rPr>
                                <w:t>加水</w:t>
                              </w:r>
                            </w:p>
                          </w:txbxContent>
                        </v:textbox>
                      </v:shape>
                      <v:line id="直线 592" o:spid="_x0000_s1026" o:spt="20" style="position:absolute;left:3121025;top:435546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BmV7F/wEAAOoDAAAOAAAAZHJzL2Uyb0RvYy54bWytU8tuEzEU&#10;3SPxD5b3ZJJJp2pGmXTRUDYIIlHY3/gxY8kv2W4m+RZ+gxUbPqe/wbUntFCE1AWzsK49x8fnHF+v&#10;r49Gk4MIUTnb0cVsTomwzHFl+45+vrt9c0VJTGA5aGdFR08i0uvN61fr0beidoPTXASCJDa2o+/o&#10;kJJvqyqyQRiIM+eFxZ/SBQMJp6GveIAR2Y2u6vn8shpd4D44JmLE1e30k54Zw0sInZSKia1j90bY&#10;NLEGoSGhpTgoH+mmqJVSsPRRyigS0R1Fp6mMeAjW+zxWmzW0fQA/KHaWAC+R8MyTAWXx0EeqLSQg&#10;90H9RWUUCy46mWbMmWoyUhJBF4v5s2w+DeBF8YJRR/8Yevx/tOzDYReI4h1dLSmxYPDGH75+e/j+&#10;gzSrOscz+tgi6sbuwnkW/S5kr0cZDJFa+S/YR8U9+iHHji4X9WJeN5ScOnqxbJqLy2YKWhwTYQio&#10;r67qFV4BQ0C5g2piy6w+xPROOENy0VGtbI4AWji8jwkVIPQXJC9rS0YU3+TjGGA/SuwDLI1HT9H2&#10;ZW90WvFbpXXeEUO/v9GBHCD3RPmyOuT9A5YP2UIcJhzHavIwCOBvLSfp5DEri2+EZgVGcEq0wCeV&#10;K+SDNoHST8gUFNhe/wONp2uLInLaU7652jt+KrGXdWyBIvPcrrnHfp+X3U9Pd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AGZXsX/AQAA6gMAAA4AAAAAAAAAAQAgAAAAIwEAAGRycy9lMm9E&#10;b2MueG1sUEsFBgAAAAAGAAYAWQEAAJQFAAAAAA==&#10;">
                        <v:fill on="f" focussize="0,0"/>
                        <v:stroke color="#000000" joinstyle="round" dashstyle="dash" endarrow="block"/>
                        <v:imagedata o:title=""/>
                        <o:lock v:ext="edit" aspectratio="f"/>
                      </v:line>
                      <v:line id="直线 592" o:spid="_x0000_s1026" o:spt="20" style="position:absolute;left:3174365;top:388302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BixdXR/wEAAOoDAAAOAAAAZHJzL2Uyb0RvYy54bWytU8tuEzEU&#10;3SPxD5b3ZJJJU5JRJl00lA2CSED3N37MWPJLtptJvoXfYMWGz+lvcO0JLS1C6oJZWNee4+Nzjq/X&#10;V0ejyUGEqJxt6WwypURY5riyXUu/frl5s6QkJrActLOipScR6dXm9av14BtRu95pLgJBEhubwbe0&#10;T8k3VRVZLwzEifPC4k/pgoGE09BVPMCA7EZX9XR6WQ0ucB8cEzHi6nb8Sc+M4SWETkrFxNaxOyNs&#10;GlmD0JDQUuyVj3RT1EopWPokZRSJ6Jai01RGPATrfR6rzRqaLoDvFTtLgJdIeObJgLJ46APVFhKQ&#10;u6D+ojKKBRedTBPmTDUaKYmgi9n0WTafe/CieMGoo38IPf4/WvbxsAtE8ZauLiixYPDG7799v//x&#10;kyxWdY5n8LFB1LXdhfMs+l3IXo8yGCK18rfYR8U9+iHHls5nby/mlwtKTlgvl/NpvRiDFsdEGALq&#10;5bJe4RUwBJQ7qEa2zOpDTO+FMyQXLdXK5giggcOHmFABQn9D8rK2ZEDxCzyCMMB+lNgHWBqPnqLt&#10;yt7otOI3Suu8I4Zuf60DOUDuifJldcj7BJYP2ULsRxzHavTQC+DvLCfp5DEri2+EZgVGcEq0wCeV&#10;K+SDJoHSj8gUFNhO/wONp2uLInLaY7652jt+KrGXdWyBIvPcrrnH/pyX3Y9PdP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GLF1dH/AQAA6gMAAA4AAAAAAAAAAQAgAAAAIwEAAGRycy9lMm9E&#10;b2MueG1sUEsFBgAAAAAGAAYAWQEAAJQFAAAAAA==&#10;">
                        <v:fill on="f" focussize="0,0"/>
                        <v:stroke color="#000000" joinstyle="round" dashstyle="dash" endarrow="block"/>
                        <v:imagedata o:title=""/>
                        <o:lock v:ext="edit" aspectratio="f"/>
                      </v:line>
                      <v:line id="直线 592" o:spid="_x0000_s1026" o:spt="20" style="position:absolute;left:3098165;top:340296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By2vnh/AEAAOoDAAAOAAAAZHJzL2Uyb0RvYy54bWytU0uOEzEQ&#10;3SNxB8t70p2GREkrnVlMGDYIIjGwr/jTbck/2Z50chauwYoNx5lrUHaHGRiENAu8sMr286t6z+XN&#10;1clochQhKmc7Op/VlAjLHFe27+jn25tXK0piAstBOys6ehaRXm1fvtiMvhWNG5zmIhAksbEdfUeH&#10;lHxbVZENwkCcOS8sHkoXDCRchr7iAUZkN7pq6npZjS5wHxwTMeLubjqkF8bwHEInpWJi59idETZN&#10;rEFoSCgpDspHui3VSilY+ihlFInojqLSVGZMgvEhz9V2A20fwA+KXUqA55TwRJMBZTHpA9UOEpC7&#10;oP6iMooFF51MM+ZMNQkpjqCKef3Em08DeFG0oNXRP5ge/x8t+3DcB6J4R9dLSiwYfPH7r9/uv/8g&#10;i3WT7Rl9bBF1bffhsop+H7LWkwyGSK38F+yjoh71kFNHX9fr1Xy5oOSM8Zu6WWNcjBanRBgCmtWq&#10;WeMTMASUN6gmtszqQ0zvhDMkBx3VymYLoIXj+5iQBaG/IHlbWzJi8YsG0zHAfpTYBxgaj5qi7cvd&#10;6LTiN0rrfCOG/nCtAzlC7okycnXI+wcsJ9lBHCYcx2jSMAjgby0n6ezRK4t/hOYKjOCUaIFfKkdF&#10;bQKlH5EpKLC9/gcas2uLRWS3J39zdHD8XGwv+9gCpcxLu+Ye+31dbj9+0e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PKR9QAAAAGAQAADwAAAAAAAAABACAAAAAiAAAAZHJzL2Rvd25yZXYueG1s&#10;UEsBAhQAFAAAAAgAh07iQHLa+eH8AQAA6gMAAA4AAAAAAAAAAQAgAAAAIwEAAGRycy9lMm9Eb2Mu&#10;eG1sUEsFBgAAAAAGAAYAWQEAAJEFAAAAAA==&#10;">
                        <v:fill on="f" focussize="0,0"/>
                        <v:stroke color="#000000" joinstyle="round" dashstyle="dash" endarrow="block"/>
                        <v:imagedata o:title=""/>
                        <o:lock v:ext="edit" aspectratio="f"/>
                      </v:line>
                      <v:line id="直线 592" o:spid="_x0000_s1026" o:spt="20" style="position:absolute;left:3090545;top:245808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DKo/RTAAIAAOsDAAAOAAAAZHJzL2Uyb0RvYy54bWytU0tu2zAQ&#10;3RfoHQjuaylKVNiC5SzippuiNdDPfsyPRIA/kIxln6XX6KqbHifX6JBykzZFgSyqBTGk3ryZ9zhc&#10;Xx+NJgcRonK2pxeLmhJhmePKDj39/On21ZKSmMBy0M6Knp5EpNebly/Wk+9E40anuQgESWzsJt/T&#10;MSXfVVVkozAQF84Liz+lCwYSbsNQ8QATshtdNXX9uppc4D44JmLE0+38k54Zw3MInZSKia1jd0bY&#10;NLMGoSGhpDgqH+mmdCulYOmDlFEkonuKSlNZsQjG+7xWmzV0QwA/KnZuAZ7TwhNNBpTFog9UW0hA&#10;7oL6i8ooFlx0Mi2YM9UspDiCKi7qJ958HMGLogWtjv7B9Pj/aNn7wy4QxXES6ktKLBi88vuv3+6/&#10;/yDtqsn+TD52CLuxu3DeRb8LWexRBkOkVv4Lphf5KIgce3pZr+r2qqXk1NPmql3Wy3Z2WhwTYQho&#10;lstmhXfAEFAuoZrZMqsPMb0VzpAc9FQrmz2ADg7vYsIOEPoLko+1JVNPV22D5RjgQEocBAyNR1HR&#10;DiU3Oq34rdI6Z8Qw7G90IAfIQ1G+3B3y/gHLRbYQxxnHMZo1jAL4G8tJOnn0yuIjobkDIzglWuCb&#10;yhHyQZdA6UdkCgrsoP+BxuraYhPZ7dnfHO0dPxXbyznOQGnzPK95yH7fl+zHN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zykfUAAAABgEAAA8AAAAAAAAAAQAgAAAAIgAAAGRycy9kb3ducmV2&#10;LnhtbFBLAQIUABQAAAAIAIdO4kDKo/RTAAIAAOsDAAAOAAAAAAAAAAEAIAAAACMBAABkcnMvZTJv&#10;RG9jLnhtbFBLBQYAAAAABgAGAFkBAACVBQAAAAA=&#10;">
                        <v:fill on="f" focussize="0,0"/>
                        <v:stroke color="#000000" joinstyle="round" dashstyle="dash" endarrow="block"/>
                        <v:imagedata o:title=""/>
                        <o:lock v:ext="edit" aspectratio="f"/>
                      </v:line>
                      <v:line id="直线 592" o:spid="_x0000_s1026" o:spt="20" style="position:absolute;left:3098165;top:198564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DXO+agAAIAAOsDAAAOAAAAZHJzL2Uyb0RvYy54bWytU0tu2zAQ&#10;3RfoHQjua8lqbNiC5SzippuiNdDPfsyPRIA/kIxln6XX6KqbHifX6JBykzZFgSyqhTAk37yZ9zjc&#10;XJ+MJkcRonK2o/NZTYmwzHFl+45+/nT7akVJTGA5aGdFR88i0uvtyxeb0beicYPTXASCJDa2o+/o&#10;kJJvqyqyQRiIM+eFxUPpgoGEy9BXPMCI7EZXTV0vq9EF7oNjIkbc3U2H9MIYnkPopFRM7By7M8Km&#10;iTUIDQklxUH5SLelWykFSx+kjCIR3VFUmsofi2B8yP9qu4G2D+AHxS4twHNaeKLJgLJY9IFqBwnI&#10;XVB/URnFgotOphlzppqEFEdQxbx+4s3HAbwoWtDq6B9Mj/+Plr0/7gNRHCehvqLEgsErv//67f77&#10;D7JYN9mf0ccWYTd2Hy6r6Pchiz3JYIjUyn/B9CIfBZFTR1/X69V8uaDkjAfr1WJ5tZicFqdEGAKa&#10;1apZ4x0wBJRLqCa2zOpDTG+FMyQHHdXKZg+gheO7mLADhP6C5G1tydjR9aLBcgxwICUOAobGo6ho&#10;+5IbnVb8VmmdM2LoDzc6kCPkoShf7g55/4DlIjuIw4TjGE0aBgH8jeUknT16ZfGR0NyBEZwSLfBN&#10;5Qj5oE2g9CMyBQW21/9AY3VtsYns9uRvjg6On4vtZR9noLR5mdc8ZL+vS/bjG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zykfUAAAABgEAAA8AAAAAAAAAAQAgAAAAIgAAAGRycy9kb3ducmV2&#10;LnhtbFBLAQIUABQAAAAIAIdO4kDXO+agAAIAAOsDAAAOAAAAAAAAAAEAIAAAACMBAABkcnMvZTJv&#10;RG9jLnhtbFBLBQYAAAAABgAGAFkBAACVBQAAAAA=&#10;">
                        <v:fill on="f" focussize="0,0"/>
                        <v:stroke color="#000000" joinstyle="round" dashstyle="dash" endarrow="block"/>
                        <v:imagedata o:title=""/>
                        <o:lock v:ext="edit" aspectratio="f"/>
                      </v:line>
                      <v:line id="直线 592" o:spid="_x0000_s1026" o:spt="20" style="position:absolute;left:3082925;top:149796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PsQGP/QEAAOsDAAAOAAAAZHJzL2Uyb0RvYy54bWytU0tu2zAQ&#10;3RfoHQjuaylqnVqC5SzippuiNdDPfsyPRIA/kIxln6XX6KqbHifX6JBykzZFgSyqhTAk37yZ9zhc&#10;Xx2NJgcRonK2pxeLmhJhmePKDj39/OnmxYqSmMBy0M6Knp5EpFeb58/Wk+9E40anuQgESWzsJt/T&#10;MSXfVVVkozAQF84Li4fSBQMJl2GoeIAJ2Y2umrq+rCYXuA+OiRhxdzsf0jNjeAqhk1IxsXXs1gib&#10;ZtYgNCSUFEflI92UbqUULH2QMopEdE9RaSp/LILxPv+rzRq6IYAfFTu3AE9p4ZEmA8pi0XuqLSQg&#10;t0H9RWUUCy46mRbMmWoWUhxBFRf1I28+juBF0YJWR39vevx/tOz9YReI4jgJ9ZISCwav/O7rt7vv&#10;P8iybbI/k48dwq7tLpxX0e9CFnuUwRCplf+C6UU+CiLHnr6sV03bIN8JD161r9vL5ey0OCbCENCs&#10;EIB3wBBQLqGa2TKrDzG9Fc6QHPRUK5s9gA4O72LCDhD6C5K3tSVTT9tlLscAB1LiIGBoPIqKdii5&#10;0WnFb5TWOSOGYX+tAzlAHory5e6Q9w9YLrKFOM44jtGsYRTA31hO0smjVxYfCc0dGMEp0QLfVI6Q&#10;D7oESj8gU1BgB/0PNFbXFpvIbs/+5mjv+KnYXvZxBkqb53nNQ/b7umQ/vNH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zykfUAAAABgEAAA8AAAAAAAAAAQAgAAAAIgAAAGRycy9kb3ducmV2Lnht&#10;bFBLAQIUABQAAAAIAIdO4kAPsQGP/QEAAOsDAAAOAAAAAAAAAAEAIAAAACMBAABkcnMvZTJvRG9j&#10;LnhtbFBLBQYAAAAABgAGAFkBAACSBQAAAAA=&#10;">
                        <v:fill on="f" focussize="0,0"/>
                        <v:stroke color="#000000" joinstyle="round" dashstyle="dash" endarrow="block"/>
                        <v:imagedata o:title=""/>
                        <o:lock v:ext="edit" aspectratio="f"/>
                      </v:line>
                      <v:line id="直线 592" o:spid="_x0000_s1026" o:spt="20" style="position:absolute;left:3090545;top:103314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DKu0PI/QEAAOsDAAAOAAAAZHJzL2Uyb0RvYy54bWytU0tu2zAQ&#10;3RfoHQjua8lyHdiC5SzippuiNdDPnuZHIsAfOIxln6XX6KqbHifX6JBykzZFgSyqBTGk3ryZ9zjc&#10;XJ+sIUcZQXvX0fmspkQ67oV2fUc/f7p9taIEEnOCGe9kR88S6PX25YvNGFrZ+MEbISNBEgftGDo6&#10;pBTaqgI+SMtg5oN0+FP5aFnCbewrEdmI7NZUTV1fVaOPIkTPJQCe7qaf9MIYn0PoldJc7jy/s9Kl&#10;iTVKwxJKgkEHoNvSrVKSpw9KgUzEdBSVprJiEYwPea22G9b2kYVB80sL7DktPNFkmXZY9IFqxxIj&#10;d1H/RWU1jx68SjPubTUJKY6ginn9xJuPAwuyaEGrITyYDv+Plr8/7iPRAiehvqLEMYtXfv/12/33&#10;H2S5brI/Y4AWYTduHy87CPuYxZ5UtEQZHb5gepGPgsipo4t6XS9fLyk5Z97FYo5xcVqeEuEIaFar&#10;Zo13wBFQLqGa2DJriJDeSm9JDjpqtMsesJYd30FCFoT+guRj48jY0fWywXKc4UAqHAQMbUBR4PqS&#10;C95ocauNyRkQ+8ONieTI8lCUL3eHvH/AcpEdg2HCCYwmDYNk4o0TJJ0DeuXwkdDcgZWCEiPxTeWo&#10;qE1Mm0dkipq53vwDjdWNwyay25O/OTp4cS62l3OcgdLmZV7zkP2+L9mPb3T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zykfUAAAABgEAAA8AAAAAAAAAAQAgAAAAIgAAAGRycy9kb3ducmV2Lnht&#10;bFBLAQIUABQAAAAIAIdO4kDKu0PI/QEAAOsDAAAOAAAAAAAAAAEAIAAAACMBAABkcnMvZTJvRG9j&#10;LnhtbFBLBQYAAAAABgAGAFkBAACSBQAAAAA=&#10;">
                        <v:fill on="f" focussize="0,0"/>
                        <v:stroke color="#000000" joinstyle="round" dashstyle="dash" endarrow="block"/>
                        <v:imagedata o:title=""/>
                        <o:lock v:ext="edit" aspectratio="f"/>
                      </v:line>
                      <v:line id="直线 592" o:spid="_x0000_s1026" o:spt="20" style="position:absolute;left:3090545;top:56832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k9OoyAAIAAOoDAAAOAAAAZHJzL2Uyb0RvYy54bWytU81u1DAQ&#10;viPxDpbvbNKUlN1osz10KRcElQrcZ/2TWPKfbHez+yy8BicuPE5fg7GztFCE1AM5RGN75pvv+zxe&#10;Xx6MJnsRonK2p2eLmhJhmePKDj39/On61ZKSmMBy0M6Knh5FpJebly/Wk+9E40anuQgEQWzsJt/T&#10;MSXfVVVkozAQF84Li4fSBQMJl2GoeIAJ0Y2umrq+qCYXuA+OiRhxdzsf0hNieA6gk1IxsXXszgib&#10;ZtQgNCSUFEflI90UtlIKlj5KGUUiuqeoNJU/NsF4l//VZg3dEMCPip0owHMoPNFkQFls+gC1hQTk&#10;Lqi/oIxiwUUn04I5U81CiiOo4qx+4s3tCF4ULWh19A+mx/8Hyz7sbwJRHCehfkOJBYNXfv/12/33&#10;H6RdNdmfyccO067sTTitor8JWexBBkOkVv4Llhf5KIgcenper+r2dUvJsaftxfK8aWejxSERhufN&#10;ctms8AoYnpc7qGawDOpDTO+EMyQHPdXKZgugg/37mJAApv5KydvakqmnqxZbEAY4jxLnAEPjUVO0&#10;Q6mNTit+rbTOFTEMuysdyB7yTJQvs0PcP9Jyky3Ecc7jGM0aRgH8reUkHT1aZfGN0MzACE6JFvik&#10;coR40CVQ+jEzBQV20P/Ixu7aIols9mxvjnaOH4vrZR9HoNA8jWuesd/Xpfrxi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zykfUAAAABgEAAA8AAAAAAAAAAQAgAAAAIgAAAGRycy9kb3ducmV2&#10;LnhtbFBLAQIUABQAAAAIAIdO4kAk9OoyAAIAAOoDAAAOAAAAAAAAAAEAIAAAACMBAABkcnMvZTJv&#10;RG9jLnhtbFBLBQYAAAAABgAGAFkBAACVBQAAAAA=&#10;">
                        <v:fill on="f" focussize="0,0"/>
                        <v:stroke color="#000000" joinstyle="round" dashstyle="dash" endarrow="block"/>
                        <v:imagedata o:title=""/>
                        <o:lock v:ext="edit" aspectratio="f"/>
                      </v:line>
                      <v:line id="直线 592" o:spid="_x0000_s1026" o:spt="20" style="position:absolute;left:3189605;top:669480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eUIWs/wEAAOsDAAAOAAAAZHJzL2Uyb0RvYy54bWytU0tu2zAQ&#10;3RfoHQjua8lqbNiC5SzippuiNdDPnuZHIsAfOIxln6XX6KqbHifX6JBykzZFgSyqBTGk3ryZ9zjc&#10;XJ+sIUcZQXvX0fmspkQ67oV2fUc/f7p9taIEEnOCGe9kR88S6PX25YvNGFrZ+MEbISNBEgftGDo6&#10;pBTaqgI+SMtg5oN0+FP5aFnCbewrEdmI7NZUTV0vq9FHEaLnEgBPd9NPemGMzyH0Smkud57fWenS&#10;xBqlYQklwaAD0G3pVinJ0welQCZiOopKU1mxCMaHvFbbDWv7yMKg+aUF9pwWnmiyTDss+kC1Y4mR&#10;u6j/orKaRw9epRn3tpqEFEdQxbx+4s3HgQVZtKDVEB5Mh/9Hy98f95FogZMwv6LEMYtXfv/12/33&#10;H2SxbrI/Y4AWYTduHy87CPuYxZ5UtEQZHb5gepGPgsipo6/nq/WyXlBy7uhyub5aYVyclqdEOAKa&#10;1apZ4x1wBJRLqCa2zBoipLfSW5KDjhrtsgesZcd3kJAFob8g+dg4MnZ0vWiwHGc4kAoHAUMbUBS4&#10;vuSCN1rcamNyBsT+cGMiObI8FOXL3SHvH7BcZMdgmHACo0nDIJl44wRJ54BeOXwkNHdgpaDESHxT&#10;OSpqE9PmEZmiZq43/0BjdeOwiez25G+ODl6ci+3lHGegtHmZ1zxkv+9L9uMb3f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B5Qhaz/AQAA6wMAAA4AAAAAAAAAAQAgAAAAIwEAAGRycy9lMm9E&#10;b2MueG1sUEsFBgAAAAAGAAYAWQEAAJQFAAAAAA==&#10;">
                        <v:fill on="f" focussize="0,0"/>
                        <v:stroke color="#000000" joinstyle="round" dashstyle="dash" endarrow="block"/>
                        <v:imagedata o:title=""/>
                        <o:lock v:ext="edit" aspectratio="f"/>
                      </v:line>
                      <v:line id="直线 592" o:spid="_x0000_s1026" o:spt="20" style="position:absolute;left:3281045;top:622998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r622fAAIAAOsDAAAOAAAAZHJzL2Uyb0RvYy54bWytU81uEzEQ&#10;viPxDpbvZJOFVMkqmx4aygVBJQr3ie3dteQ/edxs8iy8BicuPE5fg7E3tFCE1AN7sMbeb76Z7/N4&#10;c3m0hh1URO1dyxezOWfKCS+161v++fb61YozTOAkGO9Uy08K+eX25YvNGBpV+8EbqSIjEofNGFo+&#10;pBSaqkIxKAs480E5+tn5aCHRNvaVjDASuzVVPZ9fVKOPMkQvFCKd7qaf/MwYn0Pou04LtfPiziqX&#10;JtaoDCSShIMOyLel265TIn3sOlSJmZaT0lRWKkLxPq/VdgNNHyEMWpxbgOe08ESTBe2o6APVDhKw&#10;u6j/orJaRI++SzPhbTUJKY6QisX8iTefBgiqaCGrMTyYjv+PVnw43ESmJU3CYsmZA0tXfv/12/33&#10;H2y5rrM/Y8CGYFfuJp53GG5iFnvsomWd0eELpRf5JIgdW/66Xi3mb4jv1PKLul6vV8vJaXVMTBCg&#10;Xq3qNd2BIEC5hGpiy6whYnqnvGU5aLnRLnsADRzeY6IOCPoLko+NY2PL18uaygmggexoECi0gUSh&#10;60sueqPltTYmZ2Ds91cmsgPkoShf7o54/4DlIjvAYcJJiiYNgwL51kmWToG8cvRIeO7AKsmZUfSm&#10;ckR80CTQ5hGZogbXm3+gqbpx1ER2e/I3R3svT8X2ck4zUNo8z2sest/3Jfvxj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zykfUAAAABgEAAA8AAAAAAAAAAQAgAAAAIgAAAGRycy9kb3ducmV2&#10;LnhtbFBLAQIUABQAAAAIAIdO4kAr622fAAIAAOsDAAAOAAAAAAAAAAEAIAAAACMBAABkcnMvZTJv&#10;RG9jLnhtbFBLBQYAAAAABgAGAFkBAACVBQAAAAA=&#10;">
                        <v:fill on="f" focussize="0,0"/>
                        <v:stroke color="#000000" joinstyle="round" dashstyle="dash" endarrow="block"/>
                        <v:imagedata o:title=""/>
                        <o:lock v:ext="edit" aspectratio="f"/>
                      </v:line>
                      <v:line id="直线 592" o:spid="_x0000_s1026" o:spt="20" style="position:absolute;left:3159125;top:575754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CsSU/q/wEAAOsDAAAOAAAAZHJzL2Uyb0RvYy54bWytU8tuEzEU&#10;3SPxD5b3ZJKBKckoky4aygZBJKD7Gz9mLPkl280k38JvsGLD5/Q3uPaElhYhdcGMZF3bx+fec3y9&#10;vjwaTQ4iROVsRxezOSXCMseV7Tv69cv1qyUlMYHloJ0VHT2JSC83L1+sR9+K2g1OcxEIktjYjr6j&#10;Q0q+rarIBmEgzpwXFjelCwYSTkNf8QAjshtd1fP5RTW6wH1wTMSIq9tpk54Zw3MInZSKia1jt0bY&#10;NLEGoSGhpDgoH+mmVCulYOmTlFEkojuKSlMZMQnG+zxWmzW0fQA/KHYuAZ5TwhNNBpTFpPdUW0hA&#10;boP6i8ooFlx0Ms2YM9UkpDiCKhbzJ958HsCLogWtjv7e9Pj/aNnHwy4QxbETFheUWDB45Xffvt/9&#10;+EmaVZ39GX1sEXZld+E8i34XstijDIZIrfwNHi/yURA5dvT1olkt6oaSU0ebt/i/aSanxTERhoB6&#10;uaxXeAcMAeUSqokts/oQ03vhDMlBR7Wy2QNo4fAhJqwAob8heVlbMnZ01eR0DLAhJTYChsajqGj7&#10;cjY6rfi10jqfiKHfX+lADpCbony5OuR9BMtJthCHCccxmjQMAvg7y0k6efTK4iOhuQIjOCVa4JvK&#10;EfJBm0DpB2QKCmyv/4HG7NpiEdntyd8c7R0/FdvLOvZAKfPcr7nJ/pyX0w9vdP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KxJT+r/AQAA6wMAAA4AAAAAAAAAAQAgAAAAIwEAAGRycy9lMm9E&#10;b2MueG1sUEsFBgAAAAAGAAYAWQEAAJQFAAAAAA==&#10;">
                        <v:fill on="f" focussize="0,0"/>
                        <v:stroke color="#000000" joinstyle="round" dashstyle="dash" endarrow="block"/>
                        <v:imagedata o:title=""/>
                        <o:lock v:ext="edit" aspectratio="f"/>
                      </v:line>
                      <v:line id="直线 592" o:spid="_x0000_s1026" o:spt="20" style="position:absolute;left:3143885;top:529272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fIBWQAQIAAOsDAAAOAAAAZHJzL2Uyb0RvYy54bWytU81uEzEQ&#10;viPxDpbvZJMtoZtVNj00lAuCSAXuE//sWvKfbDebPAuvwYkLj9PXYOwNLRQh9cAerLH3m2/m+zxe&#10;Xx2NJgcRonK2o4vZnBJhmePK9h39/OnmVUNJTGA5aGdFR08i0qvNyxfr0beidoPTXASCJDa2o+/o&#10;kJJvqyqyQRiIM+eFxZ/SBQMJt6GveIAR2Y2u6vn8TTW6wH1wTMSIp9vpJz0zhucQOikVE1vH7oyw&#10;aWINQkNCSXFQPtJN6VZKwdJHKaNIRHcUlaayYhGM93mtNmto+wB+UOzcAjynhSeaDCiLRR+otpCA&#10;3AX1F5VRLLjoZJoxZ6pJSHEEVSzmT7y5HcCLogWtjv7B9Pj/aNmHwy4QxXESFpeUWDB45fdfv91/&#10;/0GWqzr7M/rYIuza7sJ5F/0uZLFHGQyRWvkvmF7koyBy7OjF4vVF0ywpOXV0Wa/qy3o5OS2OiTAE&#10;1E1Tr/AOGALKJVQTW2b1IaZ3whmSg45qZbMH0MLhfUzYAUJ/QfKxtmTs6GqJJQgDHEiJg4Ch8Sgq&#10;2r7kRqcVv1Fa54wY+v21DuQAeSjKl7tD3j9gucgW4jDhOEaThkEAf2s5SSePXll8JDR3YASnRAt8&#10;UzlCPmgTKP2ITEGB7fU/0FhdW2wiuz35m6O946dieznHGShtnuc1D9nv+5L9+E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c8pH1AAAAAYBAAAPAAAAAAAAAAEAIAAAACIAAABkcnMvZG93bnJl&#10;di54bWxQSwECFAAUAAAACACHTuJAHyAVkAECAADrAwAADgAAAAAAAAABACAAAAAjAQAAZHJzL2Uy&#10;b0RvYy54bWxQSwUGAAAAAAYABgBZAQAAlgUAAAAA&#10;">
                        <v:fill on="f" focussize="0,0"/>
                        <v:stroke color="#000000" joinstyle="round" dashstyle="dash" endarrow="block"/>
                        <v:imagedata o:title=""/>
                        <o:lock v:ext="edit" aspectratio="f"/>
                      </v:line>
                      <v:line id="直线 592" o:spid="_x0000_s1026" o:spt="20" style="position:absolute;left:3136265;top:483552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AM0wyd/wEAAOsDAAAOAAAAZHJzL2Uyb0RvYy54bWytUzuO2zAQ&#10;7QPkDgT7WLYcG7ZgeYt1Nk2QGMinH/MjEeAPJNeyz5JrpEqT4+w1MqSc/QUBtogKYkg9vpn3Zri5&#10;OhlNjiJE5WxLZ5MpJcIyx5XtWvr1y82bFSUxgeWgnRUtPYtIr7avX20G34ja9U5zEQiS2NgMvqV9&#10;Sr6pqsh6YSBOnBcWf0oXDCTchq7iAQZkN7qqp9NlNbjAfXBMxIinu/EnvTCGlxA6KRUTO8dujbBp&#10;ZA1CQ0JJsVc+0m2pVkrB0icpo0hEtxSVprJiEowPea22G2i6AL5X7FICvKSEZ5oMKItJ76l2kIDc&#10;BvUXlVEsuOhkmjBnqlFIcQRVzKbPvPncgxdFC1od/b3p8f/Rso/HfSCK4yTMsPEWDLb87vuPu5+/&#10;yGJdZ38GHxuEXdt9uOyi34cs9iSDIVIr/w2vF/koiJxaOp/Nl/VyQcm5pW9X88WiXoxOi1MiDAH1&#10;alWvsQcMAaUJ1ciWWX2I6b1whuSgpVrZ7AE0cPwQE1aA0D+QfKwtGVq6zikIAxxIiYOAofEoKtqu&#10;3I1OK36jtM43YugO1zqQI+ShKF+uDnmfwHKSHcR+xHGMRg29AP7OcpLOHr2y+EhorsAITokW+KZy&#10;hHzQJFD6AZmCAtvpf6Axu7ZYRHZ79DdHB8fPxfZyjjNQyrzMax6yx/ty++GNb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AzTDJ3/AQAA6wMAAA4AAAAAAAAAAQAgAAAAIwEAAGRycy9lMm9E&#10;b2MueG1sUEsFBgAAAAAGAAYAWQEAAJQFAAAAAA==&#10;">
                        <v:fill on="f" focussize="0,0"/>
                        <v:stroke color="#000000" joinstyle="round" dashstyle="dash" endarrow="block"/>
                        <v:imagedata o:title=""/>
                        <o:lock v:ext="edit" aspectratio="f"/>
                      </v:line>
                      <v:shape id="文本框 575" o:spid="_x0000_s1026" o:spt="202" type="#_x0000_t202" style="position:absolute;left:3317240;top:888365;height:297815;width:181737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jw3UVh8CAAAmBAAADgAAAGRycy9lMm9Eb2MueG1srVNLktMw&#10;FNxTxR1U2hPnQyZOKs5UQRg2FFA1cABFlmNV6YekJA4HgBuwYjN7zpVz0JIznxo2WbCxn6V2v9et&#10;1vK604rshQ/SmoqOBkNKhOG2lmZb0a9fbl6VlITITM2UNaKiRxHo9erli+XBLcTYtlbVwhOQmLA4&#10;uIq2MbpFUQTeCs3CwDphsNlYr1nEp98WtWcHsGtVjIfDq+Jgfe285SIErK77TXpm9JcQ2qaRXKwt&#10;32lhYs/qhWIRkkIrXaCrPG3TCB4/NU0QkaiKQmnMTzRBvUnPYrVki61nrpX8PAK7ZIRnmjSTBk0f&#10;qNYsMrLz8h8qLbm3wTZxwK0ueiHZEagYDZ95c9syJ7IWWB3cg+nh/9Hyj/vPnsgaSRjNKTFM48hP&#10;v36efv853f0g09k0WXRwYQHkrQM2dm9sB/j9esBiUt41Xqc3NBHsTyaj2fg1bD5WtCzLyVUmYgvR&#10;RcLT/+VoNplhnwMwns/KUQYUj0TOh/heWE1SUVGPs8wWs/2HEDEUoPeQ1NfYG6lUPk9lyKGi8+l4&#10;CnqGjDbIBkrtoDOYbaZ5gk80axZasmeISbBK1n0wtIzCZ8pWsPqdqUk8OhhkcDNo6qFFTYkSuEip&#10;ysjIpLoEifGVgYrkbe9hqmK36UCTyo2tj/AbVxXqW+u/oyOCigG/7ZhHf2Y4lisKaX35NvbJ3jkv&#10;ty3+yoeUOyA+2bFz1FM+n37nOR6v9+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FofGdUAAAAG&#10;AQAADwAAAAAAAAABACAAAAAiAAAAZHJzL2Rvd25yZXYueG1sUEsBAhQAFAAAAAgAh07iQI8N1FYf&#10;AgAAJgQAAA4AAAAAAAAAAQAgAAAAJAEAAGRycy9lMm9Eb2MueG1sUEsFBgAAAAAGAAYAWQEAALUF&#10;AAAAAA==&#10;">
                        <v:fill on="f" focussize="0,0"/>
                        <v:stroke on="f" joinstyle="miter"/>
                        <v:imagedata o:title=""/>
                        <o:lock v:ext="edit" aspectratio="f"/>
                        <v:textbox>
                          <w:txbxContent>
                            <w:p w14:paraId="103356E8">
                              <w:pPr>
                                <w:jc w:val="center"/>
                                <w:rPr>
                                  <w:rFonts w:hint="default" w:eastAsia="宋体"/>
                                  <w:szCs w:val="21"/>
                                  <w:lang w:val="en-US" w:eastAsia="zh-CN"/>
                                </w:rPr>
                              </w:pPr>
                              <w:r>
                                <w:rPr>
                                  <w:rFonts w:hint="eastAsia"/>
                                  <w:szCs w:val="21"/>
                                  <w:lang w:val="en-US" w:eastAsia="zh-CN"/>
                                </w:rPr>
                                <w:t>G2除杂粉尘、S2砂石杂质</w:t>
                              </w:r>
                            </w:p>
                          </w:txbxContent>
                        </v:textbox>
                      </v:shape>
                      <v:shape id="文本框 575" o:spid="_x0000_s1026" o:spt="202" type="#_x0000_t202" style="position:absolute;left:3319145;top:1345565;height:297815;width:155067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56qTTR8CAAAnBAAADgAAAGRycy9lMm9Eb2MueG1srVNLktMw&#10;FNxTxR1U2hPnM04mqThTBWHYUEDVwAEUWY5VpR+SkjgcAG7Aig17zpVz0JIznxo2WbCxn6V2v9et&#10;1vKm04rshQ/SmoqOBkNKhOG2lmZb0S+fb19dUxIiMzVT1oiKHkWgN6uXL5YHtxBj21pVC09AYsLi&#10;4CraxugWRRF4KzQLA+uEwWZjvWYRn35b1J4dwK5VMR4Op8XB+tp5y0UIWF33m/TM6C8htE0juVhb&#10;vtPCxJ7VC8UiJIVWukBXedqmETx+bJogIlEVhdKYn2iCepOexWrJFlvPXCv5eQR2yQjPNGkmDZo+&#10;UK1ZZGTn5T9UWnJvg23igFtd9EKyI1AxGj7z5q5lTmQtsDq4B9PD/6PlH/afPJE1kjCGJ4ZpHPnp&#10;54/Trz+n399JOSuTRQcXFkDeOWBj99p2gN+vBywm5V3jdXpDE8H+ZDKaj65KSo7ATq7KcpqZ2EJ0&#10;kfBEUJbD6Qw9ORDj+ex6lAHFI5PzIb4TVpNUVNTjMLPHbP8+REwF6D0kNTb2ViqVD1QZcqjovByj&#10;P2cIaYNwoNQOQoPZZpon+ESzZqEle4acBKtk3SdDyyh8pmwFq9+amsSjg0MGV4OmHlrUlCiBm5Sq&#10;jIxMqkuQGF8ZqEjm9iamKnabDjSp3Nj6CMNxV6G+tf4bOiKpGPDrjnn0Z4ZjuaKQ1pdvYh/tnfNy&#10;2+KvfEq5A/KTHTtnPQX06Xee4/F+r/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FofGdUAAAAG&#10;AQAADwAAAAAAAAABACAAAAAiAAAAZHJzL2Rvd25yZXYueG1sUEsBAhQAFAAAAAgAh07iQOeqk00f&#10;AgAAJwQAAA4AAAAAAAAAAQAgAAAAJAEAAGRycy9lMm9Eb2MueG1sUEsFBgAAAAAGAAYAWQEAALUF&#10;AAAAAA==&#10;">
                        <v:fill on="f" focussize="0,0"/>
                        <v:stroke on="f" joinstyle="miter"/>
                        <v:imagedata o:title=""/>
                        <o:lock v:ext="edit" aspectratio="f"/>
                        <v:textbox>
                          <w:txbxContent>
                            <w:p w14:paraId="4877C652">
                              <w:pPr>
                                <w:jc w:val="center"/>
                                <w:rPr>
                                  <w:rFonts w:hint="default" w:eastAsia="宋体"/>
                                  <w:szCs w:val="21"/>
                                  <w:lang w:val="en-US" w:eastAsia="zh-CN"/>
                                </w:rPr>
                              </w:pPr>
                              <w:r>
                                <w:rPr>
                                  <w:rFonts w:hint="eastAsia"/>
                                  <w:szCs w:val="21"/>
                                  <w:lang w:val="en-US" w:eastAsia="zh-CN"/>
                                </w:rPr>
                                <w:t>G3去石粉尘、S2砂石</w:t>
                              </w:r>
                            </w:p>
                          </w:txbxContent>
                        </v:textbox>
                      </v:shape>
                      <v:shape id="文本框 575" o:spid="_x0000_s1026" o:spt="202" type="#_x0000_t202" style="position:absolute;left:3242945;top:1840865;height:297815;width:145923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5IUu1SACAAAnBAAADgAAAGRycy9lMm9Eb2MueG1srVPNjtMw&#10;GLwj8Q6W7zRttt1to6YrQVkuCJAWHsB1nMaS/7DdNuUB4A04ceHOc/U5GDvdHy2XPXBJvtiT+b4Z&#10;j5fXvVZkL3yQ1tR0MhpTIgy3jTTbmn75fPNqTkmIzDRMWSNqehSBXq9evlgeXCVK21nVCE9AYkJ1&#10;cDXtYnRVUQTeCc3CyDphsNlar1nEp98WjWcHsGtVlOPxZXGwvnHechECVtfDJj0z+ucQ2raVXKwt&#10;32lh4sDqhWIRkkInXaCrPG3bCh4/tm0QkaiaQmnMTzRBvUnPYrVk1dYz10l+HoE9Z4QnmjSTBk3v&#10;qdYsMrLz8h8qLbm3wbZxxK0uBiHZEaiYjJ94c9sxJ7IWWB3cvenh/9HyD/tPnsgGSSgnlBimceSn&#10;nz9Ov/6cfn8ns6tZsujgQgXkrQM29q9tD/jdesBiUt63Xqc3NBHsX5TTcjGdUXIEdj4dzy8zE6tE&#10;HwlPBNPZorzAOXAgysXVfJIBxQOT8yG+E1aTVNTU4zCzx2z/PkRMBegdJDU29kYqlQ9UGXKo6WJW&#10;oj9nCGmLcKDUDkKD2WaaR/hEs2ahI3uGnASrZDMkQ8sofKbsBGvemobEo4NDBleDph5aNJQogZuU&#10;qoyMTKrnIDG+MlCRzB1MTFXsNz1oUrmxzRGG465CfWf9N3REUjHg1x3z6M8Mx3JNIW0o38Qh2jvn&#10;5bbDX/mUcgfkJzt2znoK6OPvPMfD/V7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HxnVAAAA&#10;BgEAAA8AAAAAAAAAAQAgAAAAIgAAAGRycy9kb3ducmV2LnhtbFBLAQIUABQAAAAIAIdO4kDkhS7V&#10;IAIAACcEAAAOAAAAAAAAAAEAIAAAACQBAABkcnMvZTJvRG9jLnhtbFBLBQYAAAAABgAGAFkBAAC2&#10;BQAAAAA=&#10;">
                        <v:fill on="f" focussize="0,0"/>
                        <v:stroke on="f" joinstyle="miter"/>
                        <v:imagedata o:title=""/>
                        <o:lock v:ext="edit" aspectratio="f"/>
                        <v:textbox>
                          <w:txbxContent>
                            <w:p w14:paraId="6C5C4C53">
                              <w:pPr>
                                <w:jc w:val="center"/>
                                <w:rPr>
                                  <w:rFonts w:hint="default" w:eastAsia="宋体"/>
                                  <w:szCs w:val="21"/>
                                  <w:lang w:val="en-US" w:eastAsia="zh-CN"/>
                                </w:rPr>
                              </w:pPr>
                              <w:r>
                                <w:rPr>
                                  <w:rFonts w:hint="eastAsia"/>
                                  <w:szCs w:val="21"/>
                                  <w:lang w:val="en-US" w:eastAsia="zh-CN"/>
                                </w:rPr>
                                <w:t>稻壳、G4砻谷粉尘</w:t>
                              </w:r>
                            </w:p>
                          </w:txbxContent>
                        </v:textbox>
                      </v:shape>
                      <v:shape id="文本框 575" o:spid="_x0000_s1026" o:spt="202" type="#_x0000_t202" style="position:absolute;left:3288665;top:2313305;height:282575;width:157162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LZIzZRwCAAAnBAAADgAAAGRycy9lMm9Eb2MueG1srVPNjtMw&#10;GLwj8Q6W7zRtqnZL1HQlKMsFAdLCA7iO01jyH7bbpjwAvAEnLtz3ufocjJ3uj5ZLD1ySL/Zkvm/G&#10;4+V1rxXZCx+kNTWdjMaUCMNtI822pl+/3LxaUBIiMw1T1oiaHkWg16uXL5YHV4nSdlY1whOQmFAd&#10;XE27GF1VFIF3QrMwsk4YbLbWaxbx6bdF49kB7FoV5Xg8Lw7WN85bLkLA6nrYpGdGfwmhbVvJxdry&#10;nRYmDqxeKBYhKXTSBbrK07at4PFT2wYRiaoplMb8RBPUm/QsVktWbT1zneTnEdglIzzTpJk0aPpA&#10;tWaRkZ2X/1Bpyb0Nto0jbnUxCMmOQMVk/Myb2445kbXA6uAeTA//j5Z/3H/2RDZIQjmlxDCNIz/9&#10;+nn6fXf684PMrmbJooMLFZC3DtjYv7E94PfrAYtJed96nd7QRLA/LReL+XxGybGm5XQynY4zE6tE&#10;HwlPBLOrybwEgCfEojy3Kh6ZnA/xvbCapKKmHoeZPWb7DyFiKkDvIamxsTdSqXygypBDTV/PMj1D&#10;SFuEA520g9BgtpnmCT7RrFnoyJ4hJ8Eq2QzJ0DIKnyk7wZp3piHx6OCQwdWgqYcWDSVK4CalKiMj&#10;k+oSJMZXBiqSuYOJqYr9pgdNKje2OcJw3FWo76z/jo5IKgb8tmMe/ZnhWK4ppA3l2zhEe+e83Hb4&#10;K59S7oD8ZMfOWU8Bffqd53i836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FofGdUAAAAGAQAA&#10;DwAAAAAAAAABACAAAAAiAAAAZHJzL2Rvd25yZXYueG1sUEsBAhQAFAAAAAgAh07iQC2SM2UcAgAA&#10;JwQAAA4AAAAAAAAAAQAgAAAAJAEAAGRycy9lMm9Eb2MueG1sUEsFBgAAAAAGAAYAWQEAALIFAAAA&#10;AA==&#10;">
                        <v:fill on="f" focussize="0,0"/>
                        <v:stroke on="f" joinstyle="miter"/>
                        <v:imagedata o:title=""/>
                        <o:lock v:ext="edit" aspectratio="f"/>
                        <v:textbox>
                          <w:txbxContent>
                            <w:p w14:paraId="1F5FBFB8">
                              <w:pPr>
                                <w:jc w:val="center"/>
                                <w:rPr>
                                  <w:rFonts w:hint="eastAsia"/>
                                  <w:szCs w:val="21"/>
                                  <w:lang w:val="en-US" w:eastAsia="zh-CN"/>
                                </w:rPr>
                              </w:pPr>
                              <w:r>
                                <w:rPr>
                                  <w:rFonts w:hint="eastAsia"/>
                                  <w:szCs w:val="21"/>
                                  <w:lang w:val="en-US" w:eastAsia="zh-CN"/>
                                </w:rPr>
                                <w:t>谷糠、G5谷糙分离粉尘</w:t>
                              </w:r>
                            </w:p>
                            <w:p w14:paraId="24BADB0C">
                              <w:pPr>
                                <w:jc w:val="center"/>
                                <w:rPr>
                                  <w:rFonts w:hint="default" w:eastAsia="宋体"/>
                                  <w:szCs w:val="21"/>
                                  <w:lang w:val="en-US" w:eastAsia="zh-CN"/>
                                </w:rPr>
                              </w:pPr>
                            </w:p>
                          </w:txbxContent>
                        </v:textbox>
                      </v:shape>
                      <v:shape id="文本框 575" o:spid="_x0000_s1026" o:spt="202" type="#_x0000_t202" style="position:absolute;left:3250565;top:3250565;height:297815;width:141986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obyGvhsCAAAnBAAADgAAAGRycy9lMm9Eb2MueG1srVPNjtMw&#10;GLwj8Q6W7zRt2HbbqulKUJYLAqSFB3Adp7HkP2y3TXkAeANOXPbOc/U5GDvd7Wq59MAl+WJ/mflm&#10;PF7cdFqRnfBBWlPR0WBIiTDc1tJsKvr1y+2rKSUhMlMzZY2o6EEEerN8+WKxd3NR2taqWngCEBPm&#10;e1fRNkY3L4rAW6FZGFgnDDYb6zWL+PSbovZsD3StinI4nBR762vnLRchYHXVb9ITor8E0DaN5GJl&#10;+VYLE3tULxSLkBRa6QJd5mmbRvD4qWmCiERVFEpjfoIE9To9i+WCzTeeuVby0wjskhGeadJMGpA+&#10;Qq1YZGTr5T9QWnJvg23igFtd9EKyI1AxGj7z5q5lTmQtsDq4R9PD/4PlH3efPZE1klBeUWKYxpEf&#10;f/08/v5zvP9BxtfjZNHehTk67xx6Y/fGdmh/WA9YTMq7xuv0hiaC/dfleDiejCk5nOtstugi4Qng&#10;ajSbTnAOHB3l7Ho6ylTFGcn5EN8Lq0kqKupxmNljtvsQIrDQ+tCSiI29lUplDmXIvqKzcQl+zhDS&#10;BuFAqR2EBrPJME/6E8yKhZbsGHISrJJ1nwwto/AZshWsfmdqEg8ODhlcDZo4tKgpUQI3KVW5MzKp&#10;LunE+MpARTK3NzFVsVt3gEnl2tYHGI67CvWt9d/BiKRiwG9b5sHPDMdyRSGtL9/GPtpb5+WmxV/5&#10;lDID8pMdO2U9BfTpd57jfL+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Wh8Z1QAAAAYBAAAP&#10;AAAAAAAAAAEAIAAAACIAAABkcnMvZG93bnJldi54bWxQSwECFAAUAAAACACHTuJAobyGvhsCAAAn&#10;BAAADgAAAAAAAAABACAAAAAkAQAAZHJzL2Uyb0RvYy54bWxQSwUGAAAAAAYABgBZAQAAsQUAAAAA&#10;">
                        <v:fill on="f" focussize="0,0"/>
                        <v:stroke on="f" joinstyle="miter"/>
                        <v:imagedata o:title=""/>
                        <o:lock v:ext="edit" aspectratio="f"/>
                        <v:textbox>
                          <w:txbxContent>
                            <w:p w14:paraId="7C340AE8">
                              <w:pPr>
                                <w:jc w:val="center"/>
                                <w:rPr>
                                  <w:rFonts w:hint="default" w:eastAsia="宋体"/>
                                  <w:szCs w:val="21"/>
                                  <w:lang w:val="en-US" w:eastAsia="zh-CN"/>
                                </w:rPr>
                              </w:pPr>
                              <w:r>
                                <w:rPr>
                                  <w:rFonts w:hint="eastAsia"/>
                                  <w:szCs w:val="21"/>
                                  <w:lang w:val="en-US" w:eastAsia="zh-CN"/>
                                </w:rPr>
                                <w:t>米糠、G7碾米粉尘</w:t>
                              </w:r>
                            </w:p>
                          </w:txbxContent>
                        </v:textbox>
                      </v:shape>
                      <v:shape id="文本框 575" o:spid="_x0000_s1026" o:spt="202" type="#_x0000_t202" style="position:absolute;left:3341370;top:3738245;height:320675;width:199136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P+UiXx4CAAAnBAAADgAAAGRycy9lMm9Eb2MueG1srVPNjtMw&#10;GLwj8Q6W7zRtum23VdOVoCwXBEgLD+A6TmPJf9hum/IA8AacuHDnufocjJ3uj5ZLD1ySL/Zkvm/G&#10;4+VNpxXZCx+kNRUdDYaUCMNtLc22ol8+3766piREZmqmrBEVPYpAb1YvXywPbiFK21pVC09AYsLi&#10;4CraxugWRRF4KzQLA+uEwWZjvWYRn35b1J4dwK5VUQ6H0+Jgfe285SIErK77TXpm9JcQ2qaRXKwt&#10;32lhYs/qhWIRkkIrXaCrPG3TCB4/Nk0QkaiKQmnMTzRBvUnPYrVki61nrpX8PAK7ZIRnmjSTBk0f&#10;qNYsMrLz8h8qLbm3wTZxwK0ueiHZEagYDZ95c9cyJ7IWWB3cg+nh/9HyD/tPnsgaSSinlBimceSn&#10;nz9Ov/6cfn8nk9kkWXRwYQHknQM2dq9tB/j9esBiUt41Xqc3NBHsj8dXo/EMNh9Rz8bX5VVmYgvR&#10;RcITwXw+Gk8B4AlRDqd9q+KRyfkQ3wmrSSoq6nGY2WO2fx8ipgL0HpIaG3srlcoHqgw5VHQ+KSeg&#10;Zwhpg3Cg1A5Cg9lmmif4RLNmoSV7hpwEq2TdJ0PLKHymbAWr35qaxKODQwZXg6YeWtSUKIGblKqM&#10;jEyqS5AYXxmoSOb2JqYqdpsONKnc2PoIw3FXob61/hs6IqkY8OuOefRnhmO5opDWl29iH+2d83Lb&#10;4q98SrkD8pMdO2c9BfTpd57j8X6v/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P+UiXx4C&#10;AAAnBAAADgAAAAAAAAABACAAAAAkAQAAZHJzL2Uyb0RvYy54bWxQSwUGAAAAAAYABgBZAQAAtAUA&#10;AAAA&#10;">
                        <v:fill on="f" focussize="0,0"/>
                        <v:stroke on="f" joinstyle="miter"/>
                        <v:imagedata o:title=""/>
                        <o:lock v:ext="edit" aspectratio="f"/>
                        <v:textbox>
                          <w:txbxContent>
                            <w:p w14:paraId="5CBAE03E">
                              <w:pPr>
                                <w:jc w:val="center"/>
                                <w:rPr>
                                  <w:rFonts w:hint="default" w:eastAsia="宋体"/>
                                  <w:szCs w:val="21"/>
                                  <w:lang w:val="en-US" w:eastAsia="zh-CN"/>
                                </w:rPr>
                              </w:pPr>
                              <w:r>
                                <w:rPr>
                                  <w:rFonts w:hint="eastAsia"/>
                                  <w:szCs w:val="21"/>
                                  <w:lang w:val="en-US" w:eastAsia="zh-CN"/>
                                </w:rPr>
                                <w:t>碎米、G8一次白米分级粉尘</w:t>
                              </w:r>
                            </w:p>
                          </w:txbxContent>
                        </v:textbox>
                      </v:shape>
                      <v:shape id="文本框 575" o:spid="_x0000_s1026" o:spt="202" type="#_x0000_t202" style="position:absolute;left:3303905;top:4195445;height:320675;width:168021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Wu441h8CAAAnBAAADgAAAGRycy9lMm9Eb2MueG1srVNLjhMx&#10;FNwjcQfLe9Kd70yidEaCMGwQIA0cwHG705b8w3aSDgeAG7Biw55z5RyU3ZmPhk0WbNzP9ut6r+qV&#10;lzedVmQvfJDWVHQ4KCkRhttamm1Fv3y+fXVNSYjM1ExZIyp6FIHerF6+WB7cQoxsa1UtPAGICYuD&#10;q2gbo1sUReCt0CwMrBMGl431mkVs/baoPTsAXatiVJaz4mB97bzlIgScrvtLekb0lwDappFcrC3f&#10;aWFij+qFYhGUQitdoKvcbdMIHj82TRCRqIqCacwriiDepLVYLdli65lrJT+3wC5p4RknzaRB0Qeo&#10;NYuM7Lz8B0pL7m2wTRxwq4ueSFYELIblM23uWuZE5gKpg3sQPfw/WP5h/8kTWcMJoytKDNMY+enn&#10;j9OvP6ff38n0apokOriwQOadQ27sXtsO6ffnAYeJedd4nb7gRHA/HpfjeTml5FjRyXA+nUwyEluI&#10;LhKeAGbX5WiIOXBkjEflrC9VPCI5H+I7YTVJQUU9hpk1Zvv3IaIrpN6npMLG3kql8kCVIYeKzqcj&#10;1OcMJm1gDoTagWgw2wzzJD/BrFloyZ7BJ8EqWffO0DIKnyFbweq3pibx6KCQwdOgqYYWNSVK4CWl&#10;KGdGJtUlmWhfGbBI4vYipih2mw4wKdzY+gjB8VbBvrX+GyrCqWjw64551GeG47iioNaHb2Jv7Z3z&#10;ctvirzylXAH+yYqdvZ4M+nSf+3h83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FofGdUAAAAG&#10;AQAADwAAAAAAAAABACAAAAAiAAAAZHJzL2Rvd25yZXYueG1sUEsBAhQAFAAAAAgAh07iQFruONYf&#10;AgAAJwQAAA4AAAAAAAAAAQAgAAAAJAEAAGRycy9lMm9Eb2MueG1sUEsFBgAAAAAGAAYAWQEAALUF&#10;AAAAAA==&#10;">
                        <v:fill on="f" focussize="0,0"/>
                        <v:stroke on="f" joinstyle="miter"/>
                        <v:imagedata o:title=""/>
                        <o:lock v:ext="edit" aspectratio="f"/>
                        <v:textbox>
                          <w:txbxContent>
                            <w:p w14:paraId="4429F160">
                              <w:pPr>
                                <w:jc w:val="center"/>
                                <w:rPr>
                                  <w:rFonts w:hint="default" w:eastAsia="宋体"/>
                                  <w:szCs w:val="21"/>
                                  <w:lang w:val="en-US" w:eastAsia="zh-CN"/>
                                </w:rPr>
                              </w:pPr>
                              <w:r>
                                <w:rPr>
                                  <w:rFonts w:hint="eastAsia"/>
                                  <w:szCs w:val="21"/>
                                  <w:lang w:val="en-US" w:eastAsia="zh-CN"/>
                                </w:rPr>
                                <w:t>米糠、G9一次抛光粉尘</w:t>
                              </w:r>
                            </w:p>
                          </w:txbxContent>
                        </v:textbox>
                      </v:shape>
                      <v:shape id="文本框 575" o:spid="_x0000_s1026" o:spt="202" type="#_x0000_t202" style="position:absolute;left:3357880;top:5140325;height:320675;width:164147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lO4ZGB4CAAAnBAAADgAAAGRycy9lMm9Eb2MueG1srVNLjhMx&#10;FNwjcQfLe9Kd74QonZEgDBsESAMHcNzutCX/sJ2kwwHgBqzYzJ5z5RyU3ZmPhk0WbNzP9ut6r+qV&#10;l9edVmQvfJDWVHQ4KCkRhttamm1Fv365eTWnJERmaqasERU9ikCvVy9fLA9uIUa2taoWngDEhMXB&#10;VbSN0S2KIvBWaBYG1gmDy8Z6zSK2flvUnh2ArlUxKstZcbC+dt5yEQJO1/0lPSP6SwBt00gu1pbv&#10;tDCxR/VCsQhKoZUu0FXutmkEj5+aJohIVEXBNOYVRRBv0lqslmyx9cy1kp9bYJe08IyTZtKg6APU&#10;mkVGdl7+A6Ul9zbYJg641UVPJCsCFsPymTa3LXMic4HUwT2IHv4fLP+4/+yJrOGEEQZvmMbIT79+&#10;nn7/Od39INOraZLo4MICmbcOubF7Yzuk358HHCbmXeN1+oITwf14PL2azyHzsaLT4aQcjzISW4gu&#10;Ep4AZpPhBPCEI2M8Kmd9qeIRyfkQ3wurSQoq6jHMrDHbfwgRXSH1PiUVNvZGKpUHqgw5VPT1FDUJ&#10;ZzBpA3Mg1A5Eg9lmmCf5CWbNQkv2DD4JVsm6d4aWUfgM2QpWvzM1iUcHhQyeBk01tKgpUQIvKUU5&#10;MzKpLslE+8qARRK3FzFFsdt0gEnhxtZHCI63Cvat9d9REU5Fg992zKM+MxzHFQW1Pnwbe2vvnJfb&#10;Fn/lKeUK8E9W7Oz1ZNCn+9zH4/te/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lO4ZGB4C&#10;AAAnBAAADgAAAAAAAAABACAAAAAkAQAAZHJzL2Uyb0RvYy54bWxQSwUGAAAAAAYABgBZAQAAtAUA&#10;AAAA&#10;">
                        <v:fill on="f" focussize="0,0"/>
                        <v:stroke on="f" joinstyle="miter"/>
                        <v:imagedata o:title=""/>
                        <o:lock v:ext="edit" aspectratio="f"/>
                        <v:textbox>
                          <w:txbxContent>
                            <w:p w14:paraId="60530B83">
                              <w:pPr>
                                <w:jc w:val="center"/>
                                <w:rPr>
                                  <w:rFonts w:hint="default" w:eastAsia="宋体"/>
                                  <w:szCs w:val="21"/>
                                  <w:lang w:val="en-US" w:eastAsia="zh-CN"/>
                                </w:rPr>
                              </w:pPr>
                              <w:r>
                                <w:rPr>
                                  <w:rFonts w:hint="eastAsia"/>
                                  <w:szCs w:val="21"/>
                                  <w:lang w:val="en-US" w:eastAsia="zh-CN"/>
                                </w:rPr>
                                <w:t>米糠、G11二次抛光粉尘</w:t>
                              </w:r>
                            </w:p>
                          </w:txbxContent>
                        </v:textbox>
                      </v:shape>
                      <v:shape id="文本框 575" o:spid="_x0000_s1026" o:spt="202" type="#_x0000_t202" style="position:absolute;left:3387725;top:4698365;height:267335;width:161798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PLGc6yACAAAnBAAADgAAAGRycy9lMm9Eb2MueG1srVNLktMw&#10;FNxTxR1U2hPnQ36uOFMFYdhQQNXAARRZjlWlH5KSOBwAbsCKzew5V85BS858atjMgo39LLX7vW61&#10;VledVuQgfJDWVHQ0GFIiDLe1NLuKfv1y/WpBSYjM1ExZIyp6EoFerV++WB1dKca2taoWnoDEhPLo&#10;KtrG6MqiCLwVmoWBdcJgs7Fes4hPvytqz45g16oYD4ez4mh97bzlIgSsbvpNemH0zyG0TSO52Fi+&#10;18LEntULxSIkhVa6QNd52qYRPH5qmiAiURWF0pifaIJ6m57FesXKnWeulfwyAnvOCE80aSYNmt5T&#10;bVhkZO/lP1Racm+DbeKAW130QrIjUDEaPvHmpmVOZC2wOrh708P/o+UfD589kTWSMF5SYpjGkZ9/&#10;/Tz//nO+/UGm82my6OhCCeSNAzZ2b2wH+N16wGJS3jVepzc0EexPJov5fDyl5FTR17PlYjLLTKwU&#10;XSQ8EcxG8+UC58CBGM/mk0kGFA9Mzof4XlhNUlFRj8PMHrPDhxAxFaB3kNTY2GupVD5QZcixostp&#10;6s8ZQtogHCi1g9BgdpnmET7RbFhoyYEhJ8EqWffJ0DIKnylbwep3pibx5OCQwdWgqYcWNSVK4Cal&#10;KiMjk+o5SIyvDFQkc3sTUxW7bQeaVG5tfYLhuKtQ31r/HR2RVAz4bc88+jPDsVxRSOvLt7GP9t55&#10;uWvxVz6l3AH5yY5dsp4C+vg7z/Fwv9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HxnVAAAA&#10;BgEAAA8AAAAAAAAAAQAgAAAAIgAAAGRycy9kb3ducmV2LnhtbFBLAQIUABQAAAAIAIdO4kA8sZzr&#10;IAIAACcEAAAOAAAAAAAAAAEAIAAAACQBAABkcnMvZTJvRG9jLnhtbFBLBQYAAAAABgAGAFkBAAC2&#10;BQAAAAA=&#10;">
                        <v:fill on="f" focussize="0,0"/>
                        <v:stroke on="f" joinstyle="miter"/>
                        <v:imagedata o:title=""/>
                        <o:lock v:ext="edit" aspectratio="f"/>
                        <v:textbox>
                          <w:txbxContent>
                            <w:p w14:paraId="7DCD9ED3">
                              <w:pPr>
                                <w:jc w:val="center"/>
                                <w:rPr>
                                  <w:rFonts w:hint="default" w:eastAsia="宋体"/>
                                  <w:szCs w:val="21"/>
                                  <w:lang w:val="en-US" w:eastAsia="zh-CN"/>
                                </w:rPr>
                              </w:pPr>
                              <w:r>
                                <w:rPr>
                                  <w:rFonts w:hint="eastAsia"/>
                                  <w:szCs w:val="21"/>
                                  <w:lang w:val="en-US" w:eastAsia="zh-CN"/>
                                </w:rPr>
                                <w:t>霉米、G10二次色选粉尘</w:t>
                              </w:r>
                            </w:p>
                          </w:txbxContent>
                        </v:textbox>
                      </v:shape>
                      <v:shape id="文本框 575" o:spid="_x0000_s1026" o:spt="202" type="#_x0000_t202" style="position:absolute;left:3395345;top:5628005;height:267335;width:163449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tB/0JCACAAAnBAAADgAAAGRycy9lMm9Eb2MueG1srVPNjtMw&#10;GLwj8Q6W7zTZpu1uq6YrQVkuCJAWHsB1nMaS/7DdNuUB4A04ceHOc/U5GDvdHy2XPXBJvtiT+b4Z&#10;j5fXvVZkL3yQ1tT0YlRSIgy3jTTbmn75fPPqipIQmWmYskbU9CgCvV69fLE8uIUY286qRngCEhMW&#10;B1fTLka3KIrAO6FZGFknDDZb6zWL+PTbovHsAHatinFZzoqD9Y3zlosQsLoeNumZ0T+H0Lat5GJt&#10;+U4LEwdWLxSLkBQ66QJd5WnbVvD4sW2DiETVFEpjfqIJ6k16FqslW2w9c53k5xHYc0Z4okkzadD0&#10;nmrNIiM7L/+h0pJ7G2wbR9zqYhCSHYGKi/KJN7cdcyJrgdXB3Zse/h8t/7D/5IlskIQKnhimceSn&#10;nz9Ov/6cfn8n08tpsujgwgLIWwds7F/bHvC79YDFpLxvvU5vaCLYr6r5tJpMKTnWdDobX5VlZmIL&#10;0UfCE8Gsmkzm6MmBGM8uqyoDigcm50N8J6wmqaipx2Fmj9n+fYiYCtA7SGps7I1UKh+oMuRQ0/l0&#10;jP6cIaQtwoFSOwgNZptpHuETzZqFjuwZchKsks2QDC2j8JmyE6x5axoSjw4OGVwNmnpo0VCiBG5S&#10;qjIyMqmeg8T4ykBFMncwMVWx3/SgSeXGNkcYjrsK9Z3139ARScWAX3fMoz8zHMs1hbShfBOHaO+c&#10;l9sOf+VTyh2Qn+zYOespoI+/8xwP93v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HxnVAAAA&#10;BgEAAA8AAAAAAAAAAQAgAAAAIgAAAGRycy9kb3ducmV2LnhtbFBLAQIUABQAAAAIAIdO4kC0H/Qk&#10;IAIAACcEAAAOAAAAAAAAAAEAIAAAACQBAABkcnMvZTJvRG9jLnhtbFBLBQYAAAAABgAGAFkBAAC2&#10;BQAAAAA=&#10;">
                        <v:fill on="f" focussize="0,0"/>
                        <v:stroke on="f" joinstyle="miter"/>
                        <v:imagedata o:title=""/>
                        <o:lock v:ext="edit" aspectratio="f"/>
                        <v:textbox>
                          <w:txbxContent>
                            <w:p w14:paraId="149E2A98">
                              <w:pPr>
                                <w:jc w:val="center"/>
                                <w:rPr>
                                  <w:rFonts w:hint="default" w:eastAsia="宋体"/>
                                  <w:szCs w:val="21"/>
                                  <w:lang w:val="en-US" w:eastAsia="zh-CN"/>
                                </w:rPr>
                              </w:pPr>
                              <w:r>
                                <w:rPr>
                                  <w:rFonts w:hint="eastAsia"/>
                                  <w:szCs w:val="21"/>
                                  <w:lang w:val="en-US" w:eastAsia="zh-CN"/>
                                </w:rPr>
                                <w:t>霉米、G12三次色选粉尘</w:t>
                              </w:r>
                            </w:p>
                          </w:txbxContent>
                        </v:textbox>
                      </v:shape>
                      <v:shape id="文本框 575" o:spid="_x0000_s1026" o:spt="202" type="#_x0000_t202" style="position:absolute;left:3494405;top:6100445;height:320675;width:1869440;"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vea3ZR4CAAAnBAAADgAAAGRycy9lMm9Eb2MueG1srVNLktMw&#10;FNxTxR1U2hM7X2ZccaYKwrChgKqBAyiyHKtKPyQlcTgA3IAVm9lzrpyDlpz51LCZBRv7WWr3e91q&#10;La96rche+CCtqel4VFIiDLeNNNuafv1y/eqCkhCZaZiyRtT0KAK9Wr18sTy4SkxsZ1UjPAGJCdXB&#10;1bSL0VVFEXgnNAsj64TBZmu9ZhGffls0nh3ArlUxKctFcbC+cd5yEQJW18MmPTP65xDatpVcrC3f&#10;aWHiwOqFYhGSQiddoKs8bdsKHj+1bRCRqJpCacxPNEG9Sc9itWTV1jPXSX4egT1nhCeaNJMGTe+p&#10;1iwysvPyHyotubfBtnHErS4GIdkRqBiXT7y56ZgTWQusDu7e9PD/aPnH/WdPZIMkTMeUGKZx5Kdf&#10;P0+//5xuf5D563my6OBCBeSNAzb2b2wP+N16wGJS3rdepzc0EexPZ5ezWTmn5FjTxbgsZ7PMxCrR&#10;R8ITwcUiISjhQEwn5WJoVTwwOR/ie2E1SUVNPQ4ze8z2H0LEVIDeQVJjY6+lUvlAlSGHml7OJ+jP&#10;GULaIhwotYPQYLaZ5hE+0axZ6MieISfBKtkMydAyCp8pO8Gad6Yh8ejgkMHVoKmHFg0lSuAmpSoj&#10;I5PqOUiMrwxUJHMHE1MV+00PmlRubHOE4birUN9Z/x0dkVQM+G3HPPozw7FcU0gbyrdxiPbOebnt&#10;8Fc+pdwB+cmOnbOeAvr4O8/xcL9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vea3ZR4C&#10;AAAnBAAADgAAAAAAAAABACAAAAAkAQAAZHJzL2Uyb0RvYy54bWxQSwUGAAAAAAYABgBZAQAAtAUA&#10;AAAA&#10;">
                        <v:fill on="f" focussize="0,0"/>
                        <v:stroke on="f" joinstyle="miter"/>
                        <v:imagedata o:title=""/>
                        <o:lock v:ext="edit" aspectratio="f"/>
                        <v:textbox>
                          <w:txbxContent>
                            <w:p w14:paraId="4B85E07A">
                              <w:pPr>
                                <w:jc w:val="center"/>
                                <w:rPr>
                                  <w:rFonts w:hint="default" w:eastAsia="宋体"/>
                                  <w:szCs w:val="21"/>
                                  <w:lang w:val="en-US" w:eastAsia="zh-CN"/>
                                </w:rPr>
                              </w:pPr>
                              <w:r>
                                <w:rPr>
                                  <w:rFonts w:hint="eastAsia"/>
                                  <w:szCs w:val="21"/>
                                  <w:lang w:val="en-US" w:eastAsia="zh-CN"/>
                                </w:rPr>
                                <w:t>碎米、G13二次白米分级粉尘</w:t>
                              </w:r>
                            </w:p>
                          </w:txbxContent>
                        </v:textbox>
                      </v:shape>
                      <v:shape id="文本框 575" o:spid="_x0000_s1026" o:spt="202" type="#_x0000_t202" style="position:absolute;left:3317875;top:6550025;height:320675;width:162623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xm3bwR4CAAAnBAAADgAAAGRycy9lMm9Eb2MueG1srVPNjtMw&#10;GLwj8Q6W7zRpqnaXqOlKUJYLAqSFB/A6TmPJf9hum/IA8AacuHDf5+pzMHa6P1ouPXBJvtiT+b4Z&#10;j5dXg1ZkJ3yQ1jR0OikpEYbbVppNQ79+uX51SUmIzLRMWSMaehCBXq1evljuXS0q21vVCk9AYkK9&#10;dw3tY3R1UQTeC83CxDphsNlZr1nEp98UrWd7sGtVVGW5KPbWt85bLkLA6nrcpCdGfw6h7TrJxdry&#10;rRYmjqxeKBYhKfTSBbrK03ad4PFT1wURiWoolMb8RBPUt+lZrJas3njmeslPI7BzRnimSTNp0PSB&#10;as0iI1sv/6HSknsbbBcn3OpiFJIdgYpp+cybm545kbXA6uAeTA//j5Z/3H32RLZIwqyixDCNIz/+&#10;+nn8fXf884PML+bJor0LNZA3Dtg4vLED4PfrAYtJ+dB5nd7QRLA/m00vLvE3OTR0MZ+XZZWZWC2G&#10;SHgiWFSLagYAB2JWlYuxVfHI5HyI74XVJBUN9TjM7DHbfQgRUwF6D0mNjb2WSuUDVYbsG/p6jp6E&#10;M4S0QzhQagehwWwyzRN8olmz0JMdQ06CVbIdk6FlFD5T9oK170xL4sHBIYOrQVMPLVpKlMBNSlVG&#10;RibVOUiMrwxUJHNHE1MVh9sBNKm8te0BhuOuQn1v/Xd0RFIx4Lct8+jPDMdyQyFtLN/GMdpb5+Wm&#10;x1/5lHIH5Cc7dsp6CujT7zzH4/1e/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xm3bwR4C&#10;AAAnBAAADgAAAAAAAAABACAAAAAkAQAAZHJzL2Uyb0RvYy54bWxQSwUGAAAAAAYABgBZAQAAtAUA&#10;AAAA&#10;">
                        <v:fill on="f" focussize="0,0"/>
                        <v:stroke on="f" joinstyle="miter"/>
                        <v:imagedata o:title=""/>
                        <o:lock v:ext="edit" aspectratio="f"/>
                        <v:textbox>
                          <w:txbxContent>
                            <w:p w14:paraId="5D477947">
                              <w:pPr>
                                <w:jc w:val="center"/>
                                <w:rPr>
                                  <w:rFonts w:hint="default" w:eastAsia="宋体"/>
                                  <w:szCs w:val="21"/>
                                  <w:lang w:val="en-US" w:eastAsia="zh-CN"/>
                                </w:rPr>
                              </w:pPr>
                              <w:r>
                                <w:rPr>
                                  <w:rFonts w:hint="eastAsia"/>
                                  <w:szCs w:val="21"/>
                                  <w:lang w:val="en-US" w:eastAsia="zh-CN"/>
                                </w:rPr>
                                <w:t>碎米、G14精选粉尘</w:t>
                              </w:r>
                            </w:p>
                          </w:txbxContent>
                        </v:textbox>
                      </v:shape>
                      <v:shape id="文本框 575" o:spid="_x0000_s1026" o:spt="202" type="#_x0000_t202" style="position:absolute;left:3562985;top:7030085;height:259715;width:142811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EzlWYB0CAAAnBAAADgAAAGRycy9lMm9Eb2MueG1srVNLktMw&#10;FNxTxR1U2hM7CZl8Ks5UQRg2FFA1cABFlmNV6YekJA4HgBuwYjN7zpVz0JIznxo2WbCxn6V2v9et&#10;1vK604rshQ/SmooOByUlwnBbS7Ot6NcvN69mlITITM2UNaKiRxHo9erli+XBLcTItlbVwhOQmLA4&#10;uIq2MbpFUQTeCs3CwDphsNlYr1nEp98WtWcHsGtVjMryqjhYXztvuQgBq+t+k54Z/SWEtmkkF2vL&#10;d1qY2LN6oViEpNBKF+gqT9s0gsdPTRNEJKqiUBrzE01Qb9KzWC3ZYuuZayU/j8AuGeGZJs2kQdMH&#10;qjWLjOy8/IdKS+5tsE0ccKuLXkh2BCqG5TNvblvmRNYCq4N7MD38P1r+cf/ZE1kjCeMxJYZpHPnp&#10;18/T7z+nux9kMp0kiw4uLIC8dcDG7o3tAL9fD1hMyrvG6/SGJoL98eRqNJ9NKDlWdFqOyxJ1Nlt0&#10;kfBE8Ho0Gw4B4ECMJvMpagCKRybnQ3wvrCapqKjHYWaP2f5DiD30HpIaG3sjlco9lCGHis4no0TP&#10;ENIG4UCpHYQGs800T/CJZs1CS/YMOQlWybofVssofKZsBavfmZrEo4NDBleDph5a1JQogZuUqoyM&#10;TKpLkFCqDAQnc3sTUxW7TQeaVG5sfYThuKtQ31r/HR2RVAz4bcc8+jPDsVxRSOvLt7GP9s55uW3x&#10;Vz6l3AH5yeaes54C+vQ7z/F4v1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haHxnVAAAABgEA&#10;AA8AAAAAAAAAAQAgAAAAIgAAAGRycy9kb3ducmV2LnhtbFBLAQIUABQAAAAIAIdO4kATOVZgHQIA&#10;ACcEAAAOAAAAAAAAAAEAIAAAACQBAABkcnMvZTJvRG9jLnhtbFBLBQYAAAAABgAGAFkBAACzBQAA&#10;AAA=&#10;">
                        <v:fill on="f" focussize="0,0"/>
                        <v:stroke on="f" joinstyle="miter"/>
                        <v:imagedata o:title=""/>
                        <o:lock v:ext="edit" aspectratio="f"/>
                        <v:textbox>
                          <w:txbxContent>
                            <w:p w14:paraId="4FF8D2B7">
                              <w:pPr>
                                <w:jc w:val="center"/>
                                <w:rPr>
                                  <w:rFonts w:hint="default" w:eastAsia="宋体"/>
                                  <w:szCs w:val="21"/>
                                  <w:lang w:val="en-US" w:eastAsia="zh-CN"/>
                                </w:rPr>
                              </w:pPr>
                              <w:r>
                                <w:rPr>
                                  <w:rFonts w:hint="eastAsia"/>
                                  <w:szCs w:val="21"/>
                                  <w:lang w:val="en-US" w:eastAsia="zh-CN"/>
                                </w:rPr>
                                <w:t>霉米、S3废包装袋</w:t>
                              </w:r>
                            </w:p>
                          </w:txbxContent>
                        </v:textbox>
                      </v:shape>
                      <v:line id="直线 592" o:spid="_x0000_s1026" o:spt="20" style="position:absolute;left:3410585;top:717486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BiFmCMAgIAAOsDAAAOAAAAZHJzL2Uyb0RvYy54bWytU81uEzEQ&#10;viPxDpbvZJNt0iarbHpoKBcEkQrcJ/7ZteQ/2W42eRZegxMXHqevwdgbWihC6oE9WGPvN9/M93m8&#10;vj4aTQ4iROVsS2eTKSXCMseV7Vr6+dPtmyUlMYHloJ0VLT2JSK83r1+tB9+I2vVOcxEIktjYDL6l&#10;fUq+qarIemEgTpwXFn9KFwwk3Iau4gEGZDe6qqfTy2pwgfvgmIgRT7fjT3pmDC8hdFIqJraO3Rth&#10;08gahIaEkmKvfKSb0q2UgqWPUkaRiG4pKk1lxSIY7/NabdbQdAF8r9i5BXhJC880GVAWiz5SbSEB&#10;uQ/qLyqjWHDRyTRhzlSjkOIIqphNn3lz14MXRQtaHf2j6fH/0bIPh10giuMkXMwpsWDwyh++fnv4&#10;/oMsVnX2Z/CxQdiN3YXzLvpdyGKPMhgitfJfML3IR0Hk2NKL+Wy6WC4oObX0anY1X14uRqfFMRGG&#10;gHq5rFd4BwwB5RKqkS2z+hDTO+EMyUFLtbLZA2jg8D4m7AChvyD5WFsytHS1qLEcAxxIiYOAofEo&#10;Ktqu5EanFb9VWueMGLr9jQ7kAHkoype7Q94/YLnIFmI/4jhGo4ZeAH9rOUknj15ZfCQ0d2AEp0QL&#10;fFM5Qj5oEij9hExBge30P9BYXVtsIrs9+pujveOnYns5xxkobZ7nNQ/Z7/uS/fRG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PKR9QAAAAGAQAADwAAAAAAAAABACAAAAAiAAAAZHJzL2Rvd25y&#10;ZXYueG1sUEsBAhQAFAAAAAgAh07iQGIWYIwCAgAA6wMAAA4AAAAAAAAAAQAgAAAAIwEAAGRycy9l&#10;Mm9Eb2MueG1sUEsFBgAAAAAGAAYAWQEAAJcFAAAAAA==&#10;">
                        <v:fill on="f" focussize="0,0"/>
                        <v:stroke color="#000000" joinstyle="round" dashstyle="dash" endarrow="block"/>
                        <v:imagedata o:title=""/>
                        <o:lock v:ext="edit" aspectratio="f"/>
                      </v:line>
                      <v:shape id="文本框 577" o:spid="_x0000_s1026" o:spt="202" type="#_x0000_t202" style="position:absolute;left:2191385;top:2808605;height:252095;width:899795;" fillcolor="#FFFFFF" filled="t" stroked="t" coordsize="21600,21600" o:gfxdata="UEsDBAoAAAAAAIdO4kAAAAAAAAAAAAAAAAAEAAAAZHJzL1BLAwQUAAAACACHTuJADeTKS9YAAAAG&#10;AQAADwAAAGRycy9kb3ducmV2LnhtbE2PwU7DMBBE70j8g7VIXBC120AIIU4PSCC4QanK1Y23SUS8&#10;Drablr9n4QKXkVYzmnlbLY9uEBOG2HvSMJ8pEEiNtz21GtZvD5cFiJgMWTN4Qg1fGGFZn55UprT+&#10;QK84rVIruIRiaTR0KY2llLHp0Jk48yMSezsfnEl8hlbaYA5c7ga5UCqXzvTEC50Z8b7D5mO1dxqK&#10;q6fpPT5nL5sm3w236eJmevwMWp+fzdUdiITH9BeGH3xGh5qZtn5PNopBAz+SfpW94lrlILYcWmSZ&#10;AllX8j9+/Q1QSwMEFAAAAAgAh07iQGBWn24zAgAAdgQAAA4AAABkcnMvZTJvRG9jLnhtbK1US44T&#10;MRDdI3EHy3vSnaDMJFE6IzEhbBAgDRzAcbvTlvzDdpIOB4AbsGLDfs6Vc/DsznxhkQW96C7b5Vf1&#10;XlX1/KrTiuyED9Kaig4HJSXCcFtLs6nol8+rVxNKQmSmZsoaUdGDCPRq8fLFfO9mYmRbq2rhCUBM&#10;mO1dRdsY3awoAm+FZmFgnTA4bKzXLGLpN0Xt2R7oWhWjsrwo9tbXzlsuQsDusj+kJ0R/DqBtGsnF&#10;0vKtFib2qF4oFkEptNIFusjZNo3g8WPTBBGJqiiYxvxGENjr9C4WczbbeOZayU8psHNSeMZJM2kQ&#10;9B5qySIjWy//gtKSextsEwfc6qInkhUBi2H5TJubljmRuUDq4O5FD/8Pln/YffJE1hVF2Q3TKPjx&#10;54/jr9vj7+9kfHmZBNq7MIPfjYNn7N7YDm1ztx+wmXh3jdfpC0YE56PhdPh6MqbkAHtSTi7KcS+1&#10;6CLhcJhMp5dTnPPkMB6VsBGpeAByPsR3wmqSjIp6VDILzHbvQ+xd71xS3GCVrFdSqbzwm/W18mTH&#10;UPVVfk7oT9yUIfuKTsejlAdDKzdoIZjaQY5gNjnekxvhMXCZn38Bp8SWLLR9AhmhZ69lFD63XCtY&#10;/dbUJB4cJDeYNJqS0aKmRAkMZrKyZ2RSneMJ7ZSBhKlafVWSFbt1B5hkrm19QAUx+tCztf4bIqLx&#10;QfXrlnnEZ4Zju6LQoDevYz8pW+flpsWtXPYcAe2Yy3UandTvj9c5j4ffx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eTKS9YAAAAGAQAADwAAAAAAAAABACAAAAAiAAAAZHJzL2Rvd25yZXYueG1s&#10;UEsBAhQAFAAAAAgAh07iQGBWn24zAgAAdgQAAA4AAAAAAAAAAQAgAAAAJQEAAGRycy9lMm9Eb2Mu&#10;eG1sUEsFBgAAAAAGAAYAWQEAAMoFAAAAAA==&#10;">
                        <v:fill on="t" focussize="0,0"/>
                        <v:stroke color="#000000" joinstyle="miter"/>
                        <v:imagedata o:title=""/>
                        <o:lock v:ext="edit" aspectratio="f"/>
                        <v:textbox>
                          <w:txbxContent>
                            <w:p w14:paraId="77EA7B18">
                              <w:pPr>
                                <w:jc w:val="center"/>
                                <w:rPr>
                                  <w:rFonts w:hint="default" w:eastAsia="宋体"/>
                                  <w:lang w:val="en-US" w:eastAsia="zh-CN"/>
                                </w:rPr>
                              </w:pPr>
                              <w:r>
                                <w:rPr>
                                  <w:rFonts w:hint="eastAsia"/>
                                  <w:lang w:val="en-US" w:eastAsia="zh-CN"/>
                                </w:rPr>
                                <w:t>一次色选</w:t>
                              </w:r>
                            </w:p>
                          </w:txbxContent>
                        </v:textbox>
                      </v:shape>
                      <v:line id="直线 592" o:spid="_x0000_s1026" o:spt="20" style="position:absolute;left:3105785;top:2945765;flip:y;height:0;width:288290;" filled="f" stroked="t" coordsize="21600,21600" o:gfxdata="UEsDBAoAAAAAAIdO4kAAAAAAAAAAAAAAAAAEAAAAZHJzL1BLAwQUAAAACACHTuJAE3PKR9QAAAAG&#10;AQAADwAAAGRycy9kb3ducmV2LnhtbE2PT2sCMRDF7wW/QxjBW03UVnS7WQ+CIL1VC73Gzbi7mEzW&#10;JP5pP32nvbSXB8N7vPebcnX3Tlwxpi6QhslYgUCqg+2o0fC+3zwuQKRsyBoXCDV8YoJVNXgoTWHD&#10;jd7wusuN4BJKhdHQ5twXUqa6RW/SOPRI7B1D9CbzGRtpo7lxuXdyqtRcetMRL7Smx3WL9Wl38Rqe&#10;1PlrvX9tuqXb4jJhpOMpf2g9Gk7UC4iM9/wXhh98RoeKmQ7hQjYJp4Efyb/K3uJZzUEcODSdzRTI&#10;qpT/8atvUEsDBBQAAAAIAIdO4kDNTe3y/wEAAOkDAAAOAAAAZHJzL2Uyb0RvYy54bWytU8tuEzEU&#10;3SPxD5b3ZJKBaZNRJl00lA2CSAX2N37MWPJLtptJvoXfYMWGz+lvcO0JLRQhdcEsrGvP8fE5x9fr&#10;q6PR5CBCVM52dDGbUyIsc1zZvqOfP928WlISE1gO2lnR0ZOI9Grz8sV69K2o3eA0F4EgiY3t6Ds6&#10;pOTbqopsEAbizHlh8ad0wUDCaegrHmBEdqOrej6/qEYXuA+OiRhxdTv9pGfG8BxCJ6ViYuvYnRE2&#10;TaxBaEhoKQ7KR7opaqUULH2UMopEdEfRaSojHoL1Po/VZg1tH8APip0lwHMkPPFkQFk89IFqCwnI&#10;XVB/URnFgotOphlzppqMlETQxWL+JJvbAbwoXjDq6B9Cj/+Pln047AJRvKMrSiwYvPD7r9/uv/8g&#10;zarO6Yw+tgi6trtwnkW/C9nqUQZDpFb+C7ZRMY92yLGjrxfz5nLZUHLqaL1601xeNFPO4pgIQ0C9&#10;XNYrvAGGgHIF1cSWWX2I6Z1whuSio1rZnAC0cHgfEypA6C9IXtaWjKi9qfE4BtiOEtsAS+PRUrR9&#10;2RudVvxGaZ13xNDvr3UgB8gtUb6sDnn/gOVDthCHCcexmjwMAvhby0k6eczK4hOhWYERnBIt8EXl&#10;CvmgTaD0IzIFBbbX/0Dj6dqiiJz2lG+u9o6fSuxlHTugyDx3a26x3+dl9+ML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PKR9QAAAAGAQAADwAAAAAAAAABACAAAAAiAAAAZHJzL2Rvd25yZXYu&#10;eG1sUEsBAhQAFAAAAAgAh07iQM1N7fL/AQAA6QMAAA4AAAAAAAAAAQAgAAAAIwEAAGRycy9lMm9E&#10;b2MueG1sUEsFBgAAAAAGAAYAWQEAAJQFAAAAAA==&#10;">
                        <v:fill on="f" focussize="0,0"/>
                        <v:stroke color="#000000" joinstyle="round" dashstyle="dash" endarrow="block"/>
                        <v:imagedata o:title=""/>
                        <o:lock v:ext="edit" aspectratio="f"/>
                      </v:line>
                      <v:shape id="文本框 575" o:spid="_x0000_s1026" o:spt="202" type="#_x0000_t202" style="position:absolute;left:3281045;top:2793365;height:267335;width:1710055;" filled="f" stroked="f" coordsize="21600,21600" o:gfxdata="UEsDBAoAAAAAAIdO4kAAAAAAAAAAAAAAAAAEAAAAZHJzL1BLAwQUAAAACACHTuJACFofGdUAAAAG&#10;AQAADwAAAGRycy9kb3ducmV2LnhtbE2PzU7DMBCE70h9B2srcaN2W1qVEKeHVlxBlB+J2zbeJhHx&#10;OordJrw9Cxe4jLSa0cy3+Xb0rbpQH5vAFuYzA4q4DK7hysLry8PNBlRMyA7bwGThiyJsi8lVjpkL&#10;Az/T5ZAqJSUcM7RQp9RlWseyJo9xFjpi8U6h95jk7Cvtehyk3Ld6Ycxae2xYFmrsaFdT+Xk4ewtv&#10;j6eP91vzVO39qhvCaDT7O23t9XRu7kElGtNfGH7wBR0KYTqGM7uoWgvySPpV8TYrswZ1lNBiuTSg&#10;i1z/xy++AVBLAwQUAAAACACHTuJAOqIlpR4CAAAmBAAADgAAAGRycy9lMm9Eb2MueG1srVPNjtMw&#10;GLwj8Q6W7zRpS9vdqOlKUJYLAqSFB3Adp7HkP2y3TXkAeANOXPbOc/U5GDvdHy2XPXBJvtiT+b4Z&#10;j5dXvVZkL3yQ1tR0PCopEYbbRpptTb9+uX51QUmIzDRMWSNqehSBXq1evlgeXCUmtrOqEZ6AxITq&#10;4Graxeiqogi8E5qFkXXCYLO1XrOIT78tGs8OYNeqmJTlvDhY3zhvuQgBq+thk54Z/XMIbdtKLtaW&#10;77QwcWD1QrEISaGTLtBVnrZtBY+f2jaISFRNoTTmJ5qg3qRnsVqyauuZ6yQ/j8CeM8ITTZpJg6b3&#10;VGsWGdl5+Q+VltzbYNs44lYXg5DsCFSMyyfe3HTMiawFVgd3b3r4f7T84/6zJ7JBEmCJYRonfvr1&#10;8/T7z+n2B5ktZsmhgwsVgDcO0Ni/sT3Qd+sBi0l433qd3pBEsD+dXIzL1zNKjjWdLC6n03lmYpXo&#10;I+GJYDEuyxkAPCHmi+k0A4oHJudDfC+sJqmoqcdZZovZ/kOImArQO0hqbOy1VCqfpzLkUNPL2STR&#10;M2S0RTZQagedwWwzzSN8olmz0JE9Q0yCVbIZgqFlFD5TdoI170xD4tHBIYObQVMPLRpKlMBFSlVG&#10;RibVc5AYXxmoSOYOJqYq9pseNKnc2OYIw3FVob6z/js6IqgY8NuOefRnhmO5ppA2lG/jkOyd83Lb&#10;4a98SrkD4pMdO0c95fPxd57j4Xqv/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Wh8Z1QAAAAYB&#10;AAAPAAAAAAAAAAEAIAAAACIAAABkcnMvZG93bnJldi54bWxQSwECFAAUAAAACACHTuJAOqIlpR4C&#10;AAAmBAAADgAAAAAAAAABACAAAAAkAQAAZHJzL2Uyb0RvYy54bWxQSwUGAAAAAAYABgBZAQAAtAUA&#10;AAAA&#10;">
                        <v:fill on="f" focussize="0,0"/>
                        <v:stroke on="f" joinstyle="miter"/>
                        <v:imagedata o:title=""/>
                        <o:lock v:ext="edit" aspectratio="f"/>
                        <v:textbox>
                          <w:txbxContent>
                            <w:p w14:paraId="78D2A38E">
                              <w:pPr>
                                <w:jc w:val="center"/>
                                <w:rPr>
                                  <w:rFonts w:hint="default" w:eastAsia="宋体"/>
                                  <w:szCs w:val="21"/>
                                  <w:lang w:val="en-US" w:eastAsia="zh-CN"/>
                                </w:rPr>
                              </w:pPr>
                              <w:r>
                                <w:rPr>
                                  <w:rFonts w:hint="default"/>
                                  <w:szCs w:val="21"/>
                                  <w:lang w:val="en-US" w:eastAsia="zh-CN"/>
                                </w:rPr>
                                <w:t>霉米、G6一次色选粉尘</w:t>
                              </w:r>
                            </w:p>
                          </w:txbxContent>
                        </v:textbox>
                      </v:shape>
                      <v:line id="直线 580" o:spid="_x0000_s1026" o:spt="20" style="position:absolute;left:2656205;top:4004945;height:215900;width:0;" filled="f" stroked="t" coordsize="21600,21600" o:gfxdata="UEsDBAoAAAAAAIdO4kAAAAAAAAAAAAAAAAAEAAAAZHJzL1BLAwQUAAAACACHTuJAae93I9cAAAAG&#10;AQAADwAAAGRycy9kb3ducmV2LnhtbE2PwU7DMBBE70j8g7VI3KidVlRRiNMDUrm0gNoiBDc3XpKI&#10;eB3ZThv+noULXEZazWjmbbmaXC9OGGLnSUM2UyCQam87ajS8HNY3OYiYDFnTe0INXxhhVV1elKaw&#10;/kw7PO1TI7iEYmE0tCkNhZSxbtGZOPMDEnsfPjiT+AyNtMGcudz1cq7UUjrTES+0ZsD7FuvP/eg0&#10;7LbrTf66Gac6vD9kT4fn7eNbzLW+vsrUHYiEU/oLww8+o0PFTEc/ko2i18CPpF9lL79VSxBHDs0X&#10;CwWyKuV//OobUEsDBBQAAAAIAIdO4kCnuakd9AEAAOEDAAAOAAAAZHJzL2Uyb0RvYy54bWytU82O&#10;0zAQviPxDpbvNGnUVNuo6R62LBcElYAHmDpOYsl/8nj78yy8BicuPM6+BmOnbGER0h7IwRnbn7+Z&#10;7/N4fXsymh1kQOVsy+ezkjNpheuUHVr+5fP9mxvOMILtQDsrW36WyG83r1+tj76RlRud7mRgRGKx&#10;OfqWjzH6pihQjNIAzpyXljZ7FwxEmoah6AIcid3ooirLZXF0ofPBCYlIq9tpk18Yw0sIXd8rIbdO&#10;PBhp48QapIZIknBUHvkmV9v3UsSPfY8yMt1yUhrzSEko3qex2KyhGQL4UYlLCfCSEp5pMqAsJX2i&#10;2kIE9hDUX1RGieDQ9XEmnCkmIdkRUjEvn3nzaQQvsxayGv2T6fj/aMWHwy4w1bV8seLMgqEbf/z6&#10;7fH7D1bfZHuOHhtC3dldILPSDP0uJK2nPpj0JxXs1PJqWS+rsubsTGRluVgt6sleeYpMEIA8F7RX&#10;zetVmamLK4cPGN9JZ1gKWq6VTcKhgcN7jJSXoL8gaVlbdmz5qq4onQDqwp5un0LjSQnaIZ9Fp1V3&#10;r7ROJzAM+zsd2AFSJ+QvVUe8f8BSki3gOOHy1iRilNC9tR2LZ08WWXoaPJVgZMeZlvSSUpS7KYLS&#10;V2QMCuyg/4Gm9NpSFVdbU7R33Tm7ndfp5nOdly5NrfX7PJ++vsz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vdyPXAAAABgEAAA8AAAAAAAAAAQAgAAAAIgAAAGRycy9kb3ducmV2LnhtbFBLAQIU&#10;ABQAAAAIAIdO4kCnuakd9AEAAOEDAAAOAAAAAAAAAAEAIAAAACYBAABkcnMvZTJvRG9jLnhtbFBL&#10;BQYAAAAABgAGAFkBAACMBQAAAAA=&#10;">
                        <v:fill on="f" focussize="0,0"/>
                        <v:stroke color="#000000" joinstyle="round" endarrow="block"/>
                        <v:imagedata o:title=""/>
                        <o:lock v:ext="edit" aspectratio="f"/>
                      </v:line>
                      <w10:wrap type="none"/>
                      <w10:anchorlock/>
                    </v:group>
                  </w:pict>
                </mc:Fallback>
              </mc:AlternateContent>
            </w:r>
          </w:p>
          <w:p w14:paraId="760E9454">
            <w:pPr>
              <w:tabs>
                <w:tab w:val="left" w:pos="2001"/>
              </w:tabs>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大米加工</w:t>
            </w:r>
            <w:r>
              <w:rPr>
                <w:rFonts w:hint="default" w:ascii="Times New Roman" w:hAnsi="Times New Roman" w:cs="Times New Roman"/>
                <w:b/>
                <w:bCs/>
                <w:color w:val="auto"/>
                <w:sz w:val="21"/>
                <w:szCs w:val="21"/>
              </w:rPr>
              <w:t>生产工艺流程图及产污环节</w:t>
            </w:r>
          </w:p>
          <w:p w14:paraId="7964FC2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大米加工生产工艺流程：</w:t>
            </w:r>
          </w:p>
          <w:p w14:paraId="778DB604">
            <w:pPr>
              <w:keepNext w:val="0"/>
              <w:keepLines w:val="0"/>
              <w:pageBreakBefore w:val="0"/>
              <w:widowControl w:val="0"/>
              <w:kinsoku/>
              <w:wordWrap/>
              <w:overflowPunct/>
              <w:topLinePunct w:val="0"/>
              <w:bidi w:val="0"/>
              <w:snapToGrid w:val="0"/>
              <w:spacing w:line="360" w:lineRule="auto"/>
              <w:ind w:firstLine="482" w:firstLineChars="200"/>
              <w:textAlignment w:val="auto"/>
              <w:rPr>
                <w:rFonts w:hint="default" w:ascii="Times New Roman" w:hAnsi="Times New Roman"/>
                <w:b/>
                <w:bCs/>
                <w:color w:val="auto"/>
                <w:sz w:val="24"/>
                <w:lang w:val="en-US"/>
              </w:rPr>
            </w:pPr>
            <w:r>
              <w:rPr>
                <w:rFonts w:ascii="Times New Roman" w:hAnsi="Times New Roman"/>
                <w:b/>
                <w:bCs/>
                <w:color w:val="auto"/>
                <w:sz w:val="24"/>
              </w:rPr>
              <w:t>（1）</w:t>
            </w:r>
            <w:r>
              <w:rPr>
                <w:rFonts w:hint="eastAsia"/>
                <w:b/>
                <w:bCs/>
                <w:color w:val="auto"/>
                <w:sz w:val="24"/>
                <w:lang w:eastAsia="zh-CN"/>
              </w:rPr>
              <w:t>卸粮、清理、</w:t>
            </w:r>
            <w:r>
              <w:rPr>
                <w:rFonts w:hint="eastAsia"/>
                <w:b/>
                <w:bCs/>
                <w:color w:val="auto"/>
                <w:sz w:val="24"/>
                <w:lang w:val="en-US" w:eastAsia="zh-CN"/>
              </w:rPr>
              <w:t>去石工段</w:t>
            </w:r>
          </w:p>
          <w:p w14:paraId="44D3C812">
            <w:pPr>
              <w:keepNext w:val="0"/>
              <w:keepLines w:val="0"/>
              <w:pageBreakBefore w:val="0"/>
              <w:widowControl w:val="0"/>
              <w:kinsoku/>
              <w:wordWrap/>
              <w:overflowPunct/>
              <w:topLinePunct w:val="0"/>
              <w:bidi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
              </w:rPr>
            </w:pPr>
            <w:r>
              <w:rPr>
                <w:rFonts w:hint="eastAsia"/>
                <w:snapToGrid w:val="0"/>
                <w:color w:val="auto"/>
                <w:kern w:val="0"/>
                <w:sz w:val="24"/>
                <w:lang w:val="en-US" w:eastAsia="zh-CN"/>
              </w:rPr>
              <w:t>稻谷采用</w:t>
            </w:r>
            <w:r>
              <w:rPr>
                <w:rFonts w:hint="eastAsia" w:ascii="Times New Roman" w:hAnsi="Times New Roman" w:eastAsia="宋体" w:cs="Times New Roman"/>
                <w:color w:val="auto"/>
                <w:kern w:val="0"/>
                <w:sz w:val="24"/>
                <w:szCs w:val="24"/>
                <w:lang w:val="en-US" w:eastAsia="zh-CN" w:bidi="ar"/>
              </w:rPr>
              <w:t>运粮</w:t>
            </w:r>
            <w:r>
              <w:rPr>
                <w:rFonts w:hint="eastAsia"/>
                <w:snapToGrid w:val="0"/>
                <w:color w:val="auto"/>
                <w:kern w:val="0"/>
                <w:sz w:val="24"/>
                <w:lang w:val="en-US" w:eastAsia="zh-CN"/>
              </w:rPr>
              <w:t>卡车运输进厂，生产厂房设置1个</w:t>
            </w:r>
            <w:r>
              <w:rPr>
                <w:rFonts w:hint="default" w:ascii="Times New Roman" w:hAnsi="Times New Roman" w:eastAsia="宋体" w:cs="Times New Roman"/>
                <w:color w:val="auto"/>
                <w:kern w:val="0"/>
                <w:sz w:val="24"/>
                <w:szCs w:val="24"/>
                <w:lang w:val="en-US" w:eastAsia="zh-CN" w:bidi="ar"/>
              </w:rPr>
              <w:t>卸粮坑</w:t>
            </w:r>
            <w:r>
              <w:rPr>
                <w:rFonts w:hint="eastAsia" w:ascii="Times New Roman" w:hAnsi="Times New Roman" w:eastAsia="宋体" w:cs="Times New Roman"/>
                <w:color w:val="auto"/>
                <w:kern w:val="0"/>
                <w:sz w:val="24"/>
                <w:szCs w:val="24"/>
                <w:lang w:val="en-US" w:eastAsia="zh-CN" w:bidi="ar"/>
              </w:rPr>
              <w:t>，运粮</w:t>
            </w:r>
            <w:r>
              <w:rPr>
                <w:rFonts w:hint="eastAsia"/>
                <w:snapToGrid w:val="0"/>
                <w:color w:val="auto"/>
                <w:kern w:val="0"/>
                <w:sz w:val="24"/>
                <w:lang w:val="en-US" w:eastAsia="zh-CN"/>
              </w:rPr>
              <w:t>卡车</w:t>
            </w:r>
            <w:r>
              <w:rPr>
                <w:rFonts w:hint="eastAsia" w:ascii="Times New Roman" w:hAnsi="Times New Roman" w:eastAsia="宋体" w:cs="Times New Roman"/>
                <w:color w:val="auto"/>
                <w:kern w:val="0"/>
                <w:sz w:val="24"/>
                <w:szCs w:val="24"/>
                <w:lang w:val="en-US" w:eastAsia="zh-CN" w:bidi="ar"/>
              </w:rPr>
              <w:t>卸粮口正对地下卸粮坑的栅格盖板</w:t>
            </w:r>
            <w:r>
              <w:rPr>
                <w:rFonts w:hint="eastAsia" w:ascii="Times New Roman" w:hAnsi="Times New Roman" w:eastAsia="宋体" w:cs="Times New Roman"/>
                <w:color w:val="auto"/>
                <w:kern w:val="0"/>
                <w:sz w:val="24"/>
                <w:szCs w:val="24"/>
                <w:lang w:val="en-US" w:eastAsia="zh-CN" w:bidi="ar"/>
              </w:rPr>
              <w:fldChar w:fldCharType="begin"/>
            </w:r>
            <w:r>
              <w:rPr>
                <w:rFonts w:hint="eastAsia" w:ascii="Times New Roman" w:hAnsi="Times New Roman" w:eastAsia="宋体" w:cs="Times New Roman"/>
                <w:color w:val="auto"/>
                <w:kern w:val="0"/>
                <w:sz w:val="24"/>
                <w:szCs w:val="24"/>
                <w:lang w:val="en-US" w:eastAsia="zh-CN" w:bidi="ar"/>
              </w:rPr>
              <w:instrText xml:space="preserve"> HYPERLINK "https://www.jsycport.com/m/892/2025-09-30/content-23748.html" \t "https://chat.deepseek.com/a/chat/s/_blank" </w:instrText>
            </w:r>
            <w:r>
              <w:rPr>
                <w:rFonts w:hint="eastAsia" w:ascii="Times New Roman" w:hAnsi="Times New Roman" w:eastAsia="宋体" w:cs="Times New Roman"/>
                <w:color w:val="auto"/>
                <w:kern w:val="0"/>
                <w:sz w:val="24"/>
                <w:szCs w:val="24"/>
                <w:lang w:val="en-US" w:eastAsia="zh-CN" w:bidi="ar"/>
              </w:rPr>
              <w:fldChar w:fldCharType="separate"/>
            </w:r>
            <w:r>
              <w:rPr>
                <w:rFonts w:hint="eastAsia"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fldChar w:fldCharType="begin"/>
            </w:r>
            <w:r>
              <w:rPr>
                <w:rFonts w:hint="eastAsia" w:ascii="Times New Roman" w:hAnsi="Times New Roman" w:eastAsia="宋体" w:cs="Times New Roman"/>
                <w:color w:val="auto"/>
                <w:kern w:val="0"/>
                <w:sz w:val="24"/>
                <w:szCs w:val="24"/>
                <w:lang w:val="en-US" w:eastAsia="zh-CN" w:bidi="ar"/>
              </w:rPr>
              <w:instrText xml:space="preserve"> HYPERLINK "https://lswz.ah.gov.cn/xwzx/mtjj/57864361.html" \t "https://chat.deepseek.com/a/chat/s/_blank" </w:instrText>
            </w:r>
            <w:r>
              <w:rPr>
                <w:rFonts w:hint="eastAsia" w:ascii="Times New Roman" w:hAnsi="Times New Roman" w:eastAsia="宋体" w:cs="Times New Roman"/>
                <w:color w:val="auto"/>
                <w:kern w:val="0"/>
                <w:sz w:val="24"/>
                <w:szCs w:val="24"/>
                <w:lang w:val="en-US" w:eastAsia="zh-CN" w:bidi="ar"/>
              </w:rPr>
              <w:fldChar w:fldCharType="separate"/>
            </w:r>
            <w:r>
              <w:rPr>
                <w:rFonts w:hint="eastAsia"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t>，将</w:t>
            </w:r>
            <w:r>
              <w:rPr>
                <w:rFonts w:hint="eastAsia"/>
                <w:snapToGrid w:val="0"/>
                <w:color w:val="auto"/>
                <w:kern w:val="0"/>
                <w:sz w:val="24"/>
                <w:lang w:val="en-US" w:eastAsia="zh-CN"/>
              </w:rPr>
              <w:t>稻谷卸入</w:t>
            </w:r>
            <w:r>
              <w:rPr>
                <w:rFonts w:hint="eastAsia" w:ascii="Times New Roman" w:hAnsi="Times New Roman" w:eastAsia="宋体" w:cs="Times New Roman"/>
                <w:color w:val="auto"/>
                <w:kern w:val="0"/>
                <w:sz w:val="24"/>
                <w:szCs w:val="24"/>
                <w:lang w:val="en-US" w:eastAsia="zh-CN" w:bidi="ar"/>
              </w:rPr>
              <w:t>卸粮坑内。卸粮坑上方设置集气罩收集卸粮产生的粉尘，收集的卸粮粉尘经脉冲除尘器处理</w:t>
            </w:r>
            <w:r>
              <w:rPr>
                <w:rFonts w:hint="eastAsia" w:ascii="Times New Roman" w:hAnsi="Times New Roman" w:eastAsia="宋体" w:cs="Times New Roman"/>
                <w:color w:val="auto"/>
                <w:kern w:val="0"/>
                <w:sz w:val="24"/>
                <w:szCs w:val="24"/>
                <w:lang w:val="en-US" w:eastAsia="zh-CN" w:bidi="ar"/>
              </w:rPr>
              <w:fldChar w:fldCharType="begin"/>
            </w:r>
            <w:r>
              <w:rPr>
                <w:rFonts w:hint="eastAsia" w:ascii="Times New Roman" w:hAnsi="Times New Roman" w:eastAsia="宋体" w:cs="Times New Roman"/>
                <w:color w:val="auto"/>
                <w:kern w:val="0"/>
                <w:sz w:val="24"/>
                <w:szCs w:val="24"/>
                <w:lang w:val="en-US" w:eastAsia="zh-CN" w:bidi="ar"/>
              </w:rPr>
              <w:instrText xml:space="preserve"> HYPERLINK "https://wap.cnki.net/touch/web/Journal/Article/MFTX201503005.html" \t "https://chat.deepseek.com/a/chat/s/_blank" </w:instrText>
            </w:r>
            <w:r>
              <w:rPr>
                <w:rFonts w:hint="eastAsia" w:ascii="Times New Roman" w:hAnsi="Times New Roman" w:eastAsia="宋体" w:cs="Times New Roman"/>
                <w:color w:val="auto"/>
                <w:kern w:val="0"/>
                <w:sz w:val="24"/>
                <w:szCs w:val="24"/>
                <w:lang w:val="en-US" w:eastAsia="zh-CN" w:bidi="ar"/>
              </w:rPr>
              <w:fldChar w:fldCharType="separate"/>
            </w:r>
            <w:r>
              <w:rPr>
                <w:rFonts w:hint="eastAsia"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t>。</w:t>
            </w:r>
          </w:p>
          <w:p w14:paraId="15798E68">
            <w:pPr>
              <w:keepNext w:val="0"/>
              <w:keepLines w:val="0"/>
              <w:pageBreakBefore w:val="0"/>
              <w:widowControl w:val="0"/>
              <w:kinsoku/>
              <w:wordWrap/>
              <w:overflowPunct/>
              <w:topLinePunct w:val="0"/>
              <w:bidi w:val="0"/>
              <w:snapToGrid w:val="0"/>
              <w:spacing w:line="360" w:lineRule="auto"/>
              <w:ind w:firstLine="480"/>
              <w:textAlignment w:val="auto"/>
              <w:rPr>
                <w:rFonts w:hint="default" w:ascii="Times New Roman" w:hAnsi="Times New Roman"/>
                <w:snapToGrid w:val="0"/>
                <w:color w:val="auto"/>
                <w:kern w:val="0"/>
                <w:sz w:val="24"/>
                <w:lang w:val="en-US" w:eastAsia="zh-CN"/>
              </w:rPr>
            </w:pPr>
            <w:r>
              <w:rPr>
                <w:rFonts w:hint="eastAsia"/>
                <w:snapToGrid w:val="0"/>
                <w:color w:val="auto"/>
                <w:kern w:val="0"/>
                <w:sz w:val="24"/>
                <w:lang w:val="en-US" w:eastAsia="zh-CN"/>
              </w:rPr>
              <w:t>项目投料采用密闭管道输送，稻谷从稻谷仓通过管道密闭输送到清理筛内，清理筛利用风吹方式将轻杂质从稻谷中“吹”出来，由于轻杂质重量轻，很容易被气流带走进入旋风除尘器，而较重的稻谷则按原有轨迹下落，从而实现分离。初清后的原粮通过管道密闭输送到除杂工序，除杂工序采用平面回转筛、去石机协同进行，主要去除比稻谷轻的草棒和比稻谷重的石块、铁等杂质。草棒等比较轻的杂质可用平面回转筛去除，石块和铁等比重较大的杂质可用去石机去除，杂质去除后，最后计量送至砻谷工段，根据建设单位提供资料，</w:t>
            </w:r>
            <w:r>
              <w:rPr>
                <w:rFonts w:hint="default" w:ascii="Times New Roman" w:hAnsi="Times New Roman" w:eastAsia="宋体" w:cs="Times New Roman"/>
                <w:b w:val="0"/>
                <w:bCs w:val="0"/>
                <w:color w:val="auto"/>
                <w:sz w:val="24"/>
                <w:szCs w:val="24"/>
              </w:rPr>
              <w:t>砂石</w:t>
            </w:r>
            <w:r>
              <w:rPr>
                <w:rFonts w:hint="eastAsia" w:cs="Times New Roman"/>
                <w:b w:val="0"/>
                <w:bCs w:val="0"/>
                <w:color w:val="auto"/>
                <w:sz w:val="24"/>
                <w:szCs w:val="24"/>
                <w:lang w:val="en-US" w:eastAsia="zh-CN"/>
              </w:rPr>
              <w:t>等</w:t>
            </w:r>
            <w:r>
              <w:rPr>
                <w:rFonts w:hint="default" w:ascii="Times New Roman" w:hAnsi="Times New Roman" w:eastAsia="宋体" w:cs="Times New Roman"/>
                <w:b w:val="0"/>
                <w:bCs w:val="0"/>
                <w:color w:val="auto"/>
                <w:sz w:val="24"/>
                <w:szCs w:val="24"/>
              </w:rPr>
              <w:t>杂质</w:t>
            </w:r>
            <w:r>
              <w:rPr>
                <w:rFonts w:hint="eastAsia" w:cs="Times New Roman"/>
                <w:b w:val="0"/>
                <w:bCs w:val="0"/>
                <w:color w:val="auto"/>
                <w:sz w:val="24"/>
                <w:szCs w:val="24"/>
                <w:lang w:val="en-US" w:eastAsia="zh-CN"/>
              </w:rPr>
              <w:t>约占</w:t>
            </w:r>
            <w:r>
              <w:rPr>
                <w:rFonts w:hint="default" w:ascii="Times New Roman" w:hAnsi="Times New Roman" w:eastAsia="宋体" w:cs="Times New Roman"/>
                <w:b w:val="0"/>
                <w:bCs w:val="0"/>
                <w:color w:val="auto"/>
                <w:sz w:val="24"/>
                <w:szCs w:val="24"/>
              </w:rPr>
              <w:t>稻谷量的0.0</w:t>
            </w:r>
            <w:r>
              <w:rPr>
                <w:rFonts w:hint="eastAsia" w:cs="Times New Roman"/>
                <w:b w:val="0"/>
                <w:bCs w:val="0"/>
                <w:color w:val="auto"/>
                <w:sz w:val="24"/>
                <w:szCs w:val="24"/>
                <w:lang w:val="en-US" w:eastAsia="zh-CN"/>
              </w:rPr>
              <w:t>05</w:t>
            </w:r>
            <w:r>
              <w:rPr>
                <w:rFonts w:hint="default" w:ascii="Times New Roman" w:hAnsi="Times New Roman" w:eastAsia="宋体" w:cs="Times New Roman"/>
                <w:b w:val="0"/>
                <w:bCs w:val="0"/>
                <w:color w:val="auto"/>
                <w:sz w:val="24"/>
                <w:szCs w:val="24"/>
              </w:rPr>
              <w:t>%</w:t>
            </w:r>
            <w:r>
              <w:rPr>
                <w:rFonts w:hint="eastAsia"/>
                <w:snapToGrid w:val="0"/>
                <w:color w:val="auto"/>
                <w:kern w:val="0"/>
                <w:sz w:val="24"/>
                <w:lang w:val="en-US" w:eastAsia="zh-CN"/>
              </w:rPr>
              <w:t>。该工段主要污染物为卸粮、清理、除杂、去石过程的粉尘，砂石、杂质等固体废物以及设备噪声。</w:t>
            </w:r>
          </w:p>
          <w:p w14:paraId="7E9DF39C">
            <w:pPr>
              <w:keepNext w:val="0"/>
              <w:keepLines w:val="0"/>
              <w:pageBreakBefore w:val="0"/>
              <w:widowControl w:val="0"/>
              <w:kinsoku/>
              <w:wordWrap/>
              <w:overflowPunct/>
              <w:topLinePunct w:val="0"/>
              <w:bidi w:val="0"/>
              <w:snapToGrid w:val="0"/>
              <w:spacing w:line="360" w:lineRule="auto"/>
              <w:ind w:firstLine="482" w:firstLineChars="200"/>
              <w:textAlignment w:val="auto"/>
              <w:rPr>
                <w:rFonts w:hint="eastAsia" w:ascii="Times New Roman" w:hAnsi="Times New Roman" w:eastAsia="宋体"/>
                <w:b/>
                <w:bCs/>
                <w:color w:val="auto"/>
                <w:sz w:val="24"/>
                <w:lang w:val="en-US" w:eastAsia="zh-CN"/>
              </w:rPr>
            </w:pPr>
            <w:r>
              <w:rPr>
                <w:rFonts w:ascii="Times New Roman" w:hAnsi="Times New Roman"/>
                <w:b/>
                <w:bCs/>
                <w:color w:val="auto"/>
                <w:sz w:val="24"/>
              </w:rPr>
              <w:t>（2）砻谷及谷糙分离</w:t>
            </w:r>
            <w:r>
              <w:rPr>
                <w:rFonts w:hint="eastAsia"/>
                <w:b/>
                <w:bCs/>
                <w:color w:val="auto"/>
                <w:sz w:val="24"/>
                <w:lang w:val="en-US" w:eastAsia="zh-CN"/>
              </w:rPr>
              <w:t>工段</w:t>
            </w:r>
          </w:p>
          <w:p w14:paraId="7372EC45">
            <w:pPr>
              <w:snapToGrid w:val="0"/>
              <w:spacing w:line="360" w:lineRule="auto"/>
              <w:ind w:firstLine="480"/>
              <w:rPr>
                <w:rFonts w:hint="eastAsia"/>
                <w:color w:val="auto"/>
                <w:kern w:val="0"/>
                <w:sz w:val="24"/>
                <w:lang w:eastAsia="zh-CN"/>
              </w:rPr>
            </w:pPr>
            <w:r>
              <w:rPr>
                <w:rFonts w:hint="eastAsia"/>
                <w:color w:val="auto"/>
                <w:kern w:val="0"/>
                <w:sz w:val="24"/>
                <w:lang w:eastAsia="zh-CN"/>
              </w:rPr>
              <w:t>稻谷剥掉谷壳过程称为“砻谷”，由砻谷机对稻谷进行剥壳。稻谷剥开谷壳的米粒叫“糙米”，糙米为淡棕色，砻谷过程不可能100%获得糙米，谷粒和糙米混合在一起为“谷糙混合物”。糙米稻谷混合物进入谷糙分离机，分离出来的稻谷送回砻谷机，糙米混合物返回谷糙分离筛分离，进入糙米仓进行调质处理。去除杂质后的稻谷通过砻谷机剥壳，形成的谷糙混合物进入谷糙分离机进行分离，分离出的谷粒返回至砻谷机重新剥壳，分离出的糙米则进入下一个工段。砻谷过程中米的表面或多或少会有划痕，糠粉很容易塞在里面，时间稍长即酸败，从而影响米的贮存期，因此应定期检查、清理设备。稻谷经过砻谷机进行米粒与稻壳的分离，分离的稻壳运送至粉碎车间，经稻壳粉碎及粉碎后集中收集外售。</w:t>
            </w:r>
          </w:p>
          <w:p w14:paraId="77778A4E">
            <w:pPr>
              <w:snapToGrid w:val="0"/>
              <w:spacing w:line="360" w:lineRule="auto"/>
              <w:ind w:firstLine="480"/>
              <w:rPr>
                <w:rFonts w:hint="default" w:ascii="Times New Roman" w:hAnsi="Times New Roman" w:eastAsia="宋体"/>
                <w:color w:val="auto"/>
                <w:kern w:val="0"/>
                <w:sz w:val="24"/>
                <w:lang w:val="en-US" w:eastAsia="zh-CN"/>
              </w:rPr>
            </w:pPr>
            <w:r>
              <w:rPr>
                <w:rFonts w:hint="eastAsia"/>
                <w:color w:val="auto"/>
                <w:kern w:val="0"/>
                <w:sz w:val="24"/>
                <w:lang w:eastAsia="zh-CN"/>
              </w:rPr>
              <w:t>该工段主要为砻谷脱壳、稻壳破碎、谷糙分离过程的粉尘，稻壳、谷糠等副产物以及设备噪声</w:t>
            </w:r>
            <w:r>
              <w:rPr>
                <w:rFonts w:hint="eastAsia"/>
                <w:color w:val="auto"/>
                <w:kern w:val="0"/>
                <w:sz w:val="24"/>
                <w:lang w:val="en-US" w:eastAsia="zh-CN"/>
              </w:rPr>
              <w:t>。</w:t>
            </w:r>
          </w:p>
          <w:p w14:paraId="6CC7CE05">
            <w:pPr>
              <w:snapToGrid w:val="0"/>
              <w:spacing w:line="360" w:lineRule="auto"/>
              <w:ind w:firstLine="482" w:firstLineChars="200"/>
              <w:rPr>
                <w:rFonts w:hint="eastAsia" w:ascii="Times New Roman" w:hAnsi="Times New Roman" w:eastAsia="宋体"/>
                <w:b/>
                <w:bCs/>
                <w:color w:val="auto"/>
                <w:sz w:val="24"/>
                <w:lang w:val="en-US" w:eastAsia="zh-CN"/>
              </w:rPr>
            </w:pPr>
            <w:r>
              <w:rPr>
                <w:rFonts w:ascii="Times New Roman" w:hAnsi="Times New Roman"/>
                <w:b/>
                <w:bCs/>
                <w:color w:val="auto"/>
                <w:sz w:val="24"/>
              </w:rPr>
              <w:t>（3）</w:t>
            </w:r>
            <w:r>
              <w:rPr>
                <w:rFonts w:hint="eastAsia"/>
                <w:b/>
                <w:bCs/>
                <w:color w:val="auto"/>
                <w:sz w:val="24"/>
                <w:lang w:val="en-US" w:eastAsia="zh-CN"/>
              </w:rPr>
              <w:t>一次色选、</w:t>
            </w:r>
            <w:r>
              <w:rPr>
                <w:rFonts w:ascii="Times New Roman" w:hAnsi="Times New Roman"/>
                <w:b/>
                <w:bCs/>
                <w:color w:val="auto"/>
                <w:sz w:val="24"/>
              </w:rPr>
              <w:t>碾米、</w:t>
            </w:r>
            <w:r>
              <w:rPr>
                <w:rFonts w:hint="eastAsia"/>
                <w:b/>
                <w:bCs/>
                <w:color w:val="auto"/>
                <w:sz w:val="24"/>
                <w:lang w:val="en-US" w:eastAsia="zh-CN"/>
              </w:rPr>
              <w:t>一次白米</w:t>
            </w:r>
            <w:r>
              <w:rPr>
                <w:rFonts w:ascii="Times New Roman" w:hAnsi="Times New Roman"/>
                <w:b/>
                <w:bCs/>
                <w:color w:val="auto"/>
                <w:sz w:val="24"/>
              </w:rPr>
              <w:t>分级</w:t>
            </w:r>
            <w:r>
              <w:rPr>
                <w:rFonts w:hint="eastAsia"/>
                <w:b/>
                <w:bCs/>
                <w:color w:val="auto"/>
                <w:sz w:val="24"/>
                <w:lang w:eastAsia="zh-CN"/>
              </w:rPr>
              <w:t>、</w:t>
            </w:r>
            <w:r>
              <w:rPr>
                <w:rFonts w:hint="eastAsia"/>
                <w:b/>
                <w:bCs/>
                <w:color w:val="auto"/>
                <w:sz w:val="24"/>
                <w:lang w:val="en-US" w:eastAsia="zh-CN"/>
              </w:rPr>
              <w:t>一次</w:t>
            </w:r>
            <w:r>
              <w:rPr>
                <w:rFonts w:ascii="Times New Roman" w:hAnsi="Times New Roman"/>
                <w:b/>
                <w:bCs/>
                <w:color w:val="auto"/>
                <w:sz w:val="24"/>
              </w:rPr>
              <w:t>抛光</w:t>
            </w:r>
            <w:r>
              <w:rPr>
                <w:rFonts w:hint="eastAsia"/>
                <w:b/>
                <w:bCs/>
                <w:color w:val="auto"/>
                <w:sz w:val="24"/>
                <w:lang w:eastAsia="zh-CN"/>
              </w:rPr>
              <w:t>、</w:t>
            </w:r>
            <w:r>
              <w:rPr>
                <w:rFonts w:hint="eastAsia"/>
                <w:b/>
                <w:bCs/>
                <w:color w:val="auto"/>
                <w:sz w:val="24"/>
                <w:lang w:val="en-US" w:eastAsia="zh-CN"/>
              </w:rPr>
              <w:t>二次色选工段</w:t>
            </w:r>
          </w:p>
          <w:p w14:paraId="50F92ECB">
            <w:pPr>
              <w:snapToGrid w:val="0"/>
              <w:spacing w:line="360" w:lineRule="auto"/>
              <w:ind w:firstLine="480" w:firstLineChars="200"/>
              <w:rPr>
                <w:rFonts w:ascii="Times New Roman" w:hAnsi="Times New Roman"/>
                <w:color w:val="auto"/>
                <w:sz w:val="24"/>
              </w:rPr>
            </w:pPr>
            <w:r>
              <w:rPr>
                <w:rFonts w:hint="eastAsia"/>
                <w:snapToGrid w:val="0"/>
                <w:color w:val="auto"/>
                <w:kern w:val="0"/>
                <w:sz w:val="24"/>
                <w:lang w:val="en-US" w:eastAsia="zh-CN"/>
              </w:rPr>
              <w:t>一次色选：</w:t>
            </w:r>
            <w:r>
              <w:rPr>
                <w:rFonts w:ascii="Times New Roman" w:hAnsi="Times New Roman"/>
                <w:snapToGrid w:val="0"/>
                <w:color w:val="auto"/>
                <w:kern w:val="0"/>
                <w:sz w:val="24"/>
              </w:rPr>
              <w:t>经谷糙分离后提升送至色选机，</w:t>
            </w:r>
            <w:r>
              <w:rPr>
                <w:rFonts w:hint="eastAsia"/>
                <w:snapToGrid w:val="0"/>
                <w:color w:val="auto"/>
                <w:kern w:val="0"/>
                <w:sz w:val="24"/>
                <w:lang w:val="en-US" w:eastAsia="zh-CN"/>
              </w:rPr>
              <w:t>一次</w:t>
            </w:r>
            <w:r>
              <w:rPr>
                <w:rFonts w:ascii="Times New Roman" w:hAnsi="Times New Roman"/>
                <w:color w:val="auto"/>
                <w:kern w:val="0"/>
                <w:sz w:val="24"/>
              </w:rPr>
              <w:t>色选主要是去除黄粒米</w:t>
            </w:r>
            <w:r>
              <w:rPr>
                <w:rFonts w:hint="eastAsia"/>
                <w:color w:val="auto"/>
                <w:kern w:val="0"/>
                <w:sz w:val="24"/>
                <w:lang w:eastAsia="zh-CN"/>
              </w:rPr>
              <w:t>等</w:t>
            </w:r>
            <w:r>
              <w:rPr>
                <w:rFonts w:hint="eastAsia"/>
                <w:color w:val="auto"/>
                <w:kern w:val="0"/>
                <w:sz w:val="24"/>
                <w:lang w:val="en-US" w:eastAsia="zh-CN"/>
              </w:rPr>
              <w:t>碎</w:t>
            </w:r>
            <w:r>
              <w:rPr>
                <w:rFonts w:ascii="Times New Roman" w:hAnsi="Times New Roman"/>
                <w:color w:val="auto"/>
                <w:kern w:val="0"/>
                <w:sz w:val="24"/>
              </w:rPr>
              <w:t>米。</w:t>
            </w:r>
          </w:p>
          <w:p w14:paraId="6E311025">
            <w:pPr>
              <w:snapToGrid w:val="0"/>
              <w:spacing w:line="360" w:lineRule="auto"/>
              <w:ind w:firstLine="480" w:firstLineChars="200"/>
              <w:rPr>
                <w:rFonts w:ascii="Times New Roman" w:hAnsi="Times New Roman"/>
                <w:color w:val="auto"/>
                <w:kern w:val="0"/>
                <w:sz w:val="24"/>
              </w:rPr>
            </w:pPr>
            <w:r>
              <w:rPr>
                <w:rFonts w:ascii="Times New Roman" w:hAnsi="Times New Roman"/>
                <w:color w:val="auto"/>
                <w:sz w:val="24"/>
              </w:rPr>
              <w:t>碾米：</w:t>
            </w:r>
            <w:r>
              <w:rPr>
                <w:rFonts w:ascii="Times New Roman" w:hAnsi="Times New Roman"/>
                <w:color w:val="auto"/>
                <w:kern w:val="0"/>
                <w:sz w:val="24"/>
              </w:rPr>
              <w:t>碾米就是借助旋转的砂辊使米粒与碾白室构件及米粒与米粒之间产生相互碰撞、摩擦及翻滚等运动，通过碾削及摩擦擦</w:t>
            </w:r>
            <w:r>
              <w:rPr>
                <w:rFonts w:hint="eastAsia" w:ascii="宋体" w:hAnsi="宋体" w:eastAsia="宋体" w:cs="宋体"/>
                <w:color w:val="auto"/>
                <w:kern w:val="0"/>
                <w:sz w:val="24"/>
              </w:rPr>
              <w:t>离等作用将米粒表皮部分或全部去除，除去淡棕色层</w:t>
            </w:r>
            <w:r>
              <w:rPr>
                <w:rFonts w:hint="eastAsia" w:ascii="宋体" w:hAnsi="宋体" w:cs="宋体"/>
                <w:color w:val="auto"/>
                <w:kern w:val="0"/>
                <w:sz w:val="24"/>
                <w:lang w:eastAsia="zh-CN"/>
              </w:rPr>
              <w:t>（</w:t>
            </w:r>
            <w:r>
              <w:rPr>
                <w:rFonts w:hint="eastAsia" w:ascii="宋体" w:hAnsi="宋体" w:eastAsia="宋体" w:cs="宋体"/>
                <w:color w:val="auto"/>
                <w:kern w:val="0"/>
                <w:sz w:val="24"/>
              </w:rPr>
              <w:t>皮层和胚芽</w:t>
            </w:r>
            <w:r>
              <w:rPr>
                <w:rFonts w:hint="eastAsia" w:ascii="宋体" w:hAnsi="宋体" w:cs="宋体"/>
                <w:color w:val="auto"/>
                <w:kern w:val="0"/>
                <w:sz w:val="24"/>
                <w:lang w:eastAsia="zh-CN"/>
              </w:rPr>
              <w:t>）</w:t>
            </w:r>
            <w:r>
              <w:rPr>
                <w:rFonts w:hint="eastAsia" w:ascii="宋体" w:hAnsi="宋体" w:eastAsia="宋体" w:cs="宋体"/>
                <w:color w:val="auto"/>
                <w:kern w:val="0"/>
                <w:sz w:val="24"/>
              </w:rPr>
              <w:t>后糙米变成白色的米粒“白米”，碾下的淡棕色的米皮“糠粉”。</w:t>
            </w:r>
            <w:r>
              <w:rPr>
                <w:rFonts w:hint="eastAsia" w:ascii="宋体" w:hAnsi="宋体" w:eastAsia="宋体" w:cs="宋体"/>
                <w:color w:val="auto"/>
                <w:kern w:val="0"/>
                <w:sz w:val="24"/>
                <w:lang w:val="en-US" w:eastAsia="zh-CN"/>
              </w:rPr>
              <w:t>碾米工序会产生粉尘、设备噪声及副产品</w:t>
            </w:r>
            <w:r>
              <w:rPr>
                <w:rFonts w:hint="eastAsia" w:ascii="Times New Roman" w:hAnsi="Times New Roman"/>
                <w:color w:val="auto"/>
                <w:kern w:val="0"/>
                <w:sz w:val="24"/>
                <w:lang w:val="en-US" w:eastAsia="zh-CN"/>
              </w:rPr>
              <w:t>米糠等。</w:t>
            </w:r>
          </w:p>
          <w:p w14:paraId="4D68C648">
            <w:pPr>
              <w:snapToGrid w:val="0"/>
              <w:spacing w:line="360" w:lineRule="auto"/>
              <w:ind w:firstLine="480" w:firstLineChars="200"/>
              <w:rPr>
                <w:rFonts w:ascii="Times New Roman" w:hAnsi="Times New Roman"/>
                <w:color w:val="auto"/>
                <w:kern w:val="0"/>
                <w:sz w:val="24"/>
              </w:rPr>
            </w:pPr>
            <w:r>
              <w:rPr>
                <w:rFonts w:hint="eastAsia"/>
                <w:color w:val="auto"/>
                <w:sz w:val="24"/>
                <w:lang w:val="en-US" w:eastAsia="zh-CN"/>
              </w:rPr>
              <w:t>一次白米</w:t>
            </w:r>
            <w:r>
              <w:rPr>
                <w:rFonts w:ascii="Times New Roman" w:hAnsi="Times New Roman"/>
                <w:color w:val="auto"/>
                <w:sz w:val="24"/>
              </w:rPr>
              <w:t>分级：</w:t>
            </w:r>
            <w:r>
              <w:rPr>
                <w:rFonts w:ascii="Times New Roman" w:hAnsi="Times New Roman"/>
                <w:snapToGrid w:val="0"/>
                <w:color w:val="auto"/>
                <w:kern w:val="0"/>
                <w:sz w:val="24"/>
              </w:rPr>
              <w:t>利用碎米和整米立型差异，利用白米分级筛在平面回转的筛面上进行自动分级，经过适当配备的四层筛面的连续筛理，</w:t>
            </w:r>
            <w:r>
              <w:rPr>
                <w:rFonts w:hint="eastAsia"/>
                <w:snapToGrid w:val="0"/>
                <w:color w:val="auto"/>
                <w:kern w:val="0"/>
                <w:sz w:val="24"/>
                <w:lang w:eastAsia="zh-CN"/>
              </w:rPr>
              <w:t>分离</w:t>
            </w:r>
            <w:r>
              <w:rPr>
                <w:rFonts w:ascii="Times New Roman" w:hAnsi="Times New Roman"/>
                <w:snapToGrid w:val="0"/>
                <w:color w:val="auto"/>
                <w:kern w:val="0"/>
                <w:sz w:val="24"/>
              </w:rPr>
              <w:t>出整米、大碎米、中碎米、小碎米四个等级，分离出来整米由提升机经计量送入</w:t>
            </w:r>
            <w:r>
              <w:rPr>
                <w:rFonts w:hint="eastAsia" w:ascii="Times New Roman" w:hAnsi="Times New Roman"/>
                <w:snapToGrid w:val="0"/>
                <w:color w:val="auto"/>
                <w:kern w:val="0"/>
                <w:sz w:val="24"/>
                <w:lang w:val="en-US" w:eastAsia="zh-CN"/>
              </w:rPr>
              <w:t>凉</w:t>
            </w:r>
            <w:r>
              <w:rPr>
                <w:rFonts w:ascii="Times New Roman" w:hAnsi="Times New Roman"/>
                <w:snapToGrid w:val="0"/>
                <w:color w:val="auto"/>
                <w:kern w:val="0"/>
                <w:sz w:val="24"/>
              </w:rPr>
              <w:t>米仓；碎米分离出来后，进入碎米仓。</w:t>
            </w:r>
            <w:r>
              <w:rPr>
                <w:rFonts w:hint="eastAsia" w:ascii="Times New Roman" w:hAnsi="Times New Roman"/>
                <w:snapToGrid w:val="0"/>
                <w:color w:val="auto"/>
                <w:kern w:val="0"/>
                <w:sz w:val="24"/>
                <w:lang w:val="en-US" w:eastAsia="zh-CN"/>
              </w:rPr>
              <w:t>白米分级</w:t>
            </w:r>
            <w:r>
              <w:rPr>
                <w:rFonts w:hint="eastAsia" w:ascii="Times New Roman" w:hAnsi="Times New Roman"/>
                <w:color w:val="auto"/>
                <w:kern w:val="0"/>
                <w:sz w:val="24"/>
                <w:lang w:val="en-US" w:eastAsia="zh-CN"/>
              </w:rPr>
              <w:t>工序会产生粉尘、设备噪声及副产品碎米等。</w:t>
            </w:r>
          </w:p>
          <w:p w14:paraId="53528D60">
            <w:pPr>
              <w:snapToGrid w:val="0"/>
              <w:spacing w:line="360" w:lineRule="auto"/>
              <w:ind w:firstLine="480"/>
              <w:rPr>
                <w:rFonts w:ascii="Times New Roman" w:hAnsi="Times New Roman"/>
                <w:snapToGrid w:val="0"/>
                <w:color w:val="auto"/>
                <w:kern w:val="0"/>
                <w:sz w:val="24"/>
              </w:rPr>
            </w:pPr>
            <w:r>
              <w:rPr>
                <w:rFonts w:hint="eastAsia"/>
                <w:color w:val="auto"/>
                <w:sz w:val="24"/>
                <w:lang w:val="en-US" w:eastAsia="zh-CN"/>
              </w:rPr>
              <w:t>一次</w:t>
            </w:r>
            <w:r>
              <w:rPr>
                <w:rFonts w:ascii="Times New Roman" w:hAnsi="Times New Roman"/>
                <w:color w:val="auto"/>
                <w:sz w:val="24"/>
              </w:rPr>
              <w:t>抛光</w:t>
            </w:r>
            <w:r>
              <w:rPr>
                <w:rFonts w:ascii="Times New Roman" w:hAnsi="Times New Roman"/>
                <w:snapToGrid w:val="0"/>
                <w:color w:val="auto"/>
                <w:kern w:val="0"/>
                <w:sz w:val="24"/>
              </w:rPr>
              <w:t>：大米抛光是加工精制米、精制米时必不可少的工序。抛光借助</w:t>
            </w:r>
            <w:r>
              <w:rPr>
                <w:rFonts w:hint="eastAsia"/>
                <w:snapToGrid w:val="0"/>
                <w:color w:val="auto"/>
                <w:kern w:val="0"/>
                <w:sz w:val="24"/>
                <w:lang w:eastAsia="zh-CN"/>
              </w:rPr>
              <w:t>摩擦</w:t>
            </w:r>
            <w:r>
              <w:rPr>
                <w:rFonts w:ascii="Times New Roman" w:hAnsi="Times New Roman"/>
                <w:snapToGrid w:val="0"/>
                <w:color w:val="auto"/>
                <w:kern w:val="0"/>
                <w:sz w:val="24"/>
              </w:rPr>
              <w:t>作用将米粒表面浮糠擦除，提高米粒表面的光洁度，同时有助于大米保鲜。</w:t>
            </w:r>
          </w:p>
          <w:p w14:paraId="35BBB61C">
            <w:pPr>
              <w:snapToGrid w:val="0"/>
              <w:spacing w:line="360" w:lineRule="auto"/>
              <w:ind w:firstLine="480"/>
              <w:rPr>
                <w:rFonts w:hint="default" w:ascii="Times New Roman" w:hAnsi="Times New Roman" w:eastAsia="宋体"/>
                <w:snapToGrid w:val="0"/>
                <w:color w:val="auto"/>
                <w:kern w:val="0"/>
                <w:sz w:val="24"/>
                <w:lang w:val="en-US" w:eastAsia="zh-CN"/>
              </w:rPr>
            </w:pPr>
            <w:r>
              <w:rPr>
                <w:rFonts w:hint="eastAsia"/>
                <w:snapToGrid w:val="0"/>
                <w:color w:val="auto"/>
                <w:kern w:val="0"/>
                <w:sz w:val="24"/>
                <w:lang w:val="en-US" w:eastAsia="zh-CN"/>
              </w:rPr>
              <w:t>二次色选：</w:t>
            </w:r>
            <w:r>
              <w:rPr>
                <w:rFonts w:ascii="Times New Roman" w:hAnsi="Times New Roman"/>
                <w:snapToGrid w:val="0"/>
                <w:color w:val="auto"/>
                <w:kern w:val="0"/>
                <w:sz w:val="24"/>
              </w:rPr>
              <w:t>经抛光后提升送至色选机，</w:t>
            </w:r>
            <w:r>
              <w:rPr>
                <w:rFonts w:ascii="Times New Roman" w:hAnsi="Times New Roman"/>
                <w:color w:val="auto"/>
                <w:kern w:val="0"/>
                <w:sz w:val="24"/>
              </w:rPr>
              <w:t>色选主要是去除黄粒米</w:t>
            </w:r>
            <w:r>
              <w:rPr>
                <w:rFonts w:hint="eastAsia"/>
                <w:color w:val="auto"/>
                <w:kern w:val="0"/>
                <w:sz w:val="24"/>
                <w:lang w:eastAsia="zh-CN"/>
              </w:rPr>
              <w:t>等</w:t>
            </w:r>
            <w:r>
              <w:rPr>
                <w:rFonts w:hint="eastAsia"/>
                <w:color w:val="auto"/>
                <w:kern w:val="0"/>
                <w:sz w:val="24"/>
                <w:lang w:val="en-US" w:eastAsia="zh-CN"/>
              </w:rPr>
              <w:t>碎</w:t>
            </w:r>
            <w:r>
              <w:rPr>
                <w:rFonts w:ascii="Times New Roman" w:hAnsi="Times New Roman"/>
                <w:color w:val="auto"/>
                <w:kern w:val="0"/>
                <w:sz w:val="24"/>
              </w:rPr>
              <w:t>米。</w:t>
            </w:r>
          </w:p>
          <w:p w14:paraId="41E14272">
            <w:pPr>
              <w:snapToGrid w:val="0"/>
              <w:spacing w:line="360" w:lineRule="auto"/>
              <w:ind w:firstLine="480"/>
              <w:rPr>
                <w:rFonts w:hint="default" w:ascii="Times New Roman" w:hAnsi="Times New Roman" w:eastAsia="宋体"/>
                <w:snapToGrid w:val="0"/>
                <w:color w:val="auto"/>
                <w:kern w:val="0"/>
                <w:sz w:val="24"/>
                <w:lang w:val="en-US" w:eastAsia="zh-CN"/>
              </w:rPr>
            </w:pPr>
            <w:r>
              <w:rPr>
                <w:rFonts w:hint="default" w:ascii="Times New Roman" w:hAnsi="Times New Roman" w:eastAsia="宋体"/>
                <w:snapToGrid w:val="0"/>
                <w:color w:val="auto"/>
                <w:kern w:val="0"/>
                <w:sz w:val="24"/>
                <w:lang w:val="en-US" w:eastAsia="zh-CN"/>
              </w:rPr>
              <w:t>该工段主要产生碾米粉尘、大米抛光粉尘、白米分级粉尘</w:t>
            </w:r>
            <w:r>
              <w:rPr>
                <w:rFonts w:hint="eastAsia"/>
                <w:snapToGrid w:val="0"/>
                <w:color w:val="auto"/>
                <w:kern w:val="0"/>
                <w:sz w:val="24"/>
                <w:lang w:val="en-US" w:eastAsia="zh-CN"/>
              </w:rPr>
              <w:t>、色选粉尘</w:t>
            </w:r>
            <w:r>
              <w:rPr>
                <w:rFonts w:hint="default" w:ascii="Times New Roman" w:hAnsi="Times New Roman" w:eastAsia="宋体"/>
                <w:snapToGrid w:val="0"/>
                <w:color w:val="auto"/>
                <w:kern w:val="0"/>
                <w:sz w:val="24"/>
                <w:lang w:val="en-US" w:eastAsia="zh-CN"/>
              </w:rPr>
              <w:t>和浮糠，以及设备噪</w:t>
            </w:r>
            <w:r>
              <w:rPr>
                <w:rFonts w:hint="eastAsia"/>
                <w:snapToGrid w:val="0"/>
                <w:color w:val="auto"/>
                <w:kern w:val="0"/>
                <w:sz w:val="24"/>
                <w:lang w:val="en-US" w:eastAsia="zh-CN"/>
              </w:rPr>
              <w:t>。</w:t>
            </w:r>
          </w:p>
          <w:p w14:paraId="79908AC2">
            <w:pPr>
              <w:snapToGrid w:val="0"/>
              <w:spacing w:line="360" w:lineRule="auto"/>
              <w:ind w:firstLine="482" w:firstLineChars="200"/>
              <w:rPr>
                <w:rFonts w:ascii="Times New Roman" w:hAnsi="Times New Roman"/>
                <w:snapToGrid w:val="0"/>
                <w:color w:val="auto"/>
                <w:kern w:val="0"/>
                <w:sz w:val="24"/>
              </w:rPr>
            </w:pPr>
            <w:r>
              <w:rPr>
                <w:rFonts w:ascii="Times New Roman" w:hAnsi="Times New Roman"/>
                <w:b/>
                <w:bCs/>
                <w:snapToGrid w:val="0"/>
                <w:color w:val="auto"/>
                <w:kern w:val="0"/>
                <w:sz w:val="24"/>
              </w:rPr>
              <w:t>说明：</w:t>
            </w:r>
            <w:r>
              <w:rPr>
                <w:rFonts w:ascii="Times New Roman" w:hAnsi="Times New Roman"/>
                <w:snapToGrid w:val="0"/>
                <w:color w:val="auto"/>
                <w:kern w:val="0"/>
                <w:sz w:val="24"/>
              </w:rPr>
              <w:t>抛光工序新鲜水的用量较少，用途为抛光机加水抛光，新鲜水经蒸发全部消耗，整个生产流程不产生工艺性废水外排。</w:t>
            </w:r>
          </w:p>
          <w:p w14:paraId="5D9CA540">
            <w:pPr>
              <w:numPr>
                <w:ilvl w:val="0"/>
                <w:numId w:val="5"/>
              </w:numPr>
              <w:snapToGrid w:val="0"/>
              <w:spacing w:line="360" w:lineRule="auto"/>
              <w:ind w:firstLine="482" w:firstLineChars="200"/>
              <w:rPr>
                <w:rFonts w:ascii="Times New Roman" w:hAnsi="Times New Roman"/>
                <w:b/>
                <w:bCs/>
                <w:snapToGrid w:val="0"/>
                <w:color w:val="auto"/>
                <w:kern w:val="0"/>
                <w:sz w:val="24"/>
              </w:rPr>
            </w:pPr>
            <w:r>
              <w:rPr>
                <w:rFonts w:hint="eastAsia"/>
                <w:b/>
                <w:bCs/>
                <w:color w:val="auto"/>
                <w:sz w:val="24"/>
                <w:lang w:val="en-US" w:eastAsia="zh-CN"/>
              </w:rPr>
              <w:t>二次抛光、三次</w:t>
            </w:r>
            <w:r>
              <w:rPr>
                <w:rFonts w:ascii="Times New Roman" w:hAnsi="Times New Roman"/>
                <w:b/>
                <w:bCs/>
                <w:color w:val="auto"/>
                <w:sz w:val="24"/>
              </w:rPr>
              <w:t>色选</w:t>
            </w:r>
            <w:r>
              <w:rPr>
                <w:rFonts w:hint="eastAsia"/>
                <w:b/>
                <w:bCs/>
                <w:color w:val="auto"/>
                <w:sz w:val="24"/>
                <w:lang w:eastAsia="zh-CN"/>
              </w:rPr>
              <w:t>、</w:t>
            </w:r>
            <w:r>
              <w:rPr>
                <w:rFonts w:hint="eastAsia"/>
                <w:b/>
                <w:bCs/>
                <w:color w:val="auto"/>
                <w:sz w:val="24"/>
                <w:lang w:val="en-US" w:eastAsia="zh-CN"/>
              </w:rPr>
              <w:t>二次白米分级、精选、四次色选工段</w:t>
            </w:r>
          </w:p>
          <w:p w14:paraId="5845AC35">
            <w:pPr>
              <w:snapToGrid w:val="0"/>
              <w:spacing w:line="360" w:lineRule="auto"/>
              <w:ind w:firstLine="480" w:firstLineChars="200"/>
              <w:rPr>
                <w:rFonts w:hint="eastAsia" w:ascii="Times New Roman" w:hAnsi="Times New Roman" w:eastAsia="宋体"/>
                <w:color w:val="auto"/>
                <w:kern w:val="0"/>
                <w:sz w:val="24"/>
                <w:lang w:eastAsia="zh-CN"/>
              </w:rPr>
            </w:pPr>
            <w:r>
              <w:rPr>
                <w:rFonts w:ascii="Times New Roman" w:hAnsi="Times New Roman"/>
                <w:snapToGrid w:val="0"/>
                <w:color w:val="auto"/>
                <w:kern w:val="0"/>
                <w:sz w:val="24"/>
              </w:rPr>
              <w:t>经</w:t>
            </w:r>
            <w:r>
              <w:rPr>
                <w:rFonts w:hint="eastAsia"/>
                <w:snapToGrid w:val="0"/>
                <w:color w:val="auto"/>
                <w:kern w:val="0"/>
                <w:sz w:val="24"/>
                <w:lang w:val="en-US" w:eastAsia="zh-CN"/>
              </w:rPr>
              <w:t>二次色选</w:t>
            </w:r>
            <w:r>
              <w:rPr>
                <w:rFonts w:hint="eastAsia"/>
                <w:color w:val="auto"/>
                <w:kern w:val="0"/>
                <w:sz w:val="24"/>
                <w:lang w:eastAsia="zh-CN"/>
              </w:rPr>
              <w:t>选出的成米则进行二次抛光</w:t>
            </w:r>
            <w:r>
              <w:rPr>
                <w:rFonts w:hint="eastAsia"/>
                <w:color w:val="auto"/>
                <w:kern w:val="0"/>
                <w:sz w:val="24"/>
                <w:lang w:val="en-US" w:eastAsia="zh-CN"/>
              </w:rPr>
              <w:t>和三</w:t>
            </w:r>
            <w:r>
              <w:rPr>
                <w:rFonts w:hint="eastAsia"/>
                <w:color w:val="auto"/>
                <w:kern w:val="0"/>
                <w:sz w:val="24"/>
                <w:lang w:eastAsia="zh-CN"/>
              </w:rPr>
              <w:t>次色选，</w:t>
            </w:r>
            <w:r>
              <w:rPr>
                <w:rFonts w:hint="eastAsia"/>
                <w:color w:val="auto"/>
                <w:kern w:val="0"/>
                <w:sz w:val="24"/>
                <w:lang w:val="en-US" w:eastAsia="zh-CN"/>
              </w:rPr>
              <w:t>再经二次白米分级、精选、四次色选处理</w:t>
            </w:r>
            <w:r>
              <w:rPr>
                <w:rFonts w:hint="eastAsia"/>
                <w:color w:val="auto"/>
                <w:kern w:val="0"/>
                <w:sz w:val="24"/>
                <w:lang w:eastAsia="zh-CN"/>
              </w:rPr>
              <w:t>后</w:t>
            </w:r>
            <w:r>
              <w:rPr>
                <w:rFonts w:hint="eastAsia"/>
                <w:color w:val="auto"/>
                <w:kern w:val="0"/>
                <w:sz w:val="24"/>
                <w:lang w:val="en-US" w:eastAsia="zh-CN"/>
              </w:rPr>
              <w:t>的</w:t>
            </w:r>
            <w:r>
              <w:rPr>
                <w:rFonts w:hint="eastAsia"/>
                <w:color w:val="auto"/>
                <w:kern w:val="0"/>
                <w:sz w:val="24"/>
                <w:lang w:eastAsia="zh-CN"/>
              </w:rPr>
              <w:t>成品</w:t>
            </w:r>
            <w:r>
              <w:rPr>
                <w:rFonts w:hint="eastAsia"/>
                <w:color w:val="auto"/>
                <w:kern w:val="0"/>
                <w:sz w:val="24"/>
                <w:lang w:val="en-US" w:eastAsia="zh-CN"/>
              </w:rPr>
              <w:t>进入包装工序</w:t>
            </w:r>
            <w:r>
              <w:rPr>
                <w:rFonts w:hint="eastAsia"/>
                <w:color w:val="auto"/>
                <w:kern w:val="0"/>
                <w:sz w:val="24"/>
                <w:lang w:eastAsia="zh-CN"/>
              </w:rPr>
              <w:t>。</w:t>
            </w:r>
          </w:p>
          <w:p w14:paraId="77E83AEC">
            <w:pPr>
              <w:snapToGrid w:val="0"/>
              <w:spacing w:line="360" w:lineRule="auto"/>
              <w:ind w:firstLine="482" w:firstLineChars="200"/>
              <w:rPr>
                <w:rFonts w:hint="eastAsia" w:ascii="Times New Roman" w:hAnsi="Times New Roman" w:eastAsia="宋体"/>
                <w:b/>
                <w:bCs/>
                <w:color w:val="auto"/>
                <w:sz w:val="24"/>
                <w:lang w:val="en-US" w:eastAsia="zh-CN"/>
              </w:rPr>
            </w:pPr>
            <w:r>
              <w:rPr>
                <w:rFonts w:ascii="Times New Roman" w:hAnsi="Times New Roman"/>
                <w:b/>
                <w:bCs/>
                <w:color w:val="auto"/>
                <w:sz w:val="24"/>
              </w:rPr>
              <w:t>（5）</w:t>
            </w:r>
            <w:r>
              <w:rPr>
                <w:rFonts w:hint="eastAsia"/>
                <w:b/>
                <w:bCs/>
                <w:color w:val="auto"/>
                <w:sz w:val="24"/>
                <w:lang w:val="en-US" w:eastAsia="zh-CN"/>
              </w:rPr>
              <w:t>计量</w:t>
            </w:r>
            <w:r>
              <w:rPr>
                <w:rFonts w:ascii="Times New Roman" w:hAnsi="Times New Roman"/>
                <w:b/>
                <w:bCs/>
                <w:color w:val="auto"/>
                <w:sz w:val="24"/>
              </w:rPr>
              <w:t>包装</w:t>
            </w:r>
            <w:r>
              <w:rPr>
                <w:rFonts w:hint="eastAsia"/>
                <w:b/>
                <w:bCs/>
                <w:color w:val="auto"/>
                <w:sz w:val="24"/>
                <w:lang w:val="en-US" w:eastAsia="zh-CN"/>
              </w:rPr>
              <w:t>工段</w:t>
            </w:r>
          </w:p>
          <w:p w14:paraId="1A742E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olor w:val="auto"/>
                <w:kern w:val="0"/>
                <w:sz w:val="24"/>
                <w:lang w:val="en-US" w:eastAsia="zh-CN"/>
              </w:rPr>
            </w:pPr>
            <w:r>
              <w:rPr>
                <w:rFonts w:hint="eastAsia"/>
                <w:color w:val="auto"/>
                <w:kern w:val="0"/>
                <w:sz w:val="24"/>
                <w:lang w:val="en-GB" w:eastAsia="zh-CN"/>
              </w:rPr>
              <w:t>成品米由计量秤计量，再由打包机打包封口，成品进入小包装机进行打包（大米包装规格为</w:t>
            </w:r>
            <w:r>
              <w:rPr>
                <w:rFonts w:hint="eastAsia"/>
                <w:color w:val="auto"/>
                <w:kern w:val="0"/>
                <w:sz w:val="24"/>
                <w:lang w:val="en-US" w:eastAsia="zh-CN"/>
              </w:rPr>
              <w:t>5kg、10kg、25kg</w:t>
            </w:r>
            <w:r>
              <w:rPr>
                <w:rFonts w:hint="eastAsia"/>
                <w:color w:val="auto"/>
                <w:kern w:val="0"/>
                <w:sz w:val="24"/>
                <w:lang w:val="en-GB" w:eastAsia="zh-CN"/>
              </w:rPr>
              <w:t>），成品米在前端抛光色选工段时已将粉尘去除，因此成品米打包工序无废气产生；</w:t>
            </w:r>
            <w:r>
              <w:rPr>
                <w:rFonts w:hint="eastAsia"/>
                <w:color w:val="auto"/>
                <w:kern w:val="0"/>
                <w:sz w:val="24"/>
                <w:lang w:val="en-US" w:eastAsia="zh-CN"/>
              </w:rPr>
              <w:t>副成品</w:t>
            </w:r>
            <w:r>
              <w:rPr>
                <w:rFonts w:hint="eastAsia" w:ascii="Times New Roman" w:hAnsi="Times New Roman"/>
                <w:color w:val="auto"/>
                <w:kern w:val="0"/>
                <w:sz w:val="24"/>
                <w:lang w:val="en-US" w:eastAsia="zh-CN"/>
              </w:rPr>
              <w:t>碎米</w:t>
            </w:r>
            <w:r>
              <w:rPr>
                <w:rFonts w:hint="eastAsia"/>
                <w:color w:val="auto"/>
                <w:kern w:val="0"/>
                <w:sz w:val="24"/>
                <w:lang w:val="en-US" w:eastAsia="zh-CN"/>
              </w:rPr>
              <w:t>、霉米由</w:t>
            </w:r>
            <w:r>
              <w:rPr>
                <w:rFonts w:hint="eastAsia"/>
                <w:color w:val="auto"/>
                <w:kern w:val="0"/>
                <w:sz w:val="24"/>
                <w:lang w:val="en-GB" w:eastAsia="zh-CN"/>
              </w:rPr>
              <w:t>打包机打包封口</w:t>
            </w:r>
            <w:r>
              <w:rPr>
                <w:rFonts w:hint="eastAsia"/>
                <w:color w:val="auto"/>
                <w:kern w:val="0"/>
                <w:sz w:val="24"/>
                <w:lang w:val="en-US" w:eastAsia="zh-CN"/>
              </w:rPr>
              <w:t>后暂存在副成品仓库，</w:t>
            </w:r>
            <w:r>
              <w:rPr>
                <w:rFonts w:hint="eastAsia" w:ascii="Times New Roman" w:hAnsi="Times New Roman"/>
                <w:color w:val="auto"/>
                <w:kern w:val="0"/>
                <w:sz w:val="24"/>
                <w:lang w:val="en-US" w:eastAsia="zh-CN"/>
              </w:rPr>
              <w:t>副</w:t>
            </w:r>
            <w:r>
              <w:rPr>
                <w:rFonts w:hint="eastAsia"/>
                <w:color w:val="auto"/>
                <w:kern w:val="0"/>
                <w:sz w:val="24"/>
                <w:lang w:val="en-US" w:eastAsia="zh-CN"/>
              </w:rPr>
              <w:t>成品米糠、稻壳分别经密闭管道进入米糠仓、稻壳仓，米糠仓与稻壳仓下方设置</w:t>
            </w:r>
            <w:r>
              <w:rPr>
                <w:rFonts w:hint="eastAsia"/>
                <w:color w:val="auto"/>
                <w:kern w:val="0"/>
                <w:sz w:val="24"/>
                <w:lang w:val="en-GB" w:eastAsia="zh-CN"/>
              </w:rPr>
              <w:t>打包机，</w:t>
            </w:r>
            <w:r>
              <w:rPr>
                <w:rFonts w:hint="eastAsia"/>
                <w:color w:val="auto"/>
                <w:kern w:val="0"/>
                <w:sz w:val="24"/>
                <w:lang w:val="en-US" w:eastAsia="zh-CN"/>
              </w:rPr>
              <w:t>将米糠、稻壳密闭打包后，暂存在副成品仓库，米糠、稻壳装卸过程无粉尘产生。</w:t>
            </w:r>
          </w:p>
          <w:p w14:paraId="3ED9F7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color w:val="auto"/>
                <w:sz w:val="24"/>
                <w:lang w:val="en-US" w:eastAsia="zh-CN"/>
              </w:rPr>
            </w:pPr>
            <w:r>
              <w:rPr>
                <w:rFonts w:hint="eastAsia"/>
                <w:color w:val="auto"/>
                <w:kern w:val="0"/>
                <w:sz w:val="24"/>
                <w:lang w:val="en-US" w:eastAsia="zh-CN"/>
              </w:rPr>
              <w:t>该工段产污主要为废包装袋、设备噪声</w:t>
            </w:r>
            <w:r>
              <w:rPr>
                <w:rFonts w:hint="eastAsia" w:ascii="Times New Roman" w:hAnsi="Times New Roman"/>
                <w:color w:val="auto"/>
                <w:kern w:val="0"/>
                <w:sz w:val="24"/>
                <w:lang w:val="en-US" w:eastAsia="zh-CN"/>
              </w:rPr>
              <w:t>。</w:t>
            </w:r>
          </w:p>
          <w:p w14:paraId="19C818A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Cs w:val="21"/>
              </w:rPr>
            </w:pPr>
          </w:p>
          <w:p w14:paraId="27DC5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p>
          <w:p w14:paraId="43073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p>
          <w:p w14:paraId="54356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p>
          <w:p w14:paraId="252636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Cs w:val="21"/>
              </w:rPr>
            </w:pPr>
          </w:p>
          <w:p w14:paraId="15BAB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表</w:t>
            </w:r>
            <w:r>
              <w:rPr>
                <w:rFonts w:hint="eastAsia" w:ascii="Times New Roman" w:hAnsi="Times New Roman" w:cs="Times New Roman"/>
                <w:b/>
                <w:bCs/>
                <w:color w:val="auto"/>
                <w:szCs w:val="21"/>
                <w:lang w:val="en-US" w:eastAsia="zh-CN"/>
              </w:rPr>
              <w:t>2-</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w:t>
            </w:r>
            <w:r>
              <w:rPr>
                <w:rFonts w:hint="eastAsia" w:cs="Times New Roman"/>
                <w:b/>
                <w:bCs/>
                <w:color w:val="auto"/>
                <w:szCs w:val="21"/>
                <w:lang w:val="en-US" w:eastAsia="zh-CN"/>
              </w:rPr>
              <w:t>项目</w:t>
            </w:r>
            <w:r>
              <w:rPr>
                <w:rFonts w:hint="default" w:ascii="Times New Roman" w:hAnsi="Times New Roman" w:cs="Times New Roman"/>
                <w:b/>
                <w:bCs/>
                <w:color w:val="auto"/>
                <w:szCs w:val="21"/>
              </w:rPr>
              <w:t>产污环节及处理措施</w:t>
            </w:r>
            <w:r>
              <w:rPr>
                <w:rFonts w:hint="eastAsia" w:cs="Times New Roman"/>
                <w:b/>
                <w:bCs/>
                <w:color w:val="auto"/>
                <w:szCs w:val="21"/>
                <w:lang w:val="en-US" w:eastAsia="zh-CN"/>
              </w:rPr>
              <w:t>汇总表</w:t>
            </w:r>
          </w:p>
          <w:tbl>
            <w:tblPr>
              <w:tblStyle w:val="46"/>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164"/>
              <w:gridCol w:w="5"/>
              <w:gridCol w:w="1531"/>
              <w:gridCol w:w="1140"/>
              <w:gridCol w:w="3733"/>
            </w:tblGrid>
            <w:tr w14:paraId="5593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Align w:val="center"/>
                </w:tcPr>
                <w:p w14:paraId="3CCCB5C9">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污染物类型</w:t>
                  </w:r>
                </w:p>
              </w:tc>
              <w:tc>
                <w:tcPr>
                  <w:tcW w:w="1164" w:type="dxa"/>
                  <w:vAlign w:val="center"/>
                </w:tcPr>
                <w:p w14:paraId="4C57C642">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产污环节</w:t>
                  </w:r>
                </w:p>
              </w:tc>
              <w:tc>
                <w:tcPr>
                  <w:tcW w:w="1536" w:type="dxa"/>
                  <w:gridSpan w:val="2"/>
                  <w:vAlign w:val="center"/>
                </w:tcPr>
                <w:p w14:paraId="042E7AD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污染源</w:t>
                  </w:r>
                </w:p>
              </w:tc>
              <w:tc>
                <w:tcPr>
                  <w:tcW w:w="1140" w:type="dxa"/>
                  <w:vAlign w:val="center"/>
                </w:tcPr>
                <w:p w14:paraId="78F7A455">
                  <w:pPr>
                    <w:jc w:val="center"/>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污染物</w:t>
                  </w:r>
                  <w:r>
                    <w:rPr>
                      <w:rFonts w:hint="eastAsia" w:cs="Times New Roman"/>
                      <w:b/>
                      <w:bCs/>
                      <w:color w:val="auto"/>
                      <w:szCs w:val="21"/>
                      <w:lang w:val="en-US" w:eastAsia="zh-CN"/>
                    </w:rPr>
                    <w:t>名称</w:t>
                  </w:r>
                </w:p>
              </w:tc>
              <w:tc>
                <w:tcPr>
                  <w:tcW w:w="3733" w:type="dxa"/>
                  <w:vAlign w:val="center"/>
                </w:tcPr>
                <w:p w14:paraId="29E74AA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处理措施</w:t>
                  </w:r>
                </w:p>
              </w:tc>
            </w:tr>
            <w:tr w14:paraId="6E6E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Align w:val="center"/>
                </w:tcPr>
                <w:p w14:paraId="0AF49847">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164" w:type="dxa"/>
                  <w:vAlign w:val="center"/>
                </w:tcPr>
                <w:p w14:paraId="73BB985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员工生活</w:t>
                  </w:r>
                </w:p>
              </w:tc>
              <w:tc>
                <w:tcPr>
                  <w:tcW w:w="1536" w:type="dxa"/>
                  <w:gridSpan w:val="2"/>
                  <w:vAlign w:val="center"/>
                </w:tcPr>
                <w:p w14:paraId="5489A1D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生活污水</w:t>
                  </w:r>
                </w:p>
              </w:tc>
              <w:tc>
                <w:tcPr>
                  <w:tcW w:w="1140" w:type="dxa"/>
                  <w:vAlign w:val="center"/>
                </w:tcPr>
                <w:p w14:paraId="1ABC56A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733" w:type="dxa"/>
                  <w:vAlign w:val="center"/>
                </w:tcPr>
                <w:p w14:paraId="288C53D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highlight w:val="none"/>
                      <w:lang w:val="en-US" w:eastAsia="zh-CN"/>
                    </w:rPr>
                    <w:t>生活污水经化粪池处理后</w:t>
                  </w:r>
                  <w:r>
                    <w:rPr>
                      <w:rFonts w:hint="eastAsia" w:hAnsi="Times New Roman" w:cs="Times New Roman"/>
                      <w:color w:val="auto"/>
                      <w:sz w:val="21"/>
                      <w:szCs w:val="21"/>
                      <w:highlight w:val="none"/>
                      <w:lang w:val="en-US" w:eastAsia="zh-CN"/>
                    </w:rPr>
                    <w:t>定期清掏</w:t>
                  </w:r>
                  <w:r>
                    <w:rPr>
                      <w:rFonts w:hint="eastAsia" w:cs="Times New Roman"/>
                      <w:color w:val="auto"/>
                      <w:sz w:val="21"/>
                      <w:szCs w:val="21"/>
                      <w:highlight w:val="none"/>
                      <w:lang w:val="en-US" w:eastAsia="zh-CN"/>
                    </w:rPr>
                    <w:t>用于农田施肥，不外排</w:t>
                  </w:r>
                </w:p>
              </w:tc>
            </w:tr>
            <w:tr w14:paraId="3DAE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vAlign w:val="center"/>
                </w:tcPr>
                <w:p w14:paraId="65D3FBDA">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废气</w:t>
                  </w:r>
                </w:p>
              </w:tc>
              <w:tc>
                <w:tcPr>
                  <w:tcW w:w="1164" w:type="dxa"/>
                  <w:vAlign w:val="center"/>
                </w:tcPr>
                <w:p w14:paraId="0A834DD6">
                  <w:pPr>
                    <w:jc w:val="center"/>
                    <w:rPr>
                      <w:rFonts w:hint="default" w:ascii="Times New Roman" w:hAnsi="Times New Roman" w:cs="Times New Roman"/>
                      <w:color w:val="auto"/>
                      <w:szCs w:val="21"/>
                    </w:rPr>
                  </w:pPr>
                  <w:r>
                    <w:rPr>
                      <w:rFonts w:hint="eastAsia" w:cs="Times New Roman"/>
                      <w:color w:val="auto"/>
                      <w:kern w:val="0"/>
                      <w:sz w:val="21"/>
                      <w:szCs w:val="21"/>
                      <w:lang w:val="en-US" w:eastAsia="zh-CN"/>
                    </w:rPr>
                    <w:t>卸粮</w:t>
                  </w:r>
                </w:p>
              </w:tc>
              <w:tc>
                <w:tcPr>
                  <w:tcW w:w="1536" w:type="dxa"/>
                  <w:gridSpan w:val="2"/>
                  <w:vAlign w:val="center"/>
                </w:tcPr>
                <w:p w14:paraId="15FA7D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lang w:val="en-US" w:eastAsia="zh-CN"/>
                    </w:rPr>
                  </w:pPr>
                  <w:r>
                    <w:rPr>
                      <w:rFonts w:hint="eastAsia" w:cs="Times New Roman"/>
                      <w:color w:val="auto"/>
                      <w:kern w:val="0"/>
                      <w:sz w:val="21"/>
                      <w:szCs w:val="21"/>
                      <w:lang w:val="en-US" w:eastAsia="zh-CN"/>
                    </w:rPr>
                    <w:t>G1卸粮粉尘</w:t>
                  </w:r>
                </w:p>
              </w:tc>
              <w:tc>
                <w:tcPr>
                  <w:tcW w:w="1140" w:type="dxa"/>
                  <w:vAlign w:val="center"/>
                </w:tcPr>
                <w:p w14:paraId="41F20254">
                  <w:pPr>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3733" w:type="dxa"/>
                  <w:vMerge w:val="restart"/>
                  <w:vAlign w:val="center"/>
                </w:tcPr>
                <w:p w14:paraId="3D821D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rPr>
                  </w:pPr>
                  <w:r>
                    <w:rPr>
                      <w:rFonts w:hint="default" w:ascii="Times New Roman" w:hAnsi="Times New Roman" w:eastAsia="宋体" w:cs="Times New Roman"/>
                      <w:color w:val="auto"/>
                      <w:kern w:val="2"/>
                      <w:sz w:val="21"/>
                      <w:szCs w:val="21"/>
                      <w:lang w:val="en-US" w:eastAsia="zh-CN" w:bidi="ar-SA"/>
                    </w:rPr>
                    <w:t>项目每台清理筛、去石机、碾米机先设置1套旋风除尘器除尘，共设置6套旋风除尘器，除杂粉尘、去石粉尘、碾米粉尘经密闭管道收集经并联6套旋风除尘器处理后，再与经集气罩收集的卸粮粉尘，密闭管道收集的砻谷粉尘、谷糙分离粉尘、一次色选粉尘，共同经1套脉冲除尘器处理，尾气经1根15m高排气筒（DA001）有组织排放</w:t>
                  </w:r>
                </w:p>
              </w:tc>
            </w:tr>
            <w:tr w14:paraId="03A8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74" w:type="dxa"/>
                  <w:vMerge w:val="continue"/>
                  <w:vAlign w:val="center"/>
                </w:tcPr>
                <w:p w14:paraId="4E16F331">
                  <w:pPr>
                    <w:jc w:val="center"/>
                    <w:rPr>
                      <w:rFonts w:hint="eastAsia" w:cs="Times New Roman"/>
                      <w:color w:val="auto"/>
                      <w:szCs w:val="21"/>
                      <w:lang w:val="en-US" w:eastAsia="zh-CN"/>
                    </w:rPr>
                  </w:pPr>
                </w:p>
              </w:tc>
              <w:tc>
                <w:tcPr>
                  <w:tcW w:w="1164" w:type="dxa"/>
                  <w:vAlign w:val="center"/>
                </w:tcPr>
                <w:p w14:paraId="6315502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除杂、清理</w:t>
                  </w:r>
                </w:p>
              </w:tc>
              <w:tc>
                <w:tcPr>
                  <w:tcW w:w="1536" w:type="dxa"/>
                  <w:gridSpan w:val="2"/>
                  <w:vAlign w:val="center"/>
                </w:tcPr>
                <w:p w14:paraId="42081A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G2</w:t>
                  </w:r>
                  <w:r>
                    <w:rPr>
                      <w:rFonts w:hint="eastAsia" w:cs="Times New Roman"/>
                      <w:color w:val="auto"/>
                      <w:szCs w:val="21"/>
                      <w:lang w:val="en-US" w:eastAsia="zh-CN"/>
                    </w:rPr>
                    <w:t>除杂</w:t>
                  </w:r>
                  <w:r>
                    <w:rPr>
                      <w:rFonts w:hint="eastAsia" w:cs="Times New Roman"/>
                      <w:color w:val="auto"/>
                      <w:kern w:val="0"/>
                      <w:sz w:val="21"/>
                      <w:szCs w:val="21"/>
                      <w:lang w:val="en-US" w:eastAsia="zh-CN"/>
                    </w:rPr>
                    <w:t>粉尘</w:t>
                  </w:r>
                </w:p>
              </w:tc>
              <w:tc>
                <w:tcPr>
                  <w:tcW w:w="1140" w:type="dxa"/>
                  <w:vAlign w:val="center"/>
                </w:tcPr>
                <w:p w14:paraId="7DB00F05">
                  <w:pPr>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3733" w:type="dxa"/>
                  <w:vMerge w:val="continue"/>
                  <w:vAlign w:val="center"/>
                </w:tcPr>
                <w:p w14:paraId="379406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05CD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74" w:type="dxa"/>
                  <w:vMerge w:val="continue"/>
                  <w:vAlign w:val="center"/>
                </w:tcPr>
                <w:p w14:paraId="508B912C">
                  <w:pPr>
                    <w:jc w:val="center"/>
                    <w:rPr>
                      <w:rFonts w:hint="eastAsia" w:cs="Times New Roman"/>
                      <w:color w:val="auto"/>
                      <w:szCs w:val="21"/>
                      <w:lang w:val="en-US" w:eastAsia="zh-CN"/>
                    </w:rPr>
                  </w:pPr>
                </w:p>
              </w:tc>
              <w:tc>
                <w:tcPr>
                  <w:tcW w:w="1164" w:type="dxa"/>
                  <w:vAlign w:val="center"/>
                </w:tcPr>
                <w:p w14:paraId="4A601DE0">
                  <w:pPr>
                    <w:jc w:val="center"/>
                    <w:rPr>
                      <w:rFonts w:hint="default" w:cs="Times New Roman"/>
                      <w:color w:val="auto"/>
                      <w:szCs w:val="21"/>
                      <w:lang w:val="en-US" w:eastAsia="zh-CN"/>
                    </w:rPr>
                  </w:pPr>
                  <w:r>
                    <w:rPr>
                      <w:rFonts w:hint="eastAsia" w:cs="Times New Roman"/>
                      <w:color w:val="auto"/>
                      <w:szCs w:val="21"/>
                      <w:lang w:val="en-US" w:eastAsia="zh-CN"/>
                    </w:rPr>
                    <w:t>去石</w:t>
                  </w:r>
                </w:p>
              </w:tc>
              <w:tc>
                <w:tcPr>
                  <w:tcW w:w="1536" w:type="dxa"/>
                  <w:gridSpan w:val="2"/>
                  <w:vAlign w:val="center"/>
                </w:tcPr>
                <w:p w14:paraId="229D28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G3去石粉尘</w:t>
                  </w:r>
                </w:p>
              </w:tc>
              <w:tc>
                <w:tcPr>
                  <w:tcW w:w="1140" w:type="dxa"/>
                  <w:vAlign w:val="center"/>
                </w:tcPr>
                <w:p w14:paraId="2CDE38B0">
                  <w:pPr>
                    <w:jc w:val="center"/>
                    <w:rPr>
                      <w:rFonts w:hint="eastAsia" w:cs="Times New Roman"/>
                      <w:color w:val="auto"/>
                      <w:szCs w:val="21"/>
                      <w:lang w:val="en-US" w:eastAsia="zh-CN"/>
                    </w:rPr>
                  </w:pPr>
                  <w:r>
                    <w:rPr>
                      <w:rFonts w:hint="eastAsia" w:cs="Times New Roman"/>
                      <w:color w:val="auto"/>
                      <w:szCs w:val="21"/>
                      <w:lang w:val="en-US" w:eastAsia="zh-CN"/>
                    </w:rPr>
                    <w:t>颗粒物</w:t>
                  </w:r>
                </w:p>
              </w:tc>
              <w:tc>
                <w:tcPr>
                  <w:tcW w:w="3733" w:type="dxa"/>
                  <w:vMerge w:val="continue"/>
                  <w:vAlign w:val="center"/>
                </w:tcPr>
                <w:p w14:paraId="50ACB8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eastAsia="zh-CN"/>
                    </w:rPr>
                  </w:pPr>
                </w:p>
              </w:tc>
            </w:tr>
            <w:tr w14:paraId="7E45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74" w:type="dxa"/>
                  <w:vMerge w:val="continue"/>
                  <w:vAlign w:val="center"/>
                </w:tcPr>
                <w:p w14:paraId="57AFABD6">
                  <w:pPr>
                    <w:jc w:val="center"/>
                    <w:rPr>
                      <w:rFonts w:hint="eastAsia" w:cs="Times New Roman"/>
                      <w:color w:val="auto"/>
                      <w:szCs w:val="21"/>
                      <w:lang w:val="en-US" w:eastAsia="zh-CN"/>
                    </w:rPr>
                  </w:pPr>
                </w:p>
              </w:tc>
              <w:tc>
                <w:tcPr>
                  <w:tcW w:w="1164" w:type="dxa"/>
                  <w:shd w:val="clear" w:color="auto" w:fill="auto"/>
                  <w:vAlign w:val="center"/>
                </w:tcPr>
                <w:p w14:paraId="4FE3BC0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砻谷</w:t>
                  </w:r>
                </w:p>
              </w:tc>
              <w:tc>
                <w:tcPr>
                  <w:tcW w:w="1536" w:type="dxa"/>
                  <w:gridSpan w:val="2"/>
                  <w:shd w:val="clear" w:color="auto" w:fill="auto"/>
                  <w:vAlign w:val="center"/>
                </w:tcPr>
                <w:p w14:paraId="798ABA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G</w:t>
                  </w:r>
                  <w:r>
                    <w:rPr>
                      <w:rFonts w:hint="eastAsia"/>
                      <w:color w:val="auto"/>
                      <w:lang w:val="en-US" w:eastAsia="zh-CN"/>
                    </w:rPr>
                    <w:t>4</w:t>
                  </w:r>
                  <w:r>
                    <w:rPr>
                      <w:rFonts w:hint="eastAsia" w:ascii="Times New Roman" w:hAnsi="Times New Roman"/>
                      <w:color w:val="auto"/>
                      <w:lang w:val="en-US" w:eastAsia="zh-CN"/>
                    </w:rPr>
                    <w:t>砻谷</w:t>
                  </w:r>
                  <w:r>
                    <w:rPr>
                      <w:rFonts w:hint="eastAsia" w:cs="Times New Roman"/>
                      <w:color w:val="auto"/>
                      <w:kern w:val="0"/>
                      <w:sz w:val="21"/>
                      <w:szCs w:val="21"/>
                      <w:lang w:val="en-US" w:eastAsia="zh-CN"/>
                    </w:rPr>
                    <w:t>粉尘</w:t>
                  </w:r>
                </w:p>
              </w:tc>
              <w:tc>
                <w:tcPr>
                  <w:tcW w:w="1140" w:type="dxa"/>
                  <w:shd w:val="clear" w:color="auto" w:fill="auto"/>
                  <w:vAlign w:val="center"/>
                </w:tcPr>
                <w:p w14:paraId="049AAEE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48D3A1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eastAsia="zh-CN"/>
                    </w:rPr>
                  </w:pPr>
                </w:p>
              </w:tc>
            </w:tr>
            <w:tr w14:paraId="5E55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74" w:type="dxa"/>
                  <w:vMerge w:val="continue"/>
                  <w:vAlign w:val="center"/>
                </w:tcPr>
                <w:p w14:paraId="2F1C1EA7">
                  <w:pPr>
                    <w:jc w:val="center"/>
                    <w:rPr>
                      <w:rFonts w:hint="eastAsia" w:cs="Times New Roman"/>
                      <w:color w:val="auto"/>
                      <w:szCs w:val="21"/>
                      <w:lang w:val="en-US" w:eastAsia="zh-CN"/>
                    </w:rPr>
                  </w:pPr>
                </w:p>
              </w:tc>
              <w:tc>
                <w:tcPr>
                  <w:tcW w:w="1164" w:type="dxa"/>
                  <w:shd w:val="clear" w:color="auto" w:fill="auto"/>
                  <w:vAlign w:val="center"/>
                </w:tcPr>
                <w:p w14:paraId="29B5C0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谷糙分离</w:t>
                  </w:r>
                </w:p>
              </w:tc>
              <w:tc>
                <w:tcPr>
                  <w:tcW w:w="1536" w:type="dxa"/>
                  <w:gridSpan w:val="2"/>
                  <w:shd w:val="clear" w:color="auto" w:fill="auto"/>
                  <w:vAlign w:val="center"/>
                </w:tcPr>
                <w:p w14:paraId="1D2AB2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5</w:t>
                  </w:r>
                  <w:r>
                    <w:rPr>
                      <w:rFonts w:hint="eastAsia" w:ascii="Times New Roman" w:hAnsi="Times New Roman"/>
                      <w:color w:val="auto"/>
                      <w:lang w:val="en-US" w:eastAsia="zh-CN"/>
                    </w:rPr>
                    <w:t>谷糙分离</w:t>
                  </w:r>
                  <w:r>
                    <w:rPr>
                      <w:rFonts w:hint="eastAsia" w:cs="Times New Roman"/>
                      <w:color w:val="auto"/>
                      <w:kern w:val="0"/>
                      <w:sz w:val="21"/>
                      <w:szCs w:val="21"/>
                      <w:lang w:val="en-US" w:eastAsia="zh-CN"/>
                    </w:rPr>
                    <w:t>粉尘</w:t>
                  </w:r>
                </w:p>
              </w:tc>
              <w:tc>
                <w:tcPr>
                  <w:tcW w:w="1140" w:type="dxa"/>
                  <w:shd w:val="clear" w:color="auto" w:fill="auto"/>
                  <w:vAlign w:val="center"/>
                </w:tcPr>
                <w:p w14:paraId="2CFD7E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718BBA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eastAsia="zh-CN"/>
                    </w:rPr>
                  </w:pPr>
                </w:p>
              </w:tc>
            </w:tr>
            <w:tr w14:paraId="415B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74" w:type="dxa"/>
                  <w:vMerge w:val="continue"/>
                  <w:vAlign w:val="center"/>
                </w:tcPr>
                <w:p w14:paraId="42A58F24">
                  <w:pPr>
                    <w:jc w:val="center"/>
                    <w:rPr>
                      <w:rFonts w:hint="eastAsia" w:cs="Times New Roman"/>
                      <w:color w:val="auto"/>
                      <w:szCs w:val="21"/>
                      <w:lang w:val="en-US" w:eastAsia="zh-CN"/>
                    </w:rPr>
                  </w:pPr>
                </w:p>
              </w:tc>
              <w:tc>
                <w:tcPr>
                  <w:tcW w:w="1164" w:type="dxa"/>
                  <w:vAlign w:val="center"/>
                </w:tcPr>
                <w:p w14:paraId="3A4A79C9">
                  <w:pPr>
                    <w:jc w:val="center"/>
                    <w:rPr>
                      <w:rFonts w:hint="default" w:cs="Times New Roman"/>
                      <w:color w:val="auto"/>
                      <w:szCs w:val="21"/>
                      <w:lang w:val="en-US" w:eastAsia="zh-CN"/>
                    </w:rPr>
                  </w:pPr>
                  <w:r>
                    <w:rPr>
                      <w:rFonts w:hint="eastAsia" w:cs="Times New Roman"/>
                      <w:color w:val="auto"/>
                      <w:szCs w:val="21"/>
                      <w:lang w:val="en-US" w:eastAsia="zh-CN"/>
                    </w:rPr>
                    <w:t>一次色选</w:t>
                  </w:r>
                </w:p>
              </w:tc>
              <w:tc>
                <w:tcPr>
                  <w:tcW w:w="1536" w:type="dxa"/>
                  <w:gridSpan w:val="2"/>
                  <w:vAlign w:val="center"/>
                </w:tcPr>
                <w:p w14:paraId="341B39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kern w:val="0"/>
                      <w:sz w:val="21"/>
                      <w:szCs w:val="21"/>
                      <w:lang w:val="en-US" w:eastAsia="zh-CN"/>
                    </w:rPr>
                  </w:pPr>
                  <w:r>
                    <w:rPr>
                      <w:rFonts w:hint="eastAsia" w:ascii="Times New Roman" w:hAnsi="Times New Roman"/>
                      <w:color w:val="auto"/>
                      <w:lang w:val="en-US" w:eastAsia="zh-CN"/>
                    </w:rPr>
                    <w:t>G</w:t>
                  </w:r>
                  <w:r>
                    <w:rPr>
                      <w:rFonts w:hint="eastAsia"/>
                      <w:color w:val="auto"/>
                      <w:lang w:val="en-US" w:eastAsia="zh-CN"/>
                    </w:rPr>
                    <w:t>6</w:t>
                  </w:r>
                  <w:r>
                    <w:rPr>
                      <w:rFonts w:hint="eastAsia" w:cs="Times New Roman"/>
                      <w:color w:val="auto"/>
                      <w:szCs w:val="21"/>
                      <w:lang w:val="en-US" w:eastAsia="zh-CN"/>
                    </w:rPr>
                    <w:t>一次色选粉尘</w:t>
                  </w:r>
                </w:p>
              </w:tc>
              <w:tc>
                <w:tcPr>
                  <w:tcW w:w="1140" w:type="dxa"/>
                  <w:vAlign w:val="center"/>
                </w:tcPr>
                <w:p w14:paraId="73ECAF39">
                  <w:pPr>
                    <w:jc w:val="center"/>
                    <w:rPr>
                      <w:rFonts w:hint="eastAsia" w:cs="Times New Roman"/>
                      <w:color w:val="auto"/>
                      <w:szCs w:val="21"/>
                      <w:lang w:val="en-US" w:eastAsia="zh-CN"/>
                    </w:rPr>
                  </w:pPr>
                  <w:r>
                    <w:rPr>
                      <w:rFonts w:hint="eastAsia" w:cs="Times New Roman"/>
                      <w:color w:val="auto"/>
                      <w:szCs w:val="21"/>
                      <w:lang w:val="en-US" w:eastAsia="zh-CN"/>
                    </w:rPr>
                    <w:t>颗粒物</w:t>
                  </w:r>
                </w:p>
              </w:tc>
              <w:tc>
                <w:tcPr>
                  <w:tcW w:w="3733" w:type="dxa"/>
                  <w:vMerge w:val="continue"/>
                  <w:vAlign w:val="center"/>
                </w:tcPr>
                <w:p w14:paraId="5FFB63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eastAsia="zh-CN"/>
                    </w:rPr>
                  </w:pPr>
                </w:p>
              </w:tc>
            </w:tr>
            <w:tr w14:paraId="4807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74" w:type="dxa"/>
                  <w:vMerge w:val="continue"/>
                  <w:vAlign w:val="center"/>
                </w:tcPr>
                <w:p w14:paraId="3A023354">
                  <w:pPr>
                    <w:jc w:val="center"/>
                    <w:rPr>
                      <w:rFonts w:hint="eastAsia" w:cs="Times New Roman"/>
                      <w:color w:val="auto"/>
                      <w:szCs w:val="21"/>
                      <w:lang w:val="en-US" w:eastAsia="zh-CN"/>
                    </w:rPr>
                  </w:pPr>
                </w:p>
              </w:tc>
              <w:tc>
                <w:tcPr>
                  <w:tcW w:w="1164" w:type="dxa"/>
                  <w:shd w:val="clear" w:color="auto" w:fill="auto"/>
                  <w:vAlign w:val="center"/>
                </w:tcPr>
                <w:p w14:paraId="4B893F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碾米</w:t>
                  </w:r>
                </w:p>
              </w:tc>
              <w:tc>
                <w:tcPr>
                  <w:tcW w:w="1536" w:type="dxa"/>
                  <w:gridSpan w:val="2"/>
                  <w:shd w:val="clear" w:color="auto" w:fill="auto"/>
                  <w:vAlign w:val="center"/>
                </w:tcPr>
                <w:p w14:paraId="66958D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7</w:t>
                  </w:r>
                  <w:r>
                    <w:rPr>
                      <w:rFonts w:hint="eastAsia" w:ascii="Times New Roman" w:hAnsi="Times New Roman"/>
                      <w:color w:val="auto"/>
                      <w:lang w:val="en-US" w:eastAsia="zh-CN"/>
                    </w:rPr>
                    <w:t>碾米</w:t>
                  </w:r>
                  <w:r>
                    <w:rPr>
                      <w:rFonts w:hint="eastAsia" w:cs="Times New Roman"/>
                      <w:color w:val="auto"/>
                      <w:kern w:val="0"/>
                      <w:sz w:val="21"/>
                      <w:szCs w:val="21"/>
                      <w:lang w:val="en-US" w:eastAsia="zh-CN"/>
                    </w:rPr>
                    <w:t>粉尘</w:t>
                  </w:r>
                </w:p>
              </w:tc>
              <w:tc>
                <w:tcPr>
                  <w:tcW w:w="1140" w:type="dxa"/>
                  <w:shd w:val="clear" w:color="auto" w:fill="auto"/>
                  <w:vAlign w:val="center"/>
                </w:tcPr>
                <w:p w14:paraId="5EB752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4E331D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eastAsia="zh-CN"/>
                    </w:rPr>
                  </w:pPr>
                </w:p>
              </w:tc>
            </w:tr>
            <w:tr w14:paraId="4AB6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74" w:type="dxa"/>
                  <w:vMerge w:val="continue"/>
                  <w:vAlign w:val="center"/>
                </w:tcPr>
                <w:p w14:paraId="3BBA3AC2">
                  <w:pPr>
                    <w:jc w:val="center"/>
                    <w:rPr>
                      <w:rFonts w:hint="eastAsia" w:cs="Times New Roman"/>
                      <w:color w:val="auto"/>
                      <w:szCs w:val="21"/>
                      <w:lang w:val="en-US" w:eastAsia="zh-CN"/>
                    </w:rPr>
                  </w:pPr>
                </w:p>
              </w:tc>
              <w:tc>
                <w:tcPr>
                  <w:tcW w:w="1164" w:type="dxa"/>
                  <w:shd w:val="clear" w:color="auto" w:fill="auto"/>
                  <w:vAlign w:val="center"/>
                </w:tcPr>
                <w:p w14:paraId="688C7C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lang w:val="en-US" w:eastAsia="zh-CN" w:bidi="ar-SA"/>
                    </w:rPr>
                  </w:pPr>
                  <w:r>
                    <w:rPr>
                      <w:rFonts w:hint="eastAsia" w:cs="Times New Roman"/>
                      <w:b w:val="0"/>
                      <w:bCs/>
                      <w:color w:val="auto"/>
                      <w:kern w:val="2"/>
                      <w:sz w:val="21"/>
                      <w:szCs w:val="21"/>
                      <w:lang w:val="en-US" w:eastAsia="zh-CN" w:bidi="ar-SA"/>
                    </w:rPr>
                    <w:t>一次</w:t>
                  </w:r>
                  <w:r>
                    <w:rPr>
                      <w:rFonts w:hint="eastAsia" w:ascii="Times New Roman" w:hAnsi="Times New Roman"/>
                      <w:color w:val="auto"/>
                      <w:lang w:val="en-US" w:eastAsia="zh-CN"/>
                    </w:rPr>
                    <w:t>白米分级</w:t>
                  </w:r>
                </w:p>
              </w:tc>
              <w:tc>
                <w:tcPr>
                  <w:tcW w:w="1536" w:type="dxa"/>
                  <w:gridSpan w:val="2"/>
                  <w:shd w:val="clear" w:color="auto" w:fill="auto"/>
                  <w:vAlign w:val="center"/>
                </w:tcPr>
                <w:p w14:paraId="28ADC7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8</w:t>
                  </w:r>
                  <w:r>
                    <w:rPr>
                      <w:rFonts w:hint="eastAsia" w:cs="Times New Roman"/>
                      <w:b w:val="0"/>
                      <w:bCs/>
                      <w:color w:val="auto"/>
                      <w:kern w:val="2"/>
                      <w:sz w:val="21"/>
                      <w:szCs w:val="21"/>
                      <w:lang w:val="en-US" w:eastAsia="zh-CN" w:bidi="ar-SA"/>
                    </w:rPr>
                    <w:t>一次</w:t>
                  </w:r>
                  <w:r>
                    <w:rPr>
                      <w:rFonts w:hint="eastAsia" w:ascii="Times New Roman" w:hAnsi="Times New Roman"/>
                      <w:color w:val="auto"/>
                      <w:lang w:val="en-US" w:eastAsia="zh-CN"/>
                    </w:rPr>
                    <w:t>白米分级</w:t>
                  </w:r>
                  <w:r>
                    <w:rPr>
                      <w:rFonts w:hint="eastAsia" w:cs="Times New Roman"/>
                      <w:color w:val="auto"/>
                      <w:kern w:val="0"/>
                      <w:sz w:val="21"/>
                      <w:szCs w:val="21"/>
                      <w:lang w:val="en-US" w:eastAsia="zh-CN"/>
                    </w:rPr>
                    <w:t>粉尘</w:t>
                  </w:r>
                </w:p>
              </w:tc>
              <w:tc>
                <w:tcPr>
                  <w:tcW w:w="1140" w:type="dxa"/>
                  <w:shd w:val="clear" w:color="auto" w:fill="auto"/>
                  <w:vAlign w:val="center"/>
                </w:tcPr>
                <w:p w14:paraId="2C9C70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restart"/>
                  <w:vAlign w:val="center"/>
                </w:tcPr>
                <w:p w14:paraId="7D3214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rPr>
                  </w:pPr>
                  <w:r>
                    <w:rPr>
                      <w:rFonts w:hint="default" w:ascii="Times New Roman" w:hAnsi="Times New Roman" w:eastAsia="宋体" w:cs="Times New Roman"/>
                      <w:color w:val="auto"/>
                      <w:kern w:val="2"/>
                      <w:sz w:val="21"/>
                      <w:szCs w:val="21"/>
                      <w:lang w:val="en-US" w:eastAsia="zh-CN" w:bidi="ar-SA"/>
                    </w:rPr>
                    <w:t>项目一次抛光设置2台抛光机，每台抛光机先设置1套旋风除尘器除尘，共设置2套旋风除尘器，项目一次抛光粉尘分别经2套并联旋风除尘器处理后，与一次白米分级粉尘、二次色选粉尘通过密闭管道收集，共同经1套脉冲除尘器处理，尾气经1根15米高排气筒（DA002）有组织排放</w:t>
                  </w:r>
                </w:p>
              </w:tc>
            </w:tr>
            <w:tr w14:paraId="7A46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vMerge w:val="continue"/>
                  <w:vAlign w:val="center"/>
                </w:tcPr>
                <w:p w14:paraId="7451AE21">
                  <w:pPr>
                    <w:jc w:val="center"/>
                    <w:rPr>
                      <w:rFonts w:hint="eastAsia" w:cs="Times New Roman"/>
                      <w:color w:val="auto"/>
                      <w:szCs w:val="21"/>
                      <w:lang w:val="en-US" w:eastAsia="zh-CN"/>
                    </w:rPr>
                  </w:pPr>
                </w:p>
              </w:tc>
              <w:tc>
                <w:tcPr>
                  <w:tcW w:w="1164" w:type="dxa"/>
                  <w:shd w:val="clear" w:color="auto" w:fill="auto"/>
                  <w:vAlign w:val="center"/>
                </w:tcPr>
                <w:p w14:paraId="36D869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olor w:val="auto"/>
                      <w:lang w:val="en-US" w:eastAsia="zh-CN"/>
                    </w:rPr>
                    <w:t>一次</w:t>
                  </w:r>
                  <w:r>
                    <w:rPr>
                      <w:rFonts w:hint="eastAsia" w:ascii="Times New Roman" w:hAnsi="Times New Roman"/>
                      <w:color w:val="auto"/>
                      <w:lang w:val="en-US" w:eastAsia="zh-CN"/>
                    </w:rPr>
                    <w:t>抛光</w:t>
                  </w:r>
                </w:p>
              </w:tc>
              <w:tc>
                <w:tcPr>
                  <w:tcW w:w="1536" w:type="dxa"/>
                  <w:gridSpan w:val="2"/>
                  <w:shd w:val="clear" w:color="auto" w:fill="auto"/>
                  <w:vAlign w:val="center"/>
                </w:tcPr>
                <w:p w14:paraId="4FF18E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9一次</w:t>
                  </w:r>
                  <w:r>
                    <w:rPr>
                      <w:rFonts w:hint="eastAsia" w:ascii="Times New Roman" w:hAnsi="Times New Roman"/>
                      <w:color w:val="auto"/>
                      <w:lang w:val="en-US" w:eastAsia="zh-CN"/>
                    </w:rPr>
                    <w:t>抛光</w:t>
                  </w:r>
                  <w:r>
                    <w:rPr>
                      <w:rFonts w:hint="eastAsia" w:cs="Times New Roman"/>
                      <w:color w:val="auto"/>
                      <w:kern w:val="0"/>
                      <w:sz w:val="21"/>
                      <w:szCs w:val="21"/>
                      <w:lang w:val="en-US" w:eastAsia="zh-CN"/>
                    </w:rPr>
                    <w:t>粉尘</w:t>
                  </w:r>
                </w:p>
              </w:tc>
              <w:tc>
                <w:tcPr>
                  <w:tcW w:w="1140" w:type="dxa"/>
                  <w:shd w:val="clear" w:color="auto" w:fill="auto"/>
                  <w:vAlign w:val="center"/>
                </w:tcPr>
                <w:p w14:paraId="2BA59A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6C1ED1C5">
                  <w:pPr>
                    <w:jc w:val="center"/>
                    <w:rPr>
                      <w:rFonts w:hint="eastAsia"/>
                      <w:snapToGrid w:val="0"/>
                      <w:color w:val="auto"/>
                      <w:kern w:val="0"/>
                      <w:szCs w:val="21"/>
                      <w:lang w:val="en-US" w:eastAsia="zh-CN"/>
                    </w:rPr>
                  </w:pPr>
                </w:p>
              </w:tc>
            </w:tr>
            <w:tr w14:paraId="24CB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74" w:type="dxa"/>
                  <w:vMerge w:val="continue"/>
                  <w:vAlign w:val="center"/>
                </w:tcPr>
                <w:p w14:paraId="3D0A61DE">
                  <w:pPr>
                    <w:jc w:val="center"/>
                    <w:rPr>
                      <w:rFonts w:hint="eastAsia" w:cs="Times New Roman"/>
                      <w:color w:val="auto"/>
                      <w:szCs w:val="21"/>
                      <w:lang w:val="en-US" w:eastAsia="zh-CN"/>
                    </w:rPr>
                  </w:pPr>
                </w:p>
              </w:tc>
              <w:tc>
                <w:tcPr>
                  <w:tcW w:w="1164" w:type="dxa"/>
                  <w:shd w:val="clear" w:color="auto" w:fill="auto"/>
                  <w:vAlign w:val="center"/>
                </w:tcPr>
                <w:p w14:paraId="6C59E9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olor w:val="auto"/>
                      <w:lang w:val="en-US" w:eastAsia="zh-CN"/>
                    </w:rPr>
                    <w:t>二次</w:t>
                  </w:r>
                  <w:r>
                    <w:rPr>
                      <w:rFonts w:hint="eastAsia" w:ascii="Times New Roman" w:hAnsi="Times New Roman"/>
                      <w:color w:val="auto"/>
                      <w:lang w:val="en-US" w:eastAsia="zh-CN"/>
                    </w:rPr>
                    <w:t>色选</w:t>
                  </w:r>
                </w:p>
              </w:tc>
              <w:tc>
                <w:tcPr>
                  <w:tcW w:w="1536" w:type="dxa"/>
                  <w:gridSpan w:val="2"/>
                  <w:shd w:val="clear" w:color="auto" w:fill="auto"/>
                  <w:vAlign w:val="center"/>
                </w:tcPr>
                <w:p w14:paraId="23A676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10二次</w:t>
                  </w:r>
                  <w:r>
                    <w:rPr>
                      <w:rFonts w:hint="eastAsia" w:ascii="Times New Roman" w:hAnsi="Times New Roman"/>
                      <w:color w:val="auto"/>
                      <w:lang w:val="en-US" w:eastAsia="zh-CN"/>
                    </w:rPr>
                    <w:t>色选</w:t>
                  </w:r>
                  <w:r>
                    <w:rPr>
                      <w:rFonts w:hint="eastAsia" w:cs="Times New Roman"/>
                      <w:color w:val="auto"/>
                      <w:kern w:val="0"/>
                      <w:sz w:val="21"/>
                      <w:szCs w:val="21"/>
                      <w:lang w:val="en-US" w:eastAsia="zh-CN"/>
                    </w:rPr>
                    <w:t>粉尘</w:t>
                  </w:r>
                </w:p>
              </w:tc>
              <w:tc>
                <w:tcPr>
                  <w:tcW w:w="1140" w:type="dxa"/>
                  <w:shd w:val="clear" w:color="auto" w:fill="auto"/>
                  <w:vAlign w:val="center"/>
                </w:tcPr>
                <w:p w14:paraId="500998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13FF4188">
                  <w:pPr>
                    <w:jc w:val="center"/>
                    <w:rPr>
                      <w:rFonts w:hint="eastAsia"/>
                      <w:snapToGrid w:val="0"/>
                      <w:color w:val="auto"/>
                      <w:kern w:val="0"/>
                      <w:szCs w:val="21"/>
                      <w:lang w:val="en-US" w:eastAsia="zh-CN"/>
                    </w:rPr>
                  </w:pPr>
                </w:p>
              </w:tc>
            </w:tr>
            <w:tr w14:paraId="2D60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vAlign w:val="center"/>
                </w:tcPr>
                <w:p w14:paraId="12605F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164" w:type="dxa"/>
                  <w:shd w:val="clear" w:color="auto" w:fill="auto"/>
                  <w:vAlign w:val="center"/>
                </w:tcPr>
                <w:p w14:paraId="3AC832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olor w:val="auto"/>
                      <w:lang w:val="en-US" w:eastAsia="zh-CN"/>
                    </w:rPr>
                    <w:t>二次</w:t>
                  </w:r>
                  <w:r>
                    <w:rPr>
                      <w:rFonts w:hint="eastAsia" w:ascii="Times New Roman" w:hAnsi="Times New Roman"/>
                      <w:color w:val="auto"/>
                      <w:lang w:val="en-US" w:eastAsia="zh-CN"/>
                    </w:rPr>
                    <w:t>抛光</w:t>
                  </w:r>
                </w:p>
              </w:tc>
              <w:tc>
                <w:tcPr>
                  <w:tcW w:w="1536" w:type="dxa"/>
                  <w:gridSpan w:val="2"/>
                  <w:shd w:val="clear" w:color="auto" w:fill="auto"/>
                  <w:vAlign w:val="center"/>
                </w:tcPr>
                <w:p w14:paraId="7BAE20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11二次</w:t>
                  </w:r>
                  <w:r>
                    <w:rPr>
                      <w:rFonts w:hint="eastAsia" w:ascii="Times New Roman" w:hAnsi="Times New Roman"/>
                      <w:color w:val="auto"/>
                      <w:lang w:val="en-US" w:eastAsia="zh-CN"/>
                    </w:rPr>
                    <w:t>抛光</w:t>
                  </w:r>
                  <w:r>
                    <w:rPr>
                      <w:rFonts w:hint="eastAsia" w:cs="Times New Roman"/>
                      <w:color w:val="auto"/>
                      <w:kern w:val="0"/>
                      <w:sz w:val="21"/>
                      <w:szCs w:val="21"/>
                      <w:lang w:val="en-US" w:eastAsia="zh-CN"/>
                    </w:rPr>
                    <w:t>粉尘</w:t>
                  </w:r>
                </w:p>
              </w:tc>
              <w:tc>
                <w:tcPr>
                  <w:tcW w:w="1140" w:type="dxa"/>
                  <w:shd w:val="clear" w:color="auto" w:fill="auto"/>
                  <w:vAlign w:val="center"/>
                </w:tcPr>
                <w:p w14:paraId="7E5D63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restart"/>
                  <w:vAlign w:val="center"/>
                </w:tcPr>
                <w:p w14:paraId="1D854C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default" w:ascii="Times New Roman" w:hAnsi="Times New Roman" w:eastAsia="宋体" w:cs="Times New Roman"/>
                      <w:color w:val="auto"/>
                      <w:kern w:val="2"/>
                      <w:sz w:val="21"/>
                      <w:szCs w:val="21"/>
                      <w:lang w:val="en-US" w:eastAsia="zh-CN" w:bidi="ar-SA"/>
                    </w:rPr>
                    <w:t>项目二次抛光设置2台抛光机，每台抛光机先设置1套旋风除尘器除尘，共设置2套旋风除尘器，项目二次抛光粉尘分别经2套并联旋风除尘器处理后，与三次色选粉尘、二次白米分级粉尘、精选粉尘通过密闭管道收集，共同经1套脉冲除尘器处理，尾气1根15米高排气筒（DA003）有组织排放</w:t>
                  </w:r>
                </w:p>
              </w:tc>
            </w:tr>
            <w:tr w14:paraId="6BF0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vAlign w:val="center"/>
                </w:tcPr>
                <w:p w14:paraId="7E3146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164" w:type="dxa"/>
                  <w:vAlign w:val="center"/>
                </w:tcPr>
                <w:p w14:paraId="6043C3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cs="Times New Roman"/>
                      <w:b w:val="0"/>
                      <w:bCs/>
                      <w:color w:val="auto"/>
                      <w:kern w:val="2"/>
                      <w:sz w:val="21"/>
                      <w:szCs w:val="21"/>
                      <w:lang w:val="en-US" w:eastAsia="zh-CN" w:bidi="ar-SA"/>
                    </w:rPr>
                    <w:t>三次色选粉尘</w:t>
                  </w:r>
                </w:p>
              </w:tc>
              <w:tc>
                <w:tcPr>
                  <w:tcW w:w="1536" w:type="dxa"/>
                  <w:gridSpan w:val="2"/>
                  <w:shd w:val="clear" w:color="auto" w:fill="auto"/>
                  <w:vAlign w:val="center"/>
                </w:tcPr>
                <w:p w14:paraId="51F572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color w:val="auto"/>
                      <w:lang w:val="en-US" w:eastAsia="zh-CN"/>
                    </w:rPr>
                    <w:t>G</w:t>
                  </w:r>
                  <w:r>
                    <w:rPr>
                      <w:rFonts w:hint="eastAsia"/>
                      <w:color w:val="auto"/>
                      <w:lang w:val="en-US" w:eastAsia="zh-CN"/>
                    </w:rPr>
                    <w:t>12三次</w:t>
                  </w:r>
                  <w:r>
                    <w:rPr>
                      <w:rFonts w:hint="eastAsia" w:cs="Times New Roman"/>
                      <w:b w:val="0"/>
                      <w:bCs/>
                      <w:color w:val="auto"/>
                      <w:kern w:val="2"/>
                      <w:sz w:val="21"/>
                      <w:szCs w:val="21"/>
                      <w:lang w:val="en-US" w:eastAsia="zh-CN" w:bidi="ar-SA"/>
                    </w:rPr>
                    <w:t>色选</w:t>
                  </w:r>
                  <w:r>
                    <w:rPr>
                      <w:rFonts w:hint="eastAsia" w:cs="Times New Roman"/>
                      <w:color w:val="auto"/>
                      <w:kern w:val="0"/>
                      <w:sz w:val="21"/>
                      <w:szCs w:val="21"/>
                      <w:lang w:val="en-US" w:eastAsia="zh-CN"/>
                    </w:rPr>
                    <w:t>粉尘</w:t>
                  </w:r>
                </w:p>
              </w:tc>
              <w:tc>
                <w:tcPr>
                  <w:tcW w:w="1140" w:type="dxa"/>
                  <w:shd w:val="clear" w:color="auto" w:fill="auto"/>
                  <w:vAlign w:val="center"/>
                </w:tcPr>
                <w:p w14:paraId="59C7A6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lang w:val="en-US" w:eastAsia="zh-CN" w:bidi="ar-SA"/>
                    </w:rPr>
                  </w:pPr>
                  <w:r>
                    <w:rPr>
                      <w:rFonts w:hint="eastAsia" w:cs="Times New Roman"/>
                      <w:color w:val="auto"/>
                      <w:szCs w:val="21"/>
                      <w:lang w:val="en-US" w:eastAsia="zh-CN"/>
                    </w:rPr>
                    <w:t>颗粒物</w:t>
                  </w:r>
                </w:p>
              </w:tc>
              <w:tc>
                <w:tcPr>
                  <w:tcW w:w="3733" w:type="dxa"/>
                  <w:vMerge w:val="continue"/>
                  <w:vAlign w:val="center"/>
                </w:tcPr>
                <w:p w14:paraId="0F6515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5E2E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74" w:type="dxa"/>
                  <w:vMerge w:val="continue"/>
                  <w:vAlign w:val="center"/>
                </w:tcPr>
                <w:p w14:paraId="2C7396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164" w:type="dxa"/>
                  <w:vAlign w:val="center"/>
                </w:tcPr>
                <w:p w14:paraId="2A8969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cs="Times New Roman"/>
                      <w:b w:val="0"/>
                      <w:bCs/>
                      <w:color w:val="auto"/>
                      <w:kern w:val="2"/>
                      <w:sz w:val="21"/>
                      <w:szCs w:val="21"/>
                      <w:lang w:val="en-US" w:eastAsia="zh-CN" w:bidi="ar-SA"/>
                    </w:rPr>
                    <w:t>二次</w:t>
                  </w:r>
                  <w:r>
                    <w:rPr>
                      <w:rFonts w:hint="default" w:ascii="Times New Roman" w:hAnsi="Times New Roman" w:eastAsia="宋体" w:cs="Times New Roman"/>
                      <w:b w:val="0"/>
                      <w:bCs/>
                      <w:color w:val="auto"/>
                      <w:sz w:val="21"/>
                      <w:szCs w:val="21"/>
                      <w:lang w:val="en-US" w:eastAsia="zh-CN"/>
                    </w:rPr>
                    <w:t>白米分级</w:t>
                  </w:r>
                </w:p>
              </w:tc>
              <w:tc>
                <w:tcPr>
                  <w:tcW w:w="1536" w:type="dxa"/>
                  <w:gridSpan w:val="2"/>
                  <w:vAlign w:val="center"/>
                </w:tcPr>
                <w:p w14:paraId="45666B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G</w:t>
                  </w:r>
                  <w:r>
                    <w:rPr>
                      <w:rFonts w:hint="eastAsia"/>
                      <w:color w:val="auto"/>
                      <w:lang w:val="en-US" w:eastAsia="zh-CN"/>
                    </w:rPr>
                    <w:t>13</w:t>
                  </w:r>
                  <w:r>
                    <w:rPr>
                      <w:rFonts w:hint="eastAsia" w:cs="Times New Roman"/>
                      <w:b w:val="0"/>
                      <w:bCs/>
                      <w:color w:val="auto"/>
                      <w:kern w:val="2"/>
                      <w:sz w:val="21"/>
                      <w:szCs w:val="21"/>
                      <w:lang w:val="en-US" w:eastAsia="zh-CN" w:bidi="ar-SA"/>
                    </w:rPr>
                    <w:t>二次</w:t>
                  </w:r>
                  <w:r>
                    <w:rPr>
                      <w:rFonts w:hint="default" w:ascii="Times New Roman" w:hAnsi="Times New Roman" w:eastAsia="宋体" w:cs="Times New Roman"/>
                      <w:b w:val="0"/>
                      <w:bCs/>
                      <w:color w:val="auto"/>
                      <w:sz w:val="21"/>
                      <w:szCs w:val="21"/>
                      <w:lang w:val="en-US" w:eastAsia="zh-CN"/>
                    </w:rPr>
                    <w:t>白米分级</w:t>
                  </w:r>
                  <w:r>
                    <w:rPr>
                      <w:rFonts w:hint="eastAsia" w:cs="Times New Roman"/>
                      <w:b w:val="0"/>
                      <w:bCs/>
                      <w:color w:val="auto"/>
                      <w:sz w:val="21"/>
                      <w:szCs w:val="21"/>
                      <w:lang w:val="en-US" w:eastAsia="zh-CN"/>
                    </w:rPr>
                    <w:t>粉尘</w:t>
                  </w:r>
                </w:p>
              </w:tc>
              <w:tc>
                <w:tcPr>
                  <w:tcW w:w="1140" w:type="dxa"/>
                  <w:vAlign w:val="center"/>
                </w:tcPr>
                <w:p w14:paraId="6D724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cs="Times New Roman"/>
                      <w:color w:val="auto"/>
                      <w:szCs w:val="21"/>
                      <w:lang w:val="en-US" w:eastAsia="zh-CN"/>
                    </w:rPr>
                    <w:t>颗粒物</w:t>
                  </w:r>
                </w:p>
              </w:tc>
              <w:tc>
                <w:tcPr>
                  <w:tcW w:w="3733" w:type="dxa"/>
                  <w:vMerge w:val="continue"/>
                  <w:vAlign w:val="center"/>
                </w:tcPr>
                <w:p w14:paraId="0C0B8C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26AC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vAlign w:val="center"/>
                </w:tcPr>
                <w:p w14:paraId="3269F4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164" w:type="dxa"/>
                  <w:vAlign w:val="center"/>
                </w:tcPr>
                <w:p w14:paraId="597F8F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color w:val="auto"/>
                      <w:lang w:val="en-US" w:eastAsia="zh-CN"/>
                    </w:rPr>
                    <w:t>精选</w:t>
                  </w:r>
                </w:p>
              </w:tc>
              <w:tc>
                <w:tcPr>
                  <w:tcW w:w="1536" w:type="dxa"/>
                  <w:gridSpan w:val="2"/>
                  <w:vAlign w:val="center"/>
                </w:tcPr>
                <w:p w14:paraId="6FCB11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ascii="Times New Roman" w:hAnsi="Times New Roman"/>
                      <w:color w:val="auto"/>
                      <w:lang w:val="en-US" w:eastAsia="zh-CN"/>
                    </w:rPr>
                    <w:t>G</w:t>
                  </w:r>
                  <w:r>
                    <w:rPr>
                      <w:rFonts w:hint="eastAsia"/>
                      <w:color w:val="auto"/>
                      <w:lang w:val="en-US" w:eastAsia="zh-CN"/>
                    </w:rPr>
                    <w:t>14精选</w:t>
                  </w:r>
                  <w:r>
                    <w:rPr>
                      <w:rFonts w:hint="eastAsia" w:cs="Times New Roman"/>
                      <w:color w:val="auto"/>
                      <w:kern w:val="0"/>
                      <w:sz w:val="21"/>
                      <w:szCs w:val="21"/>
                      <w:lang w:val="en-US" w:eastAsia="zh-CN"/>
                    </w:rPr>
                    <w:t>粉尘</w:t>
                  </w:r>
                </w:p>
              </w:tc>
              <w:tc>
                <w:tcPr>
                  <w:tcW w:w="1140" w:type="dxa"/>
                  <w:vAlign w:val="center"/>
                </w:tcPr>
                <w:p w14:paraId="34786D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cs="Times New Roman"/>
                      <w:color w:val="auto"/>
                      <w:szCs w:val="21"/>
                      <w:lang w:val="en-US" w:eastAsia="zh-CN"/>
                    </w:rPr>
                    <w:t>颗粒物</w:t>
                  </w:r>
                </w:p>
              </w:tc>
              <w:tc>
                <w:tcPr>
                  <w:tcW w:w="3733" w:type="dxa"/>
                  <w:vMerge w:val="continue"/>
                  <w:vAlign w:val="center"/>
                </w:tcPr>
                <w:p w14:paraId="4FD3B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4DF4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Align w:val="center"/>
                </w:tcPr>
                <w:p w14:paraId="73BC22A6">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164" w:type="dxa"/>
                  <w:vAlign w:val="center"/>
                </w:tcPr>
                <w:p w14:paraId="066A687A">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车间</w:t>
                  </w:r>
                </w:p>
              </w:tc>
              <w:tc>
                <w:tcPr>
                  <w:tcW w:w="1536" w:type="dxa"/>
                  <w:gridSpan w:val="2"/>
                  <w:vAlign w:val="center"/>
                </w:tcPr>
                <w:p w14:paraId="527AC53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生产</w:t>
                  </w:r>
                  <w:r>
                    <w:rPr>
                      <w:rFonts w:hint="default" w:ascii="Times New Roman" w:hAnsi="Times New Roman" w:cs="Times New Roman"/>
                      <w:color w:val="auto"/>
                      <w:szCs w:val="21"/>
                    </w:rPr>
                    <w:t>设备</w:t>
                  </w:r>
                </w:p>
              </w:tc>
              <w:tc>
                <w:tcPr>
                  <w:tcW w:w="1140" w:type="dxa"/>
                  <w:vAlign w:val="center"/>
                </w:tcPr>
                <w:p w14:paraId="2A628B12">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3733" w:type="dxa"/>
                  <w:vAlign w:val="center"/>
                </w:tcPr>
                <w:p w14:paraId="404202AE">
                  <w:pPr>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采取优选低噪声设备、车间内布置、隔声、消声、减振等措施</w:t>
                  </w:r>
                </w:p>
              </w:tc>
            </w:tr>
            <w:tr w14:paraId="76C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vAlign w:val="center"/>
                </w:tcPr>
                <w:p w14:paraId="5622B879">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固废</w:t>
                  </w:r>
                </w:p>
              </w:tc>
              <w:tc>
                <w:tcPr>
                  <w:tcW w:w="1169" w:type="dxa"/>
                  <w:gridSpan w:val="2"/>
                  <w:vAlign w:val="center"/>
                </w:tcPr>
                <w:p w14:paraId="287436C2">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除杂、清理、去石</w:t>
                  </w:r>
                </w:p>
              </w:tc>
              <w:tc>
                <w:tcPr>
                  <w:tcW w:w="1531" w:type="dxa"/>
                  <w:vMerge w:val="restart"/>
                  <w:vAlign w:val="center"/>
                </w:tcPr>
                <w:p w14:paraId="76AE0E8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一般固废</w:t>
                  </w:r>
                </w:p>
              </w:tc>
              <w:tc>
                <w:tcPr>
                  <w:tcW w:w="1140" w:type="dxa"/>
                  <w:vAlign w:val="center"/>
                </w:tcPr>
                <w:p w14:paraId="5FD20D16">
                  <w:pPr>
                    <w:spacing w:line="340" w:lineRule="exact"/>
                    <w:jc w:val="center"/>
                    <w:rPr>
                      <w:rFonts w:hint="default" w:ascii="Times New Roman" w:hAnsi="Times New Roman" w:cs="Times New Roman"/>
                      <w:color w:val="auto"/>
                      <w:szCs w:val="21"/>
                      <w:lang w:val="en-US" w:eastAsia="zh-CN"/>
                    </w:rPr>
                  </w:pPr>
                  <w:r>
                    <w:rPr>
                      <w:rFonts w:ascii="Times New Roman" w:hAnsi="Times New Roman"/>
                      <w:color w:val="auto"/>
                      <w:szCs w:val="21"/>
                    </w:rPr>
                    <w:t>砂石</w:t>
                  </w:r>
                  <w:r>
                    <w:rPr>
                      <w:rFonts w:hint="default" w:ascii="Times New Roman" w:hAnsi="Times New Roman" w:eastAsia="宋体" w:cs="Times New Roman"/>
                      <w:color w:val="auto"/>
                      <w:kern w:val="2"/>
                      <w:sz w:val="21"/>
                      <w:szCs w:val="24"/>
                      <w:lang w:val="en-US" w:eastAsia="zh-CN" w:bidi="ar-SA"/>
                    </w:rPr>
                    <w:t>杂质</w:t>
                  </w:r>
                </w:p>
              </w:tc>
              <w:tc>
                <w:tcPr>
                  <w:tcW w:w="3733" w:type="dxa"/>
                  <w:vAlign w:val="center"/>
                </w:tcPr>
                <w:p w14:paraId="098C6A9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由环卫部门定期清运</w:t>
                  </w:r>
                </w:p>
              </w:tc>
            </w:tr>
            <w:tr w14:paraId="05D0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74" w:type="dxa"/>
                  <w:vMerge w:val="continue"/>
                  <w:vAlign w:val="center"/>
                </w:tcPr>
                <w:p w14:paraId="210364AD">
                  <w:pPr>
                    <w:jc w:val="center"/>
                    <w:rPr>
                      <w:rFonts w:hint="default" w:ascii="Times New Roman" w:hAnsi="Times New Roman" w:cs="Times New Roman"/>
                      <w:color w:val="auto"/>
                      <w:szCs w:val="21"/>
                    </w:rPr>
                  </w:pPr>
                </w:p>
              </w:tc>
              <w:tc>
                <w:tcPr>
                  <w:tcW w:w="1169" w:type="dxa"/>
                  <w:gridSpan w:val="2"/>
                  <w:vAlign w:val="center"/>
                </w:tcPr>
                <w:p w14:paraId="66AE4C6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除尘器</w:t>
                  </w:r>
                  <w:r>
                    <w:rPr>
                      <w:rFonts w:hint="default" w:ascii="Times New Roman" w:hAnsi="Times New Roman" w:eastAsia="宋体" w:cs="Times New Roman"/>
                      <w:color w:val="auto"/>
                      <w:kern w:val="2"/>
                      <w:sz w:val="21"/>
                      <w:szCs w:val="24"/>
                      <w:lang w:val="en-US" w:eastAsia="zh-CN" w:bidi="ar-SA"/>
                    </w:rPr>
                    <w:t>除尘</w:t>
                  </w:r>
                </w:p>
              </w:tc>
              <w:tc>
                <w:tcPr>
                  <w:tcW w:w="1531" w:type="dxa"/>
                  <w:vMerge w:val="continue"/>
                  <w:vAlign w:val="center"/>
                </w:tcPr>
                <w:p w14:paraId="3B9796A9">
                  <w:pPr>
                    <w:jc w:val="center"/>
                    <w:rPr>
                      <w:rFonts w:hint="default" w:ascii="Times New Roman" w:hAnsi="Times New Roman" w:cs="Times New Roman"/>
                      <w:color w:val="auto"/>
                      <w:szCs w:val="21"/>
                    </w:rPr>
                  </w:pPr>
                </w:p>
              </w:tc>
              <w:tc>
                <w:tcPr>
                  <w:tcW w:w="1140" w:type="dxa"/>
                  <w:vAlign w:val="center"/>
                </w:tcPr>
                <w:p w14:paraId="3ABFA470">
                  <w:pPr>
                    <w:spacing w:line="340" w:lineRule="exact"/>
                    <w:jc w:val="center"/>
                    <w:rPr>
                      <w:rFonts w:hint="default" w:cs="Times New Roman"/>
                      <w:color w:val="auto"/>
                      <w:szCs w:val="21"/>
                      <w:lang w:val="en-US" w:eastAsia="zh-CN"/>
                    </w:rPr>
                  </w:pPr>
                  <w:r>
                    <w:rPr>
                      <w:rFonts w:hint="eastAsia" w:cs="Times New Roman"/>
                      <w:color w:val="auto"/>
                      <w:szCs w:val="21"/>
                      <w:lang w:val="en-US" w:eastAsia="zh-CN"/>
                    </w:rPr>
                    <w:t>除尘器收集粉尘</w:t>
                  </w:r>
                </w:p>
              </w:tc>
              <w:tc>
                <w:tcPr>
                  <w:tcW w:w="3733" w:type="dxa"/>
                  <w:vMerge w:val="restart"/>
                  <w:vAlign w:val="center"/>
                </w:tcPr>
                <w:p w14:paraId="5ADE09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集中收集后外售综合利用</w:t>
                  </w:r>
                </w:p>
              </w:tc>
            </w:tr>
            <w:tr w14:paraId="7E52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vAlign w:val="center"/>
                </w:tcPr>
                <w:p w14:paraId="7DFB9CA7">
                  <w:pPr>
                    <w:jc w:val="center"/>
                    <w:rPr>
                      <w:rFonts w:hint="default" w:ascii="Times New Roman" w:hAnsi="Times New Roman" w:cs="Times New Roman"/>
                      <w:color w:val="auto"/>
                      <w:szCs w:val="21"/>
                    </w:rPr>
                  </w:pPr>
                </w:p>
              </w:tc>
              <w:tc>
                <w:tcPr>
                  <w:tcW w:w="1169" w:type="dxa"/>
                  <w:gridSpan w:val="2"/>
                  <w:vAlign w:val="center"/>
                </w:tcPr>
                <w:p w14:paraId="615A5E07">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包装</w:t>
                  </w:r>
                </w:p>
              </w:tc>
              <w:tc>
                <w:tcPr>
                  <w:tcW w:w="1531" w:type="dxa"/>
                  <w:vMerge w:val="continue"/>
                  <w:vAlign w:val="center"/>
                </w:tcPr>
                <w:p w14:paraId="356750A5">
                  <w:pPr>
                    <w:jc w:val="center"/>
                    <w:rPr>
                      <w:rFonts w:hint="default" w:ascii="Times New Roman" w:hAnsi="Times New Roman" w:cs="Times New Roman"/>
                      <w:color w:val="auto"/>
                      <w:szCs w:val="21"/>
                    </w:rPr>
                  </w:pPr>
                </w:p>
              </w:tc>
              <w:tc>
                <w:tcPr>
                  <w:tcW w:w="1140" w:type="dxa"/>
                  <w:vAlign w:val="center"/>
                </w:tcPr>
                <w:p w14:paraId="53B3D8A8">
                  <w:pPr>
                    <w:spacing w:line="340" w:lineRule="exact"/>
                    <w:jc w:val="center"/>
                    <w:rPr>
                      <w:rFonts w:hint="default" w:cs="Times New Roman"/>
                      <w:color w:val="auto"/>
                      <w:szCs w:val="21"/>
                      <w:lang w:val="en-US" w:eastAsia="zh-CN"/>
                    </w:rPr>
                  </w:pPr>
                  <w:r>
                    <w:rPr>
                      <w:rFonts w:ascii="Times New Roman" w:hAnsi="Times New Roman"/>
                      <w:color w:val="auto"/>
                      <w:szCs w:val="21"/>
                    </w:rPr>
                    <w:t>废包装袋</w:t>
                  </w:r>
                </w:p>
              </w:tc>
              <w:tc>
                <w:tcPr>
                  <w:tcW w:w="3733" w:type="dxa"/>
                  <w:vMerge w:val="continue"/>
                  <w:vAlign w:val="center"/>
                </w:tcPr>
                <w:p w14:paraId="287456E5">
                  <w:pPr>
                    <w:jc w:val="center"/>
                    <w:rPr>
                      <w:rFonts w:hint="eastAsia" w:cs="Times New Roman"/>
                      <w:color w:val="auto"/>
                      <w:szCs w:val="21"/>
                      <w:lang w:val="en-US" w:eastAsia="zh-CN"/>
                    </w:rPr>
                  </w:pPr>
                </w:p>
              </w:tc>
            </w:tr>
            <w:tr w14:paraId="5145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74" w:type="dxa"/>
                  <w:vMerge w:val="continue"/>
                  <w:vAlign w:val="center"/>
                </w:tcPr>
                <w:p w14:paraId="29F258BB">
                  <w:pPr>
                    <w:jc w:val="center"/>
                    <w:rPr>
                      <w:rFonts w:hint="default" w:ascii="Times New Roman" w:hAnsi="Times New Roman" w:cs="Times New Roman"/>
                      <w:color w:val="auto"/>
                      <w:szCs w:val="21"/>
                    </w:rPr>
                  </w:pPr>
                </w:p>
              </w:tc>
              <w:tc>
                <w:tcPr>
                  <w:tcW w:w="1169" w:type="dxa"/>
                  <w:gridSpan w:val="2"/>
                  <w:vAlign w:val="center"/>
                </w:tcPr>
                <w:p w14:paraId="343B2C61">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厂区办公生活</w:t>
                  </w:r>
                </w:p>
              </w:tc>
              <w:tc>
                <w:tcPr>
                  <w:tcW w:w="1531" w:type="dxa"/>
                  <w:vAlign w:val="center"/>
                </w:tcPr>
                <w:p w14:paraId="2837E3EA">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1140" w:type="dxa"/>
                  <w:vAlign w:val="center"/>
                </w:tcPr>
                <w:p w14:paraId="26A13FF0">
                  <w:pPr>
                    <w:spacing w:line="340" w:lineRule="exact"/>
                    <w:jc w:val="center"/>
                    <w:rPr>
                      <w:rFonts w:hint="default" w:ascii="Times New Roman" w:hAnsi="Times New Roman" w:cs="Times New Roman"/>
                      <w:color w:val="auto"/>
                      <w:szCs w:val="21"/>
                    </w:rPr>
                  </w:pPr>
                  <w:r>
                    <w:rPr>
                      <w:rFonts w:ascii="Times New Roman" w:hAnsi="Times New Roman"/>
                      <w:color w:val="auto"/>
                      <w:szCs w:val="21"/>
                    </w:rPr>
                    <w:t>生活垃圾</w:t>
                  </w:r>
                </w:p>
              </w:tc>
              <w:tc>
                <w:tcPr>
                  <w:tcW w:w="3733" w:type="dxa"/>
                  <w:vAlign w:val="center"/>
                </w:tcPr>
                <w:p w14:paraId="14D39A1A">
                  <w:pPr>
                    <w:jc w:val="center"/>
                    <w:rPr>
                      <w:rFonts w:hint="default" w:ascii="Times New Roman" w:hAnsi="Times New Roman" w:cs="Times New Roman"/>
                      <w:color w:val="auto"/>
                      <w:szCs w:val="21"/>
                    </w:rPr>
                  </w:pPr>
                  <w:r>
                    <w:rPr>
                      <w:rFonts w:hint="default" w:ascii="Times New Roman" w:hAnsi="Times New Roman" w:cs="Times New Roman"/>
                      <w:color w:val="auto"/>
                      <w:szCs w:val="21"/>
                    </w:rPr>
                    <w:t>由环卫部门定期清运</w:t>
                  </w:r>
                </w:p>
              </w:tc>
            </w:tr>
            <w:tr w14:paraId="204B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74" w:type="dxa"/>
                  <w:vMerge w:val="continue"/>
                  <w:vAlign w:val="center"/>
                </w:tcPr>
                <w:p w14:paraId="0D076B75">
                  <w:pPr>
                    <w:jc w:val="center"/>
                    <w:rPr>
                      <w:rFonts w:hint="default" w:ascii="Times New Roman" w:hAnsi="Times New Roman" w:cs="Times New Roman"/>
                      <w:color w:val="auto"/>
                      <w:szCs w:val="21"/>
                    </w:rPr>
                  </w:pPr>
                </w:p>
              </w:tc>
              <w:tc>
                <w:tcPr>
                  <w:tcW w:w="1169" w:type="dxa"/>
                  <w:gridSpan w:val="2"/>
                  <w:vAlign w:val="center"/>
                </w:tcPr>
                <w:p w14:paraId="04A69217">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设备维修</w:t>
                  </w:r>
                </w:p>
              </w:tc>
              <w:tc>
                <w:tcPr>
                  <w:tcW w:w="1531" w:type="dxa"/>
                  <w:vMerge w:val="restart"/>
                  <w:vAlign w:val="center"/>
                </w:tcPr>
                <w:p w14:paraId="42834225">
                  <w:pPr>
                    <w:jc w:val="center"/>
                    <w:rPr>
                      <w:rFonts w:hint="default" w:cs="Times New Roman"/>
                      <w:color w:val="auto"/>
                      <w:szCs w:val="21"/>
                      <w:lang w:val="en-US" w:eastAsia="zh-CN"/>
                    </w:rPr>
                  </w:pPr>
                  <w:r>
                    <w:rPr>
                      <w:rFonts w:hint="eastAsia" w:cs="Times New Roman"/>
                      <w:color w:val="auto"/>
                      <w:szCs w:val="21"/>
                      <w:lang w:val="en-US" w:eastAsia="zh-CN"/>
                    </w:rPr>
                    <w:t>危废废物</w:t>
                  </w:r>
                </w:p>
              </w:tc>
              <w:tc>
                <w:tcPr>
                  <w:tcW w:w="1140" w:type="dxa"/>
                  <w:vAlign w:val="center"/>
                </w:tcPr>
                <w:p w14:paraId="454533EC">
                  <w:pPr>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废润滑油</w:t>
                  </w:r>
                </w:p>
              </w:tc>
              <w:tc>
                <w:tcPr>
                  <w:tcW w:w="3733" w:type="dxa"/>
                  <w:vMerge w:val="restart"/>
                  <w:vAlign w:val="center"/>
                </w:tcPr>
                <w:p w14:paraId="1563A03F">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定期委托有资质单位处置</w:t>
                  </w:r>
                </w:p>
              </w:tc>
            </w:tr>
            <w:tr w14:paraId="022A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74" w:type="dxa"/>
                  <w:vMerge w:val="continue"/>
                  <w:vAlign w:val="center"/>
                </w:tcPr>
                <w:p w14:paraId="7842C773">
                  <w:pPr>
                    <w:jc w:val="center"/>
                    <w:rPr>
                      <w:rFonts w:hint="default" w:ascii="Times New Roman" w:hAnsi="Times New Roman" w:cs="Times New Roman"/>
                      <w:color w:val="auto"/>
                      <w:szCs w:val="21"/>
                    </w:rPr>
                  </w:pPr>
                </w:p>
              </w:tc>
              <w:tc>
                <w:tcPr>
                  <w:tcW w:w="1169" w:type="dxa"/>
                  <w:gridSpan w:val="2"/>
                  <w:vAlign w:val="center"/>
                </w:tcPr>
                <w:p w14:paraId="15FAB8EE">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设备维修</w:t>
                  </w:r>
                </w:p>
              </w:tc>
              <w:tc>
                <w:tcPr>
                  <w:tcW w:w="1531" w:type="dxa"/>
                  <w:vMerge w:val="continue"/>
                  <w:vAlign w:val="center"/>
                </w:tcPr>
                <w:p w14:paraId="218F0F90">
                  <w:pPr>
                    <w:jc w:val="center"/>
                    <w:rPr>
                      <w:rFonts w:hint="eastAsia" w:cs="Times New Roman"/>
                      <w:color w:val="auto"/>
                      <w:szCs w:val="21"/>
                      <w:lang w:val="en-US" w:eastAsia="zh-CN"/>
                    </w:rPr>
                  </w:pPr>
                </w:p>
              </w:tc>
              <w:tc>
                <w:tcPr>
                  <w:tcW w:w="1140" w:type="dxa"/>
                  <w:vAlign w:val="center"/>
                </w:tcPr>
                <w:p w14:paraId="28900287">
                  <w:pPr>
                    <w:spacing w:line="340" w:lineRule="exact"/>
                    <w:jc w:val="center"/>
                    <w:rPr>
                      <w:rFonts w:ascii="Times New Roman" w:hAnsi="Times New Roman"/>
                      <w:color w:val="auto"/>
                      <w:szCs w:val="21"/>
                    </w:rPr>
                  </w:pPr>
                  <w:r>
                    <w:rPr>
                      <w:rFonts w:hint="default" w:ascii="Times New Roman" w:hAnsi="Times New Roman"/>
                      <w:color w:val="auto"/>
                      <w:szCs w:val="21"/>
                      <w:lang w:val="en-US" w:eastAsia="zh-CN"/>
                    </w:rPr>
                    <w:t>含油废抹布、废手套</w:t>
                  </w:r>
                </w:p>
              </w:tc>
              <w:tc>
                <w:tcPr>
                  <w:tcW w:w="3733" w:type="dxa"/>
                  <w:vMerge w:val="continue"/>
                  <w:vAlign w:val="center"/>
                </w:tcPr>
                <w:p w14:paraId="266BADBE">
                  <w:pPr>
                    <w:jc w:val="center"/>
                    <w:rPr>
                      <w:rFonts w:hint="default" w:ascii="Times New Roman" w:hAnsi="Times New Roman" w:cs="Times New Roman"/>
                      <w:color w:val="auto"/>
                      <w:szCs w:val="21"/>
                    </w:rPr>
                  </w:pPr>
                </w:p>
              </w:tc>
            </w:tr>
          </w:tbl>
          <w:p w14:paraId="2623538F">
            <w:pPr>
              <w:spacing w:line="360" w:lineRule="auto"/>
              <w:ind w:firstLine="480" w:firstLineChars="200"/>
              <w:rPr>
                <w:color w:val="auto"/>
                <w:sz w:val="24"/>
                <w:szCs w:val="24"/>
              </w:rPr>
            </w:pPr>
          </w:p>
        </w:tc>
      </w:tr>
      <w:tr w14:paraId="67A1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2" w:hRule="atLeast"/>
          <w:jc w:val="center"/>
        </w:trPr>
        <w:tc>
          <w:tcPr>
            <w:tcW w:w="569" w:type="dxa"/>
            <w:vAlign w:val="center"/>
          </w:tcPr>
          <w:p w14:paraId="574A1349">
            <w:pPr>
              <w:widowControl/>
              <w:spacing w:line="276" w:lineRule="auto"/>
              <w:jc w:val="center"/>
              <w:rPr>
                <w:bCs/>
                <w:color w:val="auto"/>
                <w:szCs w:val="21"/>
              </w:rPr>
            </w:pPr>
            <w:r>
              <w:rPr>
                <w:rFonts w:hint="eastAsia"/>
                <w:bCs/>
                <w:color w:val="auto"/>
                <w:sz w:val="24"/>
                <w:szCs w:val="24"/>
              </w:rPr>
              <w:t>与项目有关的原有环境污染问题</w:t>
            </w:r>
          </w:p>
        </w:tc>
        <w:tc>
          <w:tcPr>
            <w:tcW w:w="8676" w:type="dxa"/>
            <w:vAlign w:val="center"/>
          </w:tcPr>
          <w:p w14:paraId="250CDCB0">
            <w:pPr>
              <w:widowControl/>
              <w:spacing w:line="360" w:lineRule="auto"/>
              <w:ind w:firstLine="480" w:firstLineChars="200"/>
              <w:jc w:val="left"/>
              <w:rPr>
                <w:color w:val="auto"/>
                <w:kern w:val="0"/>
                <w:sz w:val="24"/>
                <w:szCs w:val="24"/>
              </w:rPr>
            </w:pPr>
            <w:r>
              <w:rPr>
                <w:rFonts w:hint="eastAsia"/>
                <w:color w:val="auto"/>
                <w:kern w:val="0"/>
                <w:sz w:val="24"/>
                <w:szCs w:val="24"/>
              </w:rPr>
              <w:t>本项目为新建项目，位于</w:t>
            </w:r>
            <w:r>
              <w:rPr>
                <w:rFonts w:hint="eastAsia" w:cs="Times New Roman"/>
                <w:b w:val="0"/>
                <w:bCs w:val="0"/>
                <w:sz w:val="24"/>
                <w:szCs w:val="24"/>
                <w:u w:val="none"/>
                <w:lang w:val="en-US" w:eastAsia="zh-CN"/>
              </w:rPr>
              <w:t>安徽省</w:t>
            </w:r>
            <w:r>
              <w:rPr>
                <w:rFonts w:hint="default" w:ascii="Times New Roman" w:hAnsi="Times New Roman" w:cs="Times New Roman"/>
                <w:b w:val="0"/>
                <w:bCs w:val="0"/>
                <w:sz w:val="24"/>
                <w:szCs w:val="24"/>
                <w:u w:val="none"/>
                <w:lang w:eastAsia="zh-CN"/>
              </w:rPr>
              <w:t>淮南市潘集区潘集镇地销煤路聚旺公司旁</w:t>
            </w:r>
            <w:r>
              <w:rPr>
                <w:rFonts w:hint="eastAsia"/>
                <w:color w:val="auto"/>
                <w:kern w:val="0"/>
                <w:sz w:val="24"/>
                <w:szCs w:val="24"/>
                <w:lang w:eastAsia="zh-CN"/>
              </w:rPr>
              <w:t>，项目用地为</w:t>
            </w:r>
            <w:r>
              <w:rPr>
                <w:rFonts w:hint="eastAsia"/>
                <w:color w:val="auto"/>
                <w:kern w:val="0"/>
                <w:sz w:val="24"/>
                <w:szCs w:val="24"/>
                <w:lang w:val="en-US" w:eastAsia="zh-CN"/>
              </w:rPr>
              <w:t>工业用地</w:t>
            </w:r>
            <w:r>
              <w:rPr>
                <w:rFonts w:hint="eastAsia"/>
                <w:color w:val="auto"/>
                <w:kern w:val="0"/>
                <w:sz w:val="24"/>
                <w:szCs w:val="24"/>
                <w:lang w:eastAsia="zh-CN"/>
              </w:rPr>
              <w:t>，</w:t>
            </w:r>
            <w:r>
              <w:rPr>
                <w:rFonts w:hint="eastAsia"/>
                <w:color w:val="auto"/>
                <w:kern w:val="0"/>
                <w:sz w:val="24"/>
                <w:szCs w:val="24"/>
                <w:lang w:val="en-US" w:eastAsia="zh-CN"/>
              </w:rPr>
              <w:t>现有生产厂房为空置，</w:t>
            </w:r>
            <w:r>
              <w:rPr>
                <w:rFonts w:hint="eastAsia"/>
                <w:color w:val="auto"/>
                <w:kern w:val="0"/>
                <w:sz w:val="24"/>
                <w:szCs w:val="24"/>
                <w:lang w:eastAsia="zh-CN"/>
              </w:rPr>
              <w:t>无原有污染</w:t>
            </w:r>
            <w:r>
              <w:rPr>
                <w:rFonts w:hint="eastAsia"/>
                <w:color w:val="auto"/>
                <w:kern w:val="0"/>
                <w:sz w:val="24"/>
                <w:szCs w:val="24"/>
                <w:lang w:val="en-US" w:eastAsia="zh-CN"/>
              </w:rPr>
              <w:t>问题</w:t>
            </w:r>
            <w:r>
              <w:rPr>
                <w:rFonts w:hint="eastAsia"/>
                <w:color w:val="auto"/>
                <w:kern w:val="0"/>
                <w:sz w:val="24"/>
                <w:szCs w:val="24"/>
                <w:lang w:eastAsia="zh-CN"/>
              </w:rPr>
              <w:t>，故</w:t>
            </w:r>
            <w:r>
              <w:rPr>
                <w:rFonts w:hint="eastAsia"/>
                <w:color w:val="auto"/>
                <w:kern w:val="0"/>
                <w:sz w:val="24"/>
                <w:szCs w:val="24"/>
              </w:rPr>
              <w:t>无与项目有关的原有污染情况和环境问题。</w:t>
            </w:r>
          </w:p>
          <w:p w14:paraId="20CCC72F">
            <w:pPr>
              <w:widowControl/>
              <w:spacing w:line="360" w:lineRule="auto"/>
              <w:ind w:firstLine="482" w:firstLineChars="200"/>
              <w:jc w:val="left"/>
              <w:rPr>
                <w:b/>
                <w:color w:val="auto"/>
                <w:sz w:val="24"/>
                <w:szCs w:val="24"/>
              </w:rPr>
            </w:pPr>
          </w:p>
        </w:tc>
      </w:tr>
    </w:tbl>
    <w:p w14:paraId="5A43574D">
      <w:pPr>
        <w:rPr>
          <w:color w:val="auto"/>
        </w:rPr>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720" w:num="1"/>
          <w:docGrid w:linePitch="312" w:charSpace="0"/>
        </w:sectPr>
      </w:pPr>
    </w:p>
    <w:p w14:paraId="371494BD">
      <w:pPr>
        <w:spacing w:line="360" w:lineRule="auto"/>
        <w:jc w:val="center"/>
        <w:outlineLvl w:val="0"/>
        <w:rPr>
          <w:rFonts w:eastAsia="黑体"/>
          <w:b/>
          <w:bCs/>
          <w:color w:val="auto"/>
          <w:sz w:val="30"/>
          <w:szCs w:val="24"/>
        </w:rPr>
      </w:pPr>
      <w:r>
        <w:rPr>
          <w:rFonts w:hint="eastAsia" w:eastAsia="黑体"/>
          <w:b/>
          <w:bCs/>
          <w:color w:val="auto"/>
          <w:sz w:val="30"/>
          <w:szCs w:val="24"/>
        </w:rPr>
        <w:t>三、区域环境质量现状、环境保护目标及评价标准</w:t>
      </w:r>
      <w:bookmarkEnd w:id="6"/>
    </w:p>
    <w:tbl>
      <w:tblPr>
        <w:tblStyle w:val="46"/>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37"/>
      </w:tblGrid>
      <w:tr w14:paraId="4BC8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321DA126">
            <w:pPr>
              <w:autoSpaceDE w:val="0"/>
              <w:autoSpaceDN w:val="0"/>
              <w:jc w:val="center"/>
              <w:rPr>
                <w:rFonts w:hAnsi="宋体"/>
                <w:color w:val="auto"/>
                <w:sz w:val="24"/>
                <w:szCs w:val="24"/>
              </w:rPr>
            </w:pPr>
            <w:r>
              <w:rPr>
                <w:rFonts w:hint="eastAsia" w:hAnsi="宋体"/>
                <w:color w:val="auto"/>
                <w:sz w:val="24"/>
                <w:szCs w:val="24"/>
              </w:rPr>
              <w:t>区域环境质量现状</w:t>
            </w:r>
          </w:p>
        </w:tc>
        <w:tc>
          <w:tcPr>
            <w:tcW w:w="8940" w:type="dxa"/>
            <w:vAlign w:val="center"/>
          </w:tcPr>
          <w:p w14:paraId="3D6F6EF2">
            <w:pPr>
              <w:spacing w:line="360" w:lineRule="auto"/>
              <w:rPr>
                <w:b/>
                <w:color w:val="auto"/>
                <w:sz w:val="24"/>
                <w:szCs w:val="24"/>
              </w:rPr>
            </w:pPr>
            <w:r>
              <w:rPr>
                <w:rFonts w:hint="eastAsia"/>
                <w:b/>
                <w:color w:val="auto"/>
                <w:sz w:val="24"/>
                <w:szCs w:val="24"/>
              </w:rPr>
              <w:t>1、</w:t>
            </w:r>
            <w:r>
              <w:rPr>
                <w:b/>
                <w:bCs/>
                <w:color w:val="auto"/>
                <w:sz w:val="24"/>
                <w:szCs w:val="24"/>
              </w:rPr>
              <w:t>空气环境</w:t>
            </w:r>
            <w:r>
              <w:rPr>
                <w:rFonts w:hint="default"/>
                <w:b/>
                <w:bCs/>
                <w:color w:val="auto"/>
                <w:sz w:val="24"/>
                <w:szCs w:val="24"/>
              </w:rPr>
              <w:t>质量现状</w:t>
            </w:r>
          </w:p>
          <w:p w14:paraId="1FCA73BB">
            <w:pPr>
              <w:pStyle w:val="62"/>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根据《202</w:t>
            </w:r>
            <w:r>
              <w:rPr>
                <w:rFonts w:hint="eastAsia"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年淮南市环境质量状况公报》：202</w:t>
            </w:r>
            <w:r>
              <w:rPr>
                <w:rFonts w:hint="eastAsia"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年淮南市市区环境空气中的主要污染物二氧化硫（SO</w:t>
            </w:r>
            <w:r>
              <w:rPr>
                <w:rFonts w:hint="default" w:ascii="Times New Roman" w:hAnsi="Times New Roman" w:eastAsia="宋体" w:cs="Times New Roman"/>
                <w:b w:val="0"/>
                <w:bCs w:val="0"/>
                <w:color w:val="auto"/>
                <w:sz w:val="24"/>
                <w:highlight w:val="none"/>
                <w:vertAlign w:val="subscript"/>
              </w:rPr>
              <w:t>2</w:t>
            </w:r>
            <w:r>
              <w:rPr>
                <w:rFonts w:hint="default" w:ascii="Times New Roman" w:hAnsi="Times New Roman" w:eastAsia="宋体" w:cs="Times New Roman"/>
                <w:b w:val="0"/>
                <w:bCs w:val="0"/>
                <w:color w:val="auto"/>
                <w:sz w:val="24"/>
                <w:highlight w:val="none"/>
              </w:rPr>
              <w:t>）年均浓度、二氧化氮（NO</w:t>
            </w:r>
            <w:r>
              <w:rPr>
                <w:rFonts w:hint="default" w:ascii="Times New Roman" w:hAnsi="Times New Roman" w:eastAsia="宋体" w:cs="Times New Roman"/>
                <w:b w:val="0"/>
                <w:bCs w:val="0"/>
                <w:color w:val="auto"/>
                <w:sz w:val="24"/>
                <w:highlight w:val="none"/>
                <w:vertAlign w:val="subscript"/>
              </w:rPr>
              <w:t>2</w:t>
            </w:r>
            <w:r>
              <w:rPr>
                <w:rFonts w:hint="default" w:ascii="Times New Roman" w:hAnsi="Times New Roman" w:eastAsia="宋体" w:cs="Times New Roman"/>
                <w:b w:val="0"/>
                <w:bCs w:val="0"/>
                <w:color w:val="auto"/>
                <w:sz w:val="24"/>
                <w:highlight w:val="none"/>
              </w:rPr>
              <w:t>）年均浓度、可吸入颗粒物（PM</w:t>
            </w:r>
            <w:r>
              <w:rPr>
                <w:rFonts w:hint="default" w:ascii="Times New Roman" w:hAnsi="Times New Roman" w:eastAsia="宋体" w:cs="Times New Roman"/>
                <w:b w:val="0"/>
                <w:bCs w:val="0"/>
                <w:color w:val="auto"/>
                <w:sz w:val="24"/>
                <w:highlight w:val="none"/>
                <w:vertAlign w:val="subscript"/>
              </w:rPr>
              <w:t>10</w:t>
            </w:r>
            <w:r>
              <w:rPr>
                <w:rFonts w:hint="default" w:ascii="Times New Roman" w:hAnsi="Times New Roman" w:eastAsia="宋体" w:cs="Times New Roman"/>
                <w:b w:val="0"/>
                <w:bCs w:val="0"/>
                <w:color w:val="auto"/>
                <w:sz w:val="24"/>
                <w:highlight w:val="none"/>
              </w:rPr>
              <w:t>）年均浓度、细颗粒物（PM</w:t>
            </w:r>
            <w:r>
              <w:rPr>
                <w:rFonts w:hint="default" w:ascii="Times New Roman" w:hAnsi="Times New Roman" w:eastAsia="宋体" w:cs="Times New Roman"/>
                <w:b w:val="0"/>
                <w:bCs w:val="0"/>
                <w:color w:val="auto"/>
                <w:sz w:val="24"/>
                <w:highlight w:val="none"/>
                <w:vertAlign w:val="subscript"/>
              </w:rPr>
              <w:t>2.5</w:t>
            </w:r>
            <w:r>
              <w:rPr>
                <w:rFonts w:hint="default" w:ascii="Times New Roman" w:hAnsi="Times New Roman" w:eastAsia="宋体" w:cs="Times New Roman"/>
                <w:b w:val="0"/>
                <w:bCs w:val="0"/>
                <w:color w:val="auto"/>
                <w:sz w:val="24"/>
                <w:highlight w:val="none"/>
              </w:rPr>
              <w:t>）年均浓度、一氧化碳（CO）日均值第95百分位浓度、臭氧（O</w:t>
            </w:r>
            <w:r>
              <w:rPr>
                <w:rFonts w:hint="default" w:ascii="Times New Roman" w:hAnsi="Times New Roman" w:eastAsia="宋体" w:cs="Times New Roman"/>
                <w:b w:val="0"/>
                <w:bCs w:val="0"/>
                <w:color w:val="auto"/>
                <w:sz w:val="24"/>
                <w:highlight w:val="none"/>
                <w:vertAlign w:val="subscript"/>
              </w:rPr>
              <w:t>3</w:t>
            </w:r>
            <w:r>
              <w:rPr>
                <w:rFonts w:hint="default" w:ascii="Times New Roman" w:hAnsi="Times New Roman" w:eastAsia="宋体" w:cs="Times New Roman"/>
                <w:b w:val="0"/>
                <w:bCs w:val="0"/>
                <w:color w:val="auto"/>
                <w:sz w:val="24"/>
                <w:highlight w:val="none"/>
              </w:rPr>
              <w:t>）日最大8小时平均第90百分位浓度分别为</w:t>
            </w:r>
            <w:r>
              <w:rPr>
                <w:rFonts w:hint="eastAsia" w:eastAsia="宋体" w:cs="Times New Roman"/>
                <w:b w:val="0"/>
                <w:bCs w:val="0"/>
                <w:color w:val="auto"/>
                <w:sz w:val="24"/>
                <w:highlight w:val="none"/>
                <w:lang w:val="en-US" w:eastAsia="zh-CN"/>
              </w:rPr>
              <w:t>7</w:t>
            </w:r>
            <w:r>
              <w:rPr>
                <w:rFonts w:hint="default" w:ascii="Times New Roman" w:hAnsi="Times New Roman" w:eastAsia="宋体" w:cs="Times New Roman"/>
                <w:b w:val="0"/>
                <w:bCs w:val="0"/>
                <w:color w:val="auto"/>
                <w:sz w:val="24"/>
                <w:highlight w:val="none"/>
              </w:rPr>
              <w:t>微克/立方米、</w:t>
            </w:r>
            <w:r>
              <w:rPr>
                <w:rFonts w:hint="eastAsia" w:eastAsia="宋体" w:cs="Times New Roman"/>
                <w:b w:val="0"/>
                <w:bCs w:val="0"/>
                <w:color w:val="auto"/>
                <w:sz w:val="24"/>
                <w:highlight w:val="none"/>
                <w:lang w:val="en-US" w:eastAsia="zh-CN"/>
              </w:rPr>
              <w:t>19</w:t>
            </w:r>
            <w:r>
              <w:rPr>
                <w:rFonts w:hint="default" w:ascii="Times New Roman" w:hAnsi="Times New Roman" w:eastAsia="宋体" w:cs="Times New Roman"/>
                <w:b w:val="0"/>
                <w:bCs w:val="0"/>
                <w:color w:val="auto"/>
                <w:sz w:val="24"/>
                <w:highlight w:val="none"/>
              </w:rPr>
              <w:t>微克/立方米、</w:t>
            </w:r>
            <w:r>
              <w:rPr>
                <w:rFonts w:hint="default" w:ascii="Times New Roman" w:hAnsi="Times New Roman" w:eastAsia="宋体" w:cs="Times New Roman"/>
                <w:b w:val="0"/>
                <w:bCs w:val="0"/>
                <w:color w:val="auto"/>
                <w:sz w:val="24"/>
                <w:highlight w:val="none"/>
                <w:lang w:val="en-US" w:eastAsia="zh-CN"/>
              </w:rPr>
              <w:t>65.</w:t>
            </w:r>
            <w:r>
              <w:rPr>
                <w:rFonts w:hint="eastAsia" w:eastAsia="宋体" w:cs="Times New Roman"/>
                <w:b w:val="0"/>
                <w:bCs w:val="0"/>
                <w:color w:val="auto"/>
                <w:sz w:val="24"/>
                <w:highlight w:val="none"/>
                <w:lang w:val="en-US" w:eastAsia="zh-CN"/>
              </w:rPr>
              <w:t>0</w:t>
            </w:r>
            <w:r>
              <w:rPr>
                <w:rFonts w:hint="default" w:ascii="Times New Roman" w:hAnsi="Times New Roman" w:eastAsia="宋体" w:cs="Times New Roman"/>
                <w:b w:val="0"/>
                <w:bCs w:val="0"/>
                <w:color w:val="auto"/>
                <w:sz w:val="24"/>
                <w:highlight w:val="none"/>
              </w:rPr>
              <w:t>微克/立方米、</w:t>
            </w:r>
            <w:r>
              <w:rPr>
                <w:rFonts w:hint="eastAsia" w:eastAsia="宋体" w:cs="Times New Roman"/>
                <w:b w:val="0"/>
                <w:bCs w:val="0"/>
                <w:color w:val="auto"/>
                <w:sz w:val="24"/>
                <w:highlight w:val="none"/>
                <w:lang w:val="en-US" w:eastAsia="zh-CN"/>
              </w:rPr>
              <w:t>40.0</w:t>
            </w:r>
            <w:r>
              <w:rPr>
                <w:rFonts w:hint="default" w:ascii="Times New Roman" w:hAnsi="Times New Roman" w:eastAsia="宋体" w:cs="Times New Roman"/>
                <w:b w:val="0"/>
                <w:bCs w:val="0"/>
                <w:color w:val="auto"/>
                <w:sz w:val="24"/>
                <w:highlight w:val="none"/>
              </w:rPr>
              <w:t>微克/立方米、</w:t>
            </w:r>
            <w:r>
              <w:rPr>
                <w:rFonts w:hint="default" w:ascii="Times New Roman" w:hAnsi="Times New Roman" w:eastAsia="宋体" w:cs="Times New Roman"/>
                <w:b w:val="0"/>
                <w:bCs w:val="0"/>
                <w:color w:val="auto"/>
                <w:sz w:val="24"/>
                <w:highlight w:val="none"/>
                <w:lang w:val="en-US" w:eastAsia="zh-CN"/>
              </w:rPr>
              <w:t>0.</w:t>
            </w:r>
            <w:r>
              <w:rPr>
                <w:rFonts w:hint="eastAsia" w:eastAsia="宋体" w:cs="Times New Roman"/>
                <w:b w:val="0"/>
                <w:bCs w:val="0"/>
                <w:color w:val="auto"/>
                <w:sz w:val="24"/>
                <w:highlight w:val="none"/>
                <w:lang w:val="en-US" w:eastAsia="zh-CN"/>
              </w:rPr>
              <w:t>8</w:t>
            </w:r>
            <w:r>
              <w:rPr>
                <w:rFonts w:hint="default" w:ascii="Times New Roman" w:hAnsi="Times New Roman" w:eastAsia="宋体" w:cs="Times New Roman"/>
                <w:b w:val="0"/>
                <w:bCs w:val="0"/>
                <w:color w:val="auto"/>
                <w:sz w:val="24"/>
                <w:highlight w:val="none"/>
              </w:rPr>
              <w:t>毫克/立方米和1</w:t>
            </w:r>
            <w:r>
              <w:rPr>
                <w:rFonts w:hint="eastAsia" w:eastAsia="宋体" w:cs="Times New Roman"/>
                <w:b w:val="0"/>
                <w:bCs w:val="0"/>
                <w:color w:val="auto"/>
                <w:sz w:val="24"/>
                <w:highlight w:val="none"/>
                <w:lang w:val="en-US" w:eastAsia="zh-CN"/>
              </w:rPr>
              <w:t>60</w:t>
            </w:r>
            <w:r>
              <w:rPr>
                <w:rFonts w:hint="default" w:ascii="Times New Roman" w:hAnsi="Times New Roman" w:eastAsia="宋体" w:cs="Times New Roman"/>
                <w:b w:val="0"/>
                <w:bCs w:val="0"/>
                <w:color w:val="auto"/>
                <w:sz w:val="24"/>
                <w:highlight w:val="none"/>
              </w:rPr>
              <w:t>微克/立方米，可吸入颗粒物（PM</w:t>
            </w:r>
            <w:r>
              <w:rPr>
                <w:rFonts w:hint="default" w:ascii="Times New Roman" w:hAnsi="Times New Roman" w:eastAsia="宋体" w:cs="Times New Roman"/>
                <w:b w:val="0"/>
                <w:bCs w:val="0"/>
                <w:color w:val="auto"/>
                <w:sz w:val="24"/>
                <w:highlight w:val="none"/>
                <w:vertAlign w:val="subscript"/>
              </w:rPr>
              <w:t>10</w:t>
            </w:r>
            <w:r>
              <w:rPr>
                <w:rFonts w:hint="default" w:ascii="Times New Roman" w:hAnsi="Times New Roman" w:eastAsia="宋体" w:cs="Times New Roman"/>
                <w:b w:val="0"/>
                <w:bCs w:val="0"/>
                <w:color w:val="auto"/>
                <w:sz w:val="24"/>
                <w:highlight w:val="none"/>
              </w:rPr>
              <w:t>）、二氧化硫（SO</w:t>
            </w:r>
            <w:r>
              <w:rPr>
                <w:rFonts w:hint="default" w:ascii="Times New Roman" w:hAnsi="Times New Roman" w:eastAsia="宋体" w:cs="Times New Roman"/>
                <w:b w:val="0"/>
                <w:bCs w:val="0"/>
                <w:color w:val="auto"/>
                <w:sz w:val="24"/>
                <w:highlight w:val="none"/>
                <w:vertAlign w:val="subscript"/>
              </w:rPr>
              <w:t>2</w:t>
            </w:r>
            <w:r>
              <w:rPr>
                <w:rFonts w:hint="default" w:ascii="Times New Roman" w:hAnsi="Times New Roman" w:eastAsia="宋体" w:cs="Times New Roman"/>
                <w:b w:val="0"/>
                <w:bCs w:val="0"/>
                <w:color w:val="auto"/>
                <w:sz w:val="24"/>
                <w:highlight w:val="none"/>
              </w:rPr>
              <w:t>）、二氧化氮（NO</w:t>
            </w:r>
            <w:r>
              <w:rPr>
                <w:rFonts w:hint="default" w:ascii="Times New Roman" w:hAnsi="Times New Roman" w:eastAsia="宋体" w:cs="Times New Roman"/>
                <w:b w:val="0"/>
                <w:bCs w:val="0"/>
                <w:color w:val="auto"/>
                <w:sz w:val="24"/>
                <w:highlight w:val="none"/>
                <w:vertAlign w:val="subscript"/>
              </w:rPr>
              <w:t>2</w:t>
            </w:r>
            <w:r>
              <w:rPr>
                <w:rFonts w:hint="default" w:ascii="Times New Roman" w:hAnsi="Times New Roman" w:eastAsia="宋体" w:cs="Times New Roman"/>
                <w:b w:val="0"/>
                <w:bCs w:val="0"/>
                <w:color w:val="auto"/>
                <w:sz w:val="24"/>
                <w:highlight w:val="none"/>
              </w:rPr>
              <w:t>）、一氧化碳（CO）、臭氧（O</w:t>
            </w:r>
            <w:r>
              <w:rPr>
                <w:rFonts w:hint="default" w:ascii="Times New Roman" w:hAnsi="Times New Roman" w:eastAsia="宋体" w:cs="Times New Roman"/>
                <w:b w:val="0"/>
                <w:bCs w:val="0"/>
                <w:color w:val="auto"/>
                <w:sz w:val="24"/>
                <w:highlight w:val="none"/>
                <w:vertAlign w:val="subscript"/>
              </w:rPr>
              <w:t>3</w:t>
            </w:r>
            <w:r>
              <w:rPr>
                <w:rFonts w:hint="default" w:ascii="Times New Roman" w:hAnsi="Times New Roman" w:eastAsia="宋体" w:cs="Times New Roman"/>
                <w:b w:val="0"/>
                <w:bCs w:val="0"/>
                <w:color w:val="auto"/>
                <w:sz w:val="24"/>
                <w:highlight w:val="none"/>
              </w:rPr>
              <w:t>）均符合《环境空气质量标准》（GB3095-2012）二级标准，细颗粒物（PM</w:t>
            </w:r>
            <w:r>
              <w:rPr>
                <w:rFonts w:hint="default" w:ascii="Times New Roman" w:hAnsi="Times New Roman" w:eastAsia="宋体" w:cs="Times New Roman"/>
                <w:b w:val="0"/>
                <w:bCs w:val="0"/>
                <w:color w:val="auto"/>
                <w:sz w:val="24"/>
                <w:highlight w:val="none"/>
                <w:vertAlign w:val="subscript"/>
              </w:rPr>
              <w:t>2.5</w:t>
            </w:r>
            <w:r>
              <w:rPr>
                <w:rFonts w:hint="default" w:ascii="Times New Roman" w:hAnsi="Times New Roman" w:eastAsia="宋体" w:cs="Times New Roman"/>
                <w:b w:val="0"/>
                <w:bCs w:val="0"/>
                <w:color w:val="auto"/>
                <w:sz w:val="24"/>
                <w:highlight w:val="none"/>
              </w:rPr>
              <w:t>）年均浓度超过《环境空气质量标准》（GB3095-2012）二级标准。</w:t>
            </w:r>
          </w:p>
          <w:p w14:paraId="6187D94F">
            <w:pPr>
              <w:pStyle w:val="62"/>
              <w:spacing w:line="360" w:lineRule="auto"/>
              <w:ind w:firstLine="480" w:firstLineChars="200"/>
              <w:rPr>
                <w:color w:val="auto"/>
                <w:sz w:val="24"/>
                <w:highlight w:val="none"/>
              </w:rPr>
            </w:pPr>
            <w:r>
              <w:rPr>
                <w:rFonts w:hint="default" w:ascii="Times New Roman" w:hAnsi="Times New Roman" w:eastAsia="宋体" w:cs="Times New Roman"/>
                <w:b w:val="0"/>
                <w:bCs w:val="0"/>
                <w:color w:val="auto"/>
                <w:sz w:val="24"/>
                <w:highlight w:val="none"/>
              </w:rPr>
              <w:t>项目所在区域空气质量现状评价及达标情况见下表：</w:t>
            </w:r>
          </w:p>
          <w:p w14:paraId="5B64C85C">
            <w:pPr>
              <w:pStyle w:val="75"/>
              <w:keepNext/>
              <w:keepLines w:val="0"/>
              <w:pageBreakBefore w:val="0"/>
              <w:widowControl/>
              <w:kinsoku/>
              <w:wordWrap/>
              <w:overflowPunct w:val="0"/>
              <w:topLinePunct w:val="0"/>
              <w:autoSpaceDE/>
              <w:autoSpaceDN/>
              <w:bidi w:val="0"/>
              <w:adjustRightInd w:val="0"/>
              <w:snapToGrid w:val="0"/>
              <w:spacing w:before="0" w:after="0" w:line="240" w:lineRule="auto"/>
              <w:textAlignment w:val="baseline"/>
              <w:rPr>
                <w:color w:val="auto"/>
                <w:sz w:val="21"/>
                <w:szCs w:val="21"/>
                <w:highlight w:val="none"/>
              </w:rPr>
            </w:pPr>
            <w:r>
              <w:rPr>
                <w:rFonts w:hint="default" w:ascii="Times New Roman" w:hAnsi="Times New Roman" w:eastAsia="宋体" w:cs="Times New Roman"/>
                <w:b/>
                <w:bCs/>
                <w:color w:val="auto"/>
                <w:sz w:val="21"/>
                <w:szCs w:val="21"/>
                <w:highlight w:val="none"/>
              </w:rPr>
              <w:t>表3-1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项目所在区域环境空气质量现状评价结果</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829"/>
              <w:gridCol w:w="2273"/>
              <w:gridCol w:w="1172"/>
              <w:gridCol w:w="1852"/>
              <w:gridCol w:w="942"/>
              <w:gridCol w:w="971"/>
            </w:tblGrid>
            <w:tr w14:paraId="58A3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52E85570">
                  <w:pPr>
                    <w:jc w:val="center"/>
                    <w:rPr>
                      <w:b/>
                      <w:bCs/>
                      <w:color w:val="auto"/>
                      <w:sz w:val="21"/>
                      <w:szCs w:val="21"/>
                    </w:rPr>
                  </w:pPr>
                  <w:r>
                    <w:rPr>
                      <w:b/>
                      <w:bCs/>
                      <w:color w:val="auto"/>
                      <w:sz w:val="21"/>
                      <w:szCs w:val="21"/>
                    </w:rPr>
                    <w:t>序号</w:t>
                  </w:r>
                </w:p>
              </w:tc>
              <w:tc>
                <w:tcPr>
                  <w:tcW w:w="508" w:type="pct"/>
                  <w:noWrap w:val="0"/>
                  <w:vAlign w:val="center"/>
                </w:tcPr>
                <w:p w14:paraId="732EABEF">
                  <w:pPr>
                    <w:jc w:val="center"/>
                    <w:rPr>
                      <w:b/>
                      <w:bCs/>
                      <w:color w:val="auto"/>
                      <w:sz w:val="21"/>
                      <w:szCs w:val="21"/>
                    </w:rPr>
                  </w:pPr>
                  <w:r>
                    <w:rPr>
                      <w:b/>
                      <w:bCs/>
                      <w:color w:val="auto"/>
                      <w:sz w:val="21"/>
                      <w:szCs w:val="21"/>
                    </w:rPr>
                    <w:t>污染物</w:t>
                  </w:r>
                </w:p>
              </w:tc>
              <w:tc>
                <w:tcPr>
                  <w:tcW w:w="1337" w:type="pct"/>
                  <w:noWrap w:val="0"/>
                  <w:vAlign w:val="center"/>
                </w:tcPr>
                <w:p w14:paraId="78D53242">
                  <w:pPr>
                    <w:jc w:val="center"/>
                    <w:rPr>
                      <w:b/>
                      <w:bCs/>
                      <w:color w:val="auto"/>
                      <w:sz w:val="21"/>
                      <w:szCs w:val="21"/>
                    </w:rPr>
                  </w:pPr>
                  <w:r>
                    <w:rPr>
                      <w:b/>
                      <w:bCs/>
                      <w:color w:val="auto"/>
                      <w:sz w:val="21"/>
                      <w:szCs w:val="21"/>
                    </w:rPr>
                    <w:t>年评价指标</w:t>
                  </w:r>
                </w:p>
              </w:tc>
              <w:tc>
                <w:tcPr>
                  <w:tcW w:w="705" w:type="pct"/>
                  <w:noWrap w:val="0"/>
                  <w:vAlign w:val="center"/>
                </w:tcPr>
                <w:p w14:paraId="2AC7CF3B">
                  <w:pPr>
                    <w:jc w:val="center"/>
                    <w:rPr>
                      <w:b/>
                      <w:bCs/>
                      <w:color w:val="auto"/>
                      <w:sz w:val="21"/>
                      <w:szCs w:val="21"/>
                    </w:rPr>
                  </w:pPr>
                  <w:r>
                    <w:rPr>
                      <w:b/>
                      <w:bCs/>
                      <w:color w:val="auto"/>
                      <w:sz w:val="21"/>
                      <w:szCs w:val="21"/>
                    </w:rPr>
                    <w:t>现状浓度</w:t>
                  </w:r>
                </w:p>
                <w:p w14:paraId="52D7B552">
                  <w:pPr>
                    <w:jc w:val="center"/>
                    <w:rPr>
                      <w:b/>
                      <w:bCs/>
                      <w:color w:val="auto"/>
                      <w:sz w:val="21"/>
                      <w:szCs w:val="21"/>
                    </w:rPr>
                  </w:pPr>
                  <w:r>
                    <w:rPr>
                      <w:b/>
                      <w:bCs/>
                      <w:color w:val="auto"/>
                      <w:sz w:val="21"/>
                      <w:szCs w:val="21"/>
                    </w:rPr>
                    <w:t>（μg/m</w:t>
                  </w:r>
                  <w:r>
                    <w:rPr>
                      <w:b/>
                      <w:bCs/>
                      <w:color w:val="auto"/>
                      <w:sz w:val="21"/>
                      <w:szCs w:val="21"/>
                      <w:vertAlign w:val="superscript"/>
                    </w:rPr>
                    <w:t>3</w:t>
                  </w:r>
                  <w:r>
                    <w:rPr>
                      <w:b/>
                      <w:bCs/>
                      <w:color w:val="auto"/>
                      <w:sz w:val="21"/>
                      <w:szCs w:val="21"/>
                    </w:rPr>
                    <w:t>）</w:t>
                  </w:r>
                </w:p>
              </w:tc>
              <w:tc>
                <w:tcPr>
                  <w:tcW w:w="871" w:type="pct"/>
                  <w:noWrap w:val="0"/>
                  <w:vAlign w:val="center"/>
                </w:tcPr>
                <w:p w14:paraId="4607424E">
                  <w:pPr>
                    <w:jc w:val="center"/>
                    <w:rPr>
                      <w:b/>
                      <w:bCs/>
                      <w:color w:val="auto"/>
                      <w:sz w:val="21"/>
                      <w:szCs w:val="21"/>
                    </w:rPr>
                  </w:pPr>
                  <w:r>
                    <w:rPr>
                      <w:rFonts w:hint="default"/>
                      <w:b/>
                      <w:bCs/>
                      <w:color w:val="auto"/>
                      <w:sz w:val="21"/>
                      <w:szCs w:val="21"/>
                    </w:rPr>
                    <w:t>（GB3095-2012）</w:t>
                  </w:r>
                  <w:r>
                    <w:rPr>
                      <w:b/>
                      <w:bCs/>
                      <w:color w:val="auto"/>
                      <w:sz w:val="21"/>
                      <w:szCs w:val="21"/>
                    </w:rPr>
                    <w:t>评价标准值（μg/m</w:t>
                  </w:r>
                  <w:r>
                    <w:rPr>
                      <w:b/>
                      <w:bCs/>
                      <w:color w:val="auto"/>
                      <w:sz w:val="21"/>
                      <w:szCs w:val="21"/>
                      <w:vertAlign w:val="superscript"/>
                    </w:rPr>
                    <w:t>3</w:t>
                  </w:r>
                  <w:r>
                    <w:rPr>
                      <w:b/>
                      <w:bCs/>
                      <w:color w:val="auto"/>
                      <w:sz w:val="21"/>
                      <w:szCs w:val="21"/>
                    </w:rPr>
                    <w:t>）</w:t>
                  </w:r>
                </w:p>
              </w:tc>
              <w:tc>
                <w:tcPr>
                  <w:tcW w:w="572" w:type="pct"/>
                  <w:noWrap w:val="0"/>
                  <w:vAlign w:val="center"/>
                </w:tcPr>
                <w:p w14:paraId="30819E4B">
                  <w:pPr>
                    <w:jc w:val="center"/>
                    <w:rPr>
                      <w:b/>
                      <w:bCs/>
                      <w:color w:val="auto"/>
                      <w:sz w:val="21"/>
                      <w:szCs w:val="21"/>
                    </w:rPr>
                  </w:pPr>
                  <w:r>
                    <w:rPr>
                      <w:b/>
                      <w:bCs/>
                      <w:color w:val="auto"/>
                      <w:sz w:val="21"/>
                      <w:szCs w:val="21"/>
                    </w:rPr>
                    <w:t>占标率</w:t>
                  </w:r>
                </w:p>
                <w:p w14:paraId="00C19C39">
                  <w:pPr>
                    <w:jc w:val="center"/>
                    <w:rPr>
                      <w:b/>
                      <w:bCs/>
                      <w:color w:val="auto"/>
                      <w:sz w:val="21"/>
                      <w:szCs w:val="21"/>
                    </w:rPr>
                  </w:pPr>
                  <w:r>
                    <w:rPr>
                      <w:b/>
                      <w:bCs/>
                      <w:color w:val="auto"/>
                      <w:sz w:val="21"/>
                      <w:szCs w:val="21"/>
                    </w:rPr>
                    <w:t>（%）</w:t>
                  </w:r>
                </w:p>
              </w:tc>
              <w:tc>
                <w:tcPr>
                  <w:tcW w:w="589" w:type="pct"/>
                  <w:noWrap w:val="0"/>
                  <w:vAlign w:val="center"/>
                </w:tcPr>
                <w:p w14:paraId="10836801">
                  <w:pPr>
                    <w:jc w:val="center"/>
                    <w:rPr>
                      <w:b/>
                      <w:bCs/>
                      <w:color w:val="auto"/>
                      <w:sz w:val="21"/>
                      <w:szCs w:val="21"/>
                    </w:rPr>
                  </w:pPr>
                  <w:r>
                    <w:rPr>
                      <w:b/>
                      <w:bCs/>
                      <w:color w:val="auto"/>
                      <w:sz w:val="21"/>
                      <w:szCs w:val="21"/>
                    </w:rPr>
                    <w:t>达标情况</w:t>
                  </w:r>
                </w:p>
              </w:tc>
            </w:tr>
            <w:tr w14:paraId="3F6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0D8FA566">
                  <w:pPr>
                    <w:jc w:val="center"/>
                    <w:rPr>
                      <w:color w:val="auto"/>
                      <w:sz w:val="21"/>
                      <w:szCs w:val="21"/>
                    </w:rPr>
                  </w:pPr>
                  <w:r>
                    <w:rPr>
                      <w:color w:val="auto"/>
                      <w:sz w:val="21"/>
                      <w:szCs w:val="21"/>
                    </w:rPr>
                    <w:t>1</w:t>
                  </w:r>
                </w:p>
              </w:tc>
              <w:tc>
                <w:tcPr>
                  <w:tcW w:w="508" w:type="pct"/>
                  <w:noWrap w:val="0"/>
                  <w:vAlign w:val="center"/>
                </w:tcPr>
                <w:p w14:paraId="02EC874A">
                  <w:pPr>
                    <w:jc w:val="center"/>
                    <w:rPr>
                      <w:color w:val="auto"/>
                      <w:sz w:val="21"/>
                      <w:szCs w:val="21"/>
                    </w:rPr>
                  </w:pPr>
                  <w:r>
                    <w:rPr>
                      <w:color w:val="auto"/>
                      <w:sz w:val="21"/>
                      <w:szCs w:val="21"/>
                    </w:rPr>
                    <w:t>SO</w:t>
                  </w:r>
                  <w:r>
                    <w:rPr>
                      <w:color w:val="auto"/>
                      <w:sz w:val="21"/>
                      <w:szCs w:val="21"/>
                      <w:vertAlign w:val="subscript"/>
                    </w:rPr>
                    <w:t>2</w:t>
                  </w:r>
                </w:p>
              </w:tc>
              <w:tc>
                <w:tcPr>
                  <w:tcW w:w="1337" w:type="pct"/>
                  <w:noWrap w:val="0"/>
                  <w:vAlign w:val="center"/>
                </w:tcPr>
                <w:p w14:paraId="6427DE9E">
                  <w:pPr>
                    <w:jc w:val="center"/>
                    <w:rPr>
                      <w:color w:val="auto"/>
                      <w:sz w:val="21"/>
                      <w:szCs w:val="21"/>
                    </w:rPr>
                  </w:pPr>
                  <w:r>
                    <w:rPr>
                      <w:color w:val="auto"/>
                      <w:sz w:val="21"/>
                      <w:szCs w:val="21"/>
                    </w:rPr>
                    <w:t>年平均质量浓度</w:t>
                  </w:r>
                </w:p>
              </w:tc>
              <w:tc>
                <w:tcPr>
                  <w:tcW w:w="705" w:type="pct"/>
                  <w:noWrap w:val="0"/>
                  <w:vAlign w:val="center"/>
                </w:tcPr>
                <w:p w14:paraId="7C480BC7">
                  <w:pPr>
                    <w:jc w:val="center"/>
                    <w:rPr>
                      <w:rFonts w:hint="default" w:eastAsia="宋体"/>
                      <w:color w:val="auto"/>
                      <w:sz w:val="21"/>
                      <w:szCs w:val="21"/>
                      <w:lang w:val="en-US" w:eastAsia="zh-CN"/>
                    </w:rPr>
                  </w:pPr>
                  <w:r>
                    <w:rPr>
                      <w:rFonts w:hint="eastAsia" w:eastAsia="宋体"/>
                      <w:color w:val="auto"/>
                      <w:sz w:val="21"/>
                      <w:szCs w:val="21"/>
                      <w:lang w:val="en-US" w:eastAsia="zh-CN"/>
                    </w:rPr>
                    <w:t>7</w:t>
                  </w:r>
                </w:p>
              </w:tc>
              <w:tc>
                <w:tcPr>
                  <w:tcW w:w="871" w:type="pct"/>
                  <w:noWrap w:val="0"/>
                  <w:vAlign w:val="center"/>
                </w:tcPr>
                <w:p w14:paraId="14F64C04">
                  <w:pPr>
                    <w:jc w:val="center"/>
                    <w:rPr>
                      <w:color w:val="auto"/>
                      <w:sz w:val="21"/>
                      <w:szCs w:val="21"/>
                    </w:rPr>
                  </w:pPr>
                  <w:r>
                    <w:rPr>
                      <w:color w:val="auto"/>
                      <w:sz w:val="21"/>
                      <w:szCs w:val="21"/>
                    </w:rPr>
                    <w:t>60</w:t>
                  </w:r>
                </w:p>
              </w:tc>
              <w:tc>
                <w:tcPr>
                  <w:tcW w:w="572" w:type="pct"/>
                  <w:noWrap w:val="0"/>
                  <w:vAlign w:val="center"/>
                </w:tcPr>
                <w:p w14:paraId="5360B715">
                  <w:pPr>
                    <w:jc w:val="center"/>
                    <w:rPr>
                      <w:rFonts w:hint="default" w:eastAsia="宋体"/>
                      <w:color w:val="auto"/>
                      <w:sz w:val="21"/>
                      <w:szCs w:val="21"/>
                      <w:lang w:val="en-US" w:eastAsia="zh-CN"/>
                    </w:rPr>
                  </w:pPr>
                  <w:r>
                    <w:rPr>
                      <w:rFonts w:hint="eastAsia" w:eastAsia="宋体"/>
                      <w:color w:val="auto"/>
                      <w:sz w:val="21"/>
                      <w:szCs w:val="21"/>
                      <w:lang w:val="en-US" w:eastAsia="zh-CN"/>
                    </w:rPr>
                    <w:t>11.7</w:t>
                  </w:r>
                </w:p>
              </w:tc>
              <w:tc>
                <w:tcPr>
                  <w:tcW w:w="589" w:type="pct"/>
                  <w:noWrap w:val="0"/>
                  <w:vAlign w:val="center"/>
                </w:tcPr>
                <w:p w14:paraId="09B49171">
                  <w:pPr>
                    <w:jc w:val="center"/>
                    <w:rPr>
                      <w:color w:val="auto"/>
                      <w:sz w:val="21"/>
                      <w:szCs w:val="21"/>
                    </w:rPr>
                  </w:pPr>
                  <w:r>
                    <w:rPr>
                      <w:color w:val="auto"/>
                      <w:sz w:val="21"/>
                      <w:szCs w:val="21"/>
                    </w:rPr>
                    <w:t>达标</w:t>
                  </w:r>
                </w:p>
              </w:tc>
            </w:tr>
            <w:tr w14:paraId="489D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295E614D">
                  <w:pPr>
                    <w:jc w:val="center"/>
                    <w:rPr>
                      <w:color w:val="auto"/>
                      <w:sz w:val="21"/>
                      <w:szCs w:val="21"/>
                    </w:rPr>
                  </w:pPr>
                  <w:r>
                    <w:rPr>
                      <w:color w:val="auto"/>
                      <w:sz w:val="21"/>
                      <w:szCs w:val="21"/>
                    </w:rPr>
                    <w:t>2</w:t>
                  </w:r>
                </w:p>
              </w:tc>
              <w:tc>
                <w:tcPr>
                  <w:tcW w:w="508" w:type="pct"/>
                  <w:noWrap w:val="0"/>
                  <w:vAlign w:val="center"/>
                </w:tcPr>
                <w:p w14:paraId="76410EB2">
                  <w:pPr>
                    <w:jc w:val="center"/>
                    <w:rPr>
                      <w:color w:val="auto"/>
                      <w:sz w:val="21"/>
                      <w:szCs w:val="21"/>
                    </w:rPr>
                  </w:pPr>
                  <w:r>
                    <w:rPr>
                      <w:color w:val="auto"/>
                      <w:sz w:val="21"/>
                      <w:szCs w:val="21"/>
                    </w:rPr>
                    <w:t>PM</w:t>
                  </w:r>
                  <w:r>
                    <w:rPr>
                      <w:color w:val="auto"/>
                      <w:sz w:val="21"/>
                      <w:szCs w:val="21"/>
                      <w:vertAlign w:val="subscript"/>
                    </w:rPr>
                    <w:t>10</w:t>
                  </w:r>
                </w:p>
              </w:tc>
              <w:tc>
                <w:tcPr>
                  <w:tcW w:w="1337" w:type="pct"/>
                  <w:noWrap w:val="0"/>
                  <w:vAlign w:val="center"/>
                </w:tcPr>
                <w:p w14:paraId="6BE781B0">
                  <w:pPr>
                    <w:jc w:val="center"/>
                    <w:rPr>
                      <w:color w:val="auto"/>
                      <w:sz w:val="21"/>
                      <w:szCs w:val="21"/>
                    </w:rPr>
                  </w:pPr>
                  <w:r>
                    <w:rPr>
                      <w:color w:val="auto"/>
                      <w:sz w:val="21"/>
                      <w:szCs w:val="21"/>
                    </w:rPr>
                    <w:t>年平均质量浓度</w:t>
                  </w:r>
                </w:p>
              </w:tc>
              <w:tc>
                <w:tcPr>
                  <w:tcW w:w="705" w:type="pct"/>
                  <w:noWrap w:val="0"/>
                  <w:vAlign w:val="center"/>
                </w:tcPr>
                <w:p w14:paraId="0898AE35">
                  <w:pPr>
                    <w:jc w:val="center"/>
                    <w:rPr>
                      <w:rFonts w:hint="default" w:eastAsia="宋体"/>
                      <w:color w:val="auto"/>
                      <w:sz w:val="21"/>
                      <w:szCs w:val="21"/>
                      <w:lang w:val="en-US" w:eastAsia="zh-CN"/>
                    </w:rPr>
                  </w:pPr>
                  <w:r>
                    <w:rPr>
                      <w:rFonts w:hint="eastAsia" w:eastAsia="宋体"/>
                      <w:color w:val="auto"/>
                      <w:sz w:val="21"/>
                      <w:szCs w:val="21"/>
                      <w:lang w:val="en-US" w:eastAsia="zh-CN"/>
                    </w:rPr>
                    <w:t>65</w:t>
                  </w:r>
                </w:p>
              </w:tc>
              <w:tc>
                <w:tcPr>
                  <w:tcW w:w="871" w:type="pct"/>
                  <w:noWrap w:val="0"/>
                  <w:vAlign w:val="center"/>
                </w:tcPr>
                <w:p w14:paraId="528A3892">
                  <w:pPr>
                    <w:jc w:val="center"/>
                    <w:rPr>
                      <w:color w:val="auto"/>
                      <w:sz w:val="21"/>
                      <w:szCs w:val="21"/>
                    </w:rPr>
                  </w:pPr>
                  <w:r>
                    <w:rPr>
                      <w:color w:val="auto"/>
                      <w:sz w:val="21"/>
                      <w:szCs w:val="21"/>
                    </w:rPr>
                    <w:t>70</w:t>
                  </w:r>
                </w:p>
              </w:tc>
              <w:tc>
                <w:tcPr>
                  <w:tcW w:w="572" w:type="pct"/>
                  <w:noWrap w:val="0"/>
                  <w:vAlign w:val="center"/>
                </w:tcPr>
                <w:p w14:paraId="6D78D327">
                  <w:pPr>
                    <w:jc w:val="center"/>
                    <w:rPr>
                      <w:rFonts w:hint="default" w:eastAsia="宋体"/>
                      <w:color w:val="auto"/>
                      <w:sz w:val="21"/>
                      <w:szCs w:val="21"/>
                      <w:lang w:val="en-US" w:eastAsia="zh-CN"/>
                    </w:rPr>
                  </w:pPr>
                  <w:r>
                    <w:rPr>
                      <w:rFonts w:hint="eastAsia" w:eastAsia="宋体"/>
                      <w:color w:val="auto"/>
                      <w:sz w:val="21"/>
                      <w:szCs w:val="21"/>
                      <w:lang w:val="en-US" w:eastAsia="zh-CN"/>
                    </w:rPr>
                    <w:t>92.9</w:t>
                  </w:r>
                </w:p>
              </w:tc>
              <w:tc>
                <w:tcPr>
                  <w:tcW w:w="589" w:type="pct"/>
                  <w:noWrap w:val="0"/>
                  <w:vAlign w:val="center"/>
                </w:tcPr>
                <w:p w14:paraId="5BD62A98">
                  <w:pPr>
                    <w:jc w:val="center"/>
                    <w:rPr>
                      <w:color w:val="auto"/>
                      <w:sz w:val="21"/>
                      <w:szCs w:val="21"/>
                    </w:rPr>
                  </w:pPr>
                  <w:r>
                    <w:rPr>
                      <w:color w:val="auto"/>
                      <w:sz w:val="21"/>
                      <w:szCs w:val="21"/>
                    </w:rPr>
                    <w:t>达标</w:t>
                  </w:r>
                </w:p>
              </w:tc>
            </w:tr>
            <w:tr w14:paraId="4D15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72F0C508">
                  <w:pPr>
                    <w:jc w:val="center"/>
                    <w:rPr>
                      <w:color w:val="auto"/>
                      <w:sz w:val="21"/>
                      <w:szCs w:val="21"/>
                    </w:rPr>
                  </w:pPr>
                  <w:r>
                    <w:rPr>
                      <w:color w:val="auto"/>
                      <w:sz w:val="21"/>
                      <w:szCs w:val="21"/>
                    </w:rPr>
                    <w:t>3</w:t>
                  </w:r>
                </w:p>
              </w:tc>
              <w:tc>
                <w:tcPr>
                  <w:tcW w:w="508" w:type="pct"/>
                  <w:noWrap w:val="0"/>
                  <w:vAlign w:val="center"/>
                </w:tcPr>
                <w:p w14:paraId="411A26C0">
                  <w:pPr>
                    <w:jc w:val="center"/>
                    <w:rPr>
                      <w:color w:val="auto"/>
                      <w:sz w:val="21"/>
                      <w:szCs w:val="21"/>
                    </w:rPr>
                  </w:pPr>
                  <w:r>
                    <w:rPr>
                      <w:color w:val="auto"/>
                      <w:sz w:val="21"/>
                      <w:szCs w:val="21"/>
                    </w:rPr>
                    <w:t>PM</w:t>
                  </w:r>
                  <w:r>
                    <w:rPr>
                      <w:color w:val="auto"/>
                      <w:sz w:val="21"/>
                      <w:szCs w:val="21"/>
                      <w:vertAlign w:val="subscript"/>
                    </w:rPr>
                    <w:t>2.5</w:t>
                  </w:r>
                </w:p>
              </w:tc>
              <w:tc>
                <w:tcPr>
                  <w:tcW w:w="1337" w:type="pct"/>
                  <w:noWrap w:val="0"/>
                  <w:vAlign w:val="center"/>
                </w:tcPr>
                <w:p w14:paraId="36E2EC03">
                  <w:pPr>
                    <w:jc w:val="center"/>
                    <w:rPr>
                      <w:color w:val="auto"/>
                      <w:sz w:val="21"/>
                      <w:szCs w:val="21"/>
                    </w:rPr>
                  </w:pPr>
                  <w:r>
                    <w:rPr>
                      <w:color w:val="auto"/>
                      <w:sz w:val="21"/>
                      <w:szCs w:val="21"/>
                    </w:rPr>
                    <w:t>年平均质量浓度</w:t>
                  </w:r>
                </w:p>
              </w:tc>
              <w:tc>
                <w:tcPr>
                  <w:tcW w:w="705" w:type="pct"/>
                  <w:noWrap w:val="0"/>
                  <w:vAlign w:val="center"/>
                </w:tcPr>
                <w:p w14:paraId="6EA9D4D9">
                  <w:pPr>
                    <w:jc w:val="center"/>
                    <w:rPr>
                      <w:rFonts w:hint="default" w:eastAsia="宋体"/>
                      <w:color w:val="auto"/>
                      <w:sz w:val="21"/>
                      <w:szCs w:val="21"/>
                      <w:lang w:val="en-US" w:eastAsia="zh-CN"/>
                    </w:rPr>
                  </w:pPr>
                  <w:r>
                    <w:rPr>
                      <w:rFonts w:hint="eastAsia" w:eastAsia="宋体"/>
                      <w:color w:val="auto"/>
                      <w:sz w:val="21"/>
                      <w:szCs w:val="21"/>
                      <w:lang w:val="en-US" w:eastAsia="zh-CN"/>
                    </w:rPr>
                    <w:t>40</w:t>
                  </w:r>
                </w:p>
              </w:tc>
              <w:tc>
                <w:tcPr>
                  <w:tcW w:w="871" w:type="pct"/>
                  <w:noWrap w:val="0"/>
                  <w:vAlign w:val="center"/>
                </w:tcPr>
                <w:p w14:paraId="3B70F20E">
                  <w:pPr>
                    <w:jc w:val="center"/>
                    <w:rPr>
                      <w:color w:val="auto"/>
                      <w:sz w:val="21"/>
                      <w:szCs w:val="21"/>
                    </w:rPr>
                  </w:pPr>
                  <w:r>
                    <w:rPr>
                      <w:color w:val="auto"/>
                      <w:sz w:val="21"/>
                      <w:szCs w:val="21"/>
                    </w:rPr>
                    <w:t>35</w:t>
                  </w:r>
                </w:p>
              </w:tc>
              <w:tc>
                <w:tcPr>
                  <w:tcW w:w="572" w:type="pct"/>
                  <w:noWrap w:val="0"/>
                  <w:vAlign w:val="center"/>
                </w:tcPr>
                <w:p w14:paraId="1280099F">
                  <w:pPr>
                    <w:jc w:val="center"/>
                    <w:rPr>
                      <w:rFonts w:hint="default" w:eastAsia="宋体"/>
                      <w:color w:val="auto"/>
                      <w:sz w:val="21"/>
                      <w:szCs w:val="21"/>
                      <w:lang w:val="en-US" w:eastAsia="zh-CN"/>
                    </w:rPr>
                  </w:pPr>
                  <w:r>
                    <w:rPr>
                      <w:rFonts w:hint="eastAsia" w:eastAsia="宋体"/>
                      <w:color w:val="auto"/>
                      <w:sz w:val="21"/>
                      <w:szCs w:val="21"/>
                      <w:lang w:val="en-US" w:eastAsia="zh-CN"/>
                    </w:rPr>
                    <w:t>114.3</w:t>
                  </w:r>
                </w:p>
              </w:tc>
              <w:tc>
                <w:tcPr>
                  <w:tcW w:w="589" w:type="pct"/>
                  <w:noWrap w:val="0"/>
                  <w:vAlign w:val="center"/>
                </w:tcPr>
                <w:p w14:paraId="2BCE6480">
                  <w:pPr>
                    <w:jc w:val="center"/>
                    <w:rPr>
                      <w:color w:val="auto"/>
                      <w:sz w:val="21"/>
                      <w:szCs w:val="21"/>
                    </w:rPr>
                  </w:pPr>
                  <w:r>
                    <w:rPr>
                      <w:rFonts w:hint="eastAsia"/>
                      <w:color w:val="auto"/>
                      <w:sz w:val="21"/>
                      <w:szCs w:val="21"/>
                    </w:rPr>
                    <w:t>不</w:t>
                  </w:r>
                  <w:r>
                    <w:rPr>
                      <w:color w:val="auto"/>
                      <w:sz w:val="21"/>
                      <w:szCs w:val="21"/>
                    </w:rPr>
                    <w:t>达标</w:t>
                  </w:r>
                </w:p>
              </w:tc>
            </w:tr>
            <w:tr w14:paraId="68D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1FCEE2BC">
                  <w:pPr>
                    <w:jc w:val="center"/>
                    <w:rPr>
                      <w:color w:val="auto"/>
                      <w:sz w:val="21"/>
                      <w:szCs w:val="21"/>
                    </w:rPr>
                  </w:pPr>
                  <w:r>
                    <w:rPr>
                      <w:color w:val="auto"/>
                      <w:sz w:val="21"/>
                      <w:szCs w:val="21"/>
                    </w:rPr>
                    <w:t>4</w:t>
                  </w:r>
                </w:p>
              </w:tc>
              <w:tc>
                <w:tcPr>
                  <w:tcW w:w="508" w:type="pct"/>
                  <w:noWrap w:val="0"/>
                  <w:vAlign w:val="center"/>
                </w:tcPr>
                <w:p w14:paraId="2C038243">
                  <w:pPr>
                    <w:jc w:val="center"/>
                    <w:rPr>
                      <w:color w:val="auto"/>
                      <w:sz w:val="21"/>
                      <w:szCs w:val="21"/>
                    </w:rPr>
                  </w:pPr>
                  <w:r>
                    <w:rPr>
                      <w:color w:val="auto"/>
                      <w:sz w:val="21"/>
                      <w:szCs w:val="21"/>
                    </w:rPr>
                    <w:t>NO</w:t>
                  </w:r>
                  <w:r>
                    <w:rPr>
                      <w:color w:val="auto"/>
                      <w:sz w:val="21"/>
                      <w:szCs w:val="21"/>
                      <w:vertAlign w:val="subscript"/>
                    </w:rPr>
                    <w:t>2</w:t>
                  </w:r>
                </w:p>
              </w:tc>
              <w:tc>
                <w:tcPr>
                  <w:tcW w:w="1337" w:type="pct"/>
                  <w:noWrap w:val="0"/>
                  <w:vAlign w:val="center"/>
                </w:tcPr>
                <w:p w14:paraId="625F86DC">
                  <w:pPr>
                    <w:jc w:val="center"/>
                    <w:rPr>
                      <w:color w:val="auto"/>
                      <w:sz w:val="21"/>
                      <w:szCs w:val="21"/>
                    </w:rPr>
                  </w:pPr>
                  <w:r>
                    <w:rPr>
                      <w:color w:val="auto"/>
                      <w:sz w:val="21"/>
                      <w:szCs w:val="21"/>
                    </w:rPr>
                    <w:t>年平均质量浓度</w:t>
                  </w:r>
                </w:p>
              </w:tc>
              <w:tc>
                <w:tcPr>
                  <w:tcW w:w="705" w:type="pct"/>
                  <w:noWrap w:val="0"/>
                  <w:vAlign w:val="center"/>
                </w:tcPr>
                <w:p w14:paraId="4255E5CE">
                  <w:pPr>
                    <w:jc w:val="center"/>
                    <w:rPr>
                      <w:rFonts w:hint="default" w:eastAsia="宋体"/>
                      <w:color w:val="auto"/>
                      <w:sz w:val="21"/>
                      <w:szCs w:val="21"/>
                      <w:lang w:val="en-US" w:eastAsia="zh-CN"/>
                    </w:rPr>
                  </w:pPr>
                  <w:r>
                    <w:rPr>
                      <w:rFonts w:hint="eastAsia" w:eastAsia="宋体"/>
                      <w:color w:val="auto"/>
                      <w:sz w:val="21"/>
                      <w:szCs w:val="21"/>
                      <w:lang w:val="en-US" w:eastAsia="zh-CN"/>
                    </w:rPr>
                    <w:t>19</w:t>
                  </w:r>
                </w:p>
              </w:tc>
              <w:tc>
                <w:tcPr>
                  <w:tcW w:w="871" w:type="pct"/>
                  <w:noWrap w:val="0"/>
                  <w:vAlign w:val="center"/>
                </w:tcPr>
                <w:p w14:paraId="79165472">
                  <w:pPr>
                    <w:jc w:val="center"/>
                    <w:rPr>
                      <w:color w:val="auto"/>
                      <w:sz w:val="21"/>
                      <w:szCs w:val="21"/>
                    </w:rPr>
                  </w:pPr>
                  <w:r>
                    <w:rPr>
                      <w:color w:val="auto"/>
                      <w:sz w:val="21"/>
                      <w:szCs w:val="21"/>
                    </w:rPr>
                    <w:t>40</w:t>
                  </w:r>
                </w:p>
              </w:tc>
              <w:tc>
                <w:tcPr>
                  <w:tcW w:w="572" w:type="pct"/>
                  <w:noWrap w:val="0"/>
                  <w:vAlign w:val="center"/>
                </w:tcPr>
                <w:p w14:paraId="43A54950">
                  <w:pPr>
                    <w:jc w:val="center"/>
                    <w:rPr>
                      <w:rFonts w:hint="default" w:eastAsia="宋体"/>
                      <w:color w:val="auto"/>
                      <w:sz w:val="21"/>
                      <w:szCs w:val="21"/>
                      <w:lang w:val="en-US" w:eastAsia="zh-CN"/>
                    </w:rPr>
                  </w:pPr>
                  <w:r>
                    <w:rPr>
                      <w:rFonts w:hint="eastAsia" w:eastAsia="宋体"/>
                      <w:color w:val="auto"/>
                      <w:sz w:val="21"/>
                      <w:szCs w:val="21"/>
                      <w:lang w:val="en-US" w:eastAsia="zh-CN"/>
                    </w:rPr>
                    <w:t>47.5</w:t>
                  </w:r>
                </w:p>
              </w:tc>
              <w:tc>
                <w:tcPr>
                  <w:tcW w:w="589" w:type="pct"/>
                  <w:noWrap w:val="0"/>
                  <w:vAlign w:val="center"/>
                </w:tcPr>
                <w:p w14:paraId="59D0EC9D">
                  <w:pPr>
                    <w:jc w:val="center"/>
                    <w:rPr>
                      <w:color w:val="auto"/>
                      <w:sz w:val="21"/>
                      <w:szCs w:val="21"/>
                    </w:rPr>
                  </w:pPr>
                  <w:r>
                    <w:rPr>
                      <w:rFonts w:hint="eastAsia"/>
                      <w:color w:val="auto"/>
                      <w:sz w:val="21"/>
                      <w:szCs w:val="21"/>
                    </w:rPr>
                    <w:t>达</w:t>
                  </w:r>
                  <w:r>
                    <w:rPr>
                      <w:color w:val="auto"/>
                      <w:sz w:val="21"/>
                      <w:szCs w:val="21"/>
                    </w:rPr>
                    <w:t>标</w:t>
                  </w:r>
                </w:p>
              </w:tc>
            </w:tr>
            <w:tr w14:paraId="113C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706962F6">
                  <w:pPr>
                    <w:jc w:val="center"/>
                    <w:rPr>
                      <w:color w:val="auto"/>
                      <w:sz w:val="21"/>
                      <w:szCs w:val="21"/>
                    </w:rPr>
                  </w:pPr>
                  <w:r>
                    <w:rPr>
                      <w:color w:val="auto"/>
                      <w:sz w:val="21"/>
                      <w:szCs w:val="21"/>
                    </w:rPr>
                    <w:t>5</w:t>
                  </w:r>
                </w:p>
              </w:tc>
              <w:tc>
                <w:tcPr>
                  <w:tcW w:w="508" w:type="pct"/>
                  <w:noWrap w:val="0"/>
                  <w:vAlign w:val="center"/>
                </w:tcPr>
                <w:p w14:paraId="19368596">
                  <w:pPr>
                    <w:jc w:val="center"/>
                    <w:rPr>
                      <w:color w:val="auto"/>
                      <w:sz w:val="21"/>
                      <w:szCs w:val="21"/>
                    </w:rPr>
                  </w:pPr>
                  <w:r>
                    <w:rPr>
                      <w:color w:val="auto"/>
                      <w:sz w:val="21"/>
                      <w:szCs w:val="21"/>
                    </w:rPr>
                    <w:t>CO</w:t>
                  </w:r>
                </w:p>
              </w:tc>
              <w:tc>
                <w:tcPr>
                  <w:tcW w:w="1337" w:type="pct"/>
                  <w:noWrap w:val="0"/>
                  <w:vAlign w:val="center"/>
                </w:tcPr>
                <w:p w14:paraId="5618C06F">
                  <w:pPr>
                    <w:jc w:val="center"/>
                    <w:rPr>
                      <w:color w:val="auto"/>
                      <w:sz w:val="21"/>
                      <w:szCs w:val="21"/>
                    </w:rPr>
                  </w:pPr>
                  <w:r>
                    <w:rPr>
                      <w:color w:val="auto"/>
                      <w:sz w:val="21"/>
                      <w:szCs w:val="21"/>
                    </w:rPr>
                    <w:t>日均值第95百分位数</w:t>
                  </w:r>
                </w:p>
              </w:tc>
              <w:tc>
                <w:tcPr>
                  <w:tcW w:w="705" w:type="pct"/>
                  <w:noWrap w:val="0"/>
                  <w:vAlign w:val="center"/>
                </w:tcPr>
                <w:p w14:paraId="651E9CE6">
                  <w:pPr>
                    <w:jc w:val="center"/>
                    <w:rPr>
                      <w:rFonts w:hint="default" w:eastAsia="宋体"/>
                      <w:color w:val="auto"/>
                      <w:sz w:val="21"/>
                      <w:szCs w:val="21"/>
                      <w:lang w:val="en-US" w:eastAsia="zh-CN"/>
                    </w:rPr>
                  </w:pPr>
                  <w:r>
                    <w:rPr>
                      <w:rFonts w:hint="eastAsia" w:eastAsia="宋体"/>
                      <w:color w:val="auto"/>
                      <w:sz w:val="21"/>
                      <w:szCs w:val="21"/>
                      <w:lang w:val="en-US" w:eastAsia="zh-CN"/>
                    </w:rPr>
                    <w:t>800</w:t>
                  </w:r>
                </w:p>
              </w:tc>
              <w:tc>
                <w:tcPr>
                  <w:tcW w:w="871" w:type="pct"/>
                  <w:noWrap w:val="0"/>
                  <w:vAlign w:val="center"/>
                </w:tcPr>
                <w:p w14:paraId="6E8CB4D8">
                  <w:pPr>
                    <w:jc w:val="center"/>
                    <w:rPr>
                      <w:color w:val="auto"/>
                      <w:sz w:val="21"/>
                      <w:szCs w:val="21"/>
                    </w:rPr>
                  </w:pPr>
                  <w:r>
                    <w:rPr>
                      <w:color w:val="auto"/>
                      <w:sz w:val="21"/>
                      <w:szCs w:val="21"/>
                    </w:rPr>
                    <w:t>4000</w:t>
                  </w:r>
                </w:p>
              </w:tc>
              <w:tc>
                <w:tcPr>
                  <w:tcW w:w="572" w:type="pct"/>
                  <w:noWrap w:val="0"/>
                  <w:vAlign w:val="center"/>
                </w:tcPr>
                <w:p w14:paraId="2667F4E0">
                  <w:pPr>
                    <w:jc w:val="center"/>
                    <w:rPr>
                      <w:rFonts w:hint="default" w:eastAsia="宋体"/>
                      <w:color w:val="auto"/>
                      <w:sz w:val="21"/>
                      <w:szCs w:val="21"/>
                      <w:lang w:val="en-US" w:eastAsia="zh-CN"/>
                    </w:rPr>
                  </w:pPr>
                  <w:r>
                    <w:rPr>
                      <w:rFonts w:hint="eastAsia" w:eastAsia="宋体"/>
                      <w:color w:val="auto"/>
                      <w:sz w:val="21"/>
                      <w:szCs w:val="21"/>
                      <w:lang w:val="en-US" w:eastAsia="zh-CN"/>
                    </w:rPr>
                    <w:t>20</w:t>
                  </w:r>
                </w:p>
              </w:tc>
              <w:tc>
                <w:tcPr>
                  <w:tcW w:w="589" w:type="pct"/>
                  <w:noWrap w:val="0"/>
                  <w:vAlign w:val="center"/>
                </w:tcPr>
                <w:p w14:paraId="637BB9E9">
                  <w:pPr>
                    <w:jc w:val="center"/>
                    <w:rPr>
                      <w:rFonts w:hint="eastAsia"/>
                      <w:color w:val="auto"/>
                      <w:sz w:val="21"/>
                      <w:szCs w:val="21"/>
                    </w:rPr>
                  </w:pPr>
                  <w:r>
                    <w:rPr>
                      <w:rFonts w:hint="eastAsia"/>
                      <w:color w:val="auto"/>
                      <w:sz w:val="21"/>
                      <w:szCs w:val="21"/>
                    </w:rPr>
                    <w:t>达标</w:t>
                  </w:r>
                </w:p>
              </w:tc>
            </w:tr>
            <w:tr w14:paraId="2FD7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noWrap w:val="0"/>
                  <w:vAlign w:val="center"/>
                </w:tcPr>
                <w:p w14:paraId="6A73686B">
                  <w:pPr>
                    <w:jc w:val="center"/>
                    <w:rPr>
                      <w:color w:val="auto"/>
                      <w:sz w:val="21"/>
                      <w:szCs w:val="21"/>
                    </w:rPr>
                  </w:pPr>
                  <w:r>
                    <w:rPr>
                      <w:color w:val="auto"/>
                      <w:sz w:val="21"/>
                      <w:szCs w:val="21"/>
                    </w:rPr>
                    <w:t>6</w:t>
                  </w:r>
                </w:p>
              </w:tc>
              <w:tc>
                <w:tcPr>
                  <w:tcW w:w="508" w:type="pct"/>
                  <w:noWrap w:val="0"/>
                  <w:vAlign w:val="center"/>
                </w:tcPr>
                <w:p w14:paraId="75D487DB">
                  <w:pPr>
                    <w:jc w:val="center"/>
                    <w:rPr>
                      <w:color w:val="auto"/>
                      <w:sz w:val="21"/>
                      <w:szCs w:val="21"/>
                    </w:rPr>
                  </w:pPr>
                  <w:r>
                    <w:rPr>
                      <w:color w:val="auto"/>
                      <w:sz w:val="21"/>
                      <w:szCs w:val="21"/>
                    </w:rPr>
                    <w:t>O</w:t>
                  </w:r>
                  <w:r>
                    <w:rPr>
                      <w:color w:val="auto"/>
                      <w:sz w:val="21"/>
                      <w:szCs w:val="21"/>
                      <w:vertAlign w:val="subscript"/>
                    </w:rPr>
                    <w:t>3</w:t>
                  </w:r>
                </w:p>
              </w:tc>
              <w:tc>
                <w:tcPr>
                  <w:tcW w:w="1337" w:type="pct"/>
                  <w:noWrap w:val="0"/>
                  <w:vAlign w:val="center"/>
                </w:tcPr>
                <w:p w14:paraId="3CF2A023">
                  <w:pPr>
                    <w:jc w:val="center"/>
                    <w:rPr>
                      <w:color w:val="auto"/>
                      <w:sz w:val="21"/>
                      <w:szCs w:val="21"/>
                    </w:rPr>
                  </w:pPr>
                  <w:r>
                    <w:rPr>
                      <w:color w:val="auto"/>
                      <w:sz w:val="21"/>
                      <w:szCs w:val="21"/>
                    </w:rPr>
                    <w:t>最大8小时平均值第90百分位数</w:t>
                  </w:r>
                </w:p>
              </w:tc>
              <w:tc>
                <w:tcPr>
                  <w:tcW w:w="705" w:type="pct"/>
                  <w:noWrap w:val="0"/>
                  <w:vAlign w:val="center"/>
                </w:tcPr>
                <w:p w14:paraId="04B1FEA4">
                  <w:pPr>
                    <w:jc w:val="center"/>
                    <w:rPr>
                      <w:rFonts w:hint="default" w:eastAsia="宋体"/>
                      <w:color w:val="auto"/>
                      <w:sz w:val="21"/>
                      <w:szCs w:val="21"/>
                      <w:lang w:val="en-US" w:eastAsia="zh-CN"/>
                    </w:rPr>
                  </w:pPr>
                  <w:r>
                    <w:rPr>
                      <w:rFonts w:hint="eastAsia" w:eastAsia="宋体"/>
                      <w:color w:val="auto"/>
                      <w:sz w:val="21"/>
                      <w:szCs w:val="21"/>
                      <w:lang w:val="en-US" w:eastAsia="zh-CN"/>
                    </w:rPr>
                    <w:t>160</w:t>
                  </w:r>
                </w:p>
              </w:tc>
              <w:tc>
                <w:tcPr>
                  <w:tcW w:w="871" w:type="pct"/>
                  <w:noWrap w:val="0"/>
                  <w:vAlign w:val="center"/>
                </w:tcPr>
                <w:p w14:paraId="77A7B96F">
                  <w:pPr>
                    <w:jc w:val="center"/>
                    <w:rPr>
                      <w:color w:val="auto"/>
                      <w:sz w:val="21"/>
                      <w:szCs w:val="21"/>
                    </w:rPr>
                  </w:pPr>
                  <w:r>
                    <w:rPr>
                      <w:color w:val="auto"/>
                      <w:sz w:val="21"/>
                      <w:szCs w:val="21"/>
                    </w:rPr>
                    <w:t>160</w:t>
                  </w:r>
                </w:p>
              </w:tc>
              <w:tc>
                <w:tcPr>
                  <w:tcW w:w="572" w:type="pct"/>
                  <w:noWrap w:val="0"/>
                  <w:vAlign w:val="center"/>
                </w:tcPr>
                <w:p w14:paraId="6CC6EE0D">
                  <w:pPr>
                    <w:jc w:val="center"/>
                    <w:rPr>
                      <w:rFonts w:hint="default" w:eastAsia="宋体"/>
                      <w:color w:val="auto"/>
                      <w:sz w:val="21"/>
                      <w:szCs w:val="21"/>
                      <w:lang w:val="en-US" w:eastAsia="zh-CN"/>
                    </w:rPr>
                  </w:pPr>
                  <w:r>
                    <w:rPr>
                      <w:rFonts w:hint="eastAsia" w:eastAsia="宋体"/>
                      <w:color w:val="auto"/>
                      <w:sz w:val="21"/>
                      <w:szCs w:val="21"/>
                      <w:lang w:val="en-US" w:eastAsia="zh-CN"/>
                    </w:rPr>
                    <w:t>100</w:t>
                  </w:r>
                </w:p>
              </w:tc>
              <w:tc>
                <w:tcPr>
                  <w:tcW w:w="589" w:type="pct"/>
                  <w:noWrap w:val="0"/>
                  <w:vAlign w:val="center"/>
                </w:tcPr>
                <w:p w14:paraId="0200D39A">
                  <w:pPr>
                    <w:jc w:val="center"/>
                    <w:rPr>
                      <w:rFonts w:hint="eastAsia"/>
                      <w:color w:val="auto"/>
                      <w:sz w:val="21"/>
                      <w:szCs w:val="21"/>
                    </w:rPr>
                  </w:pPr>
                  <w:r>
                    <w:rPr>
                      <w:rFonts w:hint="eastAsia"/>
                      <w:color w:val="auto"/>
                      <w:sz w:val="21"/>
                      <w:szCs w:val="21"/>
                    </w:rPr>
                    <w:t>达标</w:t>
                  </w:r>
                </w:p>
              </w:tc>
            </w:tr>
          </w:tbl>
          <w:p w14:paraId="33913391">
            <w:pPr>
              <w:pStyle w:val="248"/>
              <w:keepNext w:val="0"/>
              <w:keepLines w:val="0"/>
              <w:pageBreakBefore w:val="0"/>
              <w:kinsoku/>
              <w:wordWrap/>
              <w:topLinePunct w:val="0"/>
              <w:bidi w:val="0"/>
              <w:snapToGrid/>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根据上表可知，202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年淮南市的PM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评价指标不能满足《环境空气质量标准》（GB3095-2012）的二级标准限值要求，项目所在区域为不达标区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年淮南市的</w:t>
            </w:r>
            <w:r>
              <w:rPr>
                <w:color w:val="auto"/>
                <w:sz w:val="24"/>
                <w:szCs w:val="24"/>
              </w:rPr>
              <w:t>PM</w:t>
            </w:r>
            <w:r>
              <w:rPr>
                <w:color w:val="auto"/>
                <w:sz w:val="24"/>
                <w:szCs w:val="24"/>
                <w:vertAlign w:val="subscript"/>
              </w:rPr>
              <w:t>10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评价指标不能满足《环境空气质量标准》（</w:t>
            </w:r>
            <w:r>
              <w:rPr>
                <w:rFonts w:hint="default" w:ascii="Times New Roman" w:hAnsi="Times New Roman" w:eastAsia="宋体" w:cs="Times New Roman"/>
                <w:color w:val="auto"/>
                <w:sz w:val="24"/>
                <w:szCs w:val="24"/>
                <w:highlight w:val="none"/>
                <w:lang w:eastAsia="zh-CN"/>
              </w:rPr>
              <w:t>GB3095-2026</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过渡阶段</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二级标准限值要求，</w:t>
            </w:r>
            <w:r>
              <w:rPr>
                <w:rFonts w:hint="default" w:ascii="Times New Roman" w:hAnsi="Times New Roman" w:eastAsia="宋体" w:cs="Times New Roman"/>
                <w:b w:val="0"/>
                <w:bCs w:val="0"/>
                <w:color w:val="auto"/>
                <w:sz w:val="24"/>
                <w:highlight w:val="none"/>
              </w:rPr>
              <w:t>二氧化硫、二氧化氮、一氧化碳、臭氧</w:t>
            </w:r>
            <w:r>
              <w:rPr>
                <w:rFonts w:hint="default" w:ascii="Times New Roman" w:hAnsi="Times New Roman" w:eastAsia="宋体" w:cs="Times New Roman"/>
                <w:color w:val="auto"/>
                <w:sz w:val="24"/>
                <w:szCs w:val="24"/>
                <w:highlight w:val="none"/>
                <w:lang w:val="zh-CN" w:eastAsia="zh-CN"/>
              </w:rPr>
              <w:t>满足《环境空气质量标准》（GB3095-2026）中过渡阶段的二级标准限值要求</w:t>
            </w:r>
            <w:r>
              <w:rPr>
                <w:rFonts w:hint="default" w:ascii="Times New Roman" w:hAnsi="Times New Roman" w:eastAsia="宋体" w:cs="Times New Roman"/>
                <w:color w:val="auto"/>
                <w:sz w:val="24"/>
                <w:szCs w:val="24"/>
                <w:highlight w:val="none"/>
              </w:rPr>
              <w:t>。</w:t>
            </w:r>
          </w:p>
          <w:p w14:paraId="0CEA5CD4">
            <w:pPr>
              <w:pStyle w:val="62"/>
              <w:keepNext w:val="0"/>
              <w:keepLines w:val="0"/>
              <w:pageBreakBefore w:val="0"/>
              <w:kinsoku/>
              <w:wordWrap/>
              <w:topLinePunct w:val="0"/>
              <w:bidi w:val="0"/>
              <w:snapToGrid/>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淮南市生态环境局就空气质量不达标提出一系列举措，淮南市通过集中专项整治</w:t>
            </w:r>
            <w:r>
              <w:rPr>
                <w:rFonts w:hint="eastAsia" w:ascii="宋体" w:hAnsi="宋体" w:eastAsia="宋体" w:cs="宋体"/>
                <w:color w:val="auto"/>
                <w:sz w:val="24"/>
                <w:szCs w:val="24"/>
                <w:highlight w:val="none"/>
              </w:rPr>
              <w:t>“小散乱污”</w:t>
            </w:r>
            <w:r>
              <w:rPr>
                <w:rFonts w:hint="default" w:ascii="Times New Roman" w:hAnsi="Times New Roman" w:eastAsia="宋体" w:cs="Times New Roman"/>
                <w:color w:val="auto"/>
                <w:sz w:val="24"/>
                <w:szCs w:val="24"/>
                <w:highlight w:val="none"/>
              </w:rPr>
              <w:t>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14:paraId="61DB3014">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2022年3月20日淮南市人民政府办公室印发了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淮南市大气环境质量限期达标规划</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通过加快调整能源结构，建设清洁低碳能源体系；调整优化产业结构，构建绿色低碳产业体系；深化工业行业污染治理，推动企业绿色升级；全面推行挥发性有机物整治，大幅削减VOCs排放；积极调整运输结构，完善绿色低碳交通体系；优化调整用地结构，推进面源污染治理；加强重污染天气应对，提升管控能力；加强环保能力建设，提高科技支撑能力等措施实现淮南市大气环境质量限期达标规划。在2020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2025年第一阶段，PM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年均浓度达到39μg/m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年均浓度达到80μg/m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、CO浓度持续改善；2026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2030年第二阶段，PM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浓度基本达到国家环境空气质量二级标准要求，SO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浓度持续改善。2031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2035年第三阶段，六项污染物全部达到国家环境空气质量二级标准要求。</w:t>
            </w:r>
          </w:p>
          <w:p w14:paraId="2B928163">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其他污染物环境质量现状</w:t>
            </w:r>
          </w:p>
          <w:p w14:paraId="0579AE84">
            <w:pPr>
              <w:spacing w:line="360" w:lineRule="auto"/>
              <w:ind w:firstLine="480" w:firstLineChars="200"/>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根据本项目工艺，本项目排放的特征污染物为TSP，</w:t>
            </w:r>
            <w:r>
              <w:rPr>
                <w:rFonts w:hint="eastAsia" w:cs="Times New Roman"/>
                <w:color w:val="auto"/>
                <w:sz w:val="24"/>
                <w:szCs w:val="24"/>
                <w:highlight w:val="none"/>
                <w:lang w:val="en-US" w:eastAsia="zh-CN"/>
              </w:rPr>
              <w:t>本项目引用《淮南皖瑞粮油有限公司年产6万吨优质大米项目环境影响报告表》中</w:t>
            </w:r>
            <w:r>
              <w:rPr>
                <w:rFonts w:hint="default" w:ascii="Times New Roman" w:hAnsi="Times New Roman" w:eastAsia="宋体" w:cs="Times New Roman"/>
                <w:color w:val="auto"/>
                <w:sz w:val="24"/>
                <w:szCs w:val="24"/>
                <w:highlight w:val="none"/>
              </w:rPr>
              <w:t>安徽尚德谱检测技术有限责任公司对区域环境空气质量现状监测</w:t>
            </w:r>
            <w:r>
              <w:rPr>
                <w:rFonts w:hint="eastAsia" w:cs="Times New Roman"/>
                <w:color w:val="auto"/>
                <w:sz w:val="24"/>
                <w:szCs w:val="24"/>
                <w:highlight w:val="none"/>
                <w:lang w:val="en-US" w:eastAsia="zh-CN"/>
              </w:rPr>
              <w:t>数据</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引用</w:t>
            </w:r>
            <w:r>
              <w:rPr>
                <w:rFonts w:hint="default" w:ascii="Times New Roman" w:hAnsi="Times New Roman" w:eastAsia="宋体" w:cs="Times New Roman"/>
                <w:color w:val="auto"/>
                <w:sz w:val="24"/>
                <w:szCs w:val="24"/>
                <w:highlight w:val="none"/>
              </w:rPr>
              <w:t>监测点位为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老郢孜G1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，位于</w:t>
            </w:r>
            <w:r>
              <w:rPr>
                <w:rFonts w:hint="eastAsia" w:cs="Times New Roman"/>
                <w:color w:val="auto"/>
                <w:sz w:val="24"/>
                <w:szCs w:val="24"/>
                <w:highlight w:val="none"/>
                <w:lang w:val="en-US" w:eastAsia="zh-CN"/>
              </w:rPr>
              <w:t>距离</w:t>
            </w:r>
            <w:r>
              <w:rPr>
                <w:rFonts w:hint="default" w:ascii="Times New Roman" w:hAnsi="Times New Roman" w:eastAsia="宋体" w:cs="Times New Roman"/>
                <w:color w:val="auto"/>
                <w:sz w:val="24"/>
                <w:szCs w:val="24"/>
                <w:highlight w:val="none"/>
              </w:rPr>
              <w:t>本项目西南侧</w:t>
            </w:r>
            <w:r>
              <w:rPr>
                <w:rFonts w:hint="eastAsia" w:cs="Times New Roman"/>
                <w:color w:val="auto"/>
                <w:sz w:val="24"/>
                <w:szCs w:val="24"/>
                <w:highlight w:val="none"/>
                <w:lang w:val="en-US" w:eastAsia="zh-CN"/>
              </w:rPr>
              <w:t>4355m</w:t>
            </w:r>
            <w:r>
              <w:rPr>
                <w:rFonts w:hint="default" w:ascii="Times New Roman" w:hAnsi="Times New Roman" w:eastAsia="宋体" w:cs="Times New Roman"/>
                <w:color w:val="auto"/>
                <w:sz w:val="24"/>
                <w:szCs w:val="24"/>
                <w:highlight w:val="none"/>
              </w:rPr>
              <w:t>，监测时间为2023年11月29日~12月2日</w:t>
            </w:r>
            <w:r>
              <w:rPr>
                <w:rFonts w:hint="eastAsia" w:cs="Times New Roman"/>
                <w:color w:val="auto"/>
                <w:sz w:val="24"/>
                <w:szCs w:val="24"/>
                <w:highlight w:val="none"/>
                <w:lang w:eastAsia="zh-CN"/>
              </w:rPr>
              <w:t>。</w:t>
            </w:r>
          </w:p>
          <w:p w14:paraId="73E781C4">
            <w:pPr>
              <w:pStyle w:val="75"/>
              <w:keepNext/>
              <w:keepLines w:val="0"/>
              <w:pageBreakBefore w:val="0"/>
              <w:widowControl/>
              <w:kinsoku/>
              <w:wordWrap/>
              <w:overflowPunct w:val="0"/>
              <w:topLinePunct w:val="0"/>
              <w:autoSpaceDE/>
              <w:autoSpaceDN/>
              <w:bidi w:val="0"/>
              <w:adjustRightInd w:val="0"/>
              <w:snapToGrid w:val="0"/>
              <w:spacing w:before="0" w:after="0" w:line="240" w:lineRule="auto"/>
              <w:textAlignment w:val="baseline"/>
              <w:rPr>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val="en-US" w:eastAsia="zh-CN"/>
              </w:rPr>
              <w:t>大气环境质量现状监测</w:t>
            </w:r>
            <w:r>
              <w:rPr>
                <w:rFonts w:hint="default" w:ascii="Times New Roman" w:hAnsi="Times New Roman" w:eastAsia="宋体" w:cs="Times New Roman"/>
                <w:b/>
                <w:bCs/>
                <w:color w:val="auto"/>
                <w:sz w:val="21"/>
                <w:szCs w:val="21"/>
                <w:highlight w:val="none"/>
              </w:rPr>
              <w:t>结果</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249"/>
              <w:gridCol w:w="1127"/>
              <w:gridCol w:w="1765"/>
              <w:gridCol w:w="1800"/>
              <w:gridCol w:w="1572"/>
            </w:tblGrid>
            <w:tr w14:paraId="1A05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0E424A0B">
                  <w:pPr>
                    <w:jc w:val="center"/>
                    <w:rPr>
                      <w:rFonts w:hint="default" w:eastAsia="宋体"/>
                      <w:b/>
                      <w:bCs/>
                      <w:color w:val="auto"/>
                      <w:sz w:val="21"/>
                      <w:szCs w:val="21"/>
                      <w:lang w:val="en-US" w:eastAsia="zh-CN"/>
                    </w:rPr>
                  </w:pPr>
                  <w:r>
                    <w:rPr>
                      <w:rFonts w:hint="eastAsia"/>
                      <w:b/>
                      <w:bCs/>
                      <w:color w:val="auto"/>
                      <w:sz w:val="21"/>
                      <w:szCs w:val="21"/>
                      <w:lang w:val="en-US" w:eastAsia="zh-CN"/>
                    </w:rPr>
                    <w:t>监测项目</w:t>
                  </w:r>
                </w:p>
              </w:tc>
              <w:tc>
                <w:tcPr>
                  <w:tcW w:w="717" w:type="pct"/>
                  <w:noWrap w:val="0"/>
                  <w:vAlign w:val="center"/>
                </w:tcPr>
                <w:p w14:paraId="3FD3249B">
                  <w:pPr>
                    <w:jc w:val="center"/>
                    <w:rPr>
                      <w:rFonts w:hint="default" w:eastAsia="宋体"/>
                      <w:b/>
                      <w:bCs/>
                      <w:color w:val="auto"/>
                      <w:sz w:val="21"/>
                      <w:szCs w:val="21"/>
                      <w:lang w:val="en-US" w:eastAsia="zh-CN"/>
                    </w:rPr>
                  </w:pPr>
                  <w:r>
                    <w:rPr>
                      <w:rFonts w:hint="eastAsia"/>
                      <w:b/>
                      <w:bCs/>
                      <w:color w:val="auto"/>
                      <w:sz w:val="21"/>
                      <w:szCs w:val="21"/>
                      <w:lang w:val="en-US" w:eastAsia="zh-CN"/>
                    </w:rPr>
                    <w:t>监测点位</w:t>
                  </w:r>
                </w:p>
              </w:tc>
              <w:tc>
                <w:tcPr>
                  <w:tcW w:w="647" w:type="pct"/>
                  <w:noWrap w:val="0"/>
                  <w:vAlign w:val="center"/>
                </w:tcPr>
                <w:p w14:paraId="061B953B">
                  <w:pPr>
                    <w:jc w:val="center"/>
                    <w:rPr>
                      <w:rFonts w:hint="default"/>
                      <w:b/>
                      <w:bCs/>
                      <w:color w:val="auto"/>
                      <w:sz w:val="21"/>
                      <w:szCs w:val="21"/>
                      <w:lang w:val="en-US" w:eastAsia="zh-CN"/>
                    </w:rPr>
                  </w:pPr>
                  <w:r>
                    <w:rPr>
                      <w:rFonts w:hint="eastAsia"/>
                      <w:b/>
                      <w:bCs/>
                      <w:color w:val="auto"/>
                      <w:sz w:val="21"/>
                      <w:szCs w:val="21"/>
                      <w:lang w:val="en-US" w:eastAsia="zh-CN"/>
                    </w:rPr>
                    <w:t>采样时间</w:t>
                  </w:r>
                </w:p>
              </w:tc>
              <w:tc>
                <w:tcPr>
                  <w:tcW w:w="1013" w:type="pct"/>
                  <w:noWrap w:val="0"/>
                  <w:vAlign w:val="center"/>
                </w:tcPr>
                <w:p w14:paraId="4EC196E0">
                  <w:pPr>
                    <w:jc w:val="center"/>
                    <w:rPr>
                      <w:rFonts w:hint="default"/>
                      <w:b/>
                      <w:bCs/>
                      <w:color w:val="auto"/>
                      <w:sz w:val="21"/>
                      <w:szCs w:val="21"/>
                      <w:lang w:val="en-US" w:eastAsia="zh-CN"/>
                    </w:rPr>
                  </w:pPr>
                  <w:r>
                    <w:rPr>
                      <w:rFonts w:hint="default"/>
                      <w:b/>
                      <w:bCs/>
                      <w:color w:val="auto"/>
                      <w:sz w:val="21"/>
                      <w:szCs w:val="21"/>
                    </w:rPr>
                    <w:t>11月29日~</w:t>
                  </w:r>
                  <w:r>
                    <w:rPr>
                      <w:rFonts w:hint="eastAsia"/>
                      <w:b/>
                      <w:bCs/>
                      <w:color w:val="auto"/>
                      <w:sz w:val="21"/>
                      <w:szCs w:val="21"/>
                      <w:lang w:val="en-US" w:eastAsia="zh-CN"/>
                    </w:rPr>
                    <w:t>30日</w:t>
                  </w:r>
                </w:p>
              </w:tc>
              <w:tc>
                <w:tcPr>
                  <w:tcW w:w="1033" w:type="pct"/>
                  <w:noWrap w:val="0"/>
                  <w:vAlign w:val="center"/>
                </w:tcPr>
                <w:p w14:paraId="172BFCD1">
                  <w:pPr>
                    <w:jc w:val="center"/>
                    <w:rPr>
                      <w:rFonts w:hint="default"/>
                      <w:b/>
                      <w:bCs/>
                      <w:color w:val="auto"/>
                      <w:sz w:val="21"/>
                      <w:szCs w:val="21"/>
                    </w:rPr>
                  </w:pPr>
                  <w:r>
                    <w:rPr>
                      <w:rFonts w:hint="default"/>
                      <w:b/>
                      <w:bCs/>
                      <w:color w:val="auto"/>
                      <w:sz w:val="21"/>
                      <w:szCs w:val="21"/>
                    </w:rPr>
                    <w:t>11月</w:t>
                  </w:r>
                  <w:r>
                    <w:rPr>
                      <w:rFonts w:hint="eastAsia"/>
                      <w:b/>
                      <w:bCs/>
                      <w:color w:val="auto"/>
                      <w:sz w:val="21"/>
                      <w:szCs w:val="21"/>
                      <w:lang w:val="en-US" w:eastAsia="zh-CN"/>
                    </w:rPr>
                    <w:t>30</w:t>
                  </w:r>
                  <w:r>
                    <w:rPr>
                      <w:rFonts w:hint="default"/>
                      <w:b/>
                      <w:bCs/>
                      <w:color w:val="auto"/>
                      <w:sz w:val="21"/>
                      <w:szCs w:val="21"/>
                    </w:rPr>
                    <w:t>日~</w:t>
                  </w:r>
                  <w:r>
                    <w:rPr>
                      <w:rFonts w:hint="eastAsia"/>
                      <w:b/>
                      <w:bCs/>
                      <w:color w:val="auto"/>
                      <w:sz w:val="21"/>
                      <w:szCs w:val="21"/>
                      <w:lang w:val="en-US" w:eastAsia="zh-CN"/>
                    </w:rPr>
                    <w:t>12月1日</w:t>
                  </w:r>
                </w:p>
              </w:tc>
              <w:tc>
                <w:tcPr>
                  <w:tcW w:w="902" w:type="pct"/>
                  <w:noWrap w:val="0"/>
                  <w:vAlign w:val="center"/>
                </w:tcPr>
                <w:p w14:paraId="19D06683">
                  <w:pPr>
                    <w:jc w:val="center"/>
                    <w:rPr>
                      <w:rFonts w:hint="default"/>
                      <w:b/>
                      <w:bCs/>
                      <w:color w:val="auto"/>
                      <w:sz w:val="21"/>
                      <w:szCs w:val="21"/>
                    </w:rPr>
                  </w:pPr>
                  <w:r>
                    <w:rPr>
                      <w:rFonts w:hint="default"/>
                      <w:b/>
                      <w:bCs/>
                      <w:color w:val="auto"/>
                      <w:sz w:val="21"/>
                      <w:szCs w:val="21"/>
                    </w:rPr>
                    <w:t>1</w:t>
                  </w:r>
                  <w:r>
                    <w:rPr>
                      <w:rFonts w:hint="eastAsia"/>
                      <w:b/>
                      <w:bCs/>
                      <w:color w:val="auto"/>
                      <w:sz w:val="21"/>
                      <w:szCs w:val="21"/>
                      <w:lang w:val="en-US" w:eastAsia="zh-CN"/>
                    </w:rPr>
                    <w:t>2</w:t>
                  </w:r>
                  <w:r>
                    <w:rPr>
                      <w:rFonts w:hint="default"/>
                      <w:b/>
                      <w:bCs/>
                      <w:color w:val="auto"/>
                      <w:sz w:val="21"/>
                      <w:szCs w:val="21"/>
                    </w:rPr>
                    <w:t>月</w:t>
                  </w:r>
                  <w:r>
                    <w:rPr>
                      <w:rFonts w:hint="eastAsia"/>
                      <w:b/>
                      <w:bCs/>
                      <w:color w:val="auto"/>
                      <w:sz w:val="21"/>
                      <w:szCs w:val="21"/>
                      <w:lang w:val="en-US" w:eastAsia="zh-CN"/>
                    </w:rPr>
                    <w:t>1</w:t>
                  </w:r>
                  <w:r>
                    <w:rPr>
                      <w:rFonts w:hint="default"/>
                      <w:b/>
                      <w:bCs/>
                      <w:color w:val="auto"/>
                      <w:sz w:val="21"/>
                      <w:szCs w:val="21"/>
                    </w:rPr>
                    <w:t>日~</w:t>
                  </w:r>
                  <w:r>
                    <w:rPr>
                      <w:rFonts w:hint="eastAsia"/>
                      <w:b/>
                      <w:bCs/>
                      <w:color w:val="auto"/>
                      <w:sz w:val="21"/>
                      <w:szCs w:val="21"/>
                      <w:lang w:val="en-US" w:eastAsia="zh-CN"/>
                    </w:rPr>
                    <w:t>12月2日</w:t>
                  </w:r>
                </w:p>
              </w:tc>
            </w:tr>
            <w:tr w14:paraId="2F65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0A02B2C3">
                  <w:pPr>
                    <w:jc w:val="center"/>
                    <w:rPr>
                      <w:rFonts w:hint="default" w:eastAsia="宋体"/>
                      <w:color w:val="auto"/>
                      <w:sz w:val="21"/>
                      <w:szCs w:val="21"/>
                      <w:lang w:val="en-US" w:eastAsia="zh-CN"/>
                    </w:rPr>
                  </w:pPr>
                  <w:r>
                    <w:rPr>
                      <w:rFonts w:hint="eastAsia"/>
                      <w:color w:val="auto"/>
                      <w:sz w:val="21"/>
                      <w:szCs w:val="21"/>
                      <w:lang w:val="en-US" w:eastAsia="zh-CN"/>
                    </w:rPr>
                    <w:t>TSP</w:t>
                  </w:r>
                </w:p>
              </w:tc>
              <w:tc>
                <w:tcPr>
                  <w:tcW w:w="717" w:type="pct"/>
                  <w:noWrap w:val="0"/>
                  <w:vAlign w:val="center"/>
                </w:tcPr>
                <w:p w14:paraId="030D98FB">
                  <w:pPr>
                    <w:jc w:val="center"/>
                    <w:rPr>
                      <w:color w:val="auto"/>
                      <w:sz w:val="21"/>
                      <w:szCs w:val="21"/>
                    </w:rPr>
                  </w:pPr>
                  <w:r>
                    <w:rPr>
                      <w:rFonts w:hint="default"/>
                      <w:color w:val="auto"/>
                      <w:sz w:val="21"/>
                      <w:szCs w:val="21"/>
                    </w:rPr>
                    <w:t>老郢孜G1</w:t>
                  </w:r>
                </w:p>
              </w:tc>
              <w:tc>
                <w:tcPr>
                  <w:tcW w:w="647" w:type="pct"/>
                  <w:noWrap w:val="0"/>
                  <w:vAlign w:val="center"/>
                </w:tcPr>
                <w:p w14:paraId="407BB990">
                  <w:pPr>
                    <w:jc w:val="center"/>
                    <w:rPr>
                      <w:rFonts w:hint="default" w:eastAsia="宋体"/>
                      <w:color w:val="auto"/>
                      <w:sz w:val="21"/>
                      <w:szCs w:val="21"/>
                      <w:lang w:val="en-US" w:eastAsia="zh-CN"/>
                    </w:rPr>
                  </w:pPr>
                  <w:r>
                    <w:rPr>
                      <w:rFonts w:hint="eastAsia"/>
                      <w:color w:val="auto"/>
                      <w:sz w:val="21"/>
                      <w:szCs w:val="21"/>
                      <w:lang w:val="en-US" w:eastAsia="zh-CN"/>
                    </w:rPr>
                    <w:t>日均值</w:t>
                  </w:r>
                </w:p>
              </w:tc>
              <w:tc>
                <w:tcPr>
                  <w:tcW w:w="1013" w:type="pct"/>
                  <w:noWrap w:val="0"/>
                  <w:vAlign w:val="center"/>
                </w:tcPr>
                <w:p w14:paraId="53C2AC20">
                  <w:pPr>
                    <w:jc w:val="center"/>
                    <w:rPr>
                      <w:rFonts w:hint="default" w:eastAsia="宋体"/>
                      <w:color w:val="auto"/>
                      <w:sz w:val="21"/>
                      <w:szCs w:val="21"/>
                      <w:lang w:val="en-US"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365760</wp:posOffset>
                            </wp:positionH>
                            <wp:positionV relativeFrom="paragraph">
                              <wp:posOffset>547370</wp:posOffset>
                            </wp:positionV>
                            <wp:extent cx="1425575" cy="3248025"/>
                            <wp:effectExtent l="4445" t="1905" r="17780" b="11430"/>
                            <wp:wrapNone/>
                            <wp:docPr id="50" name="直接箭头连接符 50"/>
                            <wp:cNvGraphicFramePr/>
                            <a:graphic xmlns:a="http://schemas.openxmlformats.org/drawingml/2006/main">
                              <a:graphicData uri="http://schemas.microsoft.com/office/word/2010/wordprocessingShape">
                                <wps:wsp>
                                  <wps:cNvCnPr/>
                                  <wps:spPr>
                                    <a:xfrm flipH="1">
                                      <a:off x="3898265" y="5450840"/>
                                      <a:ext cx="1425575" cy="3248025"/>
                                    </a:xfrm>
                                    <a:prstGeom prst="straightConnector1">
                                      <a:avLst/>
                                    </a:prstGeom>
                                    <a:ln w="3175">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8pt;margin-top:43.1pt;height:255.75pt;width:112.25pt;z-index:251664384;mso-width-relative:page;mso-height-relative:page;" filled="f" stroked="t" coordsize="21600,21600" o:gfxdata="UEsDBAoAAAAAAIdO4kAAAAAAAAAAAAAAAAAEAAAAZHJzL1BLAwQUAAAACACHTuJAhL5mntgAAAAJ&#10;AQAADwAAAGRycy9kb3ducmV2LnhtbE2PQUvEMBCF74L/IYzgzU0bsK3dposIe/Ag6K4I3tIm2xSb&#10;SWmybddf73jS4/A93vum2q1uYLOZQu9RQrpJgBlsve6xk/B+3N8VwEJUqNXg0Ui4mAC7+vqqUqX2&#10;C76Z+RA7RiUYSiXBxjiWnIfWGqfCxo8GiZ385FSkc+q4ntRC5W7gIkky7lSPtGDVaJ6sab8OZydB&#10;rKv72NvP5/n10vC2eXnky/ci5e1NmmyBRbPGvzD86pM61OTU+DPqwAYJ93lGSQlFJoARF4VIgTUE&#10;HvIceF3x/x/UP1BLAwQUAAAACACHTuJA6gsuESoCAAASBAAADgAAAGRycy9lMm9Eb2MueG1srVPN&#10;jtMwEL4j8Q6W7zRpt1lK1HQPLYUDgpWAB5g6TmLJf7K9TfsSvAASJ+C0cNo7TwPLYzB2wi4slz2Q&#10;QzSen2/m+zxenh2UJHvuvDC6otNJTgnXzNRCtxV9+2b7aEGJD6BrkEbzih65p2erhw+WvS35zHRG&#10;1twRBNG+7G1FuxBsmWWedVyBnxjLNQYb4xQEPLo2qx30iK5kNsvz06w3rrbOMO49ejdDkI6I7j6A&#10;pmkE4xvDLhTXYUB1XEJASr4T1tNVmrZpOAuvmsbzQGRFkWlIf2yC9i7+s9USytaB7QQbR4D7jHCH&#10;kwKhsekN1AYCkAsn/oFSgjnjTRMmzKhsIJIUQRbT/I42rzuwPHFBqb29Ed3/P1j2cn/uiKgrWqAk&#10;GhTe+PX7qx/vPl1//fL949XPbx+iffmZYBzF6q0vsWatz9148vbcReaHxinSSGGf41YlLZAdOVT0&#10;ZPFkMTstKDlik3mRL+aj7PwQCMOE6XxWFI8xgWHGyWy+yGdF7JUNoBHcOh+ecaNINCrqgwPRdmFt&#10;tMYrNm5oCPsXPgyFvwtisTZbISX6oZSa9NhjmroBbm+DW4ONlUUFvG4pAdnis2DBJQreSFHH6ljs&#10;XbtbS0f2gMu03eb4jWP+lRZbb8B3Q14KxTQoOw71U12TcLSossbXNfgDCHnrD06AbiWncVLFa0ok&#10;x4miNVCTGqWJ9zAoH62dqY/pQpIfVyWJN6513MU/z6n69im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vmae2AAAAAkBAAAPAAAAAAAAAAEAIAAAACIAAABkcnMvZG93bnJldi54bWxQSwECFAAU&#10;AAAACACHTuJA6gsuESoCAAASBAAADgAAAAAAAAABACAAAAAnAQAAZHJzL2Uyb0RvYy54bWxQSwUG&#10;AAAAAAYABgBZAQAAwwUAAAAA&#10;">
                            <v:fill on="f" focussize="0,0"/>
                            <v:stroke weight="0.25pt" color="#FF0000 [3204]" joinstyle="round" endarrow="block"/>
                            <v:imagedata o:title=""/>
                            <o:lock v:ext="edit" aspectratio="f"/>
                          </v:shape>
                        </w:pict>
                      </mc:Fallback>
                    </mc:AlternateContent>
                  </w:r>
                  <w:r>
                    <w:rPr>
                      <w:rFonts w:hint="eastAsia"/>
                      <w:color w:val="auto"/>
                      <w:sz w:val="21"/>
                      <w:szCs w:val="21"/>
                      <w:lang w:val="en-US" w:eastAsia="zh-CN"/>
                    </w:rPr>
                    <w:t>0.213</w:t>
                  </w:r>
                </w:p>
              </w:tc>
              <w:tc>
                <w:tcPr>
                  <w:tcW w:w="1033" w:type="pct"/>
                  <w:noWrap w:val="0"/>
                  <w:vAlign w:val="center"/>
                </w:tcPr>
                <w:p w14:paraId="38013C72">
                  <w:pPr>
                    <w:jc w:val="center"/>
                    <w:rPr>
                      <w:rFonts w:hint="default" w:eastAsia="宋体"/>
                      <w:color w:val="auto"/>
                      <w:sz w:val="21"/>
                      <w:szCs w:val="21"/>
                      <w:lang w:val="en-US" w:eastAsia="zh-CN"/>
                    </w:rPr>
                  </w:pPr>
                  <w:r>
                    <w:rPr>
                      <w:rFonts w:hint="eastAsia"/>
                      <w:color w:val="auto"/>
                      <w:sz w:val="21"/>
                      <w:szCs w:val="21"/>
                      <w:lang w:val="en-US" w:eastAsia="zh-CN"/>
                    </w:rPr>
                    <w:t>0.226</w:t>
                  </w:r>
                </w:p>
              </w:tc>
              <w:tc>
                <w:tcPr>
                  <w:tcW w:w="902" w:type="pct"/>
                  <w:noWrap w:val="0"/>
                  <w:vAlign w:val="center"/>
                </w:tcPr>
                <w:p w14:paraId="54FAD61C">
                  <w:pPr>
                    <w:jc w:val="center"/>
                    <w:rPr>
                      <w:rFonts w:hint="default" w:eastAsia="宋体"/>
                      <w:color w:val="auto"/>
                      <w:sz w:val="21"/>
                      <w:szCs w:val="21"/>
                      <w:lang w:val="en-US" w:eastAsia="zh-CN"/>
                    </w:rPr>
                  </w:pPr>
                  <w:r>
                    <w:rPr>
                      <w:rFonts w:hint="eastAsia"/>
                      <w:color w:val="auto"/>
                      <w:sz w:val="21"/>
                      <w:szCs w:val="21"/>
                      <w:lang w:val="en-US" w:eastAsia="zh-CN"/>
                    </w:rPr>
                    <w:t>2.202</w:t>
                  </w:r>
                </w:p>
              </w:tc>
            </w:tr>
          </w:tbl>
          <w:p w14:paraId="02F73E52">
            <w:pPr>
              <w:spacing w:line="360" w:lineRule="auto"/>
              <w:jc w:val="center"/>
              <w:rPr>
                <w:color w:val="auto"/>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2308225</wp:posOffset>
                      </wp:positionH>
                      <wp:positionV relativeFrom="paragraph">
                        <wp:posOffset>3524885</wp:posOffset>
                      </wp:positionV>
                      <wp:extent cx="807720" cy="2736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07720"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AFCBE">
                                  <w:pPr>
                                    <w:rPr>
                                      <w:rFonts w:hint="eastAsia" w:eastAsia="宋体"/>
                                      <w:b/>
                                      <w:bCs/>
                                      <w:color w:val="FF0000"/>
                                      <w:lang w:val="en-US" w:eastAsia="zh-CN"/>
                                    </w:rPr>
                                  </w:pPr>
                                  <w:r>
                                    <w:rPr>
                                      <w:rFonts w:hint="default"/>
                                      <w:b/>
                                      <w:bCs/>
                                      <w:color w:val="FF0000"/>
                                      <w:sz w:val="21"/>
                                      <w:szCs w:val="21"/>
                                    </w:rPr>
                                    <w:t>老郢孜G1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75pt;margin-top:277.55pt;height:21.55pt;width:63.6pt;z-index:251663360;mso-width-relative:page;mso-height-relative:page;" filled="f" stroked="f" coordsize="21600,21600" o:gfxdata="UEsDBAoAAAAAAIdO4kAAAAAAAAAAAAAAAAAEAAAAZHJzL1BLAwQUAAAACACHTuJADmLxK9wAAAAL&#10;AQAADwAAAGRycy9kb3ducmV2LnhtbE2Py07DMBBF90j8gzVI7KiTFJc0xKlQpAoJ0UVLN+wm8TSJ&#10;8CPE7gO+HrOC5cwc3Tm3XF2MZiea/OCshHSWACPbOjXYTsL+bX2XA/MBrULtLEn4Ig+r6vqqxEK5&#10;s93SaRc6FkOsL1BCH8JYcO7bngz6mRvJxtvBTQZDHKeOqwnPMdxoniXJghscbPzQ40h1T+3H7mgk&#10;vNTrDW6bzOTfun5+PTyNn/t3IeXtTZo8Agt0CX8w/OpHdaiiU+OOVnmmJcwXcxFRCUKIFFgk7pfJ&#10;A7AmbpZ5Brwq+f8O1Q9QSwMEFAAAAAgAh07iQLf7Jxw7AgAAZwQAAA4AAABkcnMvZTJvRG9jLnht&#10;bK1UwU4bMRC9V+o/WL6XTQKENGKDUhBVJVSQaNWz4/WyK9ke13bYpR/Q/gGnXnrvd/EdffYmAdEe&#10;OPTiHc+M3/i9Ge/xSW80u1U+tGRLPt4bcaaspKq1NyX//On8zYyzEIWthCarSn6nAj9ZvH513Lm5&#10;mlBDulKeAcSGeedK3sTo5kURZKOMCHvklEWwJm9ExNbfFJUXHdCNLiaj0bToyFfOk1QhwHs2BPkG&#10;0b8EkOq6leqM5NooGwdUr7SIoBSa1gW+yLetayXjZV0HFZkuOZjGvKII7FVai8WxmN944ZpWbq4g&#10;XnKFZ5yMaC2K7qDORBRs7du/oEwrPQWq454kUwxEsiJgMR490+a6EU5lLpA6uJ3o4f/Byo+3V561&#10;FSZhypkVBh1/uP/x8PP3w6/vDD4I1LkwR961Q2bs31GP5K0/wJl497U36QtGDHHIe7eTV/WRSThn&#10;o6OjCSISocnR/nR2mFCKx8POh/hekWHJKLlH97Ko4vYixCF1m5JqWTpvtc4d1JZ1JZ/uH47ygV0E&#10;4NqiRqIwXDVZsV/1G14rqu5Ay9MwGcHJ8xbFL0SIV8JjFHBfPJZ4iaXWhCK0sThryH/7lz/lo0OI&#10;ctZhtEoevq6FV5zpDxa9ezs+OABszJuDw6yJfxpZPY3YtTklTO8Yz9LJbOKwj3pr1p7MF7ypZaqK&#10;kLAStUset+ZpHAYeb1Kq5TInYfqciBf22skEPci5XEeq26x0kmnQZqMe5i/3avNW0oA/3eesx//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YvEr3AAAAAsBAAAPAAAAAAAAAAEAIAAAACIAAABk&#10;cnMvZG93bnJldi54bWxQSwECFAAUAAAACACHTuJAt/snHDsCAABnBAAADgAAAAAAAAABACAAAAAr&#10;AQAAZHJzL2Uyb0RvYy54bWxQSwUGAAAAAAYABgBZAQAA2AUAAAAA&#10;">
                      <v:fill on="f" focussize="0,0"/>
                      <v:stroke on="f" weight="0.5pt"/>
                      <v:imagedata o:title=""/>
                      <o:lock v:ext="edit" aspectratio="f"/>
                      <v:textbox>
                        <w:txbxContent>
                          <w:p w14:paraId="03EAFCBE">
                            <w:pPr>
                              <w:rPr>
                                <w:rFonts w:hint="eastAsia" w:eastAsia="宋体"/>
                                <w:b/>
                                <w:bCs/>
                                <w:color w:val="FF0000"/>
                                <w:lang w:val="en-US" w:eastAsia="zh-CN"/>
                              </w:rPr>
                            </w:pPr>
                            <w:r>
                              <w:rPr>
                                <w:rFonts w:hint="default"/>
                                <w:b/>
                                <w:bCs/>
                                <w:color w:val="FF0000"/>
                                <w:sz w:val="21"/>
                                <w:szCs w:val="21"/>
                              </w:rPr>
                              <w:t>老郢孜G1</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2903855</wp:posOffset>
                      </wp:positionH>
                      <wp:positionV relativeFrom="paragraph">
                        <wp:posOffset>1694180</wp:posOffset>
                      </wp:positionV>
                      <wp:extent cx="1024255" cy="2819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02425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F403B">
                                  <w:pPr>
                                    <w:rPr>
                                      <w:rFonts w:hint="default" w:eastAsia="宋体"/>
                                      <w:b/>
                                      <w:bCs/>
                                      <w:color w:val="FF0000"/>
                                      <w:lang w:val="en-US" w:eastAsia="zh-CN"/>
                                    </w:rPr>
                                  </w:pPr>
                                  <w:r>
                                    <w:rPr>
                                      <w:rFonts w:hint="eastAsia"/>
                                      <w:b/>
                                      <w:bCs/>
                                      <w:color w:val="FF0000"/>
                                      <w:lang w:val="en-US" w:eastAsia="zh-CN"/>
                                    </w:rPr>
                                    <w:t>距离4355m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133.4pt;height:22.2pt;width:80.65pt;z-index:251665408;mso-width-relative:page;mso-height-relative:page;" filled="f" stroked="f" coordsize="21600,21600" o:gfxdata="UEsDBAoAAAAAAIdO4kAAAAAAAAAAAAAAAAAEAAAAZHJzL1BLAwQUAAAACACHTuJA2/5vz9wAAAAL&#10;AQAADwAAAGRycy9kb3ducmV2LnhtbE2Py07DMBBF90j8gzVI7KjjlJoojVOhSBUSgkVLN+yceJpE&#10;jcchdh/w9ZhVWY7m6N5zi9XFDuyEk+8dKRCzBBhS40xPrYLdx/ohA+aDJqMHR6jgGz2sytubQufG&#10;nWmDp21oWQwhn2sFXQhjzrlvOrTaz9yIFH97N1kd4jm13Ez6HMPtwNMkkdzqnmJDp0esOmwO26NV&#10;8Fqt3/WmTm32M1Qvb/vn8Wv3uVDq/k4kS2ABL+EKw59+VIcyOtXuSMazQcHj4mkeUQWplHFDJKTI&#10;JLBawVyIFHhZ8P8byl9QSwMEFAAAAAgAh07iQMSTOO87AgAAaAQAAA4AAABkcnMvZTJvRG9jLnht&#10;bK1UTW4TMRTeI3EHy3s6SUhKG3VShVZFSBWtFBBrx+PpjGT7GdvpTDkA3IAVG/acq+fgsydJq8Ki&#10;Czae5/f/fe95Tk57o9mt8qElW/LxwYgzZSVVrb0p+aePF6+OOAtR2Eposqrkdyrw08XLFyedm6sJ&#10;NaQr5RmS2DDvXMmbGN28KIJslBHhgJyyMNbkjYi4+pui8qJDdqOLyWh0WHTkK+dJqhCgPR+MfJvR&#10;Pych1XUr1TnJjVE2Dlm90iICUmhaF/gid1vXSsarug4qMl1yII35RBHI63QWixMxv/HCNa3ctiCe&#10;08ITTEa0FkX3qc5FFGzj279SmVZ6ClTHA0mmGIBkRoBiPHrCzaoRTmUsoDq4Penh/6WVH26vPWur&#10;ks/GnFlhMPH7H9/vf/6+//WNQQeCOhfm8Fs5eMb+LfVYm50+QJlw97U36QtEDHbQe7enV/WRyRQ0&#10;mkwnsxlnErbJ0fh4mvkvHqKdD/GdIsOSUHKP8WVWxe1liOgErjuXVMzSRat1HqG2rCv54evZKAfs&#10;LYjQFoEJw9BrkmK/7rfA1lTdAZenYTWCkxctil+KEK+Fxy4ACl5LvMJRa0IR2kqcNeS//kuf/DEi&#10;WDnrsFslD182wivO9HuL4R2Pp4DOYr5MZ28muPjHlvVji92YM8L6Yj7oLovJP+qdWHsyn/Golqkq&#10;TMJK1C553Ilncdh4PEqplsvshPVzIl7alZMp9UDnchOpbjPTiaaBmy17WMA8gO1jSRv++J69Hn4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m/P3AAAAAsBAAAPAAAAAAAAAAEAIAAAACIAAABk&#10;cnMvZG93bnJldi54bWxQSwECFAAUAAAACACHTuJAxJM47zsCAABoBAAADgAAAAAAAAABACAAAAAr&#10;AQAAZHJzL2Uyb0RvYy54bWxQSwUGAAAAAAYABgBZAQAA2AUAAAAA&#10;">
                      <v:fill on="f" focussize="0,0"/>
                      <v:stroke on="f" weight="0.5pt"/>
                      <v:imagedata o:title=""/>
                      <o:lock v:ext="edit" aspectratio="f"/>
                      <v:textbox>
                        <w:txbxContent>
                          <w:p w14:paraId="431F403B">
                            <w:pPr>
                              <w:rPr>
                                <w:rFonts w:hint="default" w:eastAsia="宋体"/>
                                <w:b/>
                                <w:bCs/>
                                <w:color w:val="FF0000"/>
                                <w:lang w:val="en-US" w:eastAsia="zh-CN"/>
                              </w:rPr>
                            </w:pPr>
                            <w:r>
                              <w:rPr>
                                <w:rFonts w:hint="eastAsia"/>
                                <w:b/>
                                <w:bCs/>
                                <w:color w:val="FF0000"/>
                                <w:lang w:val="en-US" w:eastAsia="zh-CN"/>
                              </w:rPr>
                              <w:t>距离4355m</w:t>
                            </w:r>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4098925</wp:posOffset>
                      </wp:positionH>
                      <wp:positionV relativeFrom="paragraph">
                        <wp:posOffset>140970</wp:posOffset>
                      </wp:positionV>
                      <wp:extent cx="602615" cy="281940"/>
                      <wp:effectExtent l="0" t="0" r="0" b="0"/>
                      <wp:wrapNone/>
                      <wp:docPr id="15" name="文本框 15"/>
                      <wp:cNvGraphicFramePr/>
                      <a:graphic xmlns:a="http://schemas.openxmlformats.org/drawingml/2006/main">
                        <a:graphicData uri="http://schemas.microsoft.com/office/word/2010/wordprocessingShape">
                          <wps:wsp>
                            <wps:cNvSpPr txBox="1"/>
                            <wps:spPr>
                              <a:xfrm>
                                <a:off x="4294505" y="6654800"/>
                                <a:ext cx="60261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6C90C">
                                  <w:pPr>
                                    <w:rPr>
                                      <w:rFonts w:hint="eastAsia" w:eastAsia="宋体"/>
                                      <w:b/>
                                      <w:bCs/>
                                      <w:color w:val="FF0000"/>
                                      <w:lang w:val="en-US" w:eastAsia="zh-CN"/>
                                    </w:rPr>
                                  </w:pPr>
                                  <w:r>
                                    <w:rPr>
                                      <w:rFonts w:hint="eastAsia"/>
                                      <w:b/>
                                      <w:bCs/>
                                      <w:color w:val="FF0000"/>
                                      <w:lang w:val="en-US"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75pt;margin-top:11.1pt;height:22.2pt;width:47.45pt;z-index:251662336;mso-width-relative:page;mso-height-relative:page;" filled="f" stroked="f" coordsize="21600,21600" o:gfxdata="UEsDBAoAAAAAAIdO4kAAAAAAAAAAAAAAAAAEAAAAZHJzL1BLAwQUAAAACACHTuJAUAQlNdkAAAAJ&#10;AQAADwAAAGRycy9kb3ducmV2LnhtbE2Py07DMBBF90j8gzVI7KhdKwlViFOhSBUSgkVLN+yceJpE&#10;+BFi9wFfz7CC5ege3XumWl+cZSec4xi8guVCAEPfBTP6XsH+bXO3AhaT9kbb4FHBF0ZY19dXlS5N&#10;OPstnnapZ1TiY6kVDClNJeexG9DpuAgTesoOYXY60Tn33Mz6TOXOcilEwZ0ePS0MesJmwO5jd3QK&#10;npvNq9620q2+bfP0cnicPvfvuVK3N0vxACzhJf3B8KtP6lCTUxuO3kRmFRRZnhOqQEoJjID7TGTA&#10;WkqKAnhd8f8f1D9QSwMEFAAAAAgAh07iQAm4N4VGAgAAcwQAAA4AAABkcnMvZTJvRG9jLnhtbK1U&#10;y24TMRTdI/EPlvd0JiEJSdRJFRoFIVW0UkCsHY+nM5Jf2E5nygfAH7Biw57v6ndw7Jm0VWHRBZvJ&#10;te/xuT7nXuf0rFOS3AjnG6MLOjrJKRGam7LR1wX99HH7ak6JD0yXTBotCnorPD1bvXxx2tqlGJva&#10;yFI4AhLtl60taB2CXWaZ57VQzJ8YKzSSlXGKBSzddVY61oJdyWyc57OsNa60znDhPXY3fZIOjO45&#10;hKaqGi42hh+U0KFndUKyAEm+bqynq3TbqhI8XFaVF4HIgkJpSF8UQbyP32x1ypbXjtm64cMV2HOu&#10;8ESTYo1G0XuqDQuMHFzzF5VquDPeVOGEG5X1QpIjUDHKn3izq5kVSQus9vbedP//aPmHmytHmhKT&#10;MKVEM4WO3/34fvfz992vbwR7MKi1fgnczgIZuremA/i477EZdXeVU/EXigjyk/FiMs3BeFvQ2Ww6&#10;meeD1aILhAMwy8ezWJEDMJ6PFpOUzx6IrPPhnTCKxKCgDp1MBrObCx9wKUCPkFhXm20jZeqm1KRF&#10;gdfTPB24z+CE1DgY5fTXjlHo9t2gcW/KW0h0pp8Sb/m2QfEL5sMVcxgLDA0eTrjEp5IGRcwQUVIb&#10;9/Vf+xGPbiFLSYsxK6j/cmBOUCLfa/RxMZpAOglpMZm+GWPhHmf2jzP6oM4NJnmEJ2p5CiM+yGNY&#10;OaM+432tY1WkmOaoXdBwDM9DP/x4n1ys1wmESbQsXOid5ZG6t3N9CKZqktPRpt6bwT3MYmrA8G7i&#10;sD9eJ9TDf8X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AEJTXZAAAACQEAAA8AAAAAAAAAAQAg&#10;AAAAIgAAAGRycy9kb3ducmV2LnhtbFBLAQIUABQAAAAIAIdO4kAJuDeFRgIAAHMEAAAOAAAAAAAA&#10;AAEAIAAAACgBAABkcnMvZTJvRG9jLnhtbFBLBQYAAAAABgAGAFkBAADgBQAAAAA=&#10;">
                      <v:fill on="f" focussize="0,0"/>
                      <v:stroke on="f" weight="0.5pt"/>
                      <v:imagedata o:title=""/>
                      <o:lock v:ext="edit" aspectratio="f"/>
                      <v:textbox>
                        <w:txbxContent>
                          <w:p w14:paraId="0B06C90C">
                            <w:pPr>
                              <w:rPr>
                                <w:rFonts w:hint="eastAsia" w:eastAsia="宋体"/>
                                <w:b/>
                                <w:bCs/>
                                <w:color w:val="FF0000"/>
                                <w:lang w:val="en-US" w:eastAsia="zh-CN"/>
                              </w:rPr>
                            </w:pPr>
                            <w:r>
                              <w:rPr>
                                <w:rFonts w:hint="eastAsia"/>
                                <w:b/>
                                <w:bCs/>
                                <w:color w:val="FF0000"/>
                                <w:lang w:val="en-US" w:eastAsia="zh-CN"/>
                              </w:rPr>
                              <w:t>项目地</w:t>
                            </w:r>
                          </w:p>
                        </w:txbxContent>
                      </v:textbox>
                    </v:shape>
                  </w:pict>
                </mc:Fallback>
              </mc:AlternateContent>
            </w:r>
            <w:r>
              <w:rPr>
                <w:color w:val="auto"/>
              </w:rPr>
              <w:drawing>
                <wp:inline distT="0" distB="0" distL="114300" distR="114300">
                  <wp:extent cx="4254500" cy="3856990"/>
                  <wp:effectExtent l="9525" t="9525" r="18415" b="1968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9"/>
                          <a:stretch>
                            <a:fillRect/>
                          </a:stretch>
                        </pic:blipFill>
                        <pic:spPr>
                          <a:xfrm>
                            <a:off x="0" y="0"/>
                            <a:ext cx="4254500" cy="3856990"/>
                          </a:xfrm>
                          <a:prstGeom prst="rect">
                            <a:avLst/>
                          </a:prstGeom>
                          <a:noFill/>
                          <a:ln>
                            <a:solidFill>
                              <a:srgbClr val="0000FF"/>
                            </a:solidFill>
                          </a:ln>
                        </pic:spPr>
                      </pic:pic>
                    </a:graphicData>
                  </a:graphic>
                </wp:inline>
              </w:drawing>
            </w:r>
          </w:p>
          <w:p w14:paraId="0C3601C0">
            <w:pPr>
              <w:spacing w:line="360" w:lineRule="auto"/>
              <w:jc w:val="center"/>
              <w:rPr>
                <w:rFonts w:hint="eastAsia"/>
                <w:b/>
                <w:bCs/>
                <w:color w:val="auto"/>
                <w:lang w:eastAsia="zh-CN"/>
              </w:rPr>
            </w:pPr>
            <w:r>
              <w:rPr>
                <w:rFonts w:hint="eastAsia"/>
                <w:b/>
                <w:bCs/>
                <w:color w:val="auto"/>
                <w:lang w:eastAsia="zh-CN"/>
              </w:rPr>
              <w:t>图3-1 大气环境质量现状监测点位图</w:t>
            </w:r>
          </w:p>
          <w:p w14:paraId="74C6619F">
            <w:pPr>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综上，TSP浓度满足</w:t>
            </w:r>
            <w:r>
              <w:rPr>
                <w:rFonts w:hint="default" w:ascii="Times New Roman" w:hAnsi="Times New Roman" w:eastAsia="宋体" w:cs="Times New Roman"/>
                <w:color w:val="auto"/>
                <w:sz w:val="24"/>
                <w:szCs w:val="24"/>
                <w:highlight w:val="none"/>
              </w:rPr>
              <w:t>《环境空气质量标准》（</w:t>
            </w:r>
            <w:r>
              <w:rPr>
                <w:rFonts w:hint="default" w:ascii="Times New Roman" w:hAnsi="Times New Roman" w:eastAsia="宋体" w:cs="Times New Roman"/>
                <w:color w:val="auto"/>
                <w:sz w:val="24"/>
                <w:szCs w:val="24"/>
                <w:highlight w:val="none"/>
                <w:lang w:eastAsia="zh-CN"/>
              </w:rPr>
              <w:t>GB3095-2026</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过渡阶段</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二级标准限值</w:t>
            </w:r>
            <w:r>
              <w:rPr>
                <w:rFonts w:hint="eastAsia" w:cs="Times New Roman"/>
                <w:color w:val="auto"/>
                <w:sz w:val="24"/>
                <w:szCs w:val="24"/>
                <w:highlight w:val="none"/>
                <w:lang w:eastAsia="zh-CN"/>
              </w:rPr>
              <w:t>，说明评价区域内环境空气质量现状总体良好。</w:t>
            </w:r>
          </w:p>
          <w:p w14:paraId="4F0022BA">
            <w:pPr>
              <w:spacing w:line="360" w:lineRule="auto"/>
              <w:rPr>
                <w:b/>
                <w:bCs/>
                <w:color w:val="auto"/>
                <w:sz w:val="24"/>
                <w:szCs w:val="24"/>
              </w:rPr>
            </w:pPr>
            <w:r>
              <w:rPr>
                <w:b/>
                <w:bCs/>
                <w:color w:val="auto"/>
                <w:sz w:val="24"/>
                <w:szCs w:val="24"/>
              </w:rPr>
              <w:t>2、水环境</w:t>
            </w:r>
            <w:r>
              <w:rPr>
                <w:rFonts w:hint="default"/>
                <w:b/>
                <w:bCs/>
                <w:color w:val="auto"/>
                <w:sz w:val="24"/>
                <w:szCs w:val="24"/>
              </w:rPr>
              <w:t>质量现状</w:t>
            </w:r>
          </w:p>
          <w:p w14:paraId="7055B7C8">
            <w:pPr>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pacing w:val="7"/>
                <w:sz w:val="24"/>
                <w:szCs w:val="24"/>
              </w:rPr>
              <w:t>202</w:t>
            </w:r>
            <w:r>
              <w:rPr>
                <w:rFonts w:hint="default" w:ascii="Times New Roman" w:hAnsi="Times New Roman" w:cs="Times New Roman"/>
                <w:color w:val="auto"/>
                <w:spacing w:val="7"/>
                <w:sz w:val="24"/>
                <w:szCs w:val="24"/>
                <w:lang w:val="en-US" w:eastAsia="zh-CN"/>
              </w:rPr>
              <w:t>4</w:t>
            </w:r>
            <w:r>
              <w:rPr>
                <w:rFonts w:hint="default" w:ascii="Times New Roman" w:hAnsi="Times New Roman" w:eastAsia="宋体" w:cs="Times New Roman"/>
                <w:color w:val="auto"/>
                <w:spacing w:val="7"/>
                <w:sz w:val="24"/>
                <w:szCs w:val="24"/>
              </w:rPr>
              <w:t>年</w:t>
            </w:r>
            <w:r>
              <w:rPr>
                <w:rFonts w:hint="default" w:ascii="Times New Roman" w:hAnsi="Times New Roman" w:cs="Times New Roman"/>
                <w:color w:val="auto"/>
                <w:spacing w:val="7"/>
                <w:sz w:val="24"/>
                <w:szCs w:val="24"/>
                <w:lang w:val="en-US" w:eastAsia="zh-CN"/>
              </w:rPr>
              <w:t>淮南</w:t>
            </w:r>
            <w:r>
              <w:rPr>
                <w:rFonts w:hint="default" w:ascii="Times New Roman" w:hAnsi="Times New Roman" w:eastAsia="宋体" w:cs="Times New Roman"/>
                <w:color w:val="auto"/>
                <w:spacing w:val="7"/>
                <w:sz w:val="24"/>
                <w:szCs w:val="24"/>
              </w:rPr>
              <w:t>市生态环境</w:t>
            </w:r>
            <w:r>
              <w:rPr>
                <w:rFonts w:hint="default" w:ascii="Times New Roman" w:hAnsi="Times New Roman" w:cs="Times New Roman"/>
                <w:color w:val="auto"/>
                <w:spacing w:val="7"/>
                <w:sz w:val="24"/>
                <w:szCs w:val="24"/>
                <w:lang w:val="en-US" w:eastAsia="zh-CN"/>
              </w:rPr>
              <w:t>质量</w:t>
            </w:r>
            <w:r>
              <w:rPr>
                <w:rFonts w:hint="default" w:ascii="Times New Roman" w:hAnsi="Times New Roman" w:eastAsia="宋体" w:cs="Times New Roman"/>
                <w:color w:val="auto"/>
                <w:spacing w:val="7"/>
                <w:sz w:val="24"/>
                <w:szCs w:val="24"/>
              </w:rPr>
              <w:t>状况公报</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，2024年，全市地表水24个监测断面中优良水质比例为91.7%，比上年下降了4.1个百分点，Ⅳ类水质比例8.3%，总体水质状况优。</w:t>
            </w:r>
          </w:p>
          <w:p w14:paraId="3B87004D">
            <w:pPr>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8个国控断面中优良水质比例为87.5%，Ⅳ类水质比例12.5%，水质总体状况良好；11个省控断面中优良水质比例为90.9%，水质总体状况优。</w:t>
            </w:r>
          </w:p>
          <w:p w14:paraId="1DAB4C1F">
            <w:pPr>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6388F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highlight w:val="none"/>
                <w:lang w:eastAsia="zh-CN"/>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w:t>
            </w:r>
            <w:r>
              <w:rPr>
                <w:rFonts w:hint="eastAsia" w:cs="Times New Roman"/>
                <w:color w:val="auto"/>
                <w:sz w:val="24"/>
                <w:szCs w:val="24"/>
                <w:highlight w:val="none"/>
                <w:lang w:eastAsia="zh-CN"/>
              </w:rPr>
              <w:t>别保持稳定</w:t>
            </w:r>
            <w:r>
              <w:rPr>
                <w:rFonts w:hint="default" w:ascii="Times New Roman" w:hAnsi="Times New Roman" w:eastAsia="宋体" w:cs="Times New Roman"/>
                <w:color w:val="auto"/>
                <w:kern w:val="0"/>
                <w:sz w:val="24"/>
                <w:szCs w:val="24"/>
                <w:lang w:val="zh-CN" w:eastAsia="zh-CN"/>
              </w:rPr>
              <w:t>。</w:t>
            </w:r>
          </w:p>
          <w:p w14:paraId="366B05FC">
            <w:pPr>
              <w:spacing w:line="360" w:lineRule="auto"/>
              <w:rPr>
                <w:b/>
                <w:color w:val="auto"/>
                <w:sz w:val="24"/>
                <w:szCs w:val="24"/>
              </w:rPr>
            </w:pPr>
            <w:r>
              <w:rPr>
                <w:rFonts w:hint="eastAsia"/>
                <w:b/>
                <w:color w:val="auto"/>
                <w:sz w:val="24"/>
                <w:szCs w:val="24"/>
              </w:rPr>
              <w:t>3、</w:t>
            </w:r>
            <w:r>
              <w:rPr>
                <w:b/>
                <w:color w:val="auto"/>
                <w:sz w:val="24"/>
                <w:szCs w:val="24"/>
              </w:rPr>
              <w:t>声环境</w:t>
            </w:r>
            <w:r>
              <w:rPr>
                <w:rFonts w:hint="default"/>
                <w:b/>
                <w:bCs/>
                <w:color w:val="auto"/>
                <w:sz w:val="24"/>
                <w:szCs w:val="24"/>
              </w:rPr>
              <w:t>质量现状</w:t>
            </w:r>
          </w:p>
          <w:p w14:paraId="421CFA6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color w:val="auto"/>
                <w:sz w:val="24"/>
                <w:lang w:eastAsia="zh-CN"/>
              </w:rPr>
            </w:pPr>
            <w:r>
              <w:rPr>
                <w:rFonts w:hint="eastAsia" w:ascii="Times New Roman" w:hAnsi="Times New Roman" w:eastAsia="宋体" w:cs="Times New Roman"/>
                <w:color w:val="auto"/>
                <w:sz w:val="24"/>
                <w:szCs w:val="24"/>
                <w:highlight w:val="none"/>
              </w:rPr>
              <w:t>根据《建设项目环境影响报告表编制技术指南（污染影响类）》（试行）：“厂界外周边50米范围内存在声环境保护目标的建设项目，应监测保护目标声环境质量现状并评价达标情况。”经现场勘查，本项目周边50m范围内无声环境</w:t>
            </w:r>
            <w:r>
              <w:rPr>
                <w:rFonts w:hint="eastAsia" w:ascii="Times New Roman" w:hAnsi="Times New Roman" w:eastAsia="宋体" w:cs="Times New Roman"/>
                <w:color w:val="auto"/>
                <w:sz w:val="24"/>
                <w:szCs w:val="24"/>
                <w:highlight w:val="none"/>
                <w:lang w:val="en-US" w:eastAsia="zh-CN"/>
              </w:rPr>
              <w:t>保护目标</w:t>
            </w:r>
            <w:r>
              <w:rPr>
                <w:rFonts w:hint="eastAsia" w:ascii="Times New Roman" w:hAnsi="Times New Roman" w:eastAsia="宋体" w:cs="Times New Roman"/>
                <w:color w:val="auto"/>
                <w:sz w:val="24"/>
                <w:szCs w:val="24"/>
                <w:highlight w:val="none"/>
              </w:rPr>
              <w:t>，因此不需要开展声环境质量现状监测。</w:t>
            </w:r>
          </w:p>
          <w:p w14:paraId="4D25FF05">
            <w:pPr>
              <w:spacing w:line="360" w:lineRule="auto"/>
              <w:rPr>
                <w:b/>
                <w:color w:val="auto"/>
                <w:sz w:val="24"/>
                <w:szCs w:val="24"/>
              </w:rPr>
            </w:pPr>
            <w:r>
              <w:rPr>
                <w:rFonts w:hint="eastAsia"/>
                <w:b/>
                <w:color w:val="auto"/>
                <w:sz w:val="24"/>
                <w:szCs w:val="24"/>
              </w:rPr>
              <w:t>4、生态环境</w:t>
            </w:r>
          </w:p>
          <w:p w14:paraId="6AA6BAAF">
            <w:pPr>
              <w:spacing w:line="360" w:lineRule="auto"/>
              <w:ind w:firstLine="480" w:firstLineChars="200"/>
              <w:rPr>
                <w:rFonts w:hint="eastAsia" w:eastAsia="宋体"/>
                <w:color w:val="auto"/>
                <w:sz w:val="24"/>
                <w:lang w:eastAsia="zh-CN"/>
              </w:rPr>
            </w:pPr>
            <w:r>
              <w:rPr>
                <w:rFonts w:hint="eastAsia"/>
                <w:color w:val="auto"/>
                <w:sz w:val="24"/>
              </w:rPr>
              <w:t>根据《建设项目环境影响报告表编制技术指南</w:t>
            </w:r>
            <w:r>
              <w:rPr>
                <w:rFonts w:hint="eastAsia"/>
                <w:color w:val="auto"/>
                <w:sz w:val="24"/>
                <w:lang w:eastAsia="zh-CN"/>
              </w:rPr>
              <w:t>》</w:t>
            </w:r>
            <w:r>
              <w:rPr>
                <w:rFonts w:hint="eastAsia"/>
                <w:color w:val="auto"/>
                <w:sz w:val="24"/>
              </w:rPr>
              <w:t>“产业园区外建设项目新增用地且用地范围内含有生态环境保护目标时，应进行生态现状调查”，本项目位于</w:t>
            </w:r>
            <w:r>
              <w:rPr>
                <w:rFonts w:hint="eastAsia"/>
                <w:color w:val="auto"/>
                <w:sz w:val="24"/>
                <w:lang w:val="en-US" w:eastAsia="zh-CN"/>
              </w:rPr>
              <w:t>安徽省</w:t>
            </w:r>
            <w:r>
              <w:rPr>
                <w:rFonts w:hint="eastAsia"/>
                <w:color w:val="auto"/>
                <w:sz w:val="24"/>
                <w:lang w:eastAsia="zh-CN"/>
              </w:rPr>
              <w:t>淮南市潘集区潘集镇地销煤路聚旺公司旁，属于产业园区外区域</w:t>
            </w:r>
            <w:r>
              <w:rPr>
                <w:rFonts w:hint="eastAsia"/>
                <w:color w:val="auto"/>
                <w:sz w:val="24"/>
              </w:rPr>
              <w:t>，</w:t>
            </w:r>
            <w:r>
              <w:rPr>
                <w:rFonts w:hint="eastAsia"/>
                <w:color w:val="auto"/>
                <w:sz w:val="24"/>
                <w:lang w:val="en-US" w:eastAsia="zh-CN"/>
              </w:rPr>
              <w:t>但</w:t>
            </w:r>
            <w:r>
              <w:rPr>
                <w:rFonts w:hint="eastAsia"/>
                <w:color w:val="auto"/>
                <w:sz w:val="24"/>
              </w:rPr>
              <w:t>用地范围内不涉及生态环境保护目标，</w:t>
            </w:r>
            <w:r>
              <w:rPr>
                <w:rFonts w:hint="eastAsia"/>
                <w:color w:val="auto"/>
                <w:sz w:val="24"/>
                <w:lang w:eastAsia="zh-CN"/>
              </w:rPr>
              <w:t>故</w:t>
            </w:r>
            <w:r>
              <w:rPr>
                <w:rFonts w:hint="eastAsia"/>
                <w:color w:val="auto"/>
                <w:sz w:val="24"/>
              </w:rPr>
              <w:t>无需进行生态现状调查</w:t>
            </w:r>
            <w:r>
              <w:rPr>
                <w:rFonts w:hint="eastAsia"/>
                <w:color w:val="auto"/>
                <w:sz w:val="24"/>
                <w:lang w:eastAsia="zh-CN"/>
              </w:rPr>
              <w:t>。</w:t>
            </w:r>
          </w:p>
          <w:p w14:paraId="1E1E48DF">
            <w:pPr>
              <w:pStyle w:val="45"/>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auto"/>
              <w:ind w:left="0" w:leftChars="0" w:right="0" w:firstLine="0" w:firstLineChars="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eastAsia="zh-CN"/>
              </w:rPr>
              <w:t>电磁辐射</w:t>
            </w:r>
          </w:p>
          <w:p w14:paraId="30E0C373">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本项目不属于广播电台、差转台、电视塔台、卫星地球上行站、雷达等电磁辐射类项目，</w:t>
            </w:r>
            <w:r>
              <w:rPr>
                <w:rFonts w:hint="default" w:ascii="Times New Roman" w:hAnsi="Times New Roman" w:eastAsia="宋体" w:cs="Times New Roman"/>
                <w:color w:val="auto"/>
                <w:sz w:val="24"/>
                <w:szCs w:val="24"/>
                <w:lang w:val="en-US" w:eastAsia="zh-CN"/>
              </w:rPr>
              <w:t>不存在电磁辐射等污染，</w:t>
            </w:r>
            <w:r>
              <w:rPr>
                <w:rFonts w:hint="default" w:ascii="Times New Roman" w:hAnsi="Times New Roman" w:eastAsia="宋体" w:cs="Times New Roman"/>
                <w:color w:val="auto"/>
                <w:sz w:val="24"/>
                <w:szCs w:val="24"/>
                <w:lang w:eastAsia="zh-CN"/>
              </w:rPr>
              <w:t>因此不</w:t>
            </w:r>
            <w:r>
              <w:rPr>
                <w:rFonts w:hint="default" w:ascii="Times New Roman" w:hAnsi="Times New Roman" w:eastAsia="宋体" w:cs="Times New Roman"/>
                <w:color w:val="auto"/>
                <w:sz w:val="24"/>
                <w:szCs w:val="24"/>
                <w:lang w:val="en-US" w:eastAsia="zh-CN"/>
              </w:rPr>
              <w:t>需要</w:t>
            </w:r>
            <w:r>
              <w:rPr>
                <w:rFonts w:hint="default" w:ascii="Times New Roman" w:hAnsi="Times New Roman" w:eastAsia="宋体" w:cs="Times New Roman"/>
                <w:color w:val="auto"/>
                <w:sz w:val="24"/>
                <w:szCs w:val="24"/>
                <w:lang w:eastAsia="zh-CN"/>
              </w:rPr>
              <w:t>开展电磁辐射现状</w:t>
            </w:r>
            <w:r>
              <w:rPr>
                <w:rFonts w:hint="default"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lang w:eastAsia="zh-CN"/>
              </w:rPr>
              <w:t>与评价。</w:t>
            </w:r>
          </w:p>
          <w:p w14:paraId="0FF735A9">
            <w:pPr>
              <w:widowControl w:val="0"/>
              <w:autoSpaceDE w:val="0"/>
              <w:autoSpaceDN w:val="0"/>
              <w:adjustRightInd w:val="0"/>
              <w:spacing w:line="360" w:lineRule="auto"/>
              <w:jc w:val="both"/>
              <w:rPr>
                <w:rFonts w:hint="default" w:ascii="Times New Roman" w:hAnsi="Times New Roman" w:eastAsia="宋体" w:cs="Times New Roman"/>
                <w:b/>
                <w:bCs/>
                <w:color w:val="auto"/>
                <w:kern w:val="2"/>
                <w:sz w:val="24"/>
                <w:szCs w:val="22"/>
                <w:highlight w:val="none"/>
                <w:lang w:val="zh-CN" w:eastAsia="zh-CN" w:bidi="ar-SA"/>
              </w:rPr>
            </w:pPr>
            <w:r>
              <w:rPr>
                <w:rFonts w:hint="eastAsia" w:cs="Times New Roman"/>
                <w:b/>
                <w:bCs/>
                <w:color w:val="auto"/>
                <w:kern w:val="2"/>
                <w:sz w:val="24"/>
                <w:szCs w:val="22"/>
                <w:highlight w:val="none"/>
                <w:lang w:val="en-US" w:eastAsia="zh-CN" w:bidi="ar-SA"/>
              </w:rPr>
              <w:t>6</w:t>
            </w:r>
            <w:r>
              <w:rPr>
                <w:rFonts w:hint="default" w:ascii="Times New Roman" w:hAnsi="Times New Roman" w:eastAsia="宋体" w:cs="Times New Roman"/>
                <w:b/>
                <w:bCs/>
                <w:color w:val="auto"/>
                <w:kern w:val="2"/>
                <w:sz w:val="24"/>
                <w:szCs w:val="22"/>
                <w:highlight w:val="none"/>
                <w:lang w:val="zh-CN" w:eastAsia="zh-CN" w:bidi="ar-SA"/>
              </w:rPr>
              <w:t>、地下水、土壤环境</w:t>
            </w:r>
          </w:p>
          <w:p w14:paraId="68C1E5CB">
            <w:pPr>
              <w:spacing w:line="360" w:lineRule="auto"/>
              <w:ind w:firstLine="480" w:firstLineChars="200"/>
              <w:rPr>
                <w:rFonts w:hint="eastAsia"/>
                <w:color w:val="auto"/>
                <w:sz w:val="24"/>
              </w:rPr>
            </w:pPr>
            <w:r>
              <w:rPr>
                <w:rFonts w:hint="default" w:ascii="Times New Roman" w:hAnsi="Times New Roman" w:eastAsia="宋体" w:cs="Times New Roman"/>
                <w:b w:val="0"/>
                <w:bCs w:val="0"/>
                <w:color w:val="auto"/>
                <w:kern w:val="2"/>
                <w:sz w:val="24"/>
                <w:szCs w:val="22"/>
                <w:lang w:val="zh-CN" w:eastAsia="zh-CN" w:bidi="ar-SA"/>
              </w:rPr>
              <w:t>根据《建设项目环境影响报告表编制技术指南（污染影响类）</w:t>
            </w:r>
            <w:r>
              <w:rPr>
                <w:rFonts w:hint="eastAsia" w:cs="Times New Roman"/>
                <w:b w:val="0"/>
                <w:bCs w:val="0"/>
                <w:color w:val="auto"/>
                <w:kern w:val="2"/>
                <w:sz w:val="24"/>
                <w:szCs w:val="22"/>
                <w:lang w:val="zh-CN" w:eastAsia="zh-CN" w:bidi="ar-SA"/>
              </w:rPr>
              <w:t>（试行）》</w:t>
            </w:r>
            <w:r>
              <w:rPr>
                <w:rFonts w:hint="default" w:ascii="Times New Roman" w:hAnsi="Times New Roman" w:eastAsia="宋体" w:cs="Times New Roman"/>
                <w:b w:val="0"/>
                <w:bCs w:val="0"/>
                <w:color w:val="auto"/>
                <w:kern w:val="2"/>
                <w:sz w:val="24"/>
                <w:szCs w:val="22"/>
                <w:lang w:val="zh-CN" w:eastAsia="zh-CN" w:bidi="ar-SA"/>
              </w:rPr>
              <w:t>，原则上对地下水和土壤不开展环境质量现状调查，本项目采取分区防渗措施</w:t>
            </w:r>
            <w:r>
              <w:rPr>
                <w:rFonts w:hint="eastAsia" w:cs="Times New Roman"/>
                <w:b w:val="0"/>
                <w:bCs w:val="0"/>
                <w:color w:val="auto"/>
                <w:kern w:val="2"/>
                <w:sz w:val="24"/>
                <w:szCs w:val="22"/>
                <w:lang w:val="zh-CN" w:eastAsia="zh-CN" w:bidi="ar-SA"/>
              </w:rPr>
              <w:t>，</w:t>
            </w:r>
            <w:r>
              <w:rPr>
                <w:rFonts w:hint="default" w:ascii="Times New Roman" w:hAnsi="Times New Roman" w:eastAsia="宋体" w:cs="Times New Roman"/>
                <w:b w:val="0"/>
                <w:bCs w:val="0"/>
                <w:color w:val="auto"/>
                <w:kern w:val="2"/>
                <w:sz w:val="24"/>
                <w:szCs w:val="22"/>
                <w:lang w:val="zh-CN" w:eastAsia="zh-CN" w:bidi="ar-SA"/>
              </w:rPr>
              <w:t>基本上不存在地下水和土壤污染途径，因此本次</w:t>
            </w:r>
            <w:r>
              <w:rPr>
                <w:rFonts w:hint="eastAsia" w:ascii="Times New Roman" w:hAnsi="Times New Roman" w:eastAsia="宋体" w:cs="Times New Roman"/>
                <w:b w:val="0"/>
                <w:bCs w:val="0"/>
                <w:color w:val="auto"/>
                <w:kern w:val="2"/>
                <w:sz w:val="24"/>
                <w:szCs w:val="22"/>
                <w:lang w:val="en-US" w:eastAsia="zh-CN" w:bidi="ar-SA"/>
              </w:rPr>
              <w:t>可不</w:t>
            </w:r>
            <w:r>
              <w:rPr>
                <w:rFonts w:hint="default" w:ascii="Times New Roman" w:hAnsi="Times New Roman" w:eastAsia="宋体" w:cs="Times New Roman"/>
                <w:b w:val="0"/>
                <w:bCs w:val="0"/>
                <w:color w:val="auto"/>
                <w:kern w:val="2"/>
                <w:sz w:val="24"/>
                <w:szCs w:val="22"/>
                <w:lang w:val="zh-CN" w:eastAsia="zh-CN" w:bidi="ar-SA"/>
              </w:rPr>
              <w:t>开展地下水和土壤环境现状</w:t>
            </w:r>
            <w:r>
              <w:rPr>
                <w:rFonts w:hint="eastAsia" w:ascii="Times New Roman" w:hAnsi="Times New Roman" w:eastAsia="宋体" w:cs="Times New Roman"/>
                <w:b w:val="0"/>
                <w:bCs w:val="0"/>
                <w:color w:val="auto"/>
                <w:kern w:val="2"/>
                <w:sz w:val="24"/>
                <w:szCs w:val="22"/>
                <w:lang w:val="en-US" w:eastAsia="zh-CN" w:bidi="ar-SA"/>
              </w:rPr>
              <w:t>调查</w:t>
            </w:r>
            <w:r>
              <w:rPr>
                <w:rFonts w:hint="eastAsia" w:cs="Times New Roman"/>
                <w:b w:val="0"/>
                <w:bCs w:val="0"/>
                <w:color w:val="auto"/>
                <w:kern w:val="2"/>
                <w:sz w:val="24"/>
                <w:szCs w:val="22"/>
                <w:lang w:val="en-US" w:eastAsia="zh-CN" w:bidi="ar-SA"/>
              </w:rPr>
              <w:t>。</w:t>
            </w:r>
          </w:p>
        </w:tc>
      </w:tr>
      <w:tr w14:paraId="6444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345D7892">
            <w:pPr>
              <w:autoSpaceDE w:val="0"/>
              <w:autoSpaceDN w:val="0"/>
              <w:jc w:val="center"/>
              <w:rPr>
                <w:rFonts w:hAnsi="宋体"/>
                <w:color w:val="auto"/>
                <w:szCs w:val="21"/>
              </w:rPr>
            </w:pPr>
            <w:r>
              <w:rPr>
                <w:rFonts w:hint="eastAsia"/>
                <w:color w:val="auto"/>
                <w:szCs w:val="21"/>
                <w:lang w:eastAsia="zh-CN"/>
              </w:rPr>
              <w:t xml:space="preserve"> </w:t>
            </w:r>
            <w:r>
              <w:rPr>
                <w:rFonts w:hint="eastAsia"/>
                <w:color w:val="auto"/>
                <w:sz w:val="24"/>
                <w:szCs w:val="24"/>
              </w:rPr>
              <w:t>环境保护目标</w:t>
            </w:r>
          </w:p>
        </w:tc>
        <w:tc>
          <w:tcPr>
            <w:tcW w:w="8940" w:type="dxa"/>
            <w:vAlign w:val="center"/>
          </w:tcPr>
          <w:p w14:paraId="72D2AE4A">
            <w:pPr>
              <w:spacing w:line="360" w:lineRule="auto"/>
              <w:rPr>
                <w:b/>
                <w:color w:val="auto"/>
                <w:sz w:val="24"/>
                <w:szCs w:val="24"/>
              </w:rPr>
            </w:pPr>
            <w:r>
              <w:rPr>
                <w:rFonts w:hint="eastAsia"/>
                <w:b/>
                <w:color w:val="auto"/>
                <w:sz w:val="24"/>
                <w:szCs w:val="24"/>
              </w:rPr>
              <w:t>1、大气环境保护目标</w:t>
            </w:r>
          </w:p>
          <w:p w14:paraId="589186E9">
            <w:pPr>
              <w:spacing w:line="360" w:lineRule="auto"/>
              <w:ind w:firstLine="480" w:firstLineChars="200"/>
              <w:rPr>
                <w:rFonts w:hint="eastAsia"/>
                <w:color w:val="auto"/>
                <w:sz w:val="24"/>
                <w:lang w:eastAsia="zh-CN"/>
              </w:rPr>
            </w:pPr>
            <w:r>
              <w:rPr>
                <w:rFonts w:hint="eastAsia"/>
                <w:color w:val="auto"/>
                <w:sz w:val="24"/>
              </w:rPr>
              <w:t>本项目厂界外</w:t>
            </w:r>
            <w:r>
              <w:rPr>
                <w:color w:val="auto"/>
                <w:sz w:val="24"/>
              </w:rPr>
              <w:t>500m</w:t>
            </w:r>
            <w:r>
              <w:rPr>
                <w:rFonts w:hint="eastAsia"/>
                <w:color w:val="auto"/>
                <w:sz w:val="24"/>
              </w:rPr>
              <w:t>范围内大气环境保护目标</w:t>
            </w:r>
            <w:r>
              <w:rPr>
                <w:rFonts w:hint="eastAsia"/>
                <w:color w:val="auto"/>
                <w:sz w:val="24"/>
                <w:lang w:eastAsia="zh-CN"/>
              </w:rPr>
              <w:t>如下表：</w:t>
            </w:r>
          </w:p>
          <w:p w14:paraId="06329FD6">
            <w:pPr>
              <w:pStyle w:val="75"/>
              <w:keepNext/>
              <w:keepLines w:val="0"/>
              <w:pageBreakBefore w:val="0"/>
              <w:widowControl/>
              <w:kinsoku/>
              <w:wordWrap/>
              <w:overflowPunct w:val="0"/>
              <w:topLinePunct w:val="0"/>
              <w:autoSpaceDE/>
              <w:autoSpaceDN/>
              <w:bidi w:val="0"/>
              <w:adjustRightInd w:val="0"/>
              <w:snapToGrid w:val="0"/>
              <w:spacing w:before="0" w:after="0" w:line="240" w:lineRule="auto"/>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建设项目</w:t>
            </w:r>
            <w:r>
              <w:rPr>
                <w:rFonts w:hint="eastAsia" w:ascii="Times New Roman" w:hAnsi="Times New Roman" w:eastAsia="宋体" w:cs="Times New Roman"/>
                <w:b/>
                <w:bCs/>
                <w:color w:val="auto"/>
                <w:sz w:val="21"/>
                <w:szCs w:val="21"/>
                <w:highlight w:val="none"/>
              </w:rPr>
              <w:t>大气</w:t>
            </w:r>
            <w:r>
              <w:rPr>
                <w:rFonts w:hint="default" w:ascii="Times New Roman" w:hAnsi="Times New Roman" w:eastAsia="宋体" w:cs="Times New Roman"/>
                <w:b/>
                <w:bCs/>
                <w:color w:val="auto"/>
                <w:sz w:val="21"/>
                <w:szCs w:val="21"/>
                <w:highlight w:val="none"/>
              </w:rPr>
              <w:t>环境保护目标一览表</w:t>
            </w:r>
          </w:p>
          <w:tbl>
            <w:tblPr>
              <w:tblStyle w:val="24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1188"/>
              <w:gridCol w:w="1287"/>
              <w:gridCol w:w="1548"/>
              <w:gridCol w:w="1329"/>
              <w:gridCol w:w="1212"/>
              <w:gridCol w:w="1358"/>
            </w:tblGrid>
            <w:tr w14:paraId="6898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450" w:type="pct"/>
                  <w:vMerge w:val="restart"/>
                  <w:tcBorders>
                    <w:tl2br w:val="nil"/>
                    <w:tr2bl w:val="nil"/>
                  </w:tcBorders>
                  <w:shd w:val="clear" w:color="auto" w:fill="FFFFFF"/>
                  <w:vAlign w:val="center"/>
                </w:tcPr>
                <w:p w14:paraId="30F32172">
                  <w:pPr>
                    <w:spacing w:before="74"/>
                    <w:jc w:val="center"/>
                    <w:rPr>
                      <w:rFonts w:hint="default"/>
                      <w:b/>
                      <w:bCs/>
                      <w:color w:val="000000"/>
                      <w:sz w:val="21"/>
                      <w:szCs w:val="21"/>
                      <w:lang w:val="en-US" w:eastAsia="zh-CN"/>
                    </w:rPr>
                  </w:pPr>
                  <w:r>
                    <w:rPr>
                      <w:rFonts w:hint="default"/>
                      <w:b/>
                      <w:bCs/>
                      <w:color w:val="000000"/>
                      <w:sz w:val="21"/>
                      <w:szCs w:val="21"/>
                      <w:lang w:val="en-US" w:eastAsia="zh-CN"/>
                    </w:rPr>
                    <w:t>环境要素</w:t>
                  </w:r>
                </w:p>
              </w:tc>
              <w:tc>
                <w:tcPr>
                  <w:tcW w:w="682" w:type="pct"/>
                  <w:vMerge w:val="restart"/>
                  <w:tcBorders>
                    <w:tl2br w:val="nil"/>
                    <w:tr2bl w:val="nil"/>
                  </w:tcBorders>
                  <w:shd w:val="clear" w:color="auto" w:fill="FFFFFF"/>
                  <w:vAlign w:val="center"/>
                </w:tcPr>
                <w:p w14:paraId="7D4A5833">
                  <w:pPr>
                    <w:spacing w:before="74"/>
                    <w:jc w:val="center"/>
                    <w:rPr>
                      <w:rFonts w:hint="default"/>
                      <w:b/>
                      <w:bCs/>
                      <w:color w:val="000000"/>
                      <w:sz w:val="21"/>
                      <w:szCs w:val="21"/>
                      <w:lang w:val="en-US" w:eastAsia="zh-CN"/>
                    </w:rPr>
                  </w:pPr>
                  <w:r>
                    <w:rPr>
                      <w:rFonts w:hint="default"/>
                      <w:b/>
                      <w:bCs/>
                      <w:color w:val="000000"/>
                      <w:sz w:val="21"/>
                      <w:szCs w:val="21"/>
                      <w:lang w:val="en-US" w:eastAsia="zh-CN"/>
                    </w:rPr>
                    <w:t>名称</w:t>
                  </w:r>
                </w:p>
              </w:tc>
              <w:tc>
                <w:tcPr>
                  <w:tcW w:w="739" w:type="pct"/>
                  <w:vMerge w:val="restart"/>
                  <w:tcBorders>
                    <w:tl2br w:val="nil"/>
                    <w:tr2bl w:val="nil"/>
                  </w:tcBorders>
                  <w:shd w:val="clear" w:color="auto" w:fill="FFFFFF"/>
                  <w:vAlign w:val="center"/>
                </w:tcPr>
                <w:p w14:paraId="3C87C41F">
                  <w:pPr>
                    <w:spacing w:before="74"/>
                    <w:jc w:val="center"/>
                    <w:rPr>
                      <w:rFonts w:hint="default"/>
                      <w:b/>
                      <w:bCs/>
                      <w:color w:val="000000"/>
                      <w:sz w:val="21"/>
                      <w:szCs w:val="21"/>
                      <w:lang w:val="en-US" w:eastAsia="zh-CN"/>
                    </w:rPr>
                  </w:pPr>
                  <w:r>
                    <w:rPr>
                      <w:rFonts w:hint="default"/>
                      <w:b/>
                      <w:bCs/>
                      <w:color w:val="000000"/>
                      <w:sz w:val="21"/>
                      <w:szCs w:val="21"/>
                      <w:lang w:val="en-US" w:eastAsia="zh-CN"/>
                    </w:rPr>
                    <w:t>保护对象</w:t>
                  </w:r>
                </w:p>
              </w:tc>
              <w:tc>
                <w:tcPr>
                  <w:tcW w:w="889" w:type="pct"/>
                  <w:vMerge w:val="restart"/>
                  <w:tcBorders>
                    <w:tl2br w:val="nil"/>
                    <w:tr2bl w:val="nil"/>
                  </w:tcBorders>
                  <w:shd w:val="clear" w:color="auto" w:fill="FFFFFF"/>
                  <w:vAlign w:val="center"/>
                </w:tcPr>
                <w:p w14:paraId="3E83818E">
                  <w:pPr>
                    <w:spacing w:before="74"/>
                    <w:jc w:val="center"/>
                    <w:rPr>
                      <w:rFonts w:hint="default"/>
                      <w:b/>
                      <w:bCs/>
                      <w:color w:val="000000"/>
                      <w:sz w:val="21"/>
                      <w:szCs w:val="21"/>
                      <w:lang w:val="en-US" w:eastAsia="zh-CN"/>
                    </w:rPr>
                  </w:pPr>
                  <w:r>
                    <w:rPr>
                      <w:rFonts w:hint="default"/>
                      <w:b/>
                      <w:bCs/>
                      <w:color w:val="000000"/>
                      <w:sz w:val="21"/>
                      <w:szCs w:val="21"/>
                      <w:lang w:val="en-US" w:eastAsia="zh-CN"/>
                    </w:rPr>
                    <w:t>保护内容</w:t>
                  </w:r>
                </w:p>
              </w:tc>
              <w:tc>
                <w:tcPr>
                  <w:tcW w:w="763" w:type="pct"/>
                  <w:vMerge w:val="restart"/>
                  <w:tcBorders>
                    <w:tl2br w:val="nil"/>
                    <w:tr2bl w:val="nil"/>
                  </w:tcBorders>
                  <w:shd w:val="clear" w:color="auto" w:fill="FFFFFF"/>
                  <w:vAlign w:val="center"/>
                </w:tcPr>
                <w:p w14:paraId="43584143">
                  <w:pPr>
                    <w:spacing w:before="74"/>
                    <w:jc w:val="center"/>
                    <w:rPr>
                      <w:rFonts w:hint="default"/>
                      <w:b/>
                      <w:bCs/>
                      <w:color w:val="000000"/>
                      <w:sz w:val="21"/>
                      <w:szCs w:val="21"/>
                      <w:lang w:val="en-US" w:eastAsia="zh-CN"/>
                    </w:rPr>
                  </w:pPr>
                  <w:r>
                    <w:rPr>
                      <w:rFonts w:hint="default"/>
                      <w:b/>
                      <w:bCs/>
                      <w:color w:val="000000"/>
                      <w:sz w:val="21"/>
                      <w:szCs w:val="21"/>
                      <w:lang w:val="en-US" w:eastAsia="zh-CN"/>
                    </w:rPr>
                    <w:t>环境功能区</w:t>
                  </w:r>
                </w:p>
              </w:tc>
              <w:tc>
                <w:tcPr>
                  <w:tcW w:w="696" w:type="pct"/>
                  <w:vMerge w:val="restart"/>
                  <w:tcBorders>
                    <w:tl2br w:val="nil"/>
                    <w:tr2bl w:val="nil"/>
                  </w:tcBorders>
                  <w:shd w:val="clear" w:color="auto" w:fill="FFFFFF"/>
                  <w:vAlign w:val="center"/>
                </w:tcPr>
                <w:p w14:paraId="7A7A2930">
                  <w:pPr>
                    <w:spacing w:before="74"/>
                    <w:jc w:val="center"/>
                    <w:rPr>
                      <w:rFonts w:hint="default"/>
                      <w:b/>
                      <w:bCs/>
                      <w:color w:val="000000"/>
                      <w:sz w:val="21"/>
                      <w:szCs w:val="21"/>
                      <w:lang w:val="en-US" w:eastAsia="zh-CN"/>
                    </w:rPr>
                  </w:pPr>
                  <w:r>
                    <w:rPr>
                      <w:rFonts w:hint="default"/>
                      <w:b/>
                      <w:bCs/>
                      <w:color w:val="000000"/>
                      <w:sz w:val="21"/>
                      <w:szCs w:val="21"/>
                      <w:lang w:val="en-US" w:eastAsia="zh-CN"/>
                    </w:rPr>
                    <w:t>相对厂址方位</w:t>
                  </w:r>
                </w:p>
              </w:tc>
              <w:tc>
                <w:tcPr>
                  <w:tcW w:w="779" w:type="pct"/>
                  <w:vMerge w:val="restart"/>
                  <w:tcBorders>
                    <w:tl2br w:val="nil"/>
                    <w:tr2bl w:val="nil"/>
                  </w:tcBorders>
                  <w:shd w:val="clear" w:color="auto" w:fill="FFFFFF"/>
                  <w:vAlign w:val="center"/>
                </w:tcPr>
                <w:p w14:paraId="217909F5">
                  <w:pPr>
                    <w:spacing w:before="74"/>
                    <w:jc w:val="center"/>
                    <w:rPr>
                      <w:rFonts w:hint="default"/>
                      <w:b/>
                      <w:bCs/>
                      <w:color w:val="000000"/>
                      <w:sz w:val="21"/>
                      <w:szCs w:val="21"/>
                      <w:lang w:val="en-US" w:eastAsia="zh-CN"/>
                    </w:rPr>
                  </w:pPr>
                  <w:r>
                    <w:rPr>
                      <w:rFonts w:hint="default"/>
                      <w:b/>
                      <w:bCs/>
                      <w:color w:val="000000"/>
                      <w:sz w:val="21"/>
                      <w:szCs w:val="21"/>
                      <w:lang w:val="en-US" w:eastAsia="zh-CN"/>
                    </w:rPr>
                    <w:t>相对厂界距离/m</w:t>
                  </w:r>
                </w:p>
              </w:tc>
            </w:tr>
            <w:tr w14:paraId="60CFB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450" w:type="pct"/>
                  <w:vMerge w:val="continue"/>
                  <w:tcBorders>
                    <w:tl2br w:val="nil"/>
                    <w:tr2bl w:val="nil"/>
                  </w:tcBorders>
                  <w:shd w:val="clear" w:color="auto" w:fill="FFFFFF"/>
                  <w:vAlign w:val="center"/>
                </w:tcPr>
                <w:p w14:paraId="613C8F44">
                  <w:pPr>
                    <w:spacing w:before="74"/>
                    <w:jc w:val="center"/>
                    <w:rPr>
                      <w:rFonts w:hint="default"/>
                      <w:color w:val="000000"/>
                      <w:sz w:val="21"/>
                      <w:szCs w:val="21"/>
                      <w:lang w:val="en-US" w:eastAsia="zh-CN"/>
                    </w:rPr>
                  </w:pPr>
                </w:p>
              </w:tc>
              <w:tc>
                <w:tcPr>
                  <w:tcW w:w="682" w:type="pct"/>
                  <w:vMerge w:val="continue"/>
                  <w:tcBorders>
                    <w:tl2br w:val="nil"/>
                    <w:tr2bl w:val="nil"/>
                  </w:tcBorders>
                  <w:shd w:val="clear" w:color="auto" w:fill="FFFFFF"/>
                  <w:vAlign w:val="center"/>
                </w:tcPr>
                <w:p w14:paraId="7208CC19">
                  <w:pPr>
                    <w:spacing w:before="74"/>
                    <w:jc w:val="center"/>
                    <w:rPr>
                      <w:rFonts w:hint="default"/>
                      <w:color w:val="000000"/>
                      <w:sz w:val="21"/>
                      <w:szCs w:val="21"/>
                      <w:lang w:val="en-US" w:eastAsia="zh-CN"/>
                    </w:rPr>
                  </w:pPr>
                </w:p>
              </w:tc>
              <w:tc>
                <w:tcPr>
                  <w:tcW w:w="739" w:type="pct"/>
                  <w:vMerge w:val="continue"/>
                  <w:tcBorders>
                    <w:tl2br w:val="nil"/>
                    <w:tr2bl w:val="nil"/>
                  </w:tcBorders>
                  <w:shd w:val="clear" w:color="auto" w:fill="FFFFFF"/>
                  <w:vAlign w:val="center"/>
                </w:tcPr>
                <w:p w14:paraId="0FBF5556">
                  <w:pPr>
                    <w:spacing w:before="74"/>
                    <w:jc w:val="center"/>
                    <w:rPr>
                      <w:rFonts w:hint="default"/>
                      <w:color w:val="000000"/>
                      <w:sz w:val="21"/>
                      <w:szCs w:val="21"/>
                      <w:lang w:val="en-US" w:eastAsia="zh-CN"/>
                    </w:rPr>
                  </w:pPr>
                </w:p>
              </w:tc>
              <w:tc>
                <w:tcPr>
                  <w:tcW w:w="889" w:type="pct"/>
                  <w:vMerge w:val="continue"/>
                  <w:tcBorders>
                    <w:tl2br w:val="nil"/>
                    <w:tr2bl w:val="nil"/>
                  </w:tcBorders>
                  <w:shd w:val="clear" w:color="auto" w:fill="FFFFFF"/>
                  <w:vAlign w:val="center"/>
                </w:tcPr>
                <w:p w14:paraId="1C57CBEF">
                  <w:pPr>
                    <w:spacing w:before="74"/>
                    <w:jc w:val="center"/>
                    <w:rPr>
                      <w:rFonts w:hint="default"/>
                      <w:color w:val="000000"/>
                      <w:sz w:val="21"/>
                      <w:szCs w:val="21"/>
                      <w:lang w:val="en-US" w:eastAsia="zh-CN"/>
                    </w:rPr>
                  </w:pPr>
                </w:p>
              </w:tc>
              <w:tc>
                <w:tcPr>
                  <w:tcW w:w="763" w:type="pct"/>
                  <w:vMerge w:val="continue"/>
                  <w:tcBorders>
                    <w:tl2br w:val="nil"/>
                    <w:tr2bl w:val="nil"/>
                  </w:tcBorders>
                  <w:shd w:val="clear" w:color="auto" w:fill="FFFFFF"/>
                  <w:vAlign w:val="center"/>
                </w:tcPr>
                <w:p w14:paraId="261701A0">
                  <w:pPr>
                    <w:spacing w:before="74"/>
                    <w:jc w:val="center"/>
                    <w:rPr>
                      <w:rFonts w:hint="default"/>
                      <w:color w:val="000000"/>
                      <w:sz w:val="21"/>
                      <w:szCs w:val="21"/>
                      <w:lang w:val="en-US" w:eastAsia="zh-CN"/>
                    </w:rPr>
                  </w:pPr>
                </w:p>
              </w:tc>
              <w:tc>
                <w:tcPr>
                  <w:tcW w:w="696" w:type="pct"/>
                  <w:vMerge w:val="continue"/>
                  <w:tcBorders>
                    <w:tl2br w:val="nil"/>
                    <w:tr2bl w:val="nil"/>
                  </w:tcBorders>
                  <w:shd w:val="clear" w:color="auto" w:fill="FFFFFF"/>
                  <w:vAlign w:val="center"/>
                </w:tcPr>
                <w:p w14:paraId="44953516">
                  <w:pPr>
                    <w:spacing w:before="74"/>
                    <w:jc w:val="center"/>
                    <w:rPr>
                      <w:rFonts w:hint="default"/>
                      <w:color w:val="000000"/>
                      <w:sz w:val="21"/>
                      <w:szCs w:val="21"/>
                      <w:lang w:val="en-US" w:eastAsia="zh-CN"/>
                    </w:rPr>
                  </w:pPr>
                </w:p>
              </w:tc>
              <w:tc>
                <w:tcPr>
                  <w:tcW w:w="779" w:type="pct"/>
                  <w:vMerge w:val="continue"/>
                  <w:tcBorders>
                    <w:tl2br w:val="nil"/>
                    <w:tr2bl w:val="nil"/>
                  </w:tcBorders>
                  <w:shd w:val="clear" w:color="auto" w:fill="FFFFFF"/>
                  <w:vAlign w:val="center"/>
                </w:tcPr>
                <w:p w14:paraId="4E3B1692">
                  <w:pPr>
                    <w:spacing w:before="74"/>
                    <w:jc w:val="center"/>
                    <w:rPr>
                      <w:rFonts w:hint="default"/>
                      <w:color w:val="000000"/>
                      <w:sz w:val="21"/>
                      <w:szCs w:val="21"/>
                      <w:lang w:val="en-US" w:eastAsia="zh-CN"/>
                    </w:rPr>
                  </w:pPr>
                </w:p>
              </w:tc>
            </w:tr>
            <w:tr w14:paraId="09474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7" w:hRule="atLeast"/>
                <w:jc w:val="center"/>
              </w:trPr>
              <w:tc>
                <w:tcPr>
                  <w:tcW w:w="450" w:type="pct"/>
                  <w:vMerge w:val="restart"/>
                  <w:tcBorders>
                    <w:tl2br w:val="nil"/>
                    <w:tr2bl w:val="nil"/>
                  </w:tcBorders>
                  <w:shd w:val="clear" w:color="auto" w:fill="FFFFFF"/>
                  <w:vAlign w:val="center"/>
                </w:tcPr>
                <w:p w14:paraId="44CF6E87">
                  <w:pPr>
                    <w:spacing w:before="74"/>
                    <w:jc w:val="center"/>
                    <w:rPr>
                      <w:rFonts w:hint="default"/>
                      <w:color w:val="000000"/>
                      <w:sz w:val="21"/>
                      <w:szCs w:val="21"/>
                      <w:lang w:val="en-US" w:eastAsia="zh-CN"/>
                    </w:rPr>
                  </w:pPr>
                  <w:r>
                    <w:rPr>
                      <w:rFonts w:hint="eastAsia"/>
                      <w:color w:val="000000"/>
                      <w:sz w:val="21"/>
                      <w:szCs w:val="21"/>
                      <w:lang w:val="en-US" w:eastAsia="zh-CN"/>
                    </w:rPr>
                    <w:t>大气环境</w:t>
                  </w:r>
                </w:p>
              </w:tc>
              <w:tc>
                <w:tcPr>
                  <w:tcW w:w="682" w:type="pct"/>
                  <w:tcBorders>
                    <w:tl2br w:val="nil"/>
                    <w:tr2bl w:val="nil"/>
                  </w:tcBorders>
                  <w:shd w:val="clear" w:color="auto" w:fill="FFFFFF"/>
                  <w:vAlign w:val="center"/>
                </w:tcPr>
                <w:p w14:paraId="3EDED4D1">
                  <w:pPr>
                    <w:spacing w:before="74"/>
                    <w:jc w:val="center"/>
                    <w:rPr>
                      <w:rFonts w:hint="default"/>
                      <w:color w:val="000000"/>
                      <w:sz w:val="21"/>
                      <w:szCs w:val="21"/>
                      <w:lang w:val="en-US" w:eastAsia="zh-CN"/>
                    </w:rPr>
                  </w:pPr>
                  <w:r>
                    <w:rPr>
                      <w:rFonts w:hint="eastAsia"/>
                      <w:color w:val="000000"/>
                      <w:sz w:val="21"/>
                      <w:szCs w:val="21"/>
                      <w:lang w:val="en-US" w:eastAsia="zh-CN"/>
                    </w:rPr>
                    <w:t>黄村</w:t>
                  </w:r>
                </w:p>
              </w:tc>
              <w:tc>
                <w:tcPr>
                  <w:tcW w:w="739" w:type="pct"/>
                  <w:tcBorders>
                    <w:tl2br w:val="nil"/>
                    <w:tr2bl w:val="nil"/>
                  </w:tcBorders>
                  <w:shd w:val="clear" w:color="auto" w:fill="FFFFFF"/>
                  <w:vAlign w:val="center"/>
                </w:tcPr>
                <w:p w14:paraId="639F6BF0">
                  <w:pPr>
                    <w:spacing w:before="74"/>
                    <w:jc w:val="center"/>
                    <w:rPr>
                      <w:rFonts w:hint="default"/>
                      <w:color w:val="000000"/>
                      <w:sz w:val="21"/>
                      <w:szCs w:val="21"/>
                      <w:lang w:val="en-US" w:eastAsia="zh-CN"/>
                    </w:rPr>
                  </w:pPr>
                  <w:r>
                    <w:rPr>
                      <w:rFonts w:hint="default"/>
                      <w:color w:val="000000"/>
                      <w:sz w:val="21"/>
                      <w:szCs w:val="21"/>
                      <w:lang w:val="en-US" w:eastAsia="zh-CN"/>
                    </w:rPr>
                    <w:t>居住区</w:t>
                  </w:r>
                </w:p>
              </w:tc>
              <w:tc>
                <w:tcPr>
                  <w:tcW w:w="889" w:type="pct"/>
                  <w:tcBorders>
                    <w:tl2br w:val="nil"/>
                    <w:tr2bl w:val="nil"/>
                  </w:tcBorders>
                  <w:shd w:val="clear" w:color="auto" w:fill="FFFFFF"/>
                  <w:vAlign w:val="center"/>
                </w:tcPr>
                <w:p w14:paraId="032C0995">
                  <w:pPr>
                    <w:spacing w:before="74"/>
                    <w:jc w:val="center"/>
                    <w:rPr>
                      <w:rFonts w:hint="default"/>
                      <w:color w:val="000000"/>
                      <w:sz w:val="21"/>
                      <w:szCs w:val="21"/>
                      <w:lang w:val="en-US" w:eastAsia="zh-CN"/>
                    </w:rPr>
                  </w:pPr>
                  <w:r>
                    <w:rPr>
                      <w:rFonts w:hint="eastAsia"/>
                      <w:color w:val="000000"/>
                      <w:sz w:val="21"/>
                      <w:szCs w:val="21"/>
                      <w:lang w:val="en-US" w:eastAsia="zh-CN"/>
                    </w:rPr>
                    <w:t>95户/270人</w:t>
                  </w:r>
                </w:p>
              </w:tc>
              <w:tc>
                <w:tcPr>
                  <w:tcW w:w="763" w:type="pct"/>
                  <w:vMerge w:val="restart"/>
                  <w:tcBorders>
                    <w:tl2br w:val="nil"/>
                    <w:tr2bl w:val="nil"/>
                  </w:tcBorders>
                  <w:shd w:val="clear" w:color="auto" w:fill="FFFFFF"/>
                  <w:vAlign w:val="center"/>
                </w:tcPr>
                <w:p w14:paraId="2AE3EC3F">
                  <w:pPr>
                    <w:spacing w:before="74"/>
                    <w:jc w:val="center"/>
                    <w:rPr>
                      <w:rFonts w:hint="default"/>
                      <w:color w:val="000000"/>
                      <w:sz w:val="21"/>
                      <w:szCs w:val="21"/>
                      <w:lang w:val="en-US" w:eastAsia="zh-CN"/>
                    </w:rPr>
                  </w:pPr>
                  <w:r>
                    <w:rPr>
                      <w:rFonts w:hint="default"/>
                      <w:color w:val="000000"/>
                      <w:sz w:val="21"/>
                      <w:szCs w:val="21"/>
                      <w:lang w:val="en-US" w:eastAsia="zh-CN"/>
                    </w:rPr>
                    <w:t>GB3095-2012二级</w:t>
                  </w:r>
                </w:p>
              </w:tc>
              <w:tc>
                <w:tcPr>
                  <w:tcW w:w="696" w:type="pct"/>
                  <w:tcBorders>
                    <w:tl2br w:val="nil"/>
                    <w:tr2bl w:val="nil"/>
                  </w:tcBorders>
                  <w:shd w:val="clear" w:color="auto" w:fill="FFFFFF"/>
                  <w:vAlign w:val="center"/>
                </w:tcPr>
                <w:p w14:paraId="430182A7">
                  <w:pPr>
                    <w:spacing w:before="74"/>
                    <w:jc w:val="center"/>
                    <w:rPr>
                      <w:rFonts w:hint="default"/>
                      <w:color w:val="000000"/>
                      <w:sz w:val="21"/>
                      <w:szCs w:val="21"/>
                      <w:lang w:val="en-US" w:eastAsia="zh-CN"/>
                    </w:rPr>
                  </w:pPr>
                  <w:r>
                    <w:rPr>
                      <w:rFonts w:hint="eastAsia"/>
                      <w:color w:val="000000"/>
                      <w:sz w:val="21"/>
                      <w:szCs w:val="21"/>
                      <w:lang w:val="en-US" w:eastAsia="zh-CN"/>
                    </w:rPr>
                    <w:t>NE</w:t>
                  </w:r>
                </w:p>
              </w:tc>
              <w:tc>
                <w:tcPr>
                  <w:tcW w:w="779" w:type="pct"/>
                  <w:tcBorders>
                    <w:tl2br w:val="nil"/>
                    <w:tr2bl w:val="nil"/>
                  </w:tcBorders>
                  <w:shd w:val="clear" w:color="auto" w:fill="FFFFFF"/>
                  <w:vAlign w:val="center"/>
                </w:tcPr>
                <w:p w14:paraId="546C4195">
                  <w:pPr>
                    <w:spacing w:before="74"/>
                    <w:jc w:val="center"/>
                    <w:rPr>
                      <w:rFonts w:hint="default"/>
                      <w:color w:val="000000"/>
                      <w:sz w:val="21"/>
                      <w:szCs w:val="21"/>
                      <w:lang w:val="en-US" w:eastAsia="zh-CN"/>
                    </w:rPr>
                  </w:pPr>
                  <w:r>
                    <w:rPr>
                      <w:rFonts w:hint="eastAsia"/>
                      <w:color w:val="000000"/>
                      <w:sz w:val="21"/>
                      <w:szCs w:val="21"/>
                      <w:lang w:val="en-US" w:eastAsia="zh-CN"/>
                    </w:rPr>
                    <w:t>194</w:t>
                  </w:r>
                </w:p>
              </w:tc>
            </w:tr>
            <w:tr w14:paraId="63DEE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50" w:type="pct"/>
                  <w:vMerge w:val="continue"/>
                  <w:tcBorders>
                    <w:tl2br w:val="nil"/>
                    <w:tr2bl w:val="nil"/>
                  </w:tcBorders>
                  <w:shd w:val="clear" w:color="auto" w:fill="FFFFFF"/>
                  <w:vAlign w:val="center"/>
                </w:tcPr>
                <w:p w14:paraId="1D715332">
                  <w:pPr>
                    <w:spacing w:before="74"/>
                    <w:jc w:val="center"/>
                    <w:rPr>
                      <w:rFonts w:hint="default"/>
                      <w:color w:val="000000"/>
                      <w:sz w:val="21"/>
                      <w:szCs w:val="21"/>
                      <w:lang w:val="en-US" w:eastAsia="zh-CN"/>
                    </w:rPr>
                  </w:pPr>
                </w:p>
              </w:tc>
              <w:tc>
                <w:tcPr>
                  <w:tcW w:w="682" w:type="pct"/>
                  <w:tcBorders>
                    <w:bottom w:val="single" w:color="auto" w:sz="4" w:space="0"/>
                    <w:tl2br w:val="nil"/>
                    <w:tr2bl w:val="nil"/>
                  </w:tcBorders>
                  <w:shd w:val="clear" w:color="auto" w:fill="FFFFFF"/>
                  <w:vAlign w:val="center"/>
                </w:tcPr>
                <w:p w14:paraId="66631196">
                  <w:pPr>
                    <w:spacing w:before="74"/>
                    <w:jc w:val="center"/>
                    <w:rPr>
                      <w:rFonts w:hint="default"/>
                      <w:color w:val="000000"/>
                      <w:sz w:val="21"/>
                      <w:szCs w:val="21"/>
                      <w:lang w:val="en-US" w:eastAsia="zh-CN"/>
                    </w:rPr>
                  </w:pPr>
                  <w:r>
                    <w:rPr>
                      <w:rFonts w:hint="eastAsia"/>
                      <w:color w:val="000000"/>
                      <w:sz w:val="21"/>
                      <w:szCs w:val="21"/>
                      <w:lang w:val="en-US" w:eastAsia="zh-CN"/>
                    </w:rPr>
                    <w:t>潘集中学</w:t>
                  </w:r>
                </w:p>
              </w:tc>
              <w:tc>
                <w:tcPr>
                  <w:tcW w:w="739" w:type="pct"/>
                  <w:tcBorders>
                    <w:bottom w:val="single" w:color="auto" w:sz="4" w:space="0"/>
                    <w:tl2br w:val="nil"/>
                    <w:tr2bl w:val="nil"/>
                  </w:tcBorders>
                  <w:shd w:val="clear" w:color="auto" w:fill="FFFFFF"/>
                  <w:vAlign w:val="center"/>
                </w:tcPr>
                <w:p w14:paraId="524B9227">
                  <w:pPr>
                    <w:spacing w:before="74"/>
                    <w:jc w:val="center"/>
                    <w:rPr>
                      <w:rFonts w:hint="default"/>
                      <w:color w:val="000000"/>
                      <w:sz w:val="21"/>
                      <w:szCs w:val="21"/>
                      <w:lang w:val="en-US" w:eastAsia="zh-CN"/>
                    </w:rPr>
                  </w:pPr>
                  <w:r>
                    <w:rPr>
                      <w:rFonts w:hint="eastAsia"/>
                      <w:color w:val="000000"/>
                      <w:sz w:val="21"/>
                      <w:szCs w:val="21"/>
                      <w:lang w:val="en-US" w:eastAsia="zh-CN"/>
                    </w:rPr>
                    <w:t>学校</w:t>
                  </w:r>
                </w:p>
              </w:tc>
              <w:tc>
                <w:tcPr>
                  <w:tcW w:w="889" w:type="pct"/>
                  <w:tcBorders>
                    <w:bottom w:val="single" w:color="auto" w:sz="4" w:space="0"/>
                    <w:tl2br w:val="nil"/>
                    <w:tr2bl w:val="nil"/>
                  </w:tcBorders>
                  <w:shd w:val="clear" w:color="auto" w:fill="FFFFFF"/>
                  <w:vAlign w:val="center"/>
                </w:tcPr>
                <w:p w14:paraId="55860E1F">
                  <w:pPr>
                    <w:spacing w:before="74"/>
                    <w:jc w:val="center"/>
                    <w:rPr>
                      <w:rFonts w:hint="default"/>
                      <w:color w:val="000000"/>
                      <w:sz w:val="21"/>
                      <w:szCs w:val="21"/>
                      <w:lang w:val="en-US" w:eastAsia="zh-CN"/>
                    </w:rPr>
                  </w:pPr>
                  <w:r>
                    <w:rPr>
                      <w:rFonts w:hint="eastAsia"/>
                      <w:color w:val="000000"/>
                      <w:sz w:val="21"/>
                      <w:szCs w:val="21"/>
                      <w:lang w:val="en-US" w:eastAsia="zh-CN"/>
                    </w:rPr>
                    <w:t>师生1000人</w:t>
                  </w:r>
                </w:p>
              </w:tc>
              <w:tc>
                <w:tcPr>
                  <w:tcW w:w="763" w:type="pct"/>
                  <w:vMerge w:val="continue"/>
                  <w:tcBorders>
                    <w:tl2br w:val="nil"/>
                    <w:tr2bl w:val="nil"/>
                  </w:tcBorders>
                  <w:shd w:val="clear" w:color="auto" w:fill="FFFFFF"/>
                  <w:vAlign w:val="center"/>
                </w:tcPr>
                <w:p w14:paraId="7C71D072">
                  <w:pPr>
                    <w:spacing w:before="74"/>
                    <w:jc w:val="center"/>
                    <w:rPr>
                      <w:rFonts w:hint="default"/>
                      <w:color w:val="000000"/>
                      <w:sz w:val="21"/>
                      <w:szCs w:val="21"/>
                      <w:lang w:val="en-US" w:eastAsia="zh-CN"/>
                    </w:rPr>
                  </w:pPr>
                </w:p>
              </w:tc>
              <w:tc>
                <w:tcPr>
                  <w:tcW w:w="696" w:type="pct"/>
                  <w:tcBorders>
                    <w:bottom w:val="single" w:color="auto" w:sz="4" w:space="0"/>
                    <w:tl2br w:val="nil"/>
                    <w:tr2bl w:val="nil"/>
                  </w:tcBorders>
                  <w:shd w:val="clear" w:color="auto" w:fill="FFFFFF"/>
                  <w:vAlign w:val="center"/>
                </w:tcPr>
                <w:p w14:paraId="1F8FA2CE">
                  <w:pPr>
                    <w:spacing w:before="74"/>
                    <w:jc w:val="center"/>
                    <w:rPr>
                      <w:rFonts w:hint="default"/>
                      <w:color w:val="000000"/>
                      <w:sz w:val="21"/>
                      <w:szCs w:val="21"/>
                      <w:lang w:val="en-US" w:eastAsia="zh-CN"/>
                    </w:rPr>
                  </w:pPr>
                  <w:r>
                    <w:rPr>
                      <w:rFonts w:hint="eastAsia"/>
                      <w:color w:val="000000"/>
                      <w:sz w:val="21"/>
                      <w:szCs w:val="21"/>
                      <w:lang w:val="en-US" w:eastAsia="zh-CN"/>
                    </w:rPr>
                    <w:t>SW</w:t>
                  </w:r>
                </w:p>
              </w:tc>
              <w:tc>
                <w:tcPr>
                  <w:tcW w:w="779" w:type="pct"/>
                  <w:tcBorders>
                    <w:bottom w:val="single" w:color="auto" w:sz="4" w:space="0"/>
                    <w:tl2br w:val="nil"/>
                    <w:tr2bl w:val="nil"/>
                  </w:tcBorders>
                  <w:shd w:val="clear" w:color="auto" w:fill="FFFFFF"/>
                  <w:vAlign w:val="center"/>
                </w:tcPr>
                <w:p w14:paraId="3C2CF9CB">
                  <w:pPr>
                    <w:spacing w:before="74"/>
                    <w:jc w:val="center"/>
                    <w:rPr>
                      <w:rFonts w:hint="default"/>
                      <w:color w:val="000000"/>
                      <w:sz w:val="21"/>
                      <w:szCs w:val="21"/>
                      <w:lang w:val="en-US" w:eastAsia="zh-CN"/>
                    </w:rPr>
                  </w:pPr>
                  <w:r>
                    <w:rPr>
                      <w:rFonts w:hint="eastAsia"/>
                      <w:color w:val="000000"/>
                      <w:sz w:val="21"/>
                      <w:szCs w:val="21"/>
                      <w:lang w:val="en-US" w:eastAsia="zh-CN"/>
                    </w:rPr>
                    <w:t>300</w:t>
                  </w:r>
                </w:p>
              </w:tc>
            </w:tr>
            <w:tr w14:paraId="09AE1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450" w:type="pct"/>
                  <w:vMerge w:val="continue"/>
                  <w:tcBorders>
                    <w:tl2br w:val="nil"/>
                    <w:tr2bl w:val="nil"/>
                  </w:tcBorders>
                  <w:shd w:val="clear" w:color="auto" w:fill="FFFFFF"/>
                  <w:vAlign w:val="center"/>
                </w:tcPr>
                <w:p w14:paraId="1819FD10">
                  <w:pPr>
                    <w:spacing w:before="74"/>
                    <w:jc w:val="center"/>
                    <w:rPr>
                      <w:rFonts w:hint="default"/>
                      <w:color w:val="000000"/>
                      <w:sz w:val="21"/>
                      <w:szCs w:val="21"/>
                      <w:lang w:val="en-US" w:eastAsia="zh-CN"/>
                    </w:rPr>
                  </w:pPr>
                </w:p>
              </w:tc>
              <w:tc>
                <w:tcPr>
                  <w:tcW w:w="682" w:type="pct"/>
                  <w:tcBorders>
                    <w:top w:val="single" w:color="auto" w:sz="4" w:space="0"/>
                    <w:tl2br w:val="nil"/>
                    <w:tr2bl w:val="nil"/>
                  </w:tcBorders>
                  <w:shd w:val="clear" w:color="auto" w:fill="FFFFFF"/>
                  <w:vAlign w:val="center"/>
                </w:tcPr>
                <w:p w14:paraId="6D355CD8">
                  <w:pPr>
                    <w:spacing w:before="74"/>
                    <w:jc w:val="center"/>
                    <w:rPr>
                      <w:rFonts w:hint="eastAsia"/>
                      <w:color w:val="000000"/>
                      <w:sz w:val="21"/>
                      <w:szCs w:val="21"/>
                      <w:lang w:val="en-US" w:eastAsia="zh-CN"/>
                    </w:rPr>
                  </w:pPr>
                  <w:r>
                    <w:rPr>
                      <w:rFonts w:hint="eastAsia"/>
                      <w:color w:val="000000"/>
                      <w:sz w:val="21"/>
                      <w:szCs w:val="21"/>
                      <w:lang w:val="en-US" w:eastAsia="zh-CN"/>
                    </w:rPr>
                    <w:t>潘集区潘集中心学校</w:t>
                  </w:r>
                </w:p>
              </w:tc>
              <w:tc>
                <w:tcPr>
                  <w:tcW w:w="739" w:type="pct"/>
                  <w:tcBorders>
                    <w:top w:val="single" w:color="auto" w:sz="4" w:space="0"/>
                    <w:tl2br w:val="nil"/>
                    <w:tr2bl w:val="nil"/>
                  </w:tcBorders>
                  <w:shd w:val="clear" w:color="auto" w:fill="FFFFFF"/>
                  <w:vAlign w:val="center"/>
                </w:tcPr>
                <w:p w14:paraId="4BE672AE">
                  <w:pPr>
                    <w:spacing w:before="74"/>
                    <w:jc w:val="center"/>
                    <w:rPr>
                      <w:rFonts w:hint="eastAsia"/>
                      <w:color w:val="000000"/>
                      <w:sz w:val="21"/>
                      <w:szCs w:val="21"/>
                      <w:lang w:val="en-US" w:eastAsia="zh-CN"/>
                    </w:rPr>
                  </w:pPr>
                  <w:r>
                    <w:rPr>
                      <w:rFonts w:hint="eastAsia"/>
                      <w:color w:val="000000"/>
                      <w:sz w:val="21"/>
                      <w:szCs w:val="21"/>
                      <w:lang w:val="en-US" w:eastAsia="zh-CN"/>
                    </w:rPr>
                    <w:t>学校</w:t>
                  </w:r>
                </w:p>
              </w:tc>
              <w:tc>
                <w:tcPr>
                  <w:tcW w:w="889" w:type="pct"/>
                  <w:tcBorders>
                    <w:top w:val="single" w:color="auto" w:sz="4" w:space="0"/>
                    <w:tl2br w:val="nil"/>
                    <w:tr2bl w:val="nil"/>
                  </w:tcBorders>
                  <w:shd w:val="clear" w:color="auto" w:fill="FFFFFF"/>
                  <w:vAlign w:val="center"/>
                </w:tcPr>
                <w:p w14:paraId="652B8186">
                  <w:pPr>
                    <w:spacing w:before="74"/>
                    <w:jc w:val="center"/>
                    <w:rPr>
                      <w:rFonts w:hint="default"/>
                      <w:color w:val="000000"/>
                      <w:sz w:val="21"/>
                      <w:szCs w:val="21"/>
                      <w:lang w:val="en-US" w:eastAsia="zh-CN"/>
                    </w:rPr>
                  </w:pPr>
                  <w:r>
                    <w:rPr>
                      <w:rFonts w:hint="eastAsia"/>
                      <w:color w:val="000000"/>
                      <w:sz w:val="21"/>
                      <w:szCs w:val="21"/>
                      <w:lang w:val="en-US" w:eastAsia="zh-CN"/>
                    </w:rPr>
                    <w:t>师生700人</w:t>
                  </w:r>
                </w:p>
              </w:tc>
              <w:tc>
                <w:tcPr>
                  <w:tcW w:w="763" w:type="pct"/>
                  <w:vMerge w:val="continue"/>
                  <w:tcBorders>
                    <w:tl2br w:val="nil"/>
                    <w:tr2bl w:val="nil"/>
                  </w:tcBorders>
                  <w:shd w:val="clear" w:color="auto" w:fill="FFFFFF"/>
                  <w:vAlign w:val="center"/>
                </w:tcPr>
                <w:p w14:paraId="0A2EC87A">
                  <w:pPr>
                    <w:spacing w:before="74"/>
                    <w:jc w:val="center"/>
                    <w:rPr>
                      <w:rFonts w:hint="default"/>
                      <w:color w:val="000000"/>
                      <w:sz w:val="21"/>
                      <w:szCs w:val="21"/>
                      <w:lang w:val="en-US" w:eastAsia="zh-CN"/>
                    </w:rPr>
                  </w:pPr>
                </w:p>
              </w:tc>
              <w:tc>
                <w:tcPr>
                  <w:tcW w:w="696" w:type="pct"/>
                  <w:tcBorders>
                    <w:top w:val="single" w:color="auto" w:sz="4" w:space="0"/>
                    <w:tl2br w:val="nil"/>
                    <w:tr2bl w:val="nil"/>
                  </w:tcBorders>
                  <w:shd w:val="clear" w:color="auto" w:fill="FFFFFF"/>
                  <w:vAlign w:val="center"/>
                </w:tcPr>
                <w:p w14:paraId="329ABA4D">
                  <w:pPr>
                    <w:spacing w:before="74"/>
                    <w:jc w:val="center"/>
                    <w:rPr>
                      <w:rFonts w:hint="eastAsia"/>
                      <w:color w:val="000000"/>
                      <w:sz w:val="21"/>
                      <w:szCs w:val="21"/>
                      <w:lang w:val="en-US" w:eastAsia="zh-CN"/>
                    </w:rPr>
                  </w:pPr>
                  <w:r>
                    <w:rPr>
                      <w:rFonts w:hint="eastAsia"/>
                      <w:color w:val="000000"/>
                      <w:sz w:val="21"/>
                      <w:szCs w:val="21"/>
                      <w:lang w:val="en-US" w:eastAsia="zh-CN"/>
                    </w:rPr>
                    <w:t>SW</w:t>
                  </w:r>
                </w:p>
              </w:tc>
              <w:tc>
                <w:tcPr>
                  <w:tcW w:w="779" w:type="pct"/>
                  <w:tcBorders>
                    <w:top w:val="single" w:color="auto" w:sz="4" w:space="0"/>
                    <w:tl2br w:val="nil"/>
                    <w:tr2bl w:val="nil"/>
                  </w:tcBorders>
                  <w:shd w:val="clear" w:color="auto" w:fill="FFFFFF"/>
                  <w:vAlign w:val="center"/>
                </w:tcPr>
                <w:p w14:paraId="28728C0B">
                  <w:pPr>
                    <w:spacing w:before="74"/>
                    <w:jc w:val="center"/>
                    <w:rPr>
                      <w:rFonts w:hint="default"/>
                      <w:color w:val="000000"/>
                      <w:sz w:val="21"/>
                      <w:szCs w:val="21"/>
                      <w:lang w:val="en-US" w:eastAsia="zh-CN"/>
                    </w:rPr>
                  </w:pPr>
                  <w:r>
                    <w:rPr>
                      <w:rFonts w:hint="eastAsia"/>
                      <w:color w:val="000000"/>
                      <w:sz w:val="21"/>
                      <w:szCs w:val="21"/>
                      <w:lang w:val="en-US" w:eastAsia="zh-CN"/>
                    </w:rPr>
                    <w:t>480</w:t>
                  </w:r>
                </w:p>
              </w:tc>
            </w:tr>
            <w:tr w14:paraId="3E3F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450" w:type="pct"/>
                  <w:vMerge w:val="continue"/>
                  <w:tcBorders>
                    <w:tl2br w:val="nil"/>
                    <w:tr2bl w:val="nil"/>
                  </w:tcBorders>
                  <w:shd w:val="clear" w:color="auto" w:fill="FFFFFF"/>
                  <w:vAlign w:val="center"/>
                </w:tcPr>
                <w:p w14:paraId="75DDD7AB">
                  <w:pPr>
                    <w:spacing w:before="74"/>
                    <w:jc w:val="center"/>
                    <w:rPr>
                      <w:rFonts w:hint="default"/>
                      <w:color w:val="000000"/>
                      <w:sz w:val="21"/>
                      <w:szCs w:val="21"/>
                      <w:lang w:val="en-US" w:eastAsia="zh-CN"/>
                    </w:rPr>
                  </w:pPr>
                </w:p>
              </w:tc>
              <w:tc>
                <w:tcPr>
                  <w:tcW w:w="682" w:type="pct"/>
                  <w:tcBorders>
                    <w:tl2br w:val="nil"/>
                    <w:tr2bl w:val="nil"/>
                  </w:tcBorders>
                  <w:shd w:val="clear" w:color="auto" w:fill="FFFFFF"/>
                  <w:vAlign w:val="center"/>
                </w:tcPr>
                <w:p w14:paraId="5FAE8752">
                  <w:pPr>
                    <w:spacing w:before="74"/>
                    <w:jc w:val="center"/>
                    <w:rPr>
                      <w:rFonts w:hint="default"/>
                      <w:color w:val="000000"/>
                      <w:sz w:val="21"/>
                      <w:szCs w:val="21"/>
                      <w:lang w:val="en-US" w:eastAsia="zh-CN"/>
                    </w:rPr>
                  </w:pPr>
                  <w:r>
                    <w:rPr>
                      <w:rFonts w:hint="eastAsia"/>
                      <w:color w:val="000000"/>
                      <w:sz w:val="21"/>
                      <w:szCs w:val="21"/>
                      <w:lang w:val="en-US" w:eastAsia="zh-CN"/>
                    </w:rPr>
                    <w:t>潘集村</w:t>
                  </w:r>
                </w:p>
              </w:tc>
              <w:tc>
                <w:tcPr>
                  <w:tcW w:w="739" w:type="pct"/>
                  <w:tcBorders>
                    <w:tl2br w:val="nil"/>
                    <w:tr2bl w:val="nil"/>
                  </w:tcBorders>
                  <w:shd w:val="clear" w:color="auto" w:fill="FFFFFF"/>
                  <w:vAlign w:val="center"/>
                </w:tcPr>
                <w:p w14:paraId="0E5A0D10">
                  <w:pPr>
                    <w:spacing w:before="74"/>
                    <w:jc w:val="center"/>
                    <w:rPr>
                      <w:rFonts w:hint="default"/>
                      <w:color w:val="000000"/>
                      <w:sz w:val="21"/>
                      <w:szCs w:val="21"/>
                      <w:lang w:val="en-US" w:eastAsia="zh-CN"/>
                    </w:rPr>
                  </w:pPr>
                  <w:r>
                    <w:rPr>
                      <w:rFonts w:hint="default"/>
                      <w:color w:val="000000"/>
                      <w:sz w:val="21"/>
                      <w:szCs w:val="21"/>
                      <w:lang w:val="en-US" w:eastAsia="zh-CN"/>
                    </w:rPr>
                    <w:t>居住区</w:t>
                  </w:r>
                </w:p>
              </w:tc>
              <w:tc>
                <w:tcPr>
                  <w:tcW w:w="889" w:type="pct"/>
                  <w:tcBorders>
                    <w:tl2br w:val="nil"/>
                    <w:tr2bl w:val="nil"/>
                  </w:tcBorders>
                  <w:shd w:val="clear" w:color="auto" w:fill="FFFFFF"/>
                  <w:vAlign w:val="center"/>
                </w:tcPr>
                <w:p w14:paraId="046CC98A">
                  <w:pPr>
                    <w:spacing w:before="74"/>
                    <w:jc w:val="center"/>
                    <w:rPr>
                      <w:rFonts w:hint="eastAsia"/>
                      <w:color w:val="000000"/>
                      <w:sz w:val="21"/>
                      <w:szCs w:val="21"/>
                      <w:lang w:val="en-US" w:eastAsia="zh-CN"/>
                    </w:rPr>
                  </w:pPr>
                  <w:r>
                    <w:rPr>
                      <w:rFonts w:hint="eastAsia"/>
                      <w:color w:val="000000"/>
                      <w:sz w:val="21"/>
                      <w:szCs w:val="21"/>
                      <w:lang w:val="en-US" w:eastAsia="zh-CN"/>
                    </w:rPr>
                    <w:t>42户/120人</w:t>
                  </w:r>
                </w:p>
              </w:tc>
              <w:tc>
                <w:tcPr>
                  <w:tcW w:w="763" w:type="pct"/>
                  <w:vMerge w:val="continue"/>
                  <w:tcBorders>
                    <w:tl2br w:val="nil"/>
                    <w:tr2bl w:val="nil"/>
                  </w:tcBorders>
                  <w:shd w:val="clear" w:color="auto" w:fill="FFFFFF"/>
                  <w:vAlign w:val="center"/>
                </w:tcPr>
                <w:p w14:paraId="7E1513E5">
                  <w:pPr>
                    <w:spacing w:before="74"/>
                    <w:jc w:val="center"/>
                    <w:rPr>
                      <w:rFonts w:hint="default"/>
                      <w:color w:val="000000"/>
                      <w:sz w:val="21"/>
                      <w:szCs w:val="21"/>
                      <w:lang w:val="en-US" w:eastAsia="zh-CN"/>
                    </w:rPr>
                  </w:pPr>
                </w:p>
              </w:tc>
              <w:tc>
                <w:tcPr>
                  <w:tcW w:w="696" w:type="pct"/>
                  <w:tcBorders>
                    <w:tl2br w:val="nil"/>
                    <w:tr2bl w:val="nil"/>
                  </w:tcBorders>
                  <w:shd w:val="clear" w:color="auto" w:fill="FFFFFF"/>
                  <w:vAlign w:val="center"/>
                </w:tcPr>
                <w:p w14:paraId="75456454">
                  <w:pPr>
                    <w:spacing w:before="74"/>
                    <w:jc w:val="center"/>
                    <w:rPr>
                      <w:rFonts w:hint="eastAsia"/>
                      <w:color w:val="000000"/>
                      <w:sz w:val="21"/>
                      <w:szCs w:val="21"/>
                      <w:lang w:val="en-US" w:eastAsia="zh-CN"/>
                    </w:rPr>
                  </w:pPr>
                  <w:r>
                    <w:rPr>
                      <w:rFonts w:hint="eastAsia"/>
                      <w:color w:val="000000"/>
                      <w:sz w:val="21"/>
                      <w:szCs w:val="21"/>
                      <w:lang w:val="en-US" w:eastAsia="zh-CN"/>
                    </w:rPr>
                    <w:t>NW</w:t>
                  </w:r>
                </w:p>
              </w:tc>
              <w:tc>
                <w:tcPr>
                  <w:tcW w:w="779" w:type="pct"/>
                  <w:tcBorders>
                    <w:tl2br w:val="nil"/>
                    <w:tr2bl w:val="nil"/>
                  </w:tcBorders>
                  <w:shd w:val="clear" w:color="auto" w:fill="FFFFFF"/>
                  <w:vAlign w:val="center"/>
                </w:tcPr>
                <w:p w14:paraId="677F8024">
                  <w:pPr>
                    <w:spacing w:before="74"/>
                    <w:jc w:val="center"/>
                    <w:rPr>
                      <w:rFonts w:hint="default"/>
                      <w:color w:val="000000"/>
                      <w:sz w:val="21"/>
                      <w:szCs w:val="21"/>
                      <w:lang w:val="en-US" w:eastAsia="zh-CN"/>
                    </w:rPr>
                  </w:pPr>
                  <w:r>
                    <w:rPr>
                      <w:rFonts w:hint="eastAsia"/>
                      <w:color w:val="000000"/>
                      <w:sz w:val="21"/>
                      <w:szCs w:val="21"/>
                      <w:lang w:val="en-US" w:eastAsia="zh-CN"/>
                    </w:rPr>
                    <w:t>60</w:t>
                  </w:r>
                </w:p>
              </w:tc>
            </w:tr>
            <w:tr w14:paraId="02549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450" w:type="pct"/>
                  <w:vMerge w:val="continue"/>
                  <w:tcBorders>
                    <w:tl2br w:val="nil"/>
                    <w:tr2bl w:val="nil"/>
                  </w:tcBorders>
                  <w:shd w:val="clear" w:color="auto" w:fill="FFFFFF"/>
                  <w:vAlign w:val="center"/>
                </w:tcPr>
                <w:p w14:paraId="3413CF50">
                  <w:pPr>
                    <w:spacing w:before="74"/>
                    <w:jc w:val="center"/>
                    <w:rPr>
                      <w:rFonts w:hint="default"/>
                      <w:color w:val="000000"/>
                      <w:sz w:val="21"/>
                      <w:szCs w:val="21"/>
                      <w:lang w:val="en-US" w:eastAsia="zh-CN"/>
                    </w:rPr>
                  </w:pPr>
                </w:p>
              </w:tc>
              <w:tc>
                <w:tcPr>
                  <w:tcW w:w="682" w:type="pct"/>
                  <w:tcBorders>
                    <w:tl2br w:val="nil"/>
                    <w:tr2bl w:val="nil"/>
                  </w:tcBorders>
                  <w:shd w:val="clear" w:color="auto" w:fill="FFFFFF"/>
                  <w:vAlign w:val="center"/>
                </w:tcPr>
                <w:p w14:paraId="46EB8D4B">
                  <w:pPr>
                    <w:spacing w:before="74"/>
                    <w:jc w:val="center"/>
                    <w:rPr>
                      <w:rFonts w:hint="default"/>
                      <w:color w:val="000000"/>
                      <w:sz w:val="21"/>
                      <w:szCs w:val="21"/>
                      <w:lang w:val="en-US" w:eastAsia="zh-CN"/>
                    </w:rPr>
                  </w:pPr>
                  <w:r>
                    <w:rPr>
                      <w:rFonts w:hint="eastAsia"/>
                      <w:color w:val="000000"/>
                      <w:sz w:val="21"/>
                      <w:szCs w:val="21"/>
                      <w:lang w:val="en-US" w:eastAsia="zh-CN"/>
                    </w:rPr>
                    <w:t>潘集镇</w:t>
                  </w:r>
                </w:p>
              </w:tc>
              <w:tc>
                <w:tcPr>
                  <w:tcW w:w="739" w:type="pct"/>
                  <w:tcBorders>
                    <w:tl2br w:val="nil"/>
                    <w:tr2bl w:val="nil"/>
                  </w:tcBorders>
                  <w:shd w:val="clear" w:color="auto" w:fill="FFFFFF"/>
                  <w:vAlign w:val="center"/>
                </w:tcPr>
                <w:p w14:paraId="2C847B50">
                  <w:pPr>
                    <w:spacing w:before="74"/>
                    <w:jc w:val="center"/>
                    <w:rPr>
                      <w:rFonts w:hint="default"/>
                      <w:color w:val="000000"/>
                      <w:sz w:val="21"/>
                      <w:szCs w:val="21"/>
                      <w:lang w:val="en-US" w:eastAsia="zh-CN"/>
                    </w:rPr>
                  </w:pPr>
                  <w:r>
                    <w:rPr>
                      <w:rFonts w:hint="default"/>
                      <w:color w:val="000000"/>
                      <w:sz w:val="21"/>
                      <w:szCs w:val="21"/>
                      <w:lang w:val="en-US" w:eastAsia="zh-CN"/>
                    </w:rPr>
                    <w:t>居住区</w:t>
                  </w:r>
                </w:p>
              </w:tc>
              <w:tc>
                <w:tcPr>
                  <w:tcW w:w="889" w:type="pct"/>
                  <w:tcBorders>
                    <w:tl2br w:val="nil"/>
                    <w:tr2bl w:val="nil"/>
                  </w:tcBorders>
                  <w:shd w:val="clear" w:color="auto" w:fill="FFFFFF"/>
                  <w:vAlign w:val="center"/>
                </w:tcPr>
                <w:p w14:paraId="35C49669">
                  <w:pPr>
                    <w:spacing w:before="74"/>
                    <w:jc w:val="center"/>
                    <w:rPr>
                      <w:rFonts w:hint="eastAsia"/>
                      <w:color w:val="000000"/>
                      <w:sz w:val="21"/>
                      <w:szCs w:val="21"/>
                      <w:lang w:val="en-US" w:eastAsia="zh-CN"/>
                    </w:rPr>
                  </w:pPr>
                  <w:r>
                    <w:rPr>
                      <w:rFonts w:hint="eastAsia"/>
                      <w:color w:val="000000"/>
                      <w:sz w:val="21"/>
                      <w:szCs w:val="21"/>
                      <w:lang w:val="en-US" w:eastAsia="zh-CN"/>
                    </w:rPr>
                    <w:t>320户/990人（500m范围内）</w:t>
                  </w:r>
                </w:p>
              </w:tc>
              <w:tc>
                <w:tcPr>
                  <w:tcW w:w="763" w:type="pct"/>
                  <w:vMerge w:val="continue"/>
                  <w:tcBorders>
                    <w:tl2br w:val="nil"/>
                    <w:tr2bl w:val="nil"/>
                  </w:tcBorders>
                  <w:shd w:val="clear" w:color="auto" w:fill="FFFFFF"/>
                  <w:vAlign w:val="center"/>
                </w:tcPr>
                <w:p w14:paraId="5A6E3694">
                  <w:pPr>
                    <w:spacing w:before="74"/>
                    <w:jc w:val="center"/>
                    <w:rPr>
                      <w:rFonts w:hint="default"/>
                      <w:color w:val="000000"/>
                      <w:sz w:val="21"/>
                      <w:szCs w:val="21"/>
                      <w:lang w:val="en-US" w:eastAsia="zh-CN"/>
                    </w:rPr>
                  </w:pPr>
                </w:p>
              </w:tc>
              <w:tc>
                <w:tcPr>
                  <w:tcW w:w="696" w:type="pct"/>
                  <w:tcBorders>
                    <w:tl2br w:val="nil"/>
                    <w:tr2bl w:val="nil"/>
                  </w:tcBorders>
                  <w:shd w:val="clear" w:color="auto" w:fill="FFFFFF"/>
                  <w:vAlign w:val="center"/>
                </w:tcPr>
                <w:p w14:paraId="2897B9BC">
                  <w:pPr>
                    <w:spacing w:before="74"/>
                    <w:jc w:val="center"/>
                    <w:rPr>
                      <w:rFonts w:hint="eastAsia"/>
                      <w:color w:val="000000"/>
                      <w:sz w:val="21"/>
                      <w:szCs w:val="21"/>
                      <w:lang w:val="en-US" w:eastAsia="zh-CN"/>
                    </w:rPr>
                  </w:pPr>
                  <w:r>
                    <w:rPr>
                      <w:rFonts w:hint="eastAsia"/>
                      <w:color w:val="000000"/>
                      <w:sz w:val="21"/>
                      <w:szCs w:val="21"/>
                      <w:lang w:val="en-US" w:eastAsia="zh-CN"/>
                    </w:rPr>
                    <w:t>NW</w:t>
                  </w:r>
                </w:p>
              </w:tc>
              <w:tc>
                <w:tcPr>
                  <w:tcW w:w="779" w:type="pct"/>
                  <w:tcBorders>
                    <w:tl2br w:val="nil"/>
                    <w:tr2bl w:val="nil"/>
                  </w:tcBorders>
                  <w:shd w:val="clear" w:color="auto" w:fill="FFFFFF"/>
                  <w:vAlign w:val="center"/>
                </w:tcPr>
                <w:p w14:paraId="2E9A265B">
                  <w:pPr>
                    <w:spacing w:before="74"/>
                    <w:jc w:val="center"/>
                    <w:rPr>
                      <w:rFonts w:hint="default"/>
                      <w:color w:val="000000"/>
                      <w:sz w:val="21"/>
                      <w:szCs w:val="21"/>
                      <w:lang w:val="en-US" w:eastAsia="zh-CN"/>
                    </w:rPr>
                  </w:pPr>
                  <w:r>
                    <w:rPr>
                      <w:rFonts w:hint="eastAsia"/>
                      <w:color w:val="000000"/>
                      <w:sz w:val="21"/>
                      <w:szCs w:val="21"/>
                      <w:lang w:val="en-US" w:eastAsia="zh-CN"/>
                    </w:rPr>
                    <w:t>160</w:t>
                  </w:r>
                </w:p>
              </w:tc>
            </w:tr>
          </w:tbl>
          <w:p w14:paraId="7A6EC481">
            <w:pPr>
              <w:spacing w:line="360" w:lineRule="auto"/>
              <w:rPr>
                <w:b/>
                <w:color w:val="auto"/>
                <w:sz w:val="24"/>
                <w:szCs w:val="24"/>
              </w:rPr>
            </w:pPr>
            <w:r>
              <w:rPr>
                <w:rFonts w:hint="eastAsia"/>
                <w:b/>
                <w:color w:val="auto"/>
                <w:sz w:val="24"/>
                <w:szCs w:val="24"/>
              </w:rPr>
              <w:t>2、声环境保护目标</w:t>
            </w:r>
          </w:p>
          <w:p w14:paraId="72E893D7">
            <w:pPr>
              <w:spacing w:line="360" w:lineRule="auto"/>
              <w:ind w:firstLine="480" w:firstLineChars="200"/>
              <w:rPr>
                <w:rFonts w:hint="eastAsia" w:ascii="Times New Roman" w:hAnsi="Times New Roman" w:eastAsia="宋体" w:cs="宋体"/>
                <w:caps w:val="0"/>
                <w:color w:val="auto"/>
                <w:kern w:val="2"/>
                <w:sz w:val="24"/>
                <w:szCs w:val="24"/>
                <w:lang w:val="en-US" w:eastAsia="zh-CN" w:bidi="ar-SA"/>
              </w:rPr>
            </w:pPr>
            <w:r>
              <w:rPr>
                <w:rFonts w:hint="eastAsia" w:ascii="Times New Roman" w:hAnsi="Times New Roman" w:cs="Times New Roman"/>
                <w:color w:val="auto"/>
                <w:sz w:val="24"/>
                <w:szCs w:val="32"/>
                <w:lang w:val="en-US" w:eastAsia="zh-CN"/>
              </w:rPr>
              <w:t>根据项目周边环境踏勘</w:t>
            </w:r>
            <w:r>
              <w:rPr>
                <w:rFonts w:hint="eastAsia"/>
                <w:sz w:val="24"/>
                <w:lang w:val="en-US" w:eastAsia="zh-CN"/>
              </w:rPr>
              <w:t>，</w:t>
            </w:r>
            <w:r>
              <w:rPr>
                <w:rFonts w:hint="eastAsia"/>
                <w:color w:val="auto"/>
                <w:sz w:val="24"/>
                <w:szCs w:val="32"/>
              </w:rPr>
              <w:t>本项目厂界外50m</w:t>
            </w:r>
            <w:r>
              <w:rPr>
                <w:rFonts w:hint="eastAsia"/>
                <w:color w:val="auto"/>
                <w:sz w:val="24"/>
                <w:szCs w:val="32"/>
                <w:lang w:eastAsia="zh-CN"/>
              </w:rPr>
              <w:t>范围内的</w:t>
            </w:r>
            <w:r>
              <w:rPr>
                <w:rFonts w:hint="eastAsia"/>
                <w:color w:val="auto"/>
                <w:sz w:val="24"/>
                <w:szCs w:val="32"/>
              </w:rPr>
              <w:t>区域</w:t>
            </w:r>
            <w:r>
              <w:rPr>
                <w:rFonts w:hint="eastAsia"/>
                <w:color w:val="auto"/>
                <w:sz w:val="24"/>
                <w:szCs w:val="32"/>
                <w:lang w:val="en-US" w:eastAsia="zh-CN"/>
              </w:rPr>
              <w:t>无</w:t>
            </w:r>
            <w:r>
              <w:rPr>
                <w:rFonts w:hint="eastAsia"/>
                <w:color w:val="auto"/>
                <w:sz w:val="24"/>
                <w:szCs w:val="32"/>
              </w:rPr>
              <w:t>声环境保护目标</w:t>
            </w:r>
            <w:r>
              <w:rPr>
                <w:rFonts w:hint="eastAsia" w:ascii="Times New Roman" w:hAnsi="Times New Roman" w:eastAsia="宋体" w:cs="宋体"/>
                <w:caps w:val="0"/>
                <w:color w:val="auto"/>
                <w:kern w:val="2"/>
                <w:sz w:val="24"/>
                <w:szCs w:val="24"/>
                <w:lang w:val="en-US" w:eastAsia="zh-CN" w:bidi="ar-SA"/>
              </w:rPr>
              <w:t>。</w:t>
            </w:r>
          </w:p>
          <w:p w14:paraId="0D48E452">
            <w:pPr>
              <w:spacing w:line="360" w:lineRule="auto"/>
              <w:rPr>
                <w:b/>
                <w:color w:val="auto"/>
                <w:sz w:val="24"/>
                <w:szCs w:val="24"/>
              </w:rPr>
            </w:pPr>
            <w:r>
              <w:rPr>
                <w:rFonts w:hint="eastAsia"/>
                <w:b/>
                <w:color w:val="auto"/>
                <w:sz w:val="24"/>
                <w:szCs w:val="24"/>
              </w:rPr>
              <w:t>3、地下水环境保护目标</w:t>
            </w:r>
          </w:p>
          <w:p w14:paraId="02A06C09">
            <w:pPr>
              <w:spacing w:line="360" w:lineRule="auto"/>
              <w:ind w:firstLine="480" w:firstLineChars="200"/>
              <w:rPr>
                <w:rFonts w:hint="eastAsia"/>
                <w:color w:val="auto"/>
                <w:sz w:val="24"/>
                <w:szCs w:val="24"/>
                <w:lang w:eastAsia="zh-CN"/>
              </w:rPr>
            </w:pPr>
            <w:r>
              <w:rPr>
                <w:rFonts w:hint="eastAsia"/>
                <w:color w:val="auto"/>
                <w:sz w:val="24"/>
                <w:szCs w:val="24"/>
                <w:lang w:eastAsia="zh-CN"/>
              </w:rPr>
              <w:t>本项目厂界外500m范围内无集中式饮用水水源和热水、矿泉水、温泉等特殊地下水资源环境保护目标。</w:t>
            </w:r>
          </w:p>
          <w:p w14:paraId="19A13B89">
            <w:pPr>
              <w:spacing w:line="360" w:lineRule="auto"/>
              <w:rPr>
                <w:b/>
                <w:color w:val="auto"/>
                <w:sz w:val="24"/>
              </w:rPr>
            </w:pPr>
            <w:r>
              <w:rPr>
                <w:rFonts w:hint="eastAsia"/>
                <w:b/>
                <w:color w:val="auto"/>
                <w:sz w:val="24"/>
              </w:rPr>
              <w:t>4、生态环境保护目标</w:t>
            </w:r>
          </w:p>
          <w:p w14:paraId="76189F3B">
            <w:pPr>
              <w:spacing w:line="360" w:lineRule="auto"/>
              <w:ind w:firstLine="480" w:firstLineChars="200"/>
              <w:rPr>
                <w:color w:val="auto"/>
                <w:sz w:val="24"/>
                <w:szCs w:val="24"/>
              </w:rPr>
            </w:pPr>
            <w:r>
              <w:rPr>
                <w:rFonts w:hint="eastAsia"/>
                <w:color w:val="auto"/>
                <w:sz w:val="24"/>
                <w:szCs w:val="24"/>
              </w:rPr>
              <w:t>本</w:t>
            </w:r>
            <w:r>
              <w:rPr>
                <w:color w:val="auto"/>
                <w:sz w:val="24"/>
                <w:szCs w:val="24"/>
              </w:rPr>
              <w:t>项目位于</w:t>
            </w:r>
            <w:r>
              <w:rPr>
                <w:rFonts w:hint="eastAsia" w:cs="Times New Roman"/>
                <w:b w:val="0"/>
                <w:bCs w:val="0"/>
                <w:sz w:val="24"/>
                <w:szCs w:val="24"/>
                <w:u w:val="none"/>
                <w:lang w:val="en-US" w:eastAsia="zh-CN"/>
              </w:rPr>
              <w:t>安徽省</w:t>
            </w:r>
            <w:r>
              <w:rPr>
                <w:rFonts w:hint="default" w:ascii="Times New Roman" w:hAnsi="Times New Roman" w:cs="Times New Roman"/>
                <w:b w:val="0"/>
                <w:bCs w:val="0"/>
                <w:sz w:val="24"/>
                <w:szCs w:val="24"/>
                <w:u w:val="none"/>
                <w:lang w:eastAsia="zh-CN"/>
              </w:rPr>
              <w:t>淮南市潘集区潘集镇地销煤路聚旺公司旁</w:t>
            </w:r>
            <w:r>
              <w:rPr>
                <w:color w:val="auto"/>
                <w:sz w:val="24"/>
                <w:szCs w:val="24"/>
              </w:rPr>
              <w:t>，建设项目</w:t>
            </w:r>
            <w:r>
              <w:rPr>
                <w:rFonts w:hint="eastAsia"/>
                <w:color w:val="auto"/>
                <w:sz w:val="24"/>
                <w:szCs w:val="24"/>
              </w:rPr>
              <w:t>用地</w:t>
            </w:r>
            <w:r>
              <w:rPr>
                <w:color w:val="auto"/>
                <w:sz w:val="24"/>
                <w:szCs w:val="24"/>
              </w:rPr>
              <w:t>范围内不</w:t>
            </w:r>
            <w:r>
              <w:rPr>
                <w:rFonts w:hint="eastAsia"/>
                <w:color w:val="auto"/>
                <w:sz w:val="24"/>
                <w:szCs w:val="24"/>
              </w:rPr>
              <w:t>涉及</w:t>
            </w:r>
            <w:r>
              <w:rPr>
                <w:color w:val="auto"/>
                <w:sz w:val="24"/>
                <w:szCs w:val="24"/>
              </w:rPr>
              <w:t>生态环境保护目标。</w:t>
            </w:r>
          </w:p>
          <w:p w14:paraId="3AA3606E">
            <w:pPr>
              <w:pStyle w:val="30"/>
              <w:rPr>
                <w:color w:val="auto"/>
                <w:sz w:val="24"/>
                <w:szCs w:val="24"/>
              </w:rPr>
            </w:pPr>
          </w:p>
          <w:p w14:paraId="3C18F75E">
            <w:pPr>
              <w:pStyle w:val="31"/>
              <w:rPr>
                <w:color w:val="auto"/>
                <w:sz w:val="24"/>
                <w:szCs w:val="24"/>
              </w:rPr>
            </w:pPr>
          </w:p>
          <w:p w14:paraId="10AF64D7">
            <w:pPr>
              <w:rPr>
                <w:color w:val="auto"/>
                <w:sz w:val="24"/>
                <w:szCs w:val="24"/>
              </w:rPr>
            </w:pPr>
          </w:p>
          <w:p w14:paraId="0C4CB043">
            <w:pPr>
              <w:pStyle w:val="30"/>
              <w:rPr>
                <w:color w:val="auto"/>
                <w:sz w:val="24"/>
                <w:szCs w:val="24"/>
              </w:rPr>
            </w:pPr>
          </w:p>
          <w:p w14:paraId="25CC1DC5">
            <w:pPr>
              <w:pStyle w:val="31"/>
              <w:rPr>
                <w:color w:val="auto"/>
                <w:sz w:val="24"/>
                <w:szCs w:val="24"/>
              </w:rPr>
            </w:pPr>
          </w:p>
          <w:p w14:paraId="6E8EABB3">
            <w:pPr>
              <w:rPr>
                <w:color w:val="auto"/>
                <w:sz w:val="24"/>
                <w:szCs w:val="24"/>
              </w:rPr>
            </w:pPr>
          </w:p>
          <w:p w14:paraId="75E04BA1">
            <w:pPr>
              <w:pStyle w:val="30"/>
            </w:pPr>
          </w:p>
          <w:p w14:paraId="2BC3F25C">
            <w:pPr>
              <w:spacing w:line="360" w:lineRule="auto"/>
              <w:rPr>
                <w:color w:val="auto"/>
                <w:sz w:val="24"/>
                <w:szCs w:val="24"/>
              </w:rPr>
            </w:pPr>
          </w:p>
        </w:tc>
      </w:tr>
      <w:tr w14:paraId="6A16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5C34A3E0">
            <w:pPr>
              <w:autoSpaceDE w:val="0"/>
              <w:autoSpaceDN w:val="0"/>
              <w:jc w:val="center"/>
              <w:rPr>
                <w:rFonts w:hAnsi="宋体"/>
                <w:color w:val="auto"/>
                <w:szCs w:val="21"/>
              </w:rPr>
            </w:pPr>
            <w:r>
              <w:rPr>
                <w:rFonts w:hint="eastAsia"/>
                <w:color w:val="auto"/>
                <w:sz w:val="24"/>
                <w:szCs w:val="24"/>
              </w:rPr>
              <w:t>污染物排放控制标准</w:t>
            </w:r>
          </w:p>
        </w:tc>
        <w:tc>
          <w:tcPr>
            <w:tcW w:w="8940" w:type="dxa"/>
            <w:vAlign w:val="center"/>
          </w:tcPr>
          <w:p w14:paraId="4616E89E">
            <w:pPr>
              <w:spacing w:line="360" w:lineRule="auto"/>
              <w:rPr>
                <w:b/>
                <w:bCs/>
                <w:color w:val="auto"/>
                <w:sz w:val="24"/>
                <w:szCs w:val="24"/>
              </w:rPr>
            </w:pPr>
            <w:r>
              <w:rPr>
                <w:rFonts w:hint="eastAsia"/>
                <w:b/>
                <w:bCs/>
                <w:color w:val="auto"/>
                <w:sz w:val="24"/>
                <w:szCs w:val="24"/>
              </w:rPr>
              <w:t>1、</w:t>
            </w:r>
            <w:r>
              <w:rPr>
                <w:b/>
                <w:bCs/>
                <w:color w:val="auto"/>
                <w:sz w:val="24"/>
                <w:szCs w:val="24"/>
              </w:rPr>
              <w:t>水污染物排放</w:t>
            </w:r>
            <w:r>
              <w:rPr>
                <w:rFonts w:hint="eastAsia"/>
                <w:b/>
                <w:bCs/>
                <w:color w:val="auto"/>
                <w:sz w:val="24"/>
                <w:szCs w:val="24"/>
              </w:rPr>
              <w:t>控制</w:t>
            </w:r>
            <w:r>
              <w:rPr>
                <w:b/>
                <w:bCs/>
                <w:color w:val="auto"/>
                <w:sz w:val="24"/>
                <w:szCs w:val="24"/>
              </w:rPr>
              <w:t>标准</w:t>
            </w:r>
          </w:p>
          <w:p w14:paraId="59A28C6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本项目废水主要为职工生活污水，无生产废水产生。生活污水经化粪池处理后</w:t>
            </w:r>
            <w:r>
              <w:rPr>
                <w:rFonts w:hint="eastAsia" w:cs="Times New Roman"/>
                <w:color w:val="auto"/>
                <w:sz w:val="24"/>
                <w:szCs w:val="24"/>
                <w:lang w:eastAsia="zh-CN"/>
              </w:rPr>
              <w:t>，</w:t>
            </w:r>
            <w:r>
              <w:rPr>
                <w:rFonts w:hint="eastAsia" w:cs="Times New Roman"/>
                <w:color w:val="auto"/>
                <w:sz w:val="24"/>
                <w:szCs w:val="24"/>
                <w:lang w:val="en-US" w:eastAsia="zh-CN"/>
              </w:rPr>
              <w:t>定期清掏用于农田施肥，不外排。</w:t>
            </w:r>
          </w:p>
          <w:p w14:paraId="0E588467">
            <w:pPr>
              <w:spacing w:line="360" w:lineRule="auto"/>
              <w:rPr>
                <w:b/>
                <w:bCs/>
                <w:color w:val="auto"/>
                <w:sz w:val="24"/>
                <w:szCs w:val="24"/>
              </w:rPr>
            </w:pPr>
            <w:r>
              <w:rPr>
                <w:rFonts w:hint="eastAsia"/>
                <w:b/>
                <w:bCs/>
                <w:color w:val="auto"/>
                <w:sz w:val="24"/>
                <w:szCs w:val="24"/>
              </w:rPr>
              <w:t>2、</w:t>
            </w:r>
            <w:r>
              <w:rPr>
                <w:b/>
                <w:bCs/>
                <w:color w:val="auto"/>
                <w:sz w:val="24"/>
                <w:szCs w:val="24"/>
              </w:rPr>
              <w:t>废气污染物排放</w:t>
            </w:r>
            <w:r>
              <w:rPr>
                <w:rFonts w:hint="eastAsia"/>
                <w:b/>
                <w:bCs/>
                <w:color w:val="auto"/>
                <w:sz w:val="24"/>
                <w:szCs w:val="24"/>
              </w:rPr>
              <w:t>控制</w:t>
            </w:r>
            <w:r>
              <w:rPr>
                <w:b/>
                <w:bCs/>
                <w:color w:val="auto"/>
                <w:sz w:val="24"/>
                <w:szCs w:val="24"/>
              </w:rPr>
              <w:t>标准</w:t>
            </w:r>
          </w:p>
          <w:p w14:paraId="228ABF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施工期建设产生的颗粒物排放执行安徽省《施工场地颗粒物排放标准》（DB34/ 4811-2024）中相关标准。</w:t>
            </w:r>
          </w:p>
          <w:p w14:paraId="4B5F8CEC">
            <w:pPr>
              <w:pStyle w:val="252"/>
              <w:bidi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 xml:space="preserve">3-4  </w:t>
            </w:r>
            <w:r>
              <w:rPr>
                <w:rFonts w:ascii="Times New Roman" w:hAnsi="Times New Roman" w:eastAsia="宋体" w:cs="Times New Roman"/>
                <w:color w:val="auto"/>
                <w:highlight w:val="none"/>
              </w:rPr>
              <w:t>施工场地颗粒物排放标准</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001"/>
              <w:gridCol w:w="2660"/>
              <w:gridCol w:w="2736"/>
            </w:tblGrid>
            <w:tr w14:paraId="6AD2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54" w:type="pct"/>
                  <w:shd w:val="clear" w:color="auto" w:fill="auto"/>
                  <w:vAlign w:val="center"/>
                </w:tcPr>
                <w:p w14:paraId="16C2226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排放工序</w:t>
                  </w:r>
                </w:p>
              </w:tc>
              <w:tc>
                <w:tcPr>
                  <w:tcW w:w="1148" w:type="pct"/>
                  <w:shd w:val="clear" w:color="auto" w:fill="auto"/>
                  <w:vAlign w:val="center"/>
                </w:tcPr>
                <w:p w14:paraId="1DADFCB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1526" w:type="pct"/>
                  <w:shd w:val="clear" w:color="auto" w:fill="auto"/>
                  <w:vAlign w:val="center"/>
                </w:tcPr>
                <w:p w14:paraId="7270017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无组织排放监控浓度限值μg/m</w:t>
                  </w:r>
                  <w:r>
                    <w:rPr>
                      <w:rFonts w:hint="eastAsia" w:ascii="Times New Roman" w:hAnsi="Times New Roman" w:eastAsia="宋体" w:cs="Times New Roman"/>
                      <w:color w:val="auto"/>
                      <w:szCs w:val="21"/>
                      <w:vertAlign w:val="superscript"/>
                    </w:rPr>
                    <w:t>3</w:t>
                  </w:r>
                </w:p>
              </w:tc>
              <w:tc>
                <w:tcPr>
                  <w:tcW w:w="1570" w:type="pct"/>
                  <w:shd w:val="clear" w:color="auto" w:fill="auto"/>
                  <w:vAlign w:val="center"/>
                </w:tcPr>
                <w:p w14:paraId="7C23DA4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14:paraId="7F4B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4" w:type="pct"/>
                  <w:vMerge w:val="restart"/>
                  <w:shd w:val="clear" w:color="auto" w:fill="auto"/>
                  <w:noWrap/>
                  <w:vAlign w:val="center"/>
                </w:tcPr>
                <w:p w14:paraId="2E37BEE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施工期</w:t>
                  </w:r>
                </w:p>
              </w:tc>
              <w:tc>
                <w:tcPr>
                  <w:tcW w:w="1148" w:type="pct"/>
                  <w:vMerge w:val="restart"/>
                  <w:shd w:val="clear" w:color="auto" w:fill="auto"/>
                  <w:vAlign w:val="center"/>
                </w:tcPr>
                <w:p w14:paraId="14B4A9A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TSP</w:t>
                  </w:r>
                </w:p>
              </w:tc>
              <w:tc>
                <w:tcPr>
                  <w:tcW w:w="1526" w:type="pct"/>
                  <w:shd w:val="clear" w:color="auto" w:fill="auto"/>
                  <w:vAlign w:val="center"/>
                </w:tcPr>
                <w:p w14:paraId="72917E1D">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1000</w:t>
                  </w:r>
                </w:p>
              </w:tc>
              <w:tc>
                <w:tcPr>
                  <w:tcW w:w="1570" w:type="pct"/>
                  <w:shd w:val="clear" w:color="auto" w:fill="auto"/>
                  <w:vAlign w:val="center"/>
                </w:tcPr>
                <w:p w14:paraId="2287C88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超标次数≤1次/日</w:t>
                  </w:r>
                </w:p>
              </w:tc>
            </w:tr>
            <w:tr w14:paraId="0590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4" w:type="pct"/>
                  <w:vMerge w:val="continue"/>
                  <w:shd w:val="clear" w:color="auto" w:fill="auto"/>
                  <w:noWrap/>
                  <w:vAlign w:val="center"/>
                </w:tcPr>
                <w:p w14:paraId="1E6EB6A2">
                  <w:pPr>
                    <w:jc w:val="center"/>
                    <w:rPr>
                      <w:rFonts w:hint="eastAsia" w:ascii="Times New Roman" w:hAnsi="Times New Roman" w:eastAsia="宋体" w:cs="Times New Roman"/>
                      <w:color w:val="auto"/>
                      <w:szCs w:val="21"/>
                    </w:rPr>
                  </w:pPr>
                </w:p>
              </w:tc>
              <w:tc>
                <w:tcPr>
                  <w:tcW w:w="1148" w:type="pct"/>
                  <w:vMerge w:val="continue"/>
                  <w:shd w:val="clear" w:color="auto" w:fill="auto"/>
                  <w:vAlign w:val="center"/>
                </w:tcPr>
                <w:p w14:paraId="737984B3">
                  <w:pPr>
                    <w:jc w:val="center"/>
                    <w:rPr>
                      <w:rFonts w:hint="eastAsia" w:ascii="Times New Roman" w:hAnsi="Times New Roman" w:eastAsia="宋体" w:cs="Times New Roman"/>
                      <w:color w:val="auto"/>
                      <w:szCs w:val="21"/>
                    </w:rPr>
                  </w:pPr>
                </w:p>
              </w:tc>
              <w:tc>
                <w:tcPr>
                  <w:tcW w:w="1526" w:type="pct"/>
                  <w:shd w:val="clear" w:color="auto" w:fill="auto"/>
                  <w:vAlign w:val="center"/>
                </w:tcPr>
                <w:p w14:paraId="6B126AC8">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500</w:t>
                  </w:r>
                </w:p>
              </w:tc>
              <w:tc>
                <w:tcPr>
                  <w:tcW w:w="1570" w:type="pct"/>
                  <w:shd w:val="clear" w:color="auto" w:fill="auto"/>
                  <w:vAlign w:val="center"/>
                </w:tcPr>
                <w:p w14:paraId="50CF8015">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超标次数≤6次/日</w:t>
                  </w:r>
                </w:p>
              </w:tc>
            </w:tr>
          </w:tbl>
          <w:p w14:paraId="08A760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s="Times New Roman"/>
                <w:color w:val="auto"/>
                <w:sz w:val="24"/>
                <w:lang w:val="en-US" w:eastAsia="zh-CN"/>
              </w:rPr>
              <w:t>项目运营期废气污染物（颗粒物）有组织、无组织排放浓度分别执行</w:t>
            </w:r>
            <w:r>
              <w:rPr>
                <w:rFonts w:hint="eastAsia"/>
                <w:color w:val="auto"/>
                <w:sz w:val="24"/>
              </w:rPr>
              <w:t>《大气污染物综合排放标准》（G</w:t>
            </w:r>
            <w:r>
              <w:rPr>
                <w:color w:val="auto"/>
                <w:sz w:val="24"/>
              </w:rPr>
              <w:t>B</w:t>
            </w:r>
            <w:r>
              <w:rPr>
                <w:rFonts w:hint="eastAsia"/>
                <w:color w:val="auto"/>
                <w:sz w:val="24"/>
              </w:rPr>
              <w:t>12697</w:t>
            </w:r>
            <w:r>
              <w:rPr>
                <w:color w:val="auto"/>
                <w:sz w:val="24"/>
              </w:rPr>
              <w:t>-</w:t>
            </w:r>
            <w:r>
              <w:rPr>
                <w:rFonts w:hint="eastAsia"/>
                <w:color w:val="auto"/>
                <w:sz w:val="24"/>
              </w:rPr>
              <w:t>1996）</w:t>
            </w:r>
            <w:r>
              <w:rPr>
                <w:rFonts w:hint="eastAsia"/>
                <w:color w:val="auto"/>
                <w:sz w:val="24"/>
                <w:lang w:eastAsia="zh-CN"/>
              </w:rPr>
              <w:t>表</w:t>
            </w:r>
            <w:r>
              <w:rPr>
                <w:rFonts w:hint="eastAsia"/>
                <w:color w:val="auto"/>
                <w:sz w:val="24"/>
                <w:lang w:val="en-US" w:eastAsia="zh-CN"/>
              </w:rPr>
              <w:t>2中二级标准及无组织排放监控浓度限值标准</w:t>
            </w:r>
            <w:r>
              <w:rPr>
                <w:rFonts w:hint="eastAsia"/>
                <w:color w:val="auto"/>
                <w:sz w:val="24"/>
              </w:rPr>
              <w:t>，具体见下表。</w:t>
            </w:r>
          </w:p>
          <w:p w14:paraId="6911AFC3">
            <w:pPr>
              <w:ind w:firstLine="211" w:firstLineChars="100"/>
              <w:jc w:val="center"/>
              <w:rPr>
                <w:rFonts w:hint="eastAsia" w:eastAsia="宋体"/>
                <w:b/>
                <w:bCs/>
                <w:color w:val="auto"/>
                <w:szCs w:val="21"/>
                <w:lang w:val="en-US" w:eastAsia="zh-CN"/>
              </w:rPr>
            </w:pPr>
            <w:r>
              <w:rPr>
                <w:rFonts w:hint="eastAsia"/>
                <w:b/>
                <w:bCs/>
                <w:color w:val="auto"/>
                <w:szCs w:val="21"/>
              </w:rPr>
              <w:t>表3-</w:t>
            </w:r>
            <w:r>
              <w:rPr>
                <w:rFonts w:hint="eastAsia"/>
                <w:b/>
                <w:bCs/>
                <w:color w:val="auto"/>
                <w:szCs w:val="21"/>
                <w:lang w:val="en-US" w:eastAsia="zh-CN"/>
              </w:rPr>
              <w:t xml:space="preserve">5 </w:t>
            </w:r>
            <w:r>
              <w:rPr>
                <w:rFonts w:hint="eastAsia"/>
                <w:b/>
                <w:bCs/>
                <w:color w:val="auto"/>
                <w:szCs w:val="21"/>
              </w:rPr>
              <w:t xml:space="preserve"> 大气污染物排放标准</w:t>
            </w:r>
            <w:r>
              <w:rPr>
                <w:rFonts w:hint="eastAsia"/>
                <w:b/>
                <w:bCs/>
                <w:color w:val="auto"/>
                <w:szCs w:val="21"/>
                <w:lang w:val="en-US" w:eastAsia="zh-CN"/>
              </w:rPr>
              <w:t>一览表</w:t>
            </w:r>
          </w:p>
          <w:tbl>
            <w:tblPr>
              <w:tblStyle w:val="46"/>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492"/>
              <w:gridCol w:w="2456"/>
              <w:gridCol w:w="2231"/>
            </w:tblGrid>
            <w:tr w14:paraId="067B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Align w:val="center"/>
                </w:tcPr>
                <w:p w14:paraId="18B09611">
                  <w:pPr>
                    <w:jc w:val="center"/>
                    <w:rPr>
                      <w:b/>
                      <w:bCs/>
                      <w:color w:val="auto"/>
                      <w:szCs w:val="21"/>
                    </w:rPr>
                  </w:pPr>
                  <w:r>
                    <w:rPr>
                      <w:rFonts w:hint="eastAsia"/>
                      <w:b/>
                      <w:bCs/>
                      <w:color w:val="auto"/>
                      <w:szCs w:val="21"/>
                    </w:rPr>
                    <w:t>污染物</w:t>
                  </w:r>
                </w:p>
              </w:tc>
              <w:tc>
                <w:tcPr>
                  <w:tcW w:w="2492" w:type="dxa"/>
                  <w:vAlign w:val="top"/>
                </w:tcPr>
                <w:p w14:paraId="52219A8B">
                  <w:pPr>
                    <w:jc w:val="center"/>
                    <w:rPr>
                      <w:b/>
                      <w:bCs/>
                      <w:color w:val="auto"/>
                      <w:szCs w:val="21"/>
                    </w:rPr>
                  </w:pPr>
                  <w:r>
                    <w:rPr>
                      <w:rFonts w:hint="eastAsia"/>
                      <w:b/>
                      <w:bCs/>
                      <w:color w:val="auto"/>
                      <w:szCs w:val="21"/>
                    </w:rPr>
                    <w:t>最高允许排放浓度</w:t>
                  </w:r>
                </w:p>
                <w:p w14:paraId="74332B79">
                  <w:pPr>
                    <w:jc w:val="center"/>
                    <w:rPr>
                      <w:b/>
                      <w:bCs/>
                      <w:color w:val="auto"/>
                      <w:szCs w:val="21"/>
                    </w:rPr>
                  </w:pPr>
                  <w:r>
                    <w:rPr>
                      <w:rFonts w:hint="eastAsia"/>
                      <w:b/>
                      <w:bCs/>
                      <w:color w:val="auto"/>
                      <w:szCs w:val="21"/>
                      <w:lang w:eastAsia="zh-CN"/>
                    </w:rPr>
                    <w:t>(</w:t>
                  </w:r>
                  <w:r>
                    <w:rPr>
                      <w:rFonts w:hint="eastAsia"/>
                      <w:b/>
                      <w:bCs/>
                      <w:color w:val="auto"/>
                      <w:szCs w:val="21"/>
                    </w:rPr>
                    <w:t>mg/m</w:t>
                  </w:r>
                  <w:r>
                    <w:rPr>
                      <w:rFonts w:hint="eastAsia"/>
                      <w:b/>
                      <w:bCs/>
                      <w:color w:val="auto"/>
                      <w:szCs w:val="21"/>
                      <w:vertAlign w:val="superscript"/>
                    </w:rPr>
                    <w:t>3</w:t>
                  </w:r>
                  <w:r>
                    <w:rPr>
                      <w:rFonts w:hint="eastAsia"/>
                      <w:b/>
                      <w:bCs/>
                      <w:color w:val="auto"/>
                      <w:szCs w:val="21"/>
                      <w:vertAlign w:val="superscript"/>
                      <w:lang w:eastAsia="zh-CN"/>
                    </w:rPr>
                    <w:t>)</w:t>
                  </w:r>
                </w:p>
              </w:tc>
              <w:tc>
                <w:tcPr>
                  <w:tcW w:w="2456" w:type="dxa"/>
                  <w:vAlign w:val="center"/>
                </w:tcPr>
                <w:p w14:paraId="0EF344B4">
                  <w:pPr>
                    <w:jc w:val="center"/>
                    <w:rPr>
                      <w:b/>
                      <w:bCs/>
                      <w:color w:val="auto"/>
                      <w:szCs w:val="21"/>
                    </w:rPr>
                  </w:pPr>
                  <w:r>
                    <w:rPr>
                      <w:rFonts w:hint="eastAsia"/>
                      <w:b/>
                      <w:bCs/>
                      <w:color w:val="auto"/>
                      <w:szCs w:val="21"/>
                    </w:rPr>
                    <w:t>最高允许排放速率（kg/h）</w:t>
                  </w:r>
                </w:p>
              </w:tc>
              <w:tc>
                <w:tcPr>
                  <w:tcW w:w="2231" w:type="dxa"/>
                  <w:vAlign w:val="top"/>
                </w:tcPr>
                <w:p w14:paraId="7D0EADC5">
                  <w:pPr>
                    <w:jc w:val="center"/>
                    <w:rPr>
                      <w:b/>
                      <w:bCs/>
                      <w:color w:val="auto"/>
                      <w:szCs w:val="21"/>
                    </w:rPr>
                  </w:pPr>
                  <w:r>
                    <w:rPr>
                      <w:rFonts w:hint="eastAsia"/>
                      <w:b/>
                      <w:bCs/>
                      <w:color w:val="auto"/>
                      <w:szCs w:val="21"/>
                      <w:lang w:val="en-US" w:eastAsia="zh-CN"/>
                    </w:rPr>
                    <w:t>厂</w:t>
                  </w:r>
                  <w:r>
                    <w:rPr>
                      <w:rFonts w:hint="eastAsia"/>
                      <w:b/>
                      <w:bCs/>
                      <w:color w:val="auto"/>
                      <w:szCs w:val="21"/>
                    </w:rPr>
                    <w:t>界外浓度限值（mg/m</w:t>
                  </w:r>
                  <w:r>
                    <w:rPr>
                      <w:rFonts w:hint="eastAsia"/>
                      <w:b/>
                      <w:bCs/>
                      <w:color w:val="auto"/>
                      <w:szCs w:val="21"/>
                      <w:vertAlign w:val="superscript"/>
                    </w:rPr>
                    <w:t>3</w:t>
                  </w:r>
                  <w:r>
                    <w:rPr>
                      <w:rFonts w:hint="eastAsia"/>
                      <w:b/>
                      <w:bCs/>
                      <w:color w:val="auto"/>
                      <w:szCs w:val="21"/>
                    </w:rPr>
                    <w:t>）</w:t>
                  </w:r>
                </w:p>
              </w:tc>
            </w:tr>
            <w:tr w14:paraId="3A8D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Align w:val="top"/>
                </w:tcPr>
                <w:p w14:paraId="2A5B37CC">
                  <w:pPr>
                    <w:jc w:val="center"/>
                    <w:rPr>
                      <w:color w:val="auto"/>
                      <w:szCs w:val="21"/>
                    </w:rPr>
                  </w:pPr>
                  <w:r>
                    <w:rPr>
                      <w:rFonts w:hint="eastAsia"/>
                      <w:color w:val="auto"/>
                      <w:szCs w:val="21"/>
                    </w:rPr>
                    <w:t>颗粒物</w:t>
                  </w:r>
                </w:p>
              </w:tc>
              <w:tc>
                <w:tcPr>
                  <w:tcW w:w="2492" w:type="dxa"/>
                  <w:vAlign w:val="center"/>
                </w:tcPr>
                <w:p w14:paraId="18DE84B9">
                  <w:pPr>
                    <w:jc w:val="center"/>
                    <w:rPr>
                      <w:color w:val="auto"/>
                      <w:szCs w:val="21"/>
                    </w:rPr>
                  </w:pPr>
                  <w:r>
                    <w:rPr>
                      <w:rFonts w:hint="eastAsia"/>
                      <w:color w:val="auto"/>
                      <w:szCs w:val="21"/>
                    </w:rPr>
                    <w:t>120</w:t>
                  </w:r>
                </w:p>
              </w:tc>
              <w:tc>
                <w:tcPr>
                  <w:tcW w:w="2456" w:type="dxa"/>
                  <w:vAlign w:val="center"/>
                </w:tcPr>
                <w:p w14:paraId="4D38A25F">
                  <w:pPr>
                    <w:jc w:val="center"/>
                    <w:rPr>
                      <w:color w:val="auto"/>
                      <w:szCs w:val="21"/>
                    </w:rPr>
                  </w:pPr>
                  <w:r>
                    <w:rPr>
                      <w:rFonts w:hint="eastAsia"/>
                      <w:color w:val="auto"/>
                      <w:szCs w:val="21"/>
                    </w:rPr>
                    <w:t>3.5</w:t>
                  </w:r>
                </w:p>
              </w:tc>
              <w:tc>
                <w:tcPr>
                  <w:tcW w:w="2231" w:type="dxa"/>
                  <w:vAlign w:val="center"/>
                </w:tcPr>
                <w:p w14:paraId="7A178EFB">
                  <w:pPr>
                    <w:jc w:val="center"/>
                    <w:rPr>
                      <w:color w:val="auto"/>
                      <w:szCs w:val="21"/>
                    </w:rPr>
                  </w:pPr>
                  <w:r>
                    <w:rPr>
                      <w:rFonts w:hint="eastAsia"/>
                      <w:color w:val="auto"/>
                      <w:szCs w:val="21"/>
                    </w:rPr>
                    <w:t>1.0</w:t>
                  </w:r>
                </w:p>
              </w:tc>
            </w:tr>
          </w:tbl>
          <w:p w14:paraId="3B75A783">
            <w:pPr>
              <w:spacing w:line="360" w:lineRule="auto"/>
              <w:rPr>
                <w:b/>
                <w:bCs/>
                <w:color w:val="auto"/>
                <w:sz w:val="24"/>
                <w:szCs w:val="24"/>
              </w:rPr>
            </w:pPr>
            <w:r>
              <w:rPr>
                <w:rFonts w:hint="eastAsia"/>
                <w:b/>
                <w:bCs/>
                <w:color w:val="auto"/>
                <w:sz w:val="24"/>
                <w:szCs w:val="24"/>
              </w:rPr>
              <w:t>3、</w:t>
            </w:r>
            <w:r>
              <w:rPr>
                <w:b/>
                <w:bCs/>
                <w:color w:val="auto"/>
                <w:sz w:val="24"/>
                <w:szCs w:val="24"/>
              </w:rPr>
              <w:t>噪声排放</w:t>
            </w:r>
            <w:r>
              <w:rPr>
                <w:rFonts w:hint="eastAsia"/>
                <w:b/>
                <w:bCs/>
                <w:color w:val="auto"/>
                <w:sz w:val="24"/>
                <w:szCs w:val="24"/>
              </w:rPr>
              <w:t>控制</w:t>
            </w:r>
            <w:r>
              <w:rPr>
                <w:b/>
                <w:bCs/>
                <w:color w:val="auto"/>
                <w:sz w:val="24"/>
                <w:szCs w:val="24"/>
              </w:rPr>
              <w:t>标准</w:t>
            </w:r>
          </w:p>
          <w:p w14:paraId="4C56A712">
            <w:pPr>
              <w:pStyle w:val="257"/>
              <w:bidi w:val="0"/>
              <w:rPr>
                <w:color w:val="auto"/>
                <w:sz w:val="24"/>
                <w:szCs w:val="24"/>
                <w:highlight w:val="none"/>
              </w:rPr>
            </w:pPr>
            <w:r>
              <w:rPr>
                <w:color w:val="auto"/>
                <w:sz w:val="24"/>
                <w:szCs w:val="24"/>
                <w:highlight w:val="none"/>
              </w:rPr>
              <w:t>施工期噪声执行</w:t>
            </w:r>
            <w:r>
              <w:rPr>
                <w:rFonts w:ascii="Times New Roman" w:hAnsi="Times New Roman"/>
                <w:color w:val="auto"/>
                <w:sz w:val="24"/>
                <w:szCs w:val="24"/>
                <w:highlight w:val="none"/>
              </w:rPr>
              <w:t>《建筑施工噪声排放标准》（GB12523-20</w:t>
            </w:r>
            <w:r>
              <w:rPr>
                <w:rFonts w:hint="eastAsia" w:ascii="Times New Roman" w:hAnsi="Times New Roman"/>
                <w:color w:val="auto"/>
                <w:sz w:val="24"/>
                <w:szCs w:val="24"/>
                <w:highlight w:val="none"/>
                <w:lang w:val="en-US" w:eastAsia="zh-CN"/>
              </w:rPr>
              <w:t>25</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中排放标准</w:t>
            </w:r>
            <w:r>
              <w:rPr>
                <w:color w:val="auto"/>
                <w:sz w:val="24"/>
                <w:szCs w:val="24"/>
                <w:highlight w:val="none"/>
              </w:rPr>
              <w:t>，详见下表。</w:t>
            </w:r>
          </w:p>
          <w:p w14:paraId="06C38F5C">
            <w:pPr>
              <w:pStyle w:val="252"/>
              <w:bidi w:val="0"/>
              <w:rPr>
                <w:color w:val="auto"/>
                <w:highlight w:val="none"/>
              </w:rPr>
            </w:pPr>
            <w:r>
              <w:rPr>
                <w:color w:val="auto"/>
                <w:highlight w:val="none"/>
              </w:rPr>
              <w:t>表</w:t>
            </w:r>
            <w:r>
              <w:rPr>
                <w:rFonts w:hint="eastAsia"/>
                <w:color w:val="auto"/>
                <w:highlight w:val="none"/>
                <w:lang w:val="en-US" w:eastAsia="zh-CN"/>
              </w:rPr>
              <w:t>3-6</w:t>
            </w:r>
            <w:r>
              <w:rPr>
                <w:color w:val="auto"/>
                <w:highlight w:val="none"/>
              </w:rPr>
              <w:t xml:space="preserve"> </w:t>
            </w:r>
            <w:r>
              <w:rPr>
                <w:rFonts w:hint="eastAsia"/>
                <w:color w:val="auto"/>
                <w:highlight w:val="none"/>
                <w:lang w:val="en-US" w:eastAsia="zh-CN"/>
              </w:rPr>
              <w:t xml:space="preserve"> </w:t>
            </w:r>
            <w:r>
              <w:rPr>
                <w:color w:val="auto"/>
                <w:highlight w:val="none"/>
              </w:rPr>
              <w:t>建筑施工噪声排放标准</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5"/>
              <w:gridCol w:w="2561"/>
              <w:gridCol w:w="2192"/>
            </w:tblGrid>
            <w:tr w14:paraId="4CA9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70" w:type="pct"/>
                  <w:tcBorders>
                    <w:tl2br w:val="nil"/>
                    <w:tr2bl w:val="nil"/>
                  </w:tcBorders>
                  <w:vAlign w:val="center"/>
                </w:tcPr>
                <w:p w14:paraId="239CEA44">
                  <w:pPr>
                    <w:pStyle w:val="253"/>
                    <w:bidi w:val="0"/>
                    <w:rPr>
                      <w:color w:val="auto"/>
                      <w:highlight w:val="none"/>
                    </w:rPr>
                  </w:pPr>
                  <w:r>
                    <w:rPr>
                      <w:color w:val="auto"/>
                      <w:highlight w:val="none"/>
                    </w:rPr>
                    <w:t>标准类别</w:t>
                  </w:r>
                </w:p>
              </w:tc>
              <w:tc>
                <w:tcPr>
                  <w:tcW w:w="1470" w:type="pct"/>
                  <w:tcBorders>
                    <w:tl2br w:val="nil"/>
                    <w:tr2bl w:val="nil"/>
                  </w:tcBorders>
                  <w:vAlign w:val="center"/>
                </w:tcPr>
                <w:p w14:paraId="2A6BDD1D">
                  <w:pPr>
                    <w:pStyle w:val="253"/>
                    <w:bidi w:val="0"/>
                    <w:rPr>
                      <w:color w:val="auto"/>
                      <w:highlight w:val="none"/>
                    </w:rPr>
                  </w:pPr>
                  <w:r>
                    <w:rPr>
                      <w:color w:val="auto"/>
                      <w:highlight w:val="none"/>
                    </w:rPr>
                    <w:t>昼间</w:t>
                  </w:r>
                </w:p>
              </w:tc>
              <w:tc>
                <w:tcPr>
                  <w:tcW w:w="1258" w:type="pct"/>
                  <w:tcBorders>
                    <w:tl2br w:val="nil"/>
                    <w:tr2bl w:val="nil"/>
                  </w:tcBorders>
                  <w:vAlign w:val="center"/>
                </w:tcPr>
                <w:p w14:paraId="3B7A2507">
                  <w:pPr>
                    <w:pStyle w:val="253"/>
                    <w:bidi w:val="0"/>
                    <w:rPr>
                      <w:color w:val="auto"/>
                      <w:highlight w:val="none"/>
                    </w:rPr>
                  </w:pPr>
                  <w:r>
                    <w:rPr>
                      <w:color w:val="auto"/>
                      <w:highlight w:val="none"/>
                    </w:rPr>
                    <w:t>夜间</w:t>
                  </w:r>
                </w:p>
              </w:tc>
            </w:tr>
            <w:tr w14:paraId="72C8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70" w:type="pct"/>
                  <w:tcBorders>
                    <w:tl2br w:val="nil"/>
                    <w:tr2bl w:val="nil"/>
                  </w:tcBorders>
                  <w:vAlign w:val="center"/>
                </w:tcPr>
                <w:p w14:paraId="4D250911">
                  <w:pPr>
                    <w:pStyle w:val="253"/>
                    <w:bidi w:val="0"/>
                    <w:rPr>
                      <w:color w:val="auto"/>
                      <w:highlight w:val="none"/>
                    </w:rPr>
                  </w:pPr>
                  <w:r>
                    <w:rPr>
                      <w:color w:val="auto"/>
                      <w:highlight w:val="none"/>
                    </w:rPr>
                    <w:t>《建筑施工噪声排放标准》（GB12523-20</w:t>
                  </w:r>
                  <w:r>
                    <w:rPr>
                      <w:rFonts w:hint="eastAsia"/>
                      <w:color w:val="auto"/>
                      <w:highlight w:val="none"/>
                      <w:lang w:val="en-US" w:eastAsia="zh-CN"/>
                    </w:rPr>
                    <w:t>25</w:t>
                  </w:r>
                  <w:r>
                    <w:rPr>
                      <w:color w:val="auto"/>
                      <w:highlight w:val="none"/>
                    </w:rPr>
                    <w:t>）</w:t>
                  </w:r>
                </w:p>
              </w:tc>
              <w:tc>
                <w:tcPr>
                  <w:tcW w:w="1470" w:type="pct"/>
                  <w:tcBorders>
                    <w:tl2br w:val="nil"/>
                    <w:tr2bl w:val="nil"/>
                  </w:tcBorders>
                  <w:vAlign w:val="center"/>
                </w:tcPr>
                <w:p w14:paraId="6A9C66DD">
                  <w:pPr>
                    <w:pStyle w:val="253"/>
                    <w:bidi w:val="0"/>
                    <w:rPr>
                      <w:color w:val="auto"/>
                      <w:highlight w:val="none"/>
                    </w:rPr>
                  </w:pPr>
                  <w:r>
                    <w:rPr>
                      <w:color w:val="auto"/>
                      <w:highlight w:val="none"/>
                    </w:rPr>
                    <w:t>70 dB</w:t>
                  </w:r>
                  <w:r>
                    <w:rPr>
                      <w:rFonts w:hint="eastAsia"/>
                      <w:color w:val="auto"/>
                      <w:highlight w:val="none"/>
                    </w:rPr>
                    <w:t>（</w:t>
                  </w:r>
                  <w:r>
                    <w:rPr>
                      <w:color w:val="auto"/>
                      <w:highlight w:val="none"/>
                    </w:rPr>
                    <w:t>A</w:t>
                  </w:r>
                  <w:r>
                    <w:rPr>
                      <w:rFonts w:hint="eastAsia"/>
                      <w:color w:val="auto"/>
                      <w:highlight w:val="none"/>
                    </w:rPr>
                    <w:t>）</w:t>
                  </w:r>
                </w:p>
              </w:tc>
              <w:tc>
                <w:tcPr>
                  <w:tcW w:w="1258" w:type="pct"/>
                  <w:tcBorders>
                    <w:tl2br w:val="nil"/>
                    <w:tr2bl w:val="nil"/>
                  </w:tcBorders>
                  <w:vAlign w:val="center"/>
                </w:tcPr>
                <w:p w14:paraId="444EE38E">
                  <w:pPr>
                    <w:pStyle w:val="253"/>
                    <w:bidi w:val="0"/>
                    <w:rPr>
                      <w:color w:val="auto"/>
                      <w:highlight w:val="none"/>
                    </w:rPr>
                  </w:pPr>
                  <w:r>
                    <w:rPr>
                      <w:color w:val="auto"/>
                      <w:highlight w:val="none"/>
                    </w:rPr>
                    <w:t>55 dB</w:t>
                  </w:r>
                  <w:r>
                    <w:rPr>
                      <w:rFonts w:hint="eastAsia"/>
                      <w:color w:val="auto"/>
                      <w:highlight w:val="none"/>
                    </w:rPr>
                    <w:t>（</w:t>
                  </w:r>
                  <w:r>
                    <w:rPr>
                      <w:color w:val="auto"/>
                      <w:highlight w:val="none"/>
                    </w:rPr>
                    <w:t>A</w:t>
                  </w:r>
                  <w:r>
                    <w:rPr>
                      <w:rFonts w:hint="eastAsia"/>
                      <w:color w:val="auto"/>
                      <w:highlight w:val="none"/>
                    </w:rPr>
                    <w:t>）</w:t>
                  </w:r>
                </w:p>
              </w:tc>
            </w:tr>
          </w:tbl>
          <w:p w14:paraId="62F0D550">
            <w:pPr>
              <w:spacing w:line="360" w:lineRule="auto"/>
              <w:ind w:firstLine="480" w:firstLineChars="200"/>
              <w:rPr>
                <w:rFonts w:hAnsi="宋体"/>
                <w:b/>
                <w:color w:val="auto"/>
                <w:szCs w:val="21"/>
              </w:rPr>
            </w:pPr>
            <w:r>
              <w:rPr>
                <w:rFonts w:hint="eastAsia"/>
                <w:color w:val="auto"/>
                <w:sz w:val="24"/>
              </w:rPr>
              <w:t>建设</w:t>
            </w:r>
            <w:r>
              <w:rPr>
                <w:color w:val="auto"/>
                <w:sz w:val="24"/>
              </w:rPr>
              <w:t>项目</w:t>
            </w:r>
            <w:r>
              <w:rPr>
                <w:rFonts w:hAnsi="宋体"/>
                <w:color w:val="auto"/>
                <w:sz w:val="24"/>
              </w:rPr>
              <w:t>运营期厂界噪声执行《工业企业厂界环境噪声排放标准》（</w:t>
            </w:r>
            <w:r>
              <w:rPr>
                <w:color w:val="auto"/>
                <w:sz w:val="24"/>
              </w:rPr>
              <w:t>GB12348-2008</w:t>
            </w:r>
            <w:r>
              <w:rPr>
                <w:rFonts w:hAnsi="宋体"/>
                <w:color w:val="auto"/>
                <w:sz w:val="24"/>
              </w:rPr>
              <w:t>）中</w:t>
            </w:r>
            <w:r>
              <w:rPr>
                <w:rFonts w:hint="eastAsia"/>
                <w:color w:val="auto"/>
                <w:sz w:val="24"/>
                <w:lang w:val="en-US" w:eastAsia="zh-CN"/>
              </w:rPr>
              <w:t>2</w:t>
            </w:r>
            <w:r>
              <w:rPr>
                <w:rFonts w:hAnsi="宋体"/>
                <w:color w:val="auto"/>
                <w:sz w:val="24"/>
              </w:rPr>
              <w:t>类区标准</w:t>
            </w:r>
            <w:r>
              <w:rPr>
                <w:rFonts w:hint="eastAsia" w:ascii="Times New Roman" w:hAnsi="Times New Roman" w:cs="Times New Roman"/>
                <w:color w:val="auto"/>
                <w:sz w:val="24"/>
                <w:lang w:val="en-US" w:eastAsia="zh-CN"/>
              </w:rPr>
              <w:t>，</w:t>
            </w:r>
            <w:r>
              <w:rPr>
                <w:rFonts w:hAnsi="宋体"/>
                <w:color w:val="auto"/>
                <w:sz w:val="24"/>
              </w:rPr>
              <w:t>具体标准值见</w:t>
            </w:r>
            <w:r>
              <w:rPr>
                <w:rFonts w:hint="eastAsia" w:hAnsi="宋体"/>
                <w:color w:val="auto"/>
                <w:sz w:val="24"/>
              </w:rPr>
              <w:t>下表</w:t>
            </w:r>
            <w:r>
              <w:rPr>
                <w:rFonts w:hAnsi="宋体"/>
                <w:color w:val="auto"/>
                <w:sz w:val="24"/>
              </w:rPr>
              <w:t>。</w:t>
            </w:r>
          </w:p>
          <w:p w14:paraId="19DA8B2B">
            <w:pPr>
              <w:snapToGrid w:val="0"/>
              <w:spacing w:line="240" w:lineRule="auto"/>
              <w:jc w:val="center"/>
              <w:rPr>
                <w:b/>
                <w:color w:val="auto"/>
                <w:szCs w:val="21"/>
              </w:rPr>
            </w:pPr>
            <w:r>
              <w:rPr>
                <w:rFonts w:hAnsi="宋体"/>
                <w:b/>
                <w:color w:val="auto"/>
                <w:szCs w:val="21"/>
              </w:rPr>
              <w:t>表</w:t>
            </w:r>
            <w:r>
              <w:rPr>
                <w:rFonts w:hint="eastAsia"/>
                <w:b/>
                <w:color w:val="auto"/>
                <w:szCs w:val="21"/>
              </w:rPr>
              <w:t>3-</w:t>
            </w:r>
            <w:r>
              <w:rPr>
                <w:rFonts w:hint="eastAsia"/>
                <w:b/>
                <w:color w:val="auto"/>
                <w:szCs w:val="21"/>
                <w:lang w:val="en-US" w:eastAsia="zh-CN"/>
              </w:rPr>
              <w:t>7</w:t>
            </w:r>
            <w:r>
              <w:rPr>
                <w:b/>
                <w:color w:val="auto"/>
                <w:szCs w:val="21"/>
              </w:rPr>
              <w:t xml:space="preserve">  </w:t>
            </w:r>
            <w:r>
              <w:rPr>
                <w:rFonts w:hAnsi="宋体"/>
                <w:b/>
                <w:color w:val="auto"/>
                <w:szCs w:val="21"/>
              </w:rPr>
              <w:t>工业企业厂界环境噪声排放标准</w:t>
            </w:r>
            <w:r>
              <w:rPr>
                <w:rFonts w:hint="eastAsia" w:hAnsi="宋体"/>
                <w:b/>
                <w:color w:val="auto"/>
                <w:szCs w:val="21"/>
              </w:rPr>
              <w:t xml:space="preserve"> </w:t>
            </w:r>
            <w:r>
              <w:rPr>
                <w:rFonts w:hAnsi="宋体"/>
                <w:b/>
                <w:color w:val="auto"/>
                <w:szCs w:val="21"/>
              </w:rPr>
              <w:t xml:space="preserve"> </w:t>
            </w:r>
            <w:r>
              <w:rPr>
                <w:rFonts w:hint="eastAsia" w:hAnsi="宋体"/>
                <w:b/>
                <w:color w:val="auto"/>
                <w:szCs w:val="21"/>
              </w:rPr>
              <w:t>单位：</w:t>
            </w:r>
            <w:r>
              <w:rPr>
                <w:b/>
                <w:color w:val="auto"/>
                <w:szCs w:val="21"/>
              </w:rPr>
              <w:t>dB</w:t>
            </w:r>
            <w:r>
              <w:rPr>
                <w:rFonts w:hint="eastAsia" w:hAnsi="宋体"/>
                <w:b/>
                <w:color w:val="auto"/>
                <w:szCs w:val="21"/>
              </w:rPr>
              <w:t>(</w:t>
            </w:r>
            <w:r>
              <w:rPr>
                <w:b/>
                <w:color w:val="auto"/>
                <w:szCs w:val="21"/>
              </w:rPr>
              <w:t>A</w:t>
            </w:r>
            <w:r>
              <w:rPr>
                <w:rFonts w:hint="eastAsia" w:hAnsi="宋体"/>
                <w:b/>
                <w:color w:val="auto"/>
                <w:szCs w:val="21"/>
              </w:rPr>
              <w:t>)</w:t>
            </w:r>
          </w:p>
          <w:tbl>
            <w:tblPr>
              <w:tblStyle w:val="46"/>
              <w:tblpPr w:leftFromText="180" w:rightFromText="180" w:vertAnchor="text" w:horzAnchor="margin" w:tblpXSpec="center" w:tblpY="75"/>
              <w:tblOverlap w:val="never"/>
              <w:tblW w:w="87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7"/>
              <w:gridCol w:w="1279"/>
              <w:gridCol w:w="1745"/>
              <w:gridCol w:w="1840"/>
            </w:tblGrid>
            <w:tr w14:paraId="5552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6" w:type="dxa"/>
                  <w:gridSpan w:val="2"/>
                  <w:vAlign w:val="center"/>
                </w:tcPr>
                <w:p w14:paraId="0F450813">
                  <w:pPr>
                    <w:autoSpaceDE w:val="0"/>
                    <w:autoSpaceDN w:val="0"/>
                    <w:adjustRightInd w:val="0"/>
                    <w:jc w:val="center"/>
                    <w:rPr>
                      <w:color w:val="auto"/>
                      <w:szCs w:val="21"/>
                    </w:rPr>
                  </w:pPr>
                  <w:r>
                    <w:rPr>
                      <w:color w:val="auto"/>
                      <w:szCs w:val="21"/>
                    </w:rPr>
                    <w:t>标准</w:t>
                  </w:r>
                </w:p>
              </w:tc>
              <w:tc>
                <w:tcPr>
                  <w:tcW w:w="1745" w:type="dxa"/>
                  <w:vAlign w:val="center"/>
                </w:tcPr>
                <w:p w14:paraId="6996820E">
                  <w:pPr>
                    <w:autoSpaceDE w:val="0"/>
                    <w:autoSpaceDN w:val="0"/>
                    <w:adjustRightInd w:val="0"/>
                    <w:jc w:val="center"/>
                    <w:rPr>
                      <w:color w:val="auto"/>
                      <w:szCs w:val="21"/>
                    </w:rPr>
                  </w:pPr>
                  <w:r>
                    <w:rPr>
                      <w:color w:val="auto"/>
                      <w:szCs w:val="21"/>
                    </w:rPr>
                    <w:t>昼间</w:t>
                  </w:r>
                </w:p>
              </w:tc>
              <w:tc>
                <w:tcPr>
                  <w:tcW w:w="1840" w:type="dxa"/>
                  <w:vAlign w:val="center"/>
                </w:tcPr>
                <w:p w14:paraId="5C5CC5C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夜间</w:t>
                  </w:r>
                </w:p>
              </w:tc>
            </w:tr>
            <w:tr w14:paraId="108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7" w:type="dxa"/>
                  <w:tcBorders>
                    <w:right w:val="single" w:color="000000" w:sz="6" w:space="0"/>
                  </w:tcBorders>
                  <w:vAlign w:val="center"/>
                </w:tcPr>
                <w:p w14:paraId="0CAD9D7B">
                  <w:pPr>
                    <w:autoSpaceDE w:val="0"/>
                    <w:autoSpaceDN w:val="0"/>
                    <w:adjustRightInd w:val="0"/>
                    <w:jc w:val="center"/>
                    <w:rPr>
                      <w:color w:val="auto"/>
                      <w:szCs w:val="21"/>
                    </w:rPr>
                  </w:pPr>
                  <w:r>
                    <w:rPr>
                      <w:rFonts w:hint="eastAsia"/>
                      <w:color w:val="auto"/>
                      <w:szCs w:val="21"/>
                    </w:rPr>
                    <w:t>《工业企业厂界环境噪声排放标准》</w:t>
                  </w:r>
                  <w:r>
                    <w:rPr>
                      <w:color w:val="auto"/>
                      <w:szCs w:val="21"/>
                    </w:rPr>
                    <w:t>（GB12348-2008）</w:t>
                  </w:r>
                </w:p>
              </w:tc>
              <w:tc>
                <w:tcPr>
                  <w:tcW w:w="1279" w:type="dxa"/>
                  <w:tcBorders>
                    <w:left w:val="single" w:color="000000" w:sz="6" w:space="0"/>
                  </w:tcBorders>
                  <w:vAlign w:val="center"/>
                </w:tcPr>
                <w:p w14:paraId="3EB32AA3">
                  <w:pPr>
                    <w:autoSpaceDE w:val="0"/>
                    <w:autoSpaceDN w:val="0"/>
                    <w:adjustRightInd w:val="0"/>
                    <w:jc w:val="center"/>
                    <w:rPr>
                      <w:color w:val="auto"/>
                      <w:szCs w:val="21"/>
                    </w:rPr>
                  </w:pPr>
                  <w:r>
                    <w:rPr>
                      <w:rFonts w:hint="eastAsia"/>
                      <w:color w:val="auto"/>
                      <w:szCs w:val="21"/>
                    </w:rPr>
                    <w:t>2</w:t>
                  </w:r>
                  <w:r>
                    <w:rPr>
                      <w:color w:val="auto"/>
                      <w:szCs w:val="21"/>
                    </w:rPr>
                    <w:t>类</w:t>
                  </w:r>
                </w:p>
              </w:tc>
              <w:tc>
                <w:tcPr>
                  <w:tcW w:w="1745" w:type="dxa"/>
                  <w:vAlign w:val="center"/>
                </w:tcPr>
                <w:p w14:paraId="0AD27220">
                  <w:pPr>
                    <w:autoSpaceDE w:val="0"/>
                    <w:autoSpaceDN w:val="0"/>
                    <w:adjustRightInd w:val="0"/>
                    <w:jc w:val="center"/>
                    <w:rPr>
                      <w:color w:val="auto"/>
                      <w:szCs w:val="21"/>
                    </w:rPr>
                  </w:pPr>
                  <w:r>
                    <w:rPr>
                      <w:color w:val="auto"/>
                      <w:szCs w:val="21"/>
                    </w:rPr>
                    <w:t>6</w:t>
                  </w:r>
                  <w:r>
                    <w:rPr>
                      <w:rFonts w:hint="eastAsia"/>
                      <w:color w:val="auto"/>
                      <w:szCs w:val="21"/>
                    </w:rPr>
                    <w:t>0</w:t>
                  </w:r>
                </w:p>
              </w:tc>
              <w:tc>
                <w:tcPr>
                  <w:tcW w:w="1840" w:type="dxa"/>
                  <w:vAlign w:val="center"/>
                </w:tcPr>
                <w:p w14:paraId="44EBBDC8">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50</w:t>
                  </w:r>
                </w:p>
              </w:tc>
            </w:tr>
          </w:tbl>
          <w:p w14:paraId="75E84FC8">
            <w:pPr>
              <w:spacing w:line="360" w:lineRule="auto"/>
              <w:rPr>
                <w:b/>
                <w:bCs/>
                <w:color w:val="auto"/>
                <w:sz w:val="24"/>
                <w:szCs w:val="24"/>
              </w:rPr>
            </w:pPr>
            <w:r>
              <w:rPr>
                <w:rFonts w:hint="eastAsia"/>
                <w:b/>
                <w:bCs/>
                <w:color w:val="auto"/>
                <w:sz w:val="24"/>
                <w:szCs w:val="24"/>
              </w:rPr>
              <w:t>4、</w:t>
            </w:r>
            <w:r>
              <w:rPr>
                <w:b/>
                <w:bCs/>
                <w:color w:val="auto"/>
                <w:sz w:val="24"/>
                <w:szCs w:val="24"/>
              </w:rPr>
              <w:t>固废排放</w:t>
            </w:r>
            <w:r>
              <w:rPr>
                <w:rFonts w:hint="eastAsia"/>
                <w:b/>
                <w:bCs/>
                <w:color w:val="auto"/>
                <w:sz w:val="24"/>
                <w:szCs w:val="24"/>
              </w:rPr>
              <w:t>控制</w:t>
            </w:r>
            <w:r>
              <w:rPr>
                <w:b/>
                <w:bCs/>
                <w:color w:val="auto"/>
                <w:sz w:val="24"/>
                <w:szCs w:val="24"/>
              </w:rPr>
              <w:t>标准</w:t>
            </w:r>
          </w:p>
          <w:p w14:paraId="5659EFF8">
            <w:pPr>
              <w:pStyle w:val="8"/>
              <w:spacing w:line="360" w:lineRule="auto"/>
              <w:ind w:firstLine="480"/>
              <w:rPr>
                <w:rFonts w:hint="eastAsia" w:ascii="Times New Roman" w:hAnsi="Times New Roman" w:eastAsia="宋体" w:cs="Times New Roman"/>
                <w:color w:val="auto"/>
                <w:sz w:val="24"/>
                <w:lang w:val="en-US" w:eastAsia="zh-CN"/>
              </w:rPr>
            </w:pPr>
            <w:r>
              <w:rPr>
                <w:rFonts w:hint="eastAsia"/>
                <w:bCs/>
                <w:color w:val="auto"/>
                <w:sz w:val="24"/>
                <w:szCs w:val="24"/>
              </w:rPr>
              <w:t>（1）</w:t>
            </w:r>
            <w:r>
              <w:rPr>
                <w:rFonts w:hint="eastAsia" w:ascii="Times New Roman" w:hAnsi="Times New Roman" w:eastAsia="宋体" w:cs="Times New Roman"/>
                <w:color w:val="auto"/>
                <w:sz w:val="24"/>
                <w:lang w:val="en-US" w:eastAsia="zh-CN"/>
              </w:rPr>
              <w:t>一般固废执行《一般工业固体废物贮存和填埋污染控制标准》（GB18599-2020）。</w:t>
            </w:r>
            <w:r>
              <w:rPr>
                <w:rFonts w:hint="default" w:ascii="Times New Roman" w:hAnsi="Times New Roman" w:eastAsia="宋体" w:cs="Times New Roman"/>
                <w:color w:val="auto"/>
                <w:sz w:val="24"/>
                <w:lang w:val="en-US" w:eastAsia="zh-CN"/>
              </w:rPr>
              <w:t>贮存过程要求，应满足相应防渗漏、防雨淋、防扬尘等环境保护要求进行贮存。</w:t>
            </w:r>
          </w:p>
          <w:p w14:paraId="0128BD8A">
            <w:pPr>
              <w:pStyle w:val="8"/>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（2）危险</w:t>
            </w:r>
            <w:r>
              <w:rPr>
                <w:rFonts w:hint="eastAsia" w:ascii="Times New Roman" w:hAnsi="Times New Roman" w:eastAsia="宋体" w:cs="Times New Roman"/>
                <w:color w:val="auto"/>
                <w:sz w:val="24"/>
                <w:lang w:eastAsia="zh-CN"/>
              </w:rPr>
              <w:t>废物</w:t>
            </w:r>
            <w:r>
              <w:rPr>
                <w:rFonts w:hint="eastAsia" w:ascii="Times New Roman" w:hAnsi="Times New Roman" w:eastAsia="宋体" w:cs="Times New Roman"/>
                <w:color w:val="auto"/>
                <w:sz w:val="24"/>
              </w:rPr>
              <w:t>执行《危险废物贮存污染控制标准》（GB18597-2023）。</w:t>
            </w:r>
            <w:r>
              <w:rPr>
                <w:rFonts w:hint="default" w:ascii="Times New Roman" w:hAnsi="Times New Roman" w:eastAsia="宋体" w:cs="Times New Roman"/>
                <w:color w:val="auto"/>
                <w:sz w:val="24"/>
                <w:lang w:val="en-US" w:eastAsia="zh-CN"/>
              </w:rPr>
              <w:t>危险废物的转移须严格按照《危险废物转移联单管理办法》执行。</w:t>
            </w:r>
          </w:p>
          <w:p w14:paraId="38FEBC2A">
            <w:pPr>
              <w:rPr>
                <w:rFonts w:hint="default" w:ascii="Times New Roman" w:hAnsi="Times New Roman" w:eastAsia="宋体" w:cs="Times New Roman"/>
                <w:color w:val="auto"/>
                <w:sz w:val="24"/>
                <w:lang w:val="en-US" w:eastAsia="zh-CN"/>
              </w:rPr>
            </w:pPr>
          </w:p>
        </w:tc>
      </w:tr>
      <w:tr w14:paraId="26E4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F1D483E">
            <w:pPr>
              <w:autoSpaceDE w:val="0"/>
              <w:autoSpaceDN w:val="0"/>
              <w:jc w:val="center"/>
              <w:rPr>
                <w:rFonts w:hAnsi="宋体"/>
                <w:color w:val="auto"/>
                <w:szCs w:val="21"/>
              </w:rPr>
            </w:pPr>
            <w:r>
              <w:rPr>
                <w:rFonts w:hint="eastAsia"/>
                <w:color w:val="auto"/>
                <w:sz w:val="24"/>
                <w:szCs w:val="24"/>
              </w:rPr>
              <w:t>总量控制指标</w:t>
            </w:r>
          </w:p>
        </w:tc>
        <w:tc>
          <w:tcPr>
            <w:tcW w:w="8940" w:type="dxa"/>
            <w:vAlign w:val="center"/>
          </w:tcPr>
          <w:p w14:paraId="4606BB60">
            <w:pPr>
              <w:pStyle w:val="8"/>
              <w:spacing w:line="360" w:lineRule="auto"/>
              <w:ind w:firstLine="480"/>
              <w:rPr>
                <w:color w:val="auto"/>
                <w:sz w:val="24"/>
                <w:szCs w:val="24"/>
              </w:rPr>
            </w:pPr>
            <w:r>
              <w:rPr>
                <w:rFonts w:hint="eastAsia"/>
                <w:color w:val="auto"/>
                <w:sz w:val="24"/>
              </w:rPr>
              <w:t>根据国家对污染物排放总量控制指标和《安徽省环保厅关于进一步加强建设项目新增大气主要污染物总量指标管理工作的通知》（皖环发〔2017〕19号）的要求，规定总量控制因子为COD</w:t>
            </w:r>
            <w:r>
              <w:rPr>
                <w:rFonts w:hint="eastAsia"/>
                <w:color w:val="auto"/>
                <w:sz w:val="24"/>
                <w:vertAlign w:val="subscript"/>
              </w:rPr>
              <w:t>Cr</w:t>
            </w:r>
            <w:r>
              <w:rPr>
                <w:rFonts w:hint="eastAsia"/>
                <w:color w:val="auto"/>
                <w:sz w:val="24"/>
              </w:rPr>
              <w:t>、氨氮、二氧化硫、氮氧化物、烟（粉）尘和挥发性有机物（VOCs）。</w:t>
            </w:r>
          </w:p>
          <w:p w14:paraId="2656E6AD">
            <w:pPr>
              <w:pStyle w:val="8"/>
              <w:spacing w:line="360" w:lineRule="auto"/>
              <w:ind w:firstLine="480"/>
              <w:rPr>
                <w:color w:val="auto"/>
                <w:sz w:val="24"/>
                <w:szCs w:val="24"/>
              </w:rPr>
            </w:pPr>
            <w:r>
              <w:rPr>
                <w:color w:val="auto"/>
                <w:sz w:val="24"/>
                <w:szCs w:val="24"/>
              </w:rPr>
              <w:t>根据生态环境部</w:t>
            </w:r>
            <w:r>
              <w:rPr>
                <w:rFonts w:hint="eastAsia"/>
                <w:color w:val="auto"/>
                <w:sz w:val="24"/>
                <w:szCs w:val="24"/>
              </w:rPr>
              <w:t>和安徽省生态环境厅</w:t>
            </w:r>
            <w:r>
              <w:rPr>
                <w:color w:val="auto"/>
                <w:sz w:val="24"/>
                <w:szCs w:val="24"/>
              </w:rPr>
              <w:t>要求对建设项目排放污染物实施总量控制的要求，针对本项目的具体排污情况，结合本项目排污特征，确定总量控制因子为：</w:t>
            </w:r>
          </w:p>
          <w:p w14:paraId="3ED9FAE8">
            <w:pPr>
              <w:spacing w:line="360" w:lineRule="auto"/>
              <w:ind w:firstLine="480" w:firstLineChars="200"/>
              <w:rPr>
                <w:color w:val="auto"/>
                <w:sz w:val="24"/>
              </w:rPr>
            </w:pPr>
            <w:r>
              <w:rPr>
                <w:color w:val="auto"/>
                <w:sz w:val="24"/>
              </w:rPr>
              <w:t>废水污染物指标：</w:t>
            </w:r>
            <w:r>
              <w:rPr>
                <w:rFonts w:hint="eastAsia"/>
                <w:color w:val="auto"/>
                <w:sz w:val="24"/>
                <w:lang w:eastAsia="zh-CN"/>
              </w:rPr>
              <w:t>无</w:t>
            </w:r>
            <w:r>
              <w:rPr>
                <w:color w:val="auto"/>
                <w:sz w:val="24"/>
              </w:rPr>
              <w:t>。</w:t>
            </w:r>
          </w:p>
          <w:p w14:paraId="00BE5ECA">
            <w:pPr>
              <w:spacing w:line="360" w:lineRule="auto"/>
              <w:ind w:firstLine="480" w:firstLineChars="200"/>
              <w:rPr>
                <w:bCs/>
                <w:color w:val="auto"/>
                <w:sz w:val="24"/>
                <w:szCs w:val="24"/>
              </w:rPr>
            </w:pPr>
            <w:r>
              <w:rPr>
                <w:rFonts w:hint="eastAsia"/>
                <w:color w:val="auto"/>
                <w:sz w:val="24"/>
              </w:rPr>
              <w:t>废气污染物指标：烟（粉）尘。</w:t>
            </w:r>
          </w:p>
          <w:p w14:paraId="389028BB">
            <w:pPr>
              <w:spacing w:line="360" w:lineRule="auto"/>
              <w:ind w:firstLine="480" w:firstLineChars="200"/>
              <w:rPr>
                <w:bCs/>
                <w:color w:val="auto"/>
                <w:sz w:val="24"/>
                <w:szCs w:val="24"/>
              </w:rPr>
            </w:pPr>
            <w:r>
              <w:rPr>
                <w:rFonts w:hint="eastAsia"/>
                <w:bCs/>
                <w:color w:val="auto"/>
                <w:sz w:val="24"/>
                <w:szCs w:val="24"/>
              </w:rPr>
              <w:t>（1）废水</w:t>
            </w:r>
          </w:p>
          <w:p w14:paraId="35582055">
            <w:pPr>
              <w:spacing w:line="360" w:lineRule="auto"/>
              <w:ind w:firstLine="480" w:firstLineChars="200"/>
              <w:rPr>
                <w:bCs/>
                <w:color w:val="auto"/>
                <w:sz w:val="24"/>
                <w:szCs w:val="24"/>
              </w:rPr>
            </w:pPr>
            <w:r>
              <w:rPr>
                <w:bCs/>
                <w:color w:val="auto"/>
                <w:sz w:val="24"/>
              </w:rPr>
              <w:t>本项目</w:t>
            </w:r>
            <w:r>
              <w:rPr>
                <w:rFonts w:hint="eastAsia"/>
                <w:bCs/>
                <w:color w:val="auto"/>
                <w:sz w:val="24"/>
                <w:lang w:eastAsia="zh-CN"/>
              </w:rPr>
              <w:t>生产过程无生产废水产生，</w:t>
            </w:r>
            <w:r>
              <w:rPr>
                <w:rFonts w:hint="eastAsia" w:ascii="Times New Roman" w:hAnsi="Times New Roman" w:eastAsia="宋体" w:cs="Times New Roman"/>
                <w:color w:val="auto"/>
                <w:sz w:val="24"/>
                <w:szCs w:val="24"/>
                <w:lang w:eastAsia="zh-CN"/>
              </w:rPr>
              <w:t>生活污水经化粪池处理后</w:t>
            </w:r>
            <w:r>
              <w:rPr>
                <w:rFonts w:hint="eastAsia" w:cs="Times New Roman"/>
                <w:color w:val="auto"/>
                <w:sz w:val="24"/>
                <w:szCs w:val="24"/>
                <w:lang w:eastAsia="zh-CN"/>
              </w:rPr>
              <w:t>，</w:t>
            </w:r>
            <w:r>
              <w:rPr>
                <w:rFonts w:hint="eastAsia" w:cs="Times New Roman"/>
                <w:color w:val="auto"/>
                <w:sz w:val="24"/>
                <w:szCs w:val="24"/>
                <w:lang w:val="en-US" w:eastAsia="zh-CN"/>
              </w:rPr>
              <w:t>定期清掏用于农田施肥，不外排</w:t>
            </w:r>
            <w:r>
              <w:rPr>
                <w:rFonts w:hint="default" w:ascii="Times New Roman" w:hAnsi="Times New Roman" w:eastAsia="宋体" w:cs="Times New Roman"/>
                <w:bCs/>
                <w:snapToGrid/>
                <w:color w:val="auto"/>
                <w:kern w:val="2"/>
                <w:sz w:val="24"/>
                <w:szCs w:val="24"/>
                <w:lang w:val="en-US" w:eastAsia="zh-CN" w:bidi="ar-SA"/>
              </w:rPr>
              <w:t>，</w:t>
            </w:r>
            <w:r>
              <w:rPr>
                <w:rFonts w:hint="eastAsia"/>
                <w:bCs/>
                <w:color w:val="auto"/>
                <w:sz w:val="24"/>
                <w:lang w:eastAsia="zh-CN"/>
              </w:rPr>
              <w:t>无需申请总量</w:t>
            </w:r>
            <w:r>
              <w:rPr>
                <w:rFonts w:hint="eastAsia"/>
                <w:bCs/>
                <w:color w:val="auto"/>
                <w:sz w:val="24"/>
                <w:szCs w:val="24"/>
              </w:rPr>
              <w:t>。</w:t>
            </w:r>
          </w:p>
          <w:p w14:paraId="0DF44E81">
            <w:pPr>
              <w:spacing w:line="360" w:lineRule="auto"/>
              <w:ind w:firstLine="480" w:firstLineChars="200"/>
              <w:rPr>
                <w:color w:val="auto"/>
                <w:sz w:val="24"/>
              </w:rPr>
            </w:pPr>
            <w:r>
              <w:rPr>
                <w:rFonts w:hint="eastAsia"/>
                <w:bCs/>
                <w:color w:val="auto"/>
                <w:sz w:val="24"/>
                <w:szCs w:val="24"/>
              </w:rPr>
              <w:t>（2）废气</w:t>
            </w:r>
          </w:p>
          <w:p w14:paraId="33857D4D">
            <w:pPr>
              <w:tabs>
                <w:tab w:val="left" w:pos="1365"/>
              </w:tabs>
              <w:spacing w:line="360" w:lineRule="auto"/>
              <w:ind w:firstLine="480" w:firstLineChars="200"/>
              <w:rPr>
                <w:color w:val="auto"/>
                <w:sz w:val="24"/>
              </w:rPr>
            </w:pPr>
            <w:r>
              <w:rPr>
                <w:rFonts w:hint="eastAsia"/>
                <w:bCs/>
                <w:color w:val="auto"/>
                <w:sz w:val="24"/>
              </w:rPr>
              <w:t>经核算，建设项目</w:t>
            </w:r>
            <w:r>
              <w:rPr>
                <w:rFonts w:hint="eastAsia"/>
                <w:color w:val="auto"/>
                <w:sz w:val="24"/>
              </w:rPr>
              <w:t>废气污染物排放总量控制指标如下：</w:t>
            </w:r>
          </w:p>
          <w:p w14:paraId="384621B5">
            <w:pPr>
              <w:tabs>
                <w:tab w:val="left" w:pos="1365"/>
              </w:tabs>
              <w:spacing w:line="360" w:lineRule="auto"/>
              <w:ind w:firstLine="480" w:firstLineChars="200"/>
              <w:rPr>
                <w:rFonts w:hint="eastAsia"/>
                <w:color w:val="auto"/>
                <w:sz w:val="24"/>
              </w:rPr>
            </w:pPr>
            <w:r>
              <w:rPr>
                <w:rFonts w:hint="eastAsia"/>
                <w:color w:val="auto"/>
                <w:sz w:val="24"/>
              </w:rPr>
              <w:t>烟（粉）尘：</w:t>
            </w:r>
            <w:r>
              <w:rPr>
                <w:rFonts w:hint="eastAsia"/>
                <w:color w:val="auto"/>
                <w:sz w:val="24"/>
                <w:lang w:val="en-US" w:eastAsia="zh-CN"/>
              </w:rPr>
              <w:t>0.0504</w:t>
            </w:r>
            <w:r>
              <w:rPr>
                <w:rFonts w:hint="eastAsia"/>
                <w:color w:val="auto"/>
                <w:sz w:val="24"/>
              </w:rPr>
              <w:t>t/a。</w:t>
            </w:r>
          </w:p>
          <w:p w14:paraId="13D263B1">
            <w:pPr>
              <w:tabs>
                <w:tab w:val="left" w:pos="1365"/>
              </w:tabs>
              <w:spacing w:line="360" w:lineRule="auto"/>
              <w:ind w:firstLine="480" w:firstLineChars="200"/>
              <w:rPr>
                <w:rFonts w:hint="eastAsia"/>
                <w:color w:val="auto"/>
                <w:sz w:val="24"/>
              </w:rPr>
            </w:pPr>
          </w:p>
          <w:p w14:paraId="7CFF551A">
            <w:pPr>
              <w:tabs>
                <w:tab w:val="left" w:pos="1365"/>
              </w:tabs>
              <w:spacing w:line="360" w:lineRule="auto"/>
              <w:ind w:firstLine="480" w:firstLineChars="200"/>
              <w:rPr>
                <w:rFonts w:hint="eastAsia"/>
                <w:color w:val="auto"/>
                <w:sz w:val="24"/>
              </w:rPr>
            </w:pPr>
          </w:p>
          <w:p w14:paraId="643747BF">
            <w:pPr>
              <w:pStyle w:val="63"/>
              <w:rPr>
                <w:rFonts w:hint="eastAsia"/>
                <w:color w:val="auto"/>
                <w:sz w:val="24"/>
              </w:rPr>
            </w:pPr>
          </w:p>
          <w:p w14:paraId="6C6A0907">
            <w:pPr>
              <w:pStyle w:val="63"/>
              <w:rPr>
                <w:rFonts w:hint="eastAsia"/>
                <w:color w:val="auto"/>
                <w:sz w:val="24"/>
              </w:rPr>
            </w:pPr>
          </w:p>
          <w:p w14:paraId="63D1F859">
            <w:pPr>
              <w:pStyle w:val="63"/>
              <w:rPr>
                <w:rFonts w:hint="eastAsia"/>
                <w:color w:val="auto"/>
                <w:sz w:val="24"/>
              </w:rPr>
            </w:pPr>
          </w:p>
          <w:p w14:paraId="6E8A23C0">
            <w:pPr>
              <w:pStyle w:val="63"/>
              <w:rPr>
                <w:rFonts w:hint="eastAsia"/>
                <w:color w:val="auto"/>
                <w:sz w:val="24"/>
              </w:rPr>
            </w:pPr>
          </w:p>
          <w:p w14:paraId="0E940AD1">
            <w:pPr>
              <w:pStyle w:val="63"/>
              <w:rPr>
                <w:rFonts w:hint="eastAsia"/>
                <w:color w:val="auto"/>
                <w:sz w:val="24"/>
              </w:rPr>
            </w:pPr>
          </w:p>
          <w:p w14:paraId="1B45E9BA">
            <w:pPr>
              <w:pStyle w:val="63"/>
              <w:rPr>
                <w:rFonts w:hint="eastAsia"/>
                <w:color w:val="auto"/>
                <w:sz w:val="24"/>
              </w:rPr>
            </w:pPr>
          </w:p>
          <w:p w14:paraId="37869430">
            <w:pPr>
              <w:pStyle w:val="63"/>
              <w:rPr>
                <w:rFonts w:hint="eastAsia"/>
                <w:color w:val="auto"/>
                <w:sz w:val="24"/>
              </w:rPr>
            </w:pPr>
          </w:p>
          <w:p w14:paraId="06622A54">
            <w:pPr>
              <w:pStyle w:val="63"/>
              <w:rPr>
                <w:rFonts w:hint="eastAsia"/>
                <w:color w:val="auto"/>
                <w:sz w:val="24"/>
              </w:rPr>
            </w:pPr>
          </w:p>
          <w:p w14:paraId="3DE962E0">
            <w:pPr>
              <w:pStyle w:val="63"/>
              <w:rPr>
                <w:rFonts w:hint="eastAsia"/>
                <w:color w:val="auto"/>
                <w:sz w:val="24"/>
              </w:rPr>
            </w:pPr>
          </w:p>
          <w:p w14:paraId="095115DE">
            <w:pPr>
              <w:pStyle w:val="63"/>
              <w:rPr>
                <w:rFonts w:hint="eastAsia"/>
                <w:color w:val="auto"/>
                <w:sz w:val="24"/>
              </w:rPr>
            </w:pPr>
          </w:p>
          <w:p w14:paraId="04721289">
            <w:pPr>
              <w:pStyle w:val="63"/>
              <w:rPr>
                <w:rFonts w:hint="eastAsia"/>
                <w:color w:val="auto"/>
                <w:sz w:val="24"/>
              </w:rPr>
            </w:pPr>
          </w:p>
          <w:p w14:paraId="1868B331">
            <w:pPr>
              <w:pStyle w:val="63"/>
              <w:rPr>
                <w:rFonts w:hint="eastAsia"/>
                <w:color w:val="auto"/>
                <w:sz w:val="24"/>
              </w:rPr>
            </w:pPr>
          </w:p>
          <w:p w14:paraId="353D7731">
            <w:pPr>
              <w:pStyle w:val="63"/>
              <w:rPr>
                <w:rFonts w:hint="eastAsia"/>
                <w:color w:val="auto"/>
                <w:sz w:val="24"/>
              </w:rPr>
            </w:pPr>
          </w:p>
          <w:p w14:paraId="004128E5">
            <w:pPr>
              <w:pStyle w:val="63"/>
              <w:rPr>
                <w:rFonts w:hint="eastAsia"/>
                <w:color w:val="auto"/>
                <w:sz w:val="24"/>
              </w:rPr>
            </w:pPr>
          </w:p>
          <w:p w14:paraId="19F6441C">
            <w:pPr>
              <w:pStyle w:val="63"/>
              <w:rPr>
                <w:rFonts w:hint="eastAsia"/>
                <w:color w:val="auto"/>
                <w:sz w:val="24"/>
              </w:rPr>
            </w:pPr>
          </w:p>
          <w:p w14:paraId="76856E28">
            <w:pPr>
              <w:tabs>
                <w:tab w:val="left" w:pos="1365"/>
              </w:tabs>
              <w:spacing w:line="360" w:lineRule="auto"/>
              <w:rPr>
                <w:rFonts w:hint="eastAsia"/>
                <w:color w:val="auto"/>
                <w:sz w:val="24"/>
              </w:rPr>
            </w:pPr>
          </w:p>
        </w:tc>
      </w:tr>
    </w:tbl>
    <w:p w14:paraId="48B495CF">
      <w:pPr>
        <w:spacing w:line="360" w:lineRule="auto"/>
        <w:jc w:val="both"/>
        <w:outlineLvl w:val="0"/>
        <w:rPr>
          <w:rFonts w:hint="eastAsia"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p w14:paraId="76C2BD0E">
      <w:pPr>
        <w:numPr>
          <w:ilvl w:val="0"/>
          <w:numId w:val="6"/>
        </w:numPr>
        <w:spacing w:line="360" w:lineRule="auto"/>
        <w:jc w:val="center"/>
        <w:outlineLvl w:val="0"/>
        <w:rPr>
          <w:rFonts w:hint="eastAsia" w:eastAsia="黑体"/>
          <w:b/>
          <w:bCs/>
          <w:color w:val="auto"/>
          <w:sz w:val="30"/>
          <w:szCs w:val="24"/>
        </w:rPr>
      </w:pPr>
      <w:bookmarkStart w:id="7" w:name="_Toc9093"/>
      <w:r>
        <w:rPr>
          <w:rFonts w:hint="eastAsia" w:eastAsia="黑体"/>
          <w:b/>
          <w:bCs/>
          <w:color w:val="auto"/>
          <w:sz w:val="30"/>
          <w:szCs w:val="24"/>
        </w:rPr>
        <w:t>主要环境影响和保护措施</w:t>
      </w:r>
      <w:bookmarkEnd w:id="7"/>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549"/>
      </w:tblGrid>
      <w:tr w14:paraId="22F5F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9" w:hRule="atLeast"/>
          <w:jc w:val="center"/>
        </w:trPr>
        <w:tc>
          <w:tcPr>
            <w:tcW w:w="432" w:type="dxa"/>
            <w:tcMar>
              <w:left w:w="28" w:type="dxa"/>
              <w:right w:w="28" w:type="dxa"/>
            </w:tcMar>
            <w:vAlign w:val="center"/>
          </w:tcPr>
          <w:p w14:paraId="65244E89">
            <w:pPr>
              <w:pStyle w:val="4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施工</w:t>
            </w:r>
          </w:p>
          <w:p w14:paraId="33012069">
            <w:pPr>
              <w:pStyle w:val="4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期环</w:t>
            </w:r>
          </w:p>
          <w:p w14:paraId="163AEBAA">
            <w:pPr>
              <w:pStyle w:val="4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境保</w:t>
            </w:r>
          </w:p>
          <w:p w14:paraId="0F4E56D6">
            <w:pPr>
              <w:pStyle w:val="4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护措</w:t>
            </w:r>
          </w:p>
          <w:p w14:paraId="005ECF4D">
            <w:pPr>
              <w:pStyle w:val="42"/>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4"/>
                <w:szCs w:val="24"/>
              </w:rPr>
              <w:t>施</w:t>
            </w:r>
          </w:p>
        </w:tc>
        <w:tc>
          <w:tcPr>
            <w:tcW w:w="8549" w:type="dxa"/>
            <w:vAlign w:val="center"/>
          </w:tcPr>
          <w:p w14:paraId="29AC30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本项目建设地点位于</w:t>
            </w:r>
            <w:r>
              <w:rPr>
                <w:rFonts w:hint="eastAsia" w:cs="Times New Roman"/>
                <w:b w:val="0"/>
                <w:bCs w:val="0"/>
                <w:sz w:val="24"/>
                <w:szCs w:val="24"/>
                <w:u w:val="none"/>
                <w:lang w:val="en-US" w:eastAsia="zh-CN"/>
              </w:rPr>
              <w:t>安徽省</w:t>
            </w:r>
            <w:r>
              <w:rPr>
                <w:rFonts w:hint="default" w:ascii="Times New Roman" w:hAnsi="Times New Roman" w:cs="Times New Roman"/>
                <w:b w:val="0"/>
                <w:bCs w:val="0"/>
                <w:sz w:val="24"/>
                <w:szCs w:val="24"/>
                <w:u w:val="none"/>
                <w:lang w:eastAsia="zh-CN"/>
              </w:rPr>
              <w:t>淮南市潘集区潘集镇地销煤路聚旺公司旁</w:t>
            </w:r>
            <w:r>
              <w:rPr>
                <w:rFonts w:hint="eastAsia" w:ascii="Times New Roman" w:hAnsi="Times New Roman" w:eastAsia="宋体" w:cs="Times New Roman"/>
                <w:color w:val="auto"/>
                <w:sz w:val="24"/>
                <w:szCs w:val="24"/>
                <w:highlight w:val="none"/>
                <w:lang w:val="en-US" w:eastAsia="zh-CN"/>
              </w:rPr>
              <w:t>。项目施工期对环境的主要影响是施工机械产生的噪声、施工人员临时居住场所产生的生活污水、施工扬尘、燃油废气和生活垃圾以及施工期渣土等固体废物，这些影响属于局部和短期性质，不会造成长期影响。本项目在施工阶段应认真做好环境保护工作，有效降低工程施工带来的环境影响。</w:t>
            </w:r>
          </w:p>
          <w:p w14:paraId="7FA28F5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bCs/>
                <w:color w:val="auto"/>
                <w:sz w:val="24"/>
                <w:szCs w:val="24"/>
                <w:highlight w:val="none"/>
              </w:rPr>
            </w:pPr>
            <w:r>
              <w:rPr>
                <w:rFonts w:hint="default"/>
                <w:b/>
                <w:bCs/>
                <w:color w:val="auto"/>
                <w:sz w:val="24"/>
                <w:szCs w:val="24"/>
                <w:highlight w:val="none"/>
                <w:lang w:val="en-US" w:eastAsia="zh-CN"/>
              </w:rPr>
              <w:t>1</w:t>
            </w:r>
            <w:r>
              <w:rPr>
                <w:rFonts w:hint="eastAsia"/>
                <w:b/>
                <w:bCs/>
                <w:color w:val="auto"/>
                <w:sz w:val="24"/>
                <w:szCs w:val="24"/>
                <w:highlight w:val="none"/>
                <w:lang w:val="en-US" w:eastAsia="zh-CN"/>
              </w:rPr>
              <w:t>、施工期水污染环境保护措施</w:t>
            </w:r>
          </w:p>
          <w:p w14:paraId="6FE41C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施工期产生的污水主要有混凝土养护废水、车辆冲洗废水、建筑泥沙产生的地表径流污水等施工废水，施工人员产生的生活废水。</w:t>
            </w:r>
          </w:p>
          <w:p w14:paraId="10789B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）生活污水</w:t>
            </w:r>
          </w:p>
          <w:p w14:paraId="370A9C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施工队伍设置施工营地仅作为休息场所，不设餐饮及住宿，施工队伍所产生的生活废水通过</w:t>
            </w:r>
            <w:r>
              <w:rPr>
                <w:rFonts w:hint="eastAsia" w:cs="Times New Roman"/>
                <w:color w:val="auto"/>
                <w:sz w:val="24"/>
                <w:szCs w:val="24"/>
                <w:highlight w:val="none"/>
                <w:lang w:val="en-US" w:eastAsia="zh-CN"/>
              </w:rPr>
              <w:t>隔油池+</w:t>
            </w:r>
            <w:r>
              <w:rPr>
                <w:rFonts w:hint="eastAsia" w:ascii="Times New Roman" w:hAnsi="Times New Roman" w:eastAsia="宋体" w:cs="Times New Roman"/>
                <w:color w:val="auto"/>
                <w:sz w:val="24"/>
                <w:szCs w:val="24"/>
                <w:highlight w:val="none"/>
                <w:lang w:val="en-US" w:eastAsia="zh-CN"/>
              </w:rPr>
              <w:t>化粪池处理后，排入市政污水管网。禁止将项目施工期生活废水未经处理直接排入地表水。</w:t>
            </w:r>
          </w:p>
          <w:p w14:paraId="32C287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根据工程的施工进度，最大施工量时，工地约有施工人员2</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人，用水按</w:t>
            </w:r>
            <w:r>
              <w:rPr>
                <w:rFonts w:hint="default" w:ascii="Times New Roman" w:hAnsi="Times New Roman" w:eastAsia="宋体" w:cs="Times New Roman"/>
                <w:color w:val="auto"/>
                <w:sz w:val="24"/>
                <w:szCs w:val="24"/>
                <w:highlight w:val="none"/>
                <w:lang w:val="en-US" w:eastAsia="zh-CN"/>
              </w:rPr>
              <w:t>40L/</w:t>
            </w:r>
            <w:r>
              <w:rPr>
                <w:rFonts w:hint="eastAsia" w:ascii="Times New Roman" w:hAnsi="Times New Roman" w:eastAsia="宋体"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天计算，生活用水量为0.8</w:t>
            </w:r>
            <w:r>
              <w:rPr>
                <w:rFonts w:hint="default" w:ascii="Times New Roman" w:hAnsi="Times New Roman" w:eastAsia="宋体" w:cs="Times New Roman"/>
                <w:color w:val="auto"/>
                <w:sz w:val="24"/>
                <w:szCs w:val="24"/>
                <w:highlight w:val="none"/>
                <w:lang w:val="en-US" w:eastAsia="zh-CN"/>
              </w:rPr>
              <w:t>t/d</w:t>
            </w:r>
            <w:r>
              <w:rPr>
                <w:rFonts w:hint="eastAsia" w:ascii="Times New Roman" w:hAnsi="Times New Roman" w:eastAsia="宋体" w:cs="Times New Roman"/>
                <w:color w:val="auto"/>
                <w:sz w:val="24"/>
                <w:szCs w:val="24"/>
                <w:highlight w:val="none"/>
                <w:lang w:val="en-US" w:eastAsia="zh-CN"/>
              </w:rPr>
              <w:t>，排水系数按照用水量</w:t>
            </w:r>
            <w:r>
              <w:rPr>
                <w:rFonts w:hint="default" w:ascii="Times New Roman" w:hAnsi="Times New Roman" w:eastAsia="宋体" w:cs="Times New Roman"/>
                <w:color w:val="auto"/>
                <w:sz w:val="24"/>
                <w:szCs w:val="24"/>
                <w:highlight w:val="none"/>
                <w:lang w:val="en-US" w:eastAsia="zh-CN"/>
              </w:rPr>
              <w:t>80%</w:t>
            </w:r>
            <w:r>
              <w:rPr>
                <w:rFonts w:hint="eastAsia" w:ascii="Times New Roman" w:hAnsi="Times New Roman" w:eastAsia="宋体" w:cs="Times New Roman"/>
                <w:color w:val="auto"/>
                <w:sz w:val="24"/>
                <w:szCs w:val="24"/>
                <w:highlight w:val="none"/>
                <w:lang w:val="en-US" w:eastAsia="zh-CN"/>
              </w:rPr>
              <w:t>计算，排水量为0.64</w:t>
            </w:r>
            <w:r>
              <w:rPr>
                <w:rFonts w:hint="default" w:ascii="Times New Roman" w:hAnsi="Times New Roman" w:eastAsia="宋体" w:cs="Times New Roman"/>
                <w:color w:val="auto"/>
                <w:sz w:val="24"/>
                <w:szCs w:val="24"/>
                <w:highlight w:val="none"/>
                <w:lang w:val="en-US" w:eastAsia="zh-CN"/>
              </w:rPr>
              <w:t>t/d</w:t>
            </w:r>
            <w:r>
              <w:rPr>
                <w:rFonts w:hint="eastAsia" w:ascii="Times New Roman" w:hAnsi="Times New Roman" w:eastAsia="宋体" w:cs="Times New Roman"/>
                <w:color w:val="auto"/>
                <w:sz w:val="24"/>
                <w:szCs w:val="24"/>
                <w:highlight w:val="none"/>
                <w:lang w:val="en-US" w:eastAsia="zh-CN"/>
              </w:rPr>
              <w:t>，本项目施工期约6个月，共排废水量为115.2</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，主要污染物是</w:t>
            </w:r>
            <w:r>
              <w:rPr>
                <w:rFonts w:hint="default"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w:t>
            </w:r>
            <w:r>
              <w:rPr>
                <w:rFonts w:hint="eastAsia" w:ascii="Times New Roman" w:hAnsi="Times New Roman" w:eastAsia="宋体" w:cs="Times New Roman"/>
                <w:color w:val="auto"/>
                <w:sz w:val="24"/>
                <w:szCs w:val="24"/>
                <w:highlight w:val="none"/>
                <w:lang w:val="en-US" w:eastAsia="zh-CN"/>
              </w:rPr>
              <w:t>，浓度分别是</w:t>
            </w:r>
            <w:r>
              <w:rPr>
                <w:rFonts w:hint="default" w:ascii="Times New Roman" w:hAnsi="Times New Roman" w:eastAsia="宋体" w:cs="Times New Roman"/>
                <w:color w:val="auto"/>
                <w:sz w:val="24"/>
                <w:szCs w:val="24"/>
                <w:highlight w:val="none"/>
                <w:lang w:val="en-US" w:eastAsia="zh-CN"/>
              </w:rPr>
              <w:t>250mg/L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150mg/L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120mg/L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30mg/L</w:t>
            </w:r>
            <w:r>
              <w:rPr>
                <w:rFonts w:hint="eastAsia" w:ascii="Times New Roman" w:hAnsi="Times New Roman" w:eastAsia="宋体" w:cs="Times New Roman"/>
                <w:color w:val="auto"/>
                <w:sz w:val="24"/>
                <w:szCs w:val="24"/>
                <w:highlight w:val="none"/>
                <w:lang w:val="en-US" w:eastAsia="zh-CN"/>
              </w:rPr>
              <w:t>；施工期生活污水经</w:t>
            </w:r>
            <w:r>
              <w:rPr>
                <w:rFonts w:hint="eastAsia" w:cs="Times New Roman"/>
                <w:color w:val="auto"/>
                <w:sz w:val="24"/>
                <w:szCs w:val="24"/>
                <w:highlight w:val="none"/>
                <w:lang w:val="en-US" w:eastAsia="zh-CN"/>
              </w:rPr>
              <w:t>化粪池处理后，定期清掏</w:t>
            </w:r>
            <w:r>
              <w:rPr>
                <w:rFonts w:hint="eastAsia" w:ascii="Times New Roman" w:hAnsi="Times New Roman" w:eastAsia="宋体" w:cs="Times New Roman"/>
                <w:color w:val="auto"/>
                <w:sz w:val="24"/>
                <w:szCs w:val="24"/>
                <w:highlight w:val="none"/>
                <w:lang w:val="en-US" w:eastAsia="zh-CN"/>
              </w:rPr>
              <w:t>。</w:t>
            </w:r>
          </w:p>
          <w:p w14:paraId="696CBD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）施工废水</w:t>
            </w:r>
          </w:p>
          <w:p w14:paraId="7D062F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废水包含：混凝土养护废水、车辆冲洗废水、建筑泥沙产生的地表径流污水等夹带泥沙、杂物，处理不当会污染环境。为避免施工废水随意排放对项目区域环境造成影响，建议在项目建筑工程场地、车辆冲洗平台四周敷设导流沟，并修建临时沉淀池，上述废水排入沉淀池进行沉淀澄清处理后回用，</w:t>
            </w:r>
            <w:r>
              <w:rPr>
                <w:rFonts w:hint="eastAsia" w:cs="Times New Roman"/>
                <w:color w:val="auto"/>
                <w:sz w:val="24"/>
                <w:szCs w:val="24"/>
                <w:highlight w:val="none"/>
                <w:lang w:val="en-US" w:eastAsia="zh-CN"/>
              </w:rPr>
              <w:t>部分排入市政污水管网</w:t>
            </w:r>
            <w:r>
              <w:rPr>
                <w:rFonts w:hint="eastAsia" w:ascii="Times New Roman" w:hAnsi="Times New Roman" w:eastAsia="宋体" w:cs="Times New Roman"/>
                <w:color w:val="auto"/>
                <w:sz w:val="24"/>
                <w:szCs w:val="24"/>
                <w:highlight w:val="none"/>
                <w:lang w:val="en-US" w:eastAsia="zh-CN"/>
              </w:rPr>
              <w:t>。</w:t>
            </w:r>
          </w:p>
          <w:p w14:paraId="6E283D8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bCs/>
                <w:color w:val="auto"/>
                <w:sz w:val="24"/>
                <w:szCs w:val="24"/>
                <w:highlight w:val="none"/>
              </w:rPr>
            </w:pPr>
            <w:r>
              <w:rPr>
                <w:rFonts w:hint="default"/>
                <w:b/>
                <w:bCs/>
                <w:color w:val="auto"/>
                <w:sz w:val="24"/>
                <w:szCs w:val="24"/>
                <w:highlight w:val="none"/>
                <w:lang w:val="en-US" w:eastAsia="zh-CN"/>
              </w:rPr>
              <w:t>2</w:t>
            </w:r>
            <w:r>
              <w:rPr>
                <w:rFonts w:hint="eastAsia"/>
                <w:b/>
                <w:bCs/>
                <w:color w:val="auto"/>
                <w:sz w:val="24"/>
                <w:szCs w:val="24"/>
                <w:highlight w:val="none"/>
                <w:lang w:val="en-US" w:eastAsia="zh-CN"/>
              </w:rPr>
              <w:t>、施工期大气环境保护措施</w:t>
            </w:r>
          </w:p>
          <w:p w14:paraId="20DB9C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控制施工期的大气环境污染，主要是控制扬尘和运输车辆的废气排放，为此在施工过程中，建议应采取如下技术方案：</w:t>
            </w:r>
          </w:p>
          <w:p w14:paraId="3C11D7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）施工现场需用一定高度（一般要求</w:t>
            </w:r>
            <w:r>
              <w:rPr>
                <w:rFonts w:hint="default" w:ascii="Times New Roman" w:hAnsi="Times New Roman" w:eastAsia="宋体"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米高）的隔离防护墙。</w:t>
            </w:r>
          </w:p>
          <w:p w14:paraId="4BC9CA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）砂石、水泥堆场堆积不宜时间过长和堆积过高，因为临时堆积，容易被风扬起尘土。</w:t>
            </w:r>
          </w:p>
          <w:p w14:paraId="186FFB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）如遇大风天气，应将运输中易起尘的建筑材料及水泥盖好，防止被大风吹起污染环境。</w:t>
            </w:r>
          </w:p>
          <w:p w14:paraId="6E2E5A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）严格按照施工规范施工，做到文明施工。</w:t>
            </w:r>
          </w:p>
          <w:p w14:paraId="7FEEE8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）每天对施工场地洒水</w:t>
            </w:r>
            <w:r>
              <w:rPr>
                <w:rFonts w:hint="default" w:ascii="Times New Roman" w:hAnsi="Times New Roman" w:eastAsia="宋体" w:cs="Times New Roman"/>
                <w:color w:val="auto"/>
                <w:sz w:val="24"/>
                <w:szCs w:val="24"/>
                <w:highlight w:val="none"/>
                <w:lang w:val="en-US" w:eastAsia="zh-CN"/>
              </w:rPr>
              <w:t>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次，根据其他项目施工场地的经验，可降尘</w:t>
            </w:r>
            <w:r>
              <w:rPr>
                <w:rFonts w:hint="default" w:ascii="Times New Roman" w:hAnsi="Times New Roman" w:eastAsia="宋体" w:cs="Times New Roman"/>
                <w:color w:val="auto"/>
                <w:sz w:val="24"/>
                <w:szCs w:val="24"/>
                <w:highlight w:val="none"/>
                <w:lang w:val="en-US" w:eastAsia="zh-CN"/>
              </w:rPr>
              <w:t>70%</w:t>
            </w:r>
            <w:r>
              <w:rPr>
                <w:rFonts w:hint="eastAsia" w:ascii="Times New Roman" w:hAnsi="Times New Roman" w:eastAsia="宋体" w:cs="Times New Roman"/>
                <w:color w:val="auto"/>
                <w:sz w:val="24"/>
                <w:szCs w:val="24"/>
                <w:highlight w:val="none"/>
                <w:lang w:val="en-US" w:eastAsia="zh-CN"/>
              </w:rPr>
              <w:t>左右，将扬尘影响控制在施工场区范围内。</w:t>
            </w:r>
          </w:p>
          <w:p w14:paraId="3E5B27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）施工期间严格执行“</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个百分百”的要求：工地周边</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围挡、物料堆放</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覆盖、土方开挖</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湿法作业、路面</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硬化、出入车辆</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清洗、渣土车辆</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密闭运输。</w:t>
            </w:r>
          </w:p>
          <w:p w14:paraId="009A68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经以上措施处理后，项目废气不会对周围环境产生明显影响。</w:t>
            </w:r>
          </w:p>
          <w:p w14:paraId="4BB0279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bCs/>
                <w:color w:val="auto"/>
                <w:sz w:val="24"/>
                <w:szCs w:val="24"/>
                <w:highlight w:val="none"/>
              </w:rPr>
            </w:pPr>
            <w:r>
              <w:rPr>
                <w:rFonts w:hint="default"/>
                <w:b/>
                <w:bCs/>
                <w:color w:val="auto"/>
                <w:sz w:val="24"/>
                <w:szCs w:val="24"/>
                <w:highlight w:val="none"/>
                <w:lang w:val="en-US" w:eastAsia="zh-CN"/>
              </w:rPr>
              <w:t>3</w:t>
            </w:r>
            <w:r>
              <w:rPr>
                <w:rFonts w:hint="eastAsia"/>
                <w:b/>
                <w:bCs/>
                <w:color w:val="auto"/>
                <w:sz w:val="24"/>
                <w:szCs w:val="24"/>
                <w:highlight w:val="none"/>
                <w:lang w:val="en-US" w:eastAsia="zh-CN"/>
              </w:rPr>
              <w:t>、施工期噪声环境保护措施</w:t>
            </w:r>
          </w:p>
          <w:p w14:paraId="7C9657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）噪声源控制</w:t>
            </w:r>
          </w:p>
          <w:p w14:paraId="468082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14:paraId="292D60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②施工场地的施工车辆出入地点应尽量远离敏感点，运输车辆经过学校、居民区时应低速、禁鸣；</w:t>
            </w:r>
          </w:p>
          <w:p w14:paraId="40C2A1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③经常维护出入口道路，保证机械和运输车辆快速通行。</w:t>
            </w:r>
          </w:p>
          <w:p w14:paraId="32DD3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）控制噪声的传播途径</w:t>
            </w:r>
          </w:p>
          <w:p w14:paraId="30ACE2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①在不影响施工情况下，将产噪设备尽量分散安排，高噪声设备尽可能远离声环境敏感目标布置。</w:t>
            </w:r>
          </w:p>
          <w:p w14:paraId="413C0D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②施工时设置高度不得低于1.8</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高的围挡，既防粉尘外逸，又可隔声降噪，东北侧与厂界相邻居民房处设置3m高隔声屏障。</w:t>
            </w:r>
          </w:p>
          <w:p w14:paraId="0E31C9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）运输过程中的噪声控制</w:t>
            </w:r>
          </w:p>
          <w:p w14:paraId="3FA0BC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①合理安排运输路线，最大限度减小运输途中对居民区的影响；</w:t>
            </w:r>
          </w:p>
          <w:p w14:paraId="28A6E1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②运输车辆运输过程中应遵守禁鸣规定；</w:t>
            </w:r>
          </w:p>
          <w:p w14:paraId="291560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③施工场地进出口应保持平坦，减少由于道路不平而引起的车辆颠簸噪声和产生的振动；</w:t>
            </w:r>
          </w:p>
          <w:p w14:paraId="61CD50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④在居民区行驶时应采取降速等方法降低噪声；</w:t>
            </w:r>
          </w:p>
          <w:p w14:paraId="51D80C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⑤尽量不安排大型载重车，建议换成中型载重车等，减轻地面的振动，同时定期对车辆进行维护，保持车辆良好工况。</w:t>
            </w:r>
          </w:p>
          <w:p w14:paraId="0C0934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）管理措施</w:t>
            </w:r>
          </w:p>
          <w:p w14:paraId="1B82B7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①合理安排施工时间：施工单位应合理安排好施工时间，除工程必须，并取得环保部门批准外，不得进行夜间施工，同时夜间施工需公告于周边居民；</w:t>
            </w:r>
          </w:p>
          <w:p w14:paraId="44BB4C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②建设管理部门应加强对施工场地的噪声管理，施工企业也应对施工噪声进行自律，文明施工，避免因施工噪声产生纠纷；</w:t>
            </w:r>
          </w:p>
          <w:p w14:paraId="37BA6D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③建设与施工单位还应与施工场地周围单位、居民建立良好的关系，及时让他们了解施工进度及采取的降噪措施，并取得大家的共同理解。若因工艺或特殊需要必须连续施工，施工单位应在施工前</w:t>
            </w:r>
            <w:r>
              <w:rPr>
                <w:rFonts w:hint="default"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日内报请地方生态环境局批准，并向施工场地周围的居民或单位发布公告，以征得公众的理解和支持；</w:t>
            </w:r>
          </w:p>
          <w:p w14:paraId="10E82A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④加强施工区附近交通管理，避免交通阻塞而增加车辆噪声。</w:t>
            </w:r>
          </w:p>
          <w:p w14:paraId="0970A0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在采取以上噪声污染防治措施后，施工期噪声可以做到达标排放。</w:t>
            </w:r>
          </w:p>
          <w:p w14:paraId="3E6F2C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bCs/>
                <w:color w:val="auto"/>
                <w:sz w:val="24"/>
                <w:szCs w:val="24"/>
                <w:highlight w:val="none"/>
              </w:rPr>
            </w:pPr>
            <w:r>
              <w:rPr>
                <w:rFonts w:hint="default"/>
                <w:b/>
                <w:bCs/>
                <w:color w:val="auto"/>
                <w:sz w:val="24"/>
                <w:szCs w:val="24"/>
                <w:highlight w:val="none"/>
                <w:lang w:val="en-US" w:eastAsia="zh-CN"/>
              </w:rPr>
              <w:t>4</w:t>
            </w:r>
            <w:r>
              <w:rPr>
                <w:rFonts w:hint="eastAsia"/>
                <w:b/>
                <w:bCs/>
                <w:color w:val="auto"/>
                <w:sz w:val="24"/>
                <w:szCs w:val="24"/>
                <w:highlight w:val="none"/>
                <w:lang w:val="en-US" w:eastAsia="zh-CN"/>
              </w:rPr>
              <w:t>、施工期固废环境保护措施</w:t>
            </w:r>
          </w:p>
          <w:p w14:paraId="5EC5E0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施工期生产固体废物主要来自多余的土石方、建筑垃圾以及施工人员产生的少量生活垃圾。项目需采取以下措施：</w:t>
            </w:r>
          </w:p>
          <w:p w14:paraId="4BDB9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1</w:t>
            </w:r>
            <w:r>
              <w:rPr>
                <w:rFonts w:hint="eastAsia"/>
                <w:color w:val="auto"/>
                <w:sz w:val="24"/>
                <w:szCs w:val="24"/>
                <w:highlight w:val="none"/>
                <w:lang w:val="en-US" w:eastAsia="zh-CN"/>
              </w:rPr>
              <w:t>）建筑施工现场的垃圾必须采取定点分类、封闭存放、及时清运等防尘防污染措施，生活垃圾由环卫部门定期清运处理，不得任意堆放和丢弃；</w:t>
            </w:r>
          </w:p>
          <w:p w14:paraId="395086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2</w:t>
            </w:r>
            <w:r>
              <w:rPr>
                <w:rFonts w:hint="eastAsia"/>
                <w:color w:val="auto"/>
                <w:sz w:val="24"/>
                <w:szCs w:val="24"/>
                <w:highlight w:val="none"/>
                <w:lang w:val="en-US" w:eastAsia="zh-CN"/>
              </w:rPr>
              <w:t>）多余的土石方须运至政府指定渣土场堆放，装运建筑固废及土石方的车辆要遮盖封闭，并按环卫部门批准的路线、时间、地点倾倒，禁止车辆超载；</w:t>
            </w:r>
          </w:p>
          <w:p w14:paraId="657FC5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3</w:t>
            </w:r>
            <w:r>
              <w:rPr>
                <w:rFonts w:hint="eastAsia"/>
                <w:color w:val="auto"/>
                <w:sz w:val="24"/>
                <w:szCs w:val="24"/>
                <w:highlight w:val="none"/>
                <w:lang w:val="en-US" w:eastAsia="zh-CN"/>
              </w:rPr>
              <w:t>）加强对施工人员的管理，禁止抛撒式装卸物料和垃圾，严格按照国家、省和宣城市的有关管理规定，运到指定的地点统一存放；</w:t>
            </w:r>
          </w:p>
          <w:p w14:paraId="4FF7C0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r>
              <w:rPr>
                <w:rFonts w:hint="default"/>
                <w:color w:val="auto"/>
                <w:sz w:val="24"/>
                <w:szCs w:val="24"/>
                <w:highlight w:val="none"/>
                <w:lang w:val="en-US" w:eastAsia="zh-CN"/>
              </w:rPr>
              <w:t>4</w:t>
            </w:r>
            <w:r>
              <w:rPr>
                <w:rFonts w:hint="eastAsia"/>
                <w:color w:val="auto"/>
                <w:sz w:val="24"/>
                <w:szCs w:val="24"/>
                <w:highlight w:val="none"/>
                <w:lang w:val="en-US" w:eastAsia="zh-CN"/>
              </w:rPr>
              <w:t>）建筑垃圾应加以分类收集，综合利用或统一处置，如用于回填、筑路等。</w:t>
            </w:r>
          </w:p>
          <w:p w14:paraId="03903E2F">
            <w:pPr>
              <w:tabs>
                <w:tab w:val="left" w:pos="1365"/>
              </w:tabs>
              <w:spacing w:line="360" w:lineRule="auto"/>
              <w:ind w:firstLine="480" w:firstLineChars="200"/>
              <w:rPr>
                <w:bCs/>
                <w:color w:val="auto"/>
                <w:sz w:val="24"/>
                <w:szCs w:val="24"/>
              </w:rPr>
            </w:pPr>
            <w:r>
              <w:rPr>
                <w:rFonts w:hint="eastAsia"/>
                <w:color w:val="auto"/>
                <w:sz w:val="24"/>
                <w:szCs w:val="24"/>
                <w:highlight w:val="none"/>
                <w:lang w:val="en-US" w:eastAsia="zh-CN"/>
              </w:rPr>
              <w:t>项目采取以上措施后，项目固废不会对周围环境产生明显影响。</w:t>
            </w:r>
          </w:p>
          <w:p w14:paraId="7D99E2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auto"/>
                <w:spacing w:val="-10"/>
                <w:szCs w:val="21"/>
                <w:lang w:val="en-US" w:eastAsia="zh-CN"/>
              </w:rPr>
            </w:pPr>
          </w:p>
        </w:tc>
      </w:tr>
    </w:tbl>
    <w:p w14:paraId="4B180284">
      <w:pPr>
        <w:numPr>
          <w:ilvl w:val="0"/>
          <w:numId w:val="6"/>
        </w:numPr>
        <w:spacing w:line="360" w:lineRule="auto"/>
        <w:jc w:val="center"/>
        <w:outlineLvl w:val="0"/>
        <w:rPr>
          <w:rFonts w:hint="eastAsia"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6"/>
        <w:tblW w:w="14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4335"/>
      </w:tblGrid>
      <w:tr w14:paraId="252C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Align w:val="center"/>
          </w:tcPr>
          <w:p w14:paraId="7C6D49BF">
            <w:pPr>
              <w:spacing w:line="240" w:lineRule="auto"/>
              <w:jc w:val="center"/>
              <w:outlineLvl w:val="0"/>
              <w:rPr>
                <w:rFonts w:ascii="宋体" w:hAnsi="宋体"/>
                <w:bCs/>
                <w:color w:val="auto"/>
                <w:szCs w:val="21"/>
              </w:rPr>
            </w:pPr>
            <w:bookmarkStart w:id="8" w:name="_Toc3491"/>
            <w:r>
              <w:rPr>
                <w:rFonts w:hint="eastAsia" w:ascii="宋体" w:hAnsi="宋体"/>
                <w:bCs/>
                <w:color w:val="auto"/>
                <w:sz w:val="24"/>
                <w:szCs w:val="24"/>
              </w:rPr>
              <w:t>运营期环境影响和保护措施</w:t>
            </w:r>
            <w:bookmarkEnd w:id="8"/>
          </w:p>
        </w:tc>
        <w:tc>
          <w:tcPr>
            <w:tcW w:w="14335" w:type="dxa"/>
            <w:vAlign w:val="top"/>
          </w:tcPr>
          <w:p w14:paraId="502EE9A1">
            <w:pPr>
              <w:numPr>
                <w:ilvl w:val="0"/>
                <w:numId w:val="7"/>
              </w:numPr>
              <w:spacing w:line="360" w:lineRule="auto"/>
              <w:outlineLvl w:val="0"/>
              <w:rPr>
                <w:rFonts w:hint="eastAsia" w:ascii="宋体" w:hAnsi="宋体" w:eastAsia="宋体" w:cs="宋体"/>
                <w:color w:val="auto"/>
                <w:kern w:val="0"/>
                <w:sz w:val="24"/>
                <w:szCs w:val="24"/>
                <w:lang w:val="en-US" w:eastAsia="zh-CN" w:bidi="ar"/>
              </w:rPr>
            </w:pPr>
            <w:bookmarkStart w:id="9" w:name="_Toc30653"/>
            <w:r>
              <w:rPr>
                <w:rFonts w:hint="eastAsia"/>
                <w:b/>
                <w:color w:val="auto"/>
                <w:sz w:val="24"/>
                <w:szCs w:val="24"/>
              </w:rPr>
              <w:t>大气环境影响及保护措施</w:t>
            </w:r>
            <w:bookmarkEnd w:id="9"/>
          </w:p>
          <w:p w14:paraId="2B1665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建设项目有组织废气产生及排放情况详见表</w:t>
            </w:r>
            <w:r>
              <w:rPr>
                <w:rFonts w:hint="eastAsia" w:cs="Times New Roman"/>
                <w:color w:val="auto"/>
                <w:sz w:val="24"/>
                <w:highlight w:val="none"/>
                <w:lang w:val="en-US" w:eastAsia="zh-CN"/>
              </w:rPr>
              <w:t>4-1。</w:t>
            </w:r>
          </w:p>
          <w:p w14:paraId="61D8AEFE">
            <w:pPr>
              <w:spacing w:line="360" w:lineRule="auto"/>
              <w:jc w:val="center"/>
              <w:rPr>
                <w:b/>
                <w:color w:val="auto"/>
                <w:szCs w:val="21"/>
              </w:rPr>
            </w:pPr>
            <w:r>
              <w:rPr>
                <w:rFonts w:hint="eastAsia"/>
                <w:b/>
                <w:color w:val="auto"/>
                <w:szCs w:val="21"/>
              </w:rPr>
              <w:t>表4-1  建设项目有组织废气产生及排放情况一览表</w:t>
            </w:r>
          </w:p>
          <w:tbl>
            <w:tblPr>
              <w:tblStyle w:val="46"/>
              <w:tblW w:w="14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1"/>
              <w:gridCol w:w="816"/>
              <w:gridCol w:w="636"/>
              <w:gridCol w:w="792"/>
              <w:gridCol w:w="948"/>
              <w:gridCol w:w="1044"/>
              <w:gridCol w:w="1571"/>
              <w:gridCol w:w="965"/>
              <w:gridCol w:w="727"/>
              <w:gridCol w:w="996"/>
              <w:gridCol w:w="862"/>
              <w:gridCol w:w="743"/>
              <w:gridCol w:w="701"/>
              <w:gridCol w:w="876"/>
              <w:gridCol w:w="1060"/>
              <w:gridCol w:w="601"/>
            </w:tblGrid>
            <w:tr w14:paraId="01C2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1" w:type="dxa"/>
                  <w:vMerge w:val="restart"/>
                  <w:vAlign w:val="center"/>
                </w:tcPr>
                <w:p w14:paraId="3582A2A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排气筒编号</w:t>
                  </w:r>
                </w:p>
              </w:tc>
              <w:tc>
                <w:tcPr>
                  <w:tcW w:w="816" w:type="dxa"/>
                  <w:vMerge w:val="restart"/>
                  <w:vAlign w:val="center"/>
                </w:tcPr>
                <w:p w14:paraId="41A6405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产排污</w:t>
                  </w:r>
                </w:p>
                <w:p w14:paraId="300E1B4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环节</w:t>
                  </w:r>
                </w:p>
              </w:tc>
              <w:tc>
                <w:tcPr>
                  <w:tcW w:w="636" w:type="dxa"/>
                  <w:vMerge w:val="restart"/>
                  <w:vAlign w:val="center"/>
                </w:tcPr>
                <w:p w14:paraId="6F63E7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2784" w:type="dxa"/>
                  <w:gridSpan w:val="3"/>
                  <w:vAlign w:val="center"/>
                </w:tcPr>
                <w:p w14:paraId="47C133E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污染物产生情况</w:t>
                  </w:r>
                </w:p>
              </w:tc>
              <w:tc>
                <w:tcPr>
                  <w:tcW w:w="5864" w:type="dxa"/>
                  <w:gridSpan w:val="6"/>
                  <w:vAlign w:val="center"/>
                </w:tcPr>
                <w:p w14:paraId="4498FA8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治理设施</w:t>
                  </w:r>
                </w:p>
              </w:tc>
              <w:tc>
                <w:tcPr>
                  <w:tcW w:w="3238" w:type="dxa"/>
                  <w:gridSpan w:val="4"/>
                  <w:vAlign w:val="center"/>
                </w:tcPr>
                <w:p w14:paraId="776440F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污染物排放情况</w:t>
                  </w:r>
                </w:p>
              </w:tc>
            </w:tr>
            <w:tr w14:paraId="33FC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1" w:type="dxa"/>
                  <w:vMerge w:val="continue"/>
                  <w:vAlign w:val="center"/>
                </w:tcPr>
                <w:p w14:paraId="04C0218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816" w:type="dxa"/>
                  <w:vMerge w:val="continue"/>
                  <w:vAlign w:val="center"/>
                </w:tcPr>
                <w:p w14:paraId="5C1920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636" w:type="dxa"/>
                  <w:vMerge w:val="continue"/>
                  <w:vAlign w:val="center"/>
                </w:tcPr>
                <w:p w14:paraId="2E3FEF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792" w:type="dxa"/>
                  <w:vAlign w:val="center"/>
                </w:tcPr>
                <w:p w14:paraId="1C07B9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p w14:paraId="6DBAB3E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t/a</w:t>
                  </w:r>
                  <w:r>
                    <w:rPr>
                      <w:rFonts w:hint="eastAsia" w:cs="Times New Roman"/>
                      <w:b/>
                      <w:color w:val="auto"/>
                      <w:sz w:val="21"/>
                      <w:szCs w:val="21"/>
                      <w:lang w:eastAsia="zh-CN"/>
                    </w:rPr>
                    <w:t>）</w:t>
                  </w:r>
                </w:p>
              </w:tc>
              <w:tc>
                <w:tcPr>
                  <w:tcW w:w="948" w:type="dxa"/>
                  <w:vAlign w:val="center"/>
                </w:tcPr>
                <w:p w14:paraId="6B19E36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产生速率（kg/h）</w:t>
                  </w:r>
                </w:p>
              </w:tc>
              <w:tc>
                <w:tcPr>
                  <w:tcW w:w="1044" w:type="dxa"/>
                  <w:vAlign w:val="center"/>
                </w:tcPr>
                <w:p w14:paraId="40419B3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571" w:type="dxa"/>
                  <w:vAlign w:val="center"/>
                </w:tcPr>
                <w:p w14:paraId="26AC23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治理设施名称及工艺</w:t>
                  </w:r>
                </w:p>
              </w:tc>
              <w:tc>
                <w:tcPr>
                  <w:tcW w:w="965" w:type="dxa"/>
                  <w:vAlign w:val="center"/>
                </w:tcPr>
                <w:p w14:paraId="32E3DC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处理能力（m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/h）</w:t>
                  </w:r>
                </w:p>
              </w:tc>
              <w:tc>
                <w:tcPr>
                  <w:tcW w:w="727" w:type="dxa"/>
                  <w:vAlign w:val="center"/>
                </w:tcPr>
                <w:p w14:paraId="272FDDA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收集方式</w:t>
                  </w:r>
                </w:p>
              </w:tc>
              <w:tc>
                <w:tcPr>
                  <w:tcW w:w="996" w:type="dxa"/>
                  <w:vAlign w:val="center"/>
                </w:tcPr>
                <w:p w14:paraId="3784450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收集效率（%）</w:t>
                  </w:r>
                </w:p>
              </w:tc>
              <w:tc>
                <w:tcPr>
                  <w:tcW w:w="862" w:type="dxa"/>
                  <w:vAlign w:val="center"/>
                </w:tcPr>
                <w:p w14:paraId="7EE0642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去除效率（%）</w:t>
                  </w:r>
                </w:p>
              </w:tc>
              <w:tc>
                <w:tcPr>
                  <w:tcW w:w="743" w:type="dxa"/>
                  <w:vAlign w:val="center"/>
                </w:tcPr>
                <w:p w14:paraId="3854302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是否为可行技术</w:t>
                  </w:r>
                </w:p>
              </w:tc>
              <w:tc>
                <w:tcPr>
                  <w:tcW w:w="701" w:type="dxa"/>
                  <w:vAlign w:val="center"/>
                </w:tcPr>
                <w:p w14:paraId="4A74F63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p w14:paraId="17F857F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t/a</w:t>
                  </w:r>
                  <w:r>
                    <w:rPr>
                      <w:rFonts w:hint="eastAsia" w:cs="Times New Roman"/>
                      <w:b/>
                      <w:color w:val="auto"/>
                      <w:sz w:val="21"/>
                      <w:szCs w:val="21"/>
                      <w:lang w:eastAsia="zh-CN"/>
                    </w:rPr>
                    <w:t>)</w:t>
                  </w:r>
                </w:p>
              </w:tc>
              <w:tc>
                <w:tcPr>
                  <w:tcW w:w="876" w:type="dxa"/>
                  <w:vAlign w:val="center"/>
                </w:tcPr>
                <w:p w14:paraId="6500C50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1060" w:type="dxa"/>
                  <w:vAlign w:val="center"/>
                </w:tcPr>
                <w:p w14:paraId="3298CD3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601" w:type="dxa"/>
                  <w:vAlign w:val="center"/>
                </w:tcPr>
                <w:p w14:paraId="18AE9F3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排放时间（h）</w:t>
                  </w:r>
                </w:p>
              </w:tc>
            </w:tr>
            <w:tr w14:paraId="0863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1" w:type="dxa"/>
                  <w:vMerge w:val="restart"/>
                  <w:vAlign w:val="center"/>
                </w:tcPr>
                <w:p w14:paraId="643B1F11">
                  <w:pPr>
                    <w:keepNext w:val="0"/>
                    <w:keepLines w:val="0"/>
                    <w:pageBreakBefore w:val="0"/>
                    <w:kinsoku/>
                    <w:wordWrap/>
                    <w:overflowPunct/>
                    <w:topLinePunct w:val="0"/>
                    <w:autoSpaceDE/>
                    <w:autoSpaceDN/>
                    <w:bidi w:val="0"/>
                    <w:adjustRightInd/>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DA001</w:t>
                  </w:r>
                </w:p>
              </w:tc>
              <w:tc>
                <w:tcPr>
                  <w:tcW w:w="816" w:type="dxa"/>
                  <w:vAlign w:val="center"/>
                </w:tcPr>
                <w:p w14:paraId="4800085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卸料</w:t>
                  </w:r>
                </w:p>
              </w:tc>
              <w:tc>
                <w:tcPr>
                  <w:tcW w:w="636" w:type="dxa"/>
                  <w:vMerge w:val="restart"/>
                  <w:vAlign w:val="center"/>
                </w:tcPr>
                <w:p w14:paraId="345A3C0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p w14:paraId="026173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92" w:type="dxa"/>
                  <w:vMerge w:val="restart"/>
                  <w:vAlign w:val="center"/>
                </w:tcPr>
                <w:p w14:paraId="526D581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5.434</w:t>
                  </w:r>
                </w:p>
              </w:tc>
              <w:tc>
                <w:tcPr>
                  <w:tcW w:w="948" w:type="dxa"/>
                  <w:vMerge w:val="restart"/>
                  <w:vAlign w:val="center"/>
                </w:tcPr>
                <w:p w14:paraId="25FFFA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5.877</w:t>
                  </w:r>
                </w:p>
              </w:tc>
              <w:tc>
                <w:tcPr>
                  <w:tcW w:w="1044" w:type="dxa"/>
                  <w:vMerge w:val="restart"/>
                  <w:vAlign w:val="center"/>
                </w:tcPr>
                <w:p w14:paraId="6FE6CFB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235.08</w:t>
                  </w:r>
                </w:p>
              </w:tc>
              <w:tc>
                <w:tcPr>
                  <w:tcW w:w="1571" w:type="dxa"/>
                  <w:vMerge w:val="restart"/>
                  <w:vAlign w:val="center"/>
                </w:tcPr>
                <w:p w14:paraId="72193BA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color w:val="auto"/>
                      <w:sz w:val="21"/>
                      <w:szCs w:val="21"/>
                      <w:lang w:eastAsia="zh-CN"/>
                    </w:rPr>
                  </w:pPr>
                  <w:r>
                    <w:rPr>
                      <w:rFonts w:hint="eastAsia" w:cs="Times New Roman"/>
                      <w:color w:val="auto"/>
                      <w:sz w:val="21"/>
                      <w:szCs w:val="21"/>
                      <w:lang w:val="en-US" w:eastAsia="zh-CN"/>
                    </w:rPr>
                    <w:t>除杂粉尘、去石粉尘、碾米粉尘经密闭管道收集经并联6套旋风除尘器处理后，再与经集气罩收集的卸粮粉尘，密闭管道收集的砻谷粉尘、谷糙分离粉尘、一次色选粉尘，共同经1套脉冲除尘器处理</w:t>
                  </w:r>
                </w:p>
              </w:tc>
              <w:tc>
                <w:tcPr>
                  <w:tcW w:w="965" w:type="dxa"/>
                  <w:vMerge w:val="restart"/>
                  <w:vAlign w:val="center"/>
                </w:tcPr>
                <w:p w14:paraId="5E857C0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25000</w:t>
                  </w:r>
                </w:p>
              </w:tc>
              <w:tc>
                <w:tcPr>
                  <w:tcW w:w="727" w:type="dxa"/>
                  <w:vAlign w:val="center"/>
                </w:tcPr>
                <w:p w14:paraId="2CC8AEC2">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集气罩</w:t>
                  </w:r>
                </w:p>
              </w:tc>
              <w:tc>
                <w:tcPr>
                  <w:tcW w:w="996" w:type="dxa"/>
                  <w:vAlign w:val="center"/>
                </w:tcPr>
                <w:p w14:paraId="50DC483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862" w:type="dxa"/>
                  <w:vMerge w:val="restart"/>
                  <w:vAlign w:val="center"/>
                </w:tcPr>
                <w:p w14:paraId="0FC4E56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99</w:t>
                  </w:r>
                </w:p>
              </w:tc>
              <w:tc>
                <w:tcPr>
                  <w:tcW w:w="743" w:type="dxa"/>
                  <w:vMerge w:val="restart"/>
                  <w:vAlign w:val="center"/>
                </w:tcPr>
                <w:p w14:paraId="235E999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是</w:t>
                  </w:r>
                </w:p>
              </w:tc>
              <w:tc>
                <w:tcPr>
                  <w:tcW w:w="701" w:type="dxa"/>
                  <w:vMerge w:val="restart"/>
                  <w:vAlign w:val="center"/>
                </w:tcPr>
                <w:p w14:paraId="1946AF3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0.054</w:t>
                  </w:r>
                </w:p>
              </w:tc>
              <w:tc>
                <w:tcPr>
                  <w:tcW w:w="876" w:type="dxa"/>
                  <w:vMerge w:val="restart"/>
                  <w:vAlign w:val="center"/>
                </w:tcPr>
                <w:p w14:paraId="164B77F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0.059</w:t>
                  </w:r>
                </w:p>
              </w:tc>
              <w:tc>
                <w:tcPr>
                  <w:tcW w:w="1060" w:type="dxa"/>
                  <w:vMerge w:val="restart"/>
                  <w:vAlign w:val="center"/>
                </w:tcPr>
                <w:p w14:paraId="3987FBC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2.351</w:t>
                  </w:r>
                </w:p>
              </w:tc>
              <w:tc>
                <w:tcPr>
                  <w:tcW w:w="601" w:type="dxa"/>
                  <w:vMerge w:val="restart"/>
                  <w:vAlign w:val="center"/>
                </w:tcPr>
                <w:p w14:paraId="68F8F1B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2400</w:t>
                  </w:r>
                </w:p>
              </w:tc>
            </w:tr>
            <w:tr w14:paraId="5755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7" w:hRule="atLeast"/>
                <w:jc w:val="center"/>
              </w:trPr>
              <w:tc>
                <w:tcPr>
                  <w:tcW w:w="731" w:type="dxa"/>
                  <w:vMerge w:val="continue"/>
                  <w:vAlign w:val="center"/>
                </w:tcPr>
                <w:p w14:paraId="4C72D84C">
                  <w:pPr>
                    <w:keepNext w:val="0"/>
                    <w:keepLines w:val="0"/>
                    <w:pageBreakBefore w:val="0"/>
                    <w:kinsoku/>
                    <w:wordWrap/>
                    <w:overflowPunct/>
                    <w:topLinePunct w:val="0"/>
                    <w:autoSpaceDE/>
                    <w:autoSpaceDN/>
                    <w:bidi w:val="0"/>
                    <w:adjustRightInd/>
                    <w:snapToGrid/>
                    <w:spacing w:line="240" w:lineRule="auto"/>
                    <w:jc w:val="center"/>
                    <w:rPr>
                      <w:rFonts w:hint="default" w:cs="Times New Roman"/>
                      <w:color w:val="auto"/>
                      <w:sz w:val="21"/>
                      <w:szCs w:val="21"/>
                      <w:lang w:val="en-US" w:eastAsia="zh-CN"/>
                    </w:rPr>
                  </w:pPr>
                </w:p>
              </w:tc>
              <w:tc>
                <w:tcPr>
                  <w:tcW w:w="816" w:type="dxa"/>
                  <w:vAlign w:val="center"/>
                </w:tcPr>
                <w:p w14:paraId="1F4BD1B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除杂、去石、砻谷、谷糙分离、一次色选、碾米</w:t>
                  </w:r>
                </w:p>
              </w:tc>
              <w:tc>
                <w:tcPr>
                  <w:tcW w:w="636" w:type="dxa"/>
                  <w:vMerge w:val="continue"/>
                  <w:vAlign w:val="center"/>
                </w:tcPr>
                <w:p w14:paraId="096DC44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792" w:type="dxa"/>
                  <w:vMerge w:val="continue"/>
                  <w:shd w:val="clear" w:color="auto" w:fill="auto"/>
                  <w:vAlign w:val="center"/>
                </w:tcPr>
                <w:p w14:paraId="1B4DD4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948" w:type="dxa"/>
                  <w:vMerge w:val="continue"/>
                  <w:shd w:val="clear" w:color="auto" w:fill="auto"/>
                  <w:vAlign w:val="center"/>
                </w:tcPr>
                <w:p w14:paraId="7B8397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1044" w:type="dxa"/>
                  <w:vMerge w:val="continue"/>
                  <w:shd w:val="clear" w:color="auto" w:fill="auto"/>
                  <w:vAlign w:val="center"/>
                </w:tcPr>
                <w:p w14:paraId="68C651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1571" w:type="dxa"/>
                  <w:vMerge w:val="continue"/>
                  <w:vAlign w:val="center"/>
                </w:tcPr>
                <w:p w14:paraId="10DA6D2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p>
              </w:tc>
              <w:tc>
                <w:tcPr>
                  <w:tcW w:w="965" w:type="dxa"/>
                  <w:vMerge w:val="continue"/>
                  <w:vAlign w:val="center"/>
                </w:tcPr>
                <w:p w14:paraId="24131D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p>
              </w:tc>
              <w:tc>
                <w:tcPr>
                  <w:tcW w:w="727" w:type="dxa"/>
                  <w:vAlign w:val="center"/>
                </w:tcPr>
                <w:p w14:paraId="07F611BF">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密闭收集</w:t>
                  </w:r>
                </w:p>
              </w:tc>
              <w:tc>
                <w:tcPr>
                  <w:tcW w:w="996" w:type="dxa"/>
                  <w:vAlign w:val="center"/>
                </w:tcPr>
                <w:p w14:paraId="7184C53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862" w:type="dxa"/>
                  <w:vMerge w:val="continue"/>
                  <w:vAlign w:val="center"/>
                </w:tcPr>
                <w:p w14:paraId="50EB92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p>
              </w:tc>
              <w:tc>
                <w:tcPr>
                  <w:tcW w:w="743" w:type="dxa"/>
                  <w:vMerge w:val="continue"/>
                  <w:vAlign w:val="center"/>
                </w:tcPr>
                <w:p w14:paraId="6FF40A7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p>
              </w:tc>
              <w:tc>
                <w:tcPr>
                  <w:tcW w:w="701" w:type="dxa"/>
                  <w:vMerge w:val="continue"/>
                  <w:shd w:val="clear" w:color="auto" w:fill="auto"/>
                  <w:vAlign w:val="center"/>
                </w:tcPr>
                <w:p w14:paraId="0B3A89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876" w:type="dxa"/>
                  <w:vMerge w:val="continue"/>
                  <w:shd w:val="clear" w:color="auto" w:fill="auto"/>
                  <w:vAlign w:val="center"/>
                </w:tcPr>
                <w:p w14:paraId="084864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1060" w:type="dxa"/>
                  <w:vMerge w:val="continue"/>
                  <w:shd w:val="clear" w:color="auto" w:fill="auto"/>
                  <w:vAlign w:val="center"/>
                </w:tcPr>
                <w:p w14:paraId="2C5C07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601" w:type="dxa"/>
                  <w:vMerge w:val="continue"/>
                  <w:vAlign w:val="center"/>
                </w:tcPr>
                <w:p w14:paraId="77AA2DB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p>
              </w:tc>
            </w:tr>
            <w:tr w14:paraId="707D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1" w:type="dxa"/>
                  <w:shd w:val="clear" w:color="auto" w:fill="auto"/>
                  <w:vAlign w:val="center"/>
                </w:tcPr>
                <w:p w14:paraId="2DF61CD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DA002</w:t>
                  </w:r>
                </w:p>
              </w:tc>
              <w:tc>
                <w:tcPr>
                  <w:tcW w:w="816" w:type="dxa"/>
                  <w:shd w:val="clear" w:color="auto" w:fill="auto"/>
                  <w:vAlign w:val="center"/>
                </w:tcPr>
                <w:p w14:paraId="1E2577A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一次白米分级、一次抛光、二次色选</w:t>
                  </w:r>
                </w:p>
              </w:tc>
              <w:tc>
                <w:tcPr>
                  <w:tcW w:w="636" w:type="dxa"/>
                  <w:shd w:val="clear" w:color="auto" w:fill="auto"/>
                  <w:vAlign w:val="center"/>
                </w:tcPr>
                <w:p w14:paraId="3873004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颗粒物</w:t>
                  </w:r>
                </w:p>
              </w:tc>
              <w:tc>
                <w:tcPr>
                  <w:tcW w:w="792" w:type="dxa"/>
                  <w:shd w:val="clear" w:color="auto" w:fill="auto"/>
                  <w:vAlign w:val="center"/>
                </w:tcPr>
                <w:p w14:paraId="5BBACFF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0.029</w:t>
                  </w:r>
                </w:p>
              </w:tc>
              <w:tc>
                <w:tcPr>
                  <w:tcW w:w="948" w:type="dxa"/>
                  <w:shd w:val="clear" w:color="auto" w:fill="auto"/>
                  <w:vAlign w:val="center"/>
                </w:tcPr>
                <w:p w14:paraId="02B0728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0.012</w:t>
                  </w:r>
                </w:p>
              </w:tc>
              <w:tc>
                <w:tcPr>
                  <w:tcW w:w="1044" w:type="dxa"/>
                  <w:shd w:val="clear" w:color="auto" w:fill="auto"/>
                  <w:vAlign w:val="center"/>
                </w:tcPr>
                <w:p w14:paraId="63B533F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1.5</w:t>
                  </w:r>
                </w:p>
              </w:tc>
              <w:tc>
                <w:tcPr>
                  <w:tcW w:w="1571" w:type="dxa"/>
                  <w:shd w:val="clear" w:color="auto" w:fill="auto"/>
                  <w:vAlign w:val="center"/>
                </w:tcPr>
                <w:p w14:paraId="0FA115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一次抛光粉尘分别经2套并联旋风除尘器处理后，与一次白米分级粉尘、二次色选粉尘通过密闭管道收集，共同经1套脉冲除尘器处理</w:t>
                  </w:r>
                </w:p>
              </w:tc>
              <w:tc>
                <w:tcPr>
                  <w:tcW w:w="965" w:type="dxa"/>
                  <w:shd w:val="clear" w:color="auto" w:fill="auto"/>
                  <w:vAlign w:val="center"/>
                </w:tcPr>
                <w:p w14:paraId="184BBB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8000</w:t>
                  </w:r>
                </w:p>
              </w:tc>
              <w:tc>
                <w:tcPr>
                  <w:tcW w:w="727" w:type="dxa"/>
                  <w:shd w:val="clear" w:color="auto" w:fill="auto"/>
                  <w:vAlign w:val="center"/>
                </w:tcPr>
                <w:p w14:paraId="28D6170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密闭收集</w:t>
                  </w:r>
                </w:p>
              </w:tc>
              <w:tc>
                <w:tcPr>
                  <w:tcW w:w="996" w:type="dxa"/>
                  <w:shd w:val="clear" w:color="auto" w:fill="auto"/>
                  <w:vAlign w:val="center"/>
                </w:tcPr>
                <w:p w14:paraId="7588044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p>
              </w:tc>
              <w:tc>
                <w:tcPr>
                  <w:tcW w:w="862" w:type="dxa"/>
                  <w:shd w:val="clear" w:color="auto" w:fill="auto"/>
                  <w:vAlign w:val="center"/>
                </w:tcPr>
                <w:p w14:paraId="1FC9A44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99</w:t>
                  </w:r>
                </w:p>
              </w:tc>
              <w:tc>
                <w:tcPr>
                  <w:tcW w:w="743" w:type="dxa"/>
                  <w:shd w:val="clear" w:color="auto" w:fill="auto"/>
                  <w:vAlign w:val="center"/>
                </w:tcPr>
                <w:p w14:paraId="689A863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是</w:t>
                  </w:r>
                </w:p>
              </w:tc>
              <w:tc>
                <w:tcPr>
                  <w:tcW w:w="701" w:type="dxa"/>
                  <w:shd w:val="clear" w:color="auto" w:fill="auto"/>
                  <w:vAlign w:val="center"/>
                </w:tcPr>
                <w:p w14:paraId="24C2A2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0.0003</w:t>
                  </w:r>
                </w:p>
              </w:tc>
              <w:tc>
                <w:tcPr>
                  <w:tcW w:w="876" w:type="dxa"/>
                  <w:shd w:val="clear" w:color="auto" w:fill="auto"/>
                  <w:vAlign w:val="center"/>
                </w:tcPr>
                <w:p w14:paraId="1546E9D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0.0001</w:t>
                  </w:r>
                </w:p>
              </w:tc>
              <w:tc>
                <w:tcPr>
                  <w:tcW w:w="1060" w:type="dxa"/>
                  <w:shd w:val="clear" w:color="auto" w:fill="auto"/>
                  <w:vAlign w:val="center"/>
                </w:tcPr>
                <w:p w14:paraId="62A67E4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0.015</w:t>
                  </w:r>
                </w:p>
              </w:tc>
              <w:tc>
                <w:tcPr>
                  <w:tcW w:w="601" w:type="dxa"/>
                  <w:shd w:val="clear" w:color="auto" w:fill="auto"/>
                  <w:vAlign w:val="center"/>
                </w:tcPr>
                <w:p w14:paraId="3240E71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2400</w:t>
                  </w:r>
                </w:p>
              </w:tc>
            </w:tr>
            <w:tr w14:paraId="0754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1" w:type="dxa"/>
                  <w:shd w:val="clear" w:color="auto" w:fill="auto"/>
                  <w:vAlign w:val="center"/>
                </w:tcPr>
                <w:p w14:paraId="3C7B4E06">
                  <w:pPr>
                    <w:keepNext w:val="0"/>
                    <w:keepLines w:val="0"/>
                    <w:pageBreakBefore w:val="0"/>
                    <w:kinsoku/>
                    <w:wordWrap/>
                    <w:overflowPunct/>
                    <w:topLinePunct w:val="0"/>
                    <w:autoSpaceDE/>
                    <w:autoSpaceDN/>
                    <w:bidi w:val="0"/>
                    <w:adjustRightInd/>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816" w:type="dxa"/>
                  <w:shd w:val="clear" w:color="auto" w:fill="auto"/>
                  <w:vAlign w:val="center"/>
                </w:tcPr>
                <w:p w14:paraId="64CA4BF1">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二次白米分级、二次抛光、三次色选、精选</w:t>
                  </w:r>
                </w:p>
              </w:tc>
              <w:tc>
                <w:tcPr>
                  <w:tcW w:w="636" w:type="dxa"/>
                  <w:shd w:val="clear" w:color="auto" w:fill="auto"/>
                  <w:vAlign w:val="center"/>
                </w:tcPr>
                <w:p w14:paraId="3248CE21">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792" w:type="dxa"/>
                  <w:shd w:val="clear" w:color="auto" w:fill="auto"/>
                  <w:vAlign w:val="center"/>
                </w:tcPr>
                <w:p w14:paraId="79BAA0E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0.029</w:t>
                  </w:r>
                </w:p>
              </w:tc>
              <w:tc>
                <w:tcPr>
                  <w:tcW w:w="948" w:type="dxa"/>
                  <w:shd w:val="clear" w:color="auto" w:fill="auto"/>
                  <w:vAlign w:val="center"/>
                </w:tcPr>
                <w:p w14:paraId="33DC616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1044" w:type="dxa"/>
                  <w:shd w:val="clear" w:color="auto" w:fill="auto"/>
                  <w:vAlign w:val="center"/>
                </w:tcPr>
                <w:p w14:paraId="1B6603A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571" w:type="dxa"/>
                  <w:shd w:val="clear" w:color="auto" w:fill="auto"/>
                  <w:vAlign w:val="center"/>
                </w:tcPr>
                <w:p w14:paraId="1D0F65A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二次抛光粉尘分别经2套并联旋风除尘器处理后，与三次色选粉尘、二次白米分级粉尘、精选粉尘通过密闭管道收集，共同经1套脉冲除尘器处理</w:t>
                  </w:r>
                </w:p>
              </w:tc>
              <w:tc>
                <w:tcPr>
                  <w:tcW w:w="965" w:type="dxa"/>
                  <w:shd w:val="clear" w:color="auto" w:fill="auto"/>
                  <w:vAlign w:val="center"/>
                </w:tcPr>
                <w:p w14:paraId="534565BE">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8000</w:t>
                  </w:r>
                </w:p>
              </w:tc>
              <w:tc>
                <w:tcPr>
                  <w:tcW w:w="727" w:type="dxa"/>
                  <w:shd w:val="clear" w:color="auto" w:fill="auto"/>
                  <w:vAlign w:val="center"/>
                </w:tcPr>
                <w:p w14:paraId="15B08A1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密闭收集</w:t>
                  </w:r>
                </w:p>
              </w:tc>
              <w:tc>
                <w:tcPr>
                  <w:tcW w:w="996" w:type="dxa"/>
                  <w:shd w:val="clear" w:color="auto" w:fill="auto"/>
                  <w:vAlign w:val="center"/>
                </w:tcPr>
                <w:p w14:paraId="2E0C07A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862" w:type="dxa"/>
                  <w:shd w:val="clear" w:color="auto" w:fill="auto"/>
                  <w:vAlign w:val="center"/>
                </w:tcPr>
                <w:p w14:paraId="5364D55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w:t>
                  </w:r>
                </w:p>
              </w:tc>
              <w:tc>
                <w:tcPr>
                  <w:tcW w:w="743" w:type="dxa"/>
                  <w:shd w:val="clear" w:color="auto" w:fill="auto"/>
                  <w:vAlign w:val="center"/>
                </w:tcPr>
                <w:p w14:paraId="6C715C3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701" w:type="dxa"/>
                  <w:shd w:val="clear" w:color="auto" w:fill="auto"/>
                  <w:vAlign w:val="center"/>
                </w:tcPr>
                <w:p w14:paraId="741883C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0.0003</w:t>
                  </w:r>
                </w:p>
              </w:tc>
              <w:tc>
                <w:tcPr>
                  <w:tcW w:w="876" w:type="dxa"/>
                  <w:shd w:val="clear" w:color="auto" w:fill="auto"/>
                  <w:vAlign w:val="center"/>
                </w:tcPr>
                <w:p w14:paraId="44DCFA5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c>
                <w:tcPr>
                  <w:tcW w:w="1060" w:type="dxa"/>
                  <w:shd w:val="clear" w:color="auto" w:fill="auto"/>
                  <w:vAlign w:val="center"/>
                </w:tcPr>
                <w:p w14:paraId="779593EA">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601" w:type="dxa"/>
                  <w:shd w:val="clear" w:color="auto" w:fill="auto"/>
                  <w:vAlign w:val="center"/>
                </w:tcPr>
                <w:p w14:paraId="2F3A892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2400</w:t>
                  </w:r>
                </w:p>
              </w:tc>
            </w:tr>
          </w:tbl>
          <w:p w14:paraId="51B5CD6A">
            <w:pPr>
              <w:spacing w:line="360" w:lineRule="auto"/>
              <w:ind w:firstLine="480" w:firstLineChars="200"/>
              <w:jc w:val="both"/>
              <w:rPr>
                <w:rFonts w:hint="eastAsia"/>
                <w:b/>
                <w:color w:val="auto"/>
                <w:szCs w:val="21"/>
              </w:rPr>
            </w:pPr>
            <w:r>
              <w:rPr>
                <w:rFonts w:hint="eastAsia"/>
                <w:color w:val="auto"/>
                <w:sz w:val="24"/>
              </w:rPr>
              <w:t>建设项目有组织废气排放口基本情况与无组织废气排放情况分别详见表4-</w:t>
            </w:r>
            <w:r>
              <w:rPr>
                <w:rFonts w:hint="eastAsia"/>
                <w:color w:val="auto"/>
                <w:sz w:val="24"/>
                <w:lang w:val="en-US" w:eastAsia="zh-CN"/>
              </w:rPr>
              <w:t>2</w:t>
            </w:r>
            <w:r>
              <w:rPr>
                <w:rFonts w:hint="eastAsia"/>
                <w:color w:val="auto"/>
                <w:sz w:val="24"/>
              </w:rPr>
              <w:t>、4-</w:t>
            </w:r>
            <w:r>
              <w:rPr>
                <w:rFonts w:hint="eastAsia"/>
                <w:color w:val="auto"/>
                <w:sz w:val="24"/>
                <w:lang w:val="en-US" w:eastAsia="zh-CN"/>
              </w:rPr>
              <w:t>3</w:t>
            </w:r>
            <w:r>
              <w:rPr>
                <w:rFonts w:hint="eastAsia"/>
                <w:color w:val="auto"/>
                <w:sz w:val="24"/>
              </w:rPr>
              <w:t>。</w:t>
            </w:r>
          </w:p>
          <w:p w14:paraId="5AE44CCC">
            <w:pPr>
              <w:spacing w:line="360" w:lineRule="auto"/>
              <w:jc w:val="center"/>
              <w:rPr>
                <w:rFonts w:hint="eastAsia"/>
                <w:b/>
                <w:color w:val="auto"/>
                <w:szCs w:val="21"/>
              </w:rPr>
            </w:pPr>
            <w:r>
              <w:rPr>
                <w:rFonts w:hint="eastAsia"/>
                <w:b/>
                <w:color w:val="auto"/>
                <w:szCs w:val="21"/>
              </w:rPr>
              <w:t>表4-</w:t>
            </w:r>
            <w:r>
              <w:rPr>
                <w:rFonts w:hint="eastAsia"/>
                <w:b/>
                <w:color w:val="auto"/>
                <w:szCs w:val="21"/>
                <w:lang w:val="en-US" w:eastAsia="zh-CN"/>
              </w:rPr>
              <w:t>2</w:t>
            </w:r>
            <w:r>
              <w:rPr>
                <w:rFonts w:hint="eastAsia"/>
                <w:b/>
                <w:color w:val="auto"/>
                <w:szCs w:val="21"/>
              </w:rPr>
              <w:t xml:space="preserve">  建设项目有组织废气排放口基本情况一览表</w:t>
            </w:r>
          </w:p>
          <w:tbl>
            <w:tblPr>
              <w:tblStyle w:val="46"/>
              <w:tblW w:w="14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1290"/>
              <w:gridCol w:w="849"/>
              <w:gridCol w:w="1065"/>
              <w:gridCol w:w="1212"/>
              <w:gridCol w:w="1236"/>
              <w:gridCol w:w="1440"/>
              <w:gridCol w:w="1344"/>
              <w:gridCol w:w="1690"/>
              <w:gridCol w:w="1386"/>
            </w:tblGrid>
            <w:tr w14:paraId="465D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vMerge w:val="restart"/>
                  <w:vAlign w:val="center"/>
                </w:tcPr>
                <w:p w14:paraId="501DF544">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产排污环节</w:t>
                  </w:r>
                </w:p>
              </w:tc>
              <w:tc>
                <w:tcPr>
                  <w:tcW w:w="1290" w:type="dxa"/>
                  <w:vMerge w:val="restart"/>
                  <w:vAlign w:val="center"/>
                </w:tcPr>
                <w:p w14:paraId="1AA3B21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10222" w:type="dxa"/>
                  <w:gridSpan w:val="8"/>
                  <w:vAlign w:val="center"/>
                </w:tcPr>
                <w:p w14:paraId="01A71DBE">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排放口基本情况</w:t>
                  </w:r>
                </w:p>
              </w:tc>
            </w:tr>
            <w:tr w14:paraId="7C21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vMerge w:val="continue"/>
                  <w:vAlign w:val="center"/>
                </w:tcPr>
                <w:p w14:paraId="63951A6F">
                  <w:pPr>
                    <w:spacing w:line="240" w:lineRule="auto"/>
                    <w:jc w:val="center"/>
                    <w:rPr>
                      <w:rFonts w:hint="default" w:ascii="Times New Roman" w:hAnsi="Times New Roman" w:eastAsia="宋体" w:cs="Times New Roman"/>
                      <w:b/>
                      <w:color w:val="auto"/>
                      <w:sz w:val="21"/>
                      <w:szCs w:val="21"/>
                    </w:rPr>
                  </w:pPr>
                </w:p>
              </w:tc>
              <w:tc>
                <w:tcPr>
                  <w:tcW w:w="1290" w:type="dxa"/>
                  <w:vMerge w:val="continue"/>
                  <w:vAlign w:val="center"/>
                </w:tcPr>
                <w:p w14:paraId="022AFAEC">
                  <w:pPr>
                    <w:spacing w:line="240" w:lineRule="auto"/>
                    <w:jc w:val="center"/>
                    <w:rPr>
                      <w:rFonts w:hint="default" w:ascii="Times New Roman" w:hAnsi="Times New Roman" w:eastAsia="宋体" w:cs="Times New Roman"/>
                      <w:b/>
                      <w:color w:val="auto"/>
                      <w:sz w:val="21"/>
                      <w:szCs w:val="21"/>
                    </w:rPr>
                  </w:pPr>
                </w:p>
              </w:tc>
              <w:tc>
                <w:tcPr>
                  <w:tcW w:w="849" w:type="dxa"/>
                  <w:vMerge w:val="restart"/>
                  <w:vAlign w:val="center"/>
                </w:tcPr>
                <w:p w14:paraId="4CDA1176">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高度（m）</w:t>
                  </w:r>
                </w:p>
              </w:tc>
              <w:tc>
                <w:tcPr>
                  <w:tcW w:w="1065" w:type="dxa"/>
                  <w:vMerge w:val="restart"/>
                  <w:vAlign w:val="center"/>
                </w:tcPr>
                <w:p w14:paraId="323ED63F">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内径（m）</w:t>
                  </w:r>
                </w:p>
              </w:tc>
              <w:tc>
                <w:tcPr>
                  <w:tcW w:w="1212" w:type="dxa"/>
                  <w:vMerge w:val="restart"/>
                  <w:vAlign w:val="center"/>
                </w:tcPr>
                <w:p w14:paraId="7F92143C">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温度（℃）</w:t>
                  </w:r>
                </w:p>
              </w:tc>
              <w:tc>
                <w:tcPr>
                  <w:tcW w:w="1236" w:type="dxa"/>
                  <w:vMerge w:val="restart"/>
                  <w:vAlign w:val="center"/>
                </w:tcPr>
                <w:p w14:paraId="58936F34">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2784" w:type="dxa"/>
                  <w:gridSpan w:val="2"/>
                  <w:vAlign w:val="center"/>
                </w:tcPr>
                <w:p w14:paraId="43D3E461">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1690" w:type="dxa"/>
                  <w:vMerge w:val="restart"/>
                  <w:vAlign w:val="center"/>
                </w:tcPr>
                <w:p w14:paraId="74C63A6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386" w:type="dxa"/>
                  <w:vMerge w:val="restart"/>
                  <w:vAlign w:val="center"/>
                </w:tcPr>
                <w:p w14:paraId="31B72588">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r>
            <w:tr w14:paraId="63B8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vMerge w:val="continue"/>
                  <w:vAlign w:val="center"/>
                </w:tcPr>
                <w:p w14:paraId="0EBFA9AC">
                  <w:pPr>
                    <w:spacing w:line="240" w:lineRule="auto"/>
                    <w:jc w:val="center"/>
                    <w:rPr>
                      <w:rFonts w:hint="default" w:ascii="Times New Roman" w:hAnsi="Times New Roman" w:eastAsia="宋体" w:cs="Times New Roman"/>
                      <w:b/>
                      <w:color w:val="auto"/>
                      <w:sz w:val="21"/>
                      <w:szCs w:val="21"/>
                    </w:rPr>
                  </w:pPr>
                </w:p>
              </w:tc>
              <w:tc>
                <w:tcPr>
                  <w:tcW w:w="1290" w:type="dxa"/>
                  <w:vMerge w:val="continue"/>
                  <w:vAlign w:val="center"/>
                </w:tcPr>
                <w:p w14:paraId="32EBB167">
                  <w:pPr>
                    <w:spacing w:line="240" w:lineRule="auto"/>
                    <w:jc w:val="center"/>
                    <w:rPr>
                      <w:rFonts w:hint="default" w:ascii="Times New Roman" w:hAnsi="Times New Roman" w:eastAsia="宋体" w:cs="Times New Roman"/>
                      <w:b/>
                      <w:color w:val="auto"/>
                      <w:sz w:val="21"/>
                      <w:szCs w:val="21"/>
                    </w:rPr>
                  </w:pPr>
                </w:p>
              </w:tc>
              <w:tc>
                <w:tcPr>
                  <w:tcW w:w="849" w:type="dxa"/>
                  <w:vMerge w:val="continue"/>
                  <w:vAlign w:val="center"/>
                </w:tcPr>
                <w:p w14:paraId="749F12E6">
                  <w:pPr>
                    <w:spacing w:line="240" w:lineRule="auto"/>
                    <w:jc w:val="center"/>
                    <w:rPr>
                      <w:rFonts w:hint="default" w:ascii="Times New Roman" w:hAnsi="Times New Roman" w:eastAsia="宋体" w:cs="Times New Roman"/>
                      <w:b/>
                      <w:color w:val="auto"/>
                      <w:sz w:val="21"/>
                      <w:szCs w:val="21"/>
                    </w:rPr>
                  </w:pPr>
                </w:p>
              </w:tc>
              <w:tc>
                <w:tcPr>
                  <w:tcW w:w="1065" w:type="dxa"/>
                  <w:vMerge w:val="continue"/>
                  <w:vAlign w:val="center"/>
                </w:tcPr>
                <w:p w14:paraId="287DFBA3">
                  <w:pPr>
                    <w:spacing w:line="240" w:lineRule="auto"/>
                    <w:jc w:val="center"/>
                    <w:rPr>
                      <w:rFonts w:hint="default" w:ascii="Times New Roman" w:hAnsi="Times New Roman" w:eastAsia="宋体" w:cs="Times New Roman"/>
                      <w:b/>
                      <w:color w:val="auto"/>
                      <w:sz w:val="21"/>
                      <w:szCs w:val="21"/>
                    </w:rPr>
                  </w:pPr>
                </w:p>
              </w:tc>
              <w:tc>
                <w:tcPr>
                  <w:tcW w:w="1212" w:type="dxa"/>
                  <w:vMerge w:val="continue"/>
                  <w:vAlign w:val="center"/>
                </w:tcPr>
                <w:p w14:paraId="4C31A4EB">
                  <w:pPr>
                    <w:spacing w:line="240" w:lineRule="auto"/>
                    <w:jc w:val="center"/>
                    <w:rPr>
                      <w:rFonts w:hint="default" w:ascii="Times New Roman" w:hAnsi="Times New Roman" w:eastAsia="宋体" w:cs="Times New Roman"/>
                      <w:b/>
                      <w:color w:val="auto"/>
                      <w:sz w:val="21"/>
                      <w:szCs w:val="21"/>
                    </w:rPr>
                  </w:pPr>
                </w:p>
              </w:tc>
              <w:tc>
                <w:tcPr>
                  <w:tcW w:w="1236" w:type="dxa"/>
                  <w:vMerge w:val="continue"/>
                  <w:vAlign w:val="center"/>
                </w:tcPr>
                <w:p w14:paraId="458ADB50">
                  <w:pPr>
                    <w:spacing w:line="240" w:lineRule="auto"/>
                    <w:jc w:val="center"/>
                    <w:rPr>
                      <w:rFonts w:hint="default" w:ascii="Times New Roman" w:hAnsi="Times New Roman" w:eastAsia="宋体" w:cs="Times New Roman"/>
                      <w:b/>
                      <w:color w:val="auto"/>
                      <w:sz w:val="21"/>
                      <w:szCs w:val="21"/>
                    </w:rPr>
                  </w:pPr>
                </w:p>
              </w:tc>
              <w:tc>
                <w:tcPr>
                  <w:tcW w:w="1440" w:type="dxa"/>
                  <w:vAlign w:val="center"/>
                </w:tcPr>
                <w:p w14:paraId="1BB2C44B">
                  <w:pPr>
                    <w:jc w:val="center"/>
                    <w:rPr>
                      <w:rFonts w:hint="default" w:ascii="Times New Roman" w:hAnsi="Times New Roman" w:eastAsia="宋体" w:cs="Times New Roman"/>
                      <w:b/>
                      <w:color w:val="auto"/>
                      <w:sz w:val="21"/>
                      <w:szCs w:val="21"/>
                      <w:lang w:val="en-US" w:eastAsia="zh-CN"/>
                    </w:rPr>
                  </w:pPr>
                  <w:r>
                    <w:rPr>
                      <w:rFonts w:hint="eastAsia"/>
                      <w:b/>
                      <w:color w:val="auto"/>
                      <w:sz w:val="21"/>
                      <w:szCs w:val="21"/>
                      <w:lang w:eastAsia="zh-CN"/>
                    </w:rPr>
                    <w:t>经度</w:t>
                  </w:r>
                </w:p>
              </w:tc>
              <w:tc>
                <w:tcPr>
                  <w:tcW w:w="1344" w:type="dxa"/>
                  <w:vAlign w:val="center"/>
                </w:tcPr>
                <w:p w14:paraId="6F893F36">
                  <w:pPr>
                    <w:jc w:val="center"/>
                    <w:rPr>
                      <w:rFonts w:hint="eastAsia" w:ascii="Times New Roman" w:hAnsi="Times New Roman" w:eastAsia="宋体" w:cs="Times New Roman"/>
                      <w:b/>
                      <w:color w:val="auto"/>
                      <w:sz w:val="21"/>
                      <w:szCs w:val="21"/>
                      <w:lang w:val="en-US" w:eastAsia="zh-CN"/>
                    </w:rPr>
                  </w:pPr>
                  <w:r>
                    <w:rPr>
                      <w:rFonts w:hint="eastAsia"/>
                      <w:b/>
                      <w:color w:val="auto"/>
                      <w:sz w:val="21"/>
                      <w:szCs w:val="21"/>
                      <w:lang w:eastAsia="zh-CN"/>
                    </w:rPr>
                    <w:t>纬度</w:t>
                  </w:r>
                </w:p>
              </w:tc>
              <w:tc>
                <w:tcPr>
                  <w:tcW w:w="1690" w:type="dxa"/>
                  <w:vMerge w:val="continue"/>
                  <w:vAlign w:val="center"/>
                </w:tcPr>
                <w:p w14:paraId="4437F1CC">
                  <w:pPr>
                    <w:spacing w:line="240" w:lineRule="auto"/>
                    <w:jc w:val="center"/>
                    <w:rPr>
                      <w:rFonts w:hint="default" w:ascii="Times New Roman" w:hAnsi="Times New Roman" w:eastAsia="宋体" w:cs="Times New Roman"/>
                      <w:b/>
                      <w:color w:val="auto"/>
                      <w:sz w:val="21"/>
                      <w:szCs w:val="21"/>
                    </w:rPr>
                  </w:pPr>
                </w:p>
              </w:tc>
              <w:tc>
                <w:tcPr>
                  <w:tcW w:w="1386" w:type="dxa"/>
                  <w:vMerge w:val="continue"/>
                  <w:vAlign w:val="center"/>
                </w:tcPr>
                <w:p w14:paraId="01DBCD00">
                  <w:pPr>
                    <w:spacing w:line="240" w:lineRule="auto"/>
                    <w:jc w:val="center"/>
                    <w:rPr>
                      <w:rFonts w:hint="default" w:ascii="Times New Roman" w:hAnsi="Times New Roman" w:eastAsia="宋体" w:cs="Times New Roman"/>
                      <w:b/>
                      <w:color w:val="auto"/>
                      <w:sz w:val="21"/>
                      <w:szCs w:val="21"/>
                    </w:rPr>
                  </w:pPr>
                </w:p>
              </w:tc>
            </w:tr>
            <w:tr w14:paraId="06FB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shd w:val="clear" w:color="auto" w:fill="auto"/>
                  <w:vAlign w:val="center"/>
                </w:tcPr>
                <w:p w14:paraId="614D5F1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卸料、</w:t>
                  </w:r>
                  <w:r>
                    <w:rPr>
                      <w:rFonts w:hint="default" w:ascii="Times New Roman" w:hAnsi="Times New Roman" w:eastAsia="宋体" w:cs="Times New Roman"/>
                      <w:color w:val="auto"/>
                      <w:sz w:val="21"/>
                      <w:szCs w:val="21"/>
                      <w:lang w:val="en-US" w:eastAsia="zh-CN"/>
                    </w:rPr>
                    <w:t>除杂、去石、砻谷、谷糙分离、一次色选、碾米</w:t>
                  </w:r>
                </w:p>
              </w:tc>
              <w:tc>
                <w:tcPr>
                  <w:tcW w:w="1290" w:type="dxa"/>
                  <w:vAlign w:val="center"/>
                </w:tcPr>
                <w:p w14:paraId="1058034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849" w:type="dxa"/>
                  <w:vAlign w:val="center"/>
                </w:tcPr>
                <w:p w14:paraId="7ABF2BD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65" w:type="dxa"/>
                  <w:vAlign w:val="center"/>
                </w:tcPr>
                <w:p w14:paraId="423329F8">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w:t>
                  </w:r>
                </w:p>
              </w:tc>
              <w:tc>
                <w:tcPr>
                  <w:tcW w:w="1212" w:type="dxa"/>
                  <w:vAlign w:val="center"/>
                </w:tcPr>
                <w:p w14:paraId="6E7A3C1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36" w:type="dxa"/>
                  <w:vAlign w:val="center"/>
                </w:tcPr>
                <w:p w14:paraId="7640ECB1">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1</w:t>
                  </w:r>
                </w:p>
              </w:tc>
              <w:tc>
                <w:tcPr>
                  <w:tcW w:w="1440" w:type="dxa"/>
                  <w:vAlign w:val="center"/>
                </w:tcPr>
                <w:p w14:paraId="7D3DF3D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116.790643</w:t>
                  </w:r>
                </w:p>
              </w:tc>
              <w:tc>
                <w:tcPr>
                  <w:tcW w:w="1344" w:type="dxa"/>
                  <w:vAlign w:val="center"/>
                </w:tcPr>
                <w:p w14:paraId="10AE1CF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32.833931</w:t>
                  </w:r>
                </w:p>
              </w:tc>
              <w:tc>
                <w:tcPr>
                  <w:tcW w:w="1690" w:type="dxa"/>
                  <w:vAlign w:val="center"/>
                </w:tcPr>
                <w:p w14:paraId="7EA34263">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1#排气筒</w:t>
                  </w:r>
                </w:p>
              </w:tc>
              <w:tc>
                <w:tcPr>
                  <w:tcW w:w="1386" w:type="dxa"/>
                  <w:vAlign w:val="center"/>
                </w:tcPr>
                <w:p w14:paraId="4B87C67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r>
                    <w:rPr>
                      <w:rFonts w:hint="default" w:ascii="Times New Roman" w:hAnsi="Times New Roman" w:eastAsia="宋体" w:cs="Times New Roman"/>
                      <w:color w:val="auto"/>
                      <w:sz w:val="21"/>
                      <w:szCs w:val="21"/>
                      <w:lang w:val="en-US" w:eastAsia="zh-CN"/>
                    </w:rPr>
                    <w:t>放</w:t>
                  </w:r>
                  <w:r>
                    <w:rPr>
                      <w:rFonts w:hint="default" w:ascii="Times New Roman" w:hAnsi="Times New Roman" w:eastAsia="宋体" w:cs="Times New Roman"/>
                      <w:color w:val="auto"/>
                      <w:sz w:val="21"/>
                      <w:szCs w:val="21"/>
                    </w:rPr>
                    <w:t>口</w:t>
                  </w:r>
                </w:p>
              </w:tc>
            </w:tr>
            <w:tr w14:paraId="76F4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shd w:val="clear" w:color="auto" w:fill="auto"/>
                  <w:vAlign w:val="center"/>
                </w:tcPr>
                <w:p w14:paraId="5B56542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一次白米分级、一次抛光、二次色选</w:t>
                  </w:r>
                </w:p>
              </w:tc>
              <w:tc>
                <w:tcPr>
                  <w:tcW w:w="1290" w:type="dxa"/>
                  <w:vAlign w:val="center"/>
                </w:tcPr>
                <w:p w14:paraId="4219A90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849" w:type="dxa"/>
                  <w:vAlign w:val="center"/>
                </w:tcPr>
                <w:p w14:paraId="5998D93A">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65" w:type="dxa"/>
                  <w:vAlign w:val="center"/>
                </w:tcPr>
                <w:p w14:paraId="4F93FBDE">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c>
                <w:tcPr>
                  <w:tcW w:w="1212" w:type="dxa"/>
                  <w:vAlign w:val="center"/>
                </w:tcPr>
                <w:p w14:paraId="51C3B45A">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1236" w:type="dxa"/>
                  <w:vAlign w:val="center"/>
                </w:tcPr>
                <w:p w14:paraId="09EA199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w:t>
                  </w:r>
                </w:p>
              </w:tc>
              <w:tc>
                <w:tcPr>
                  <w:tcW w:w="1440" w:type="dxa"/>
                  <w:vAlign w:val="center"/>
                </w:tcPr>
                <w:p w14:paraId="61A8049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116.790713</w:t>
                  </w:r>
                </w:p>
              </w:tc>
              <w:tc>
                <w:tcPr>
                  <w:tcW w:w="1344" w:type="dxa"/>
                  <w:vAlign w:val="center"/>
                </w:tcPr>
                <w:p w14:paraId="0941EC6C">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32.834116</w:t>
                  </w:r>
                </w:p>
              </w:tc>
              <w:tc>
                <w:tcPr>
                  <w:tcW w:w="1690" w:type="dxa"/>
                  <w:vAlign w:val="center"/>
                </w:tcPr>
                <w:p w14:paraId="68034FA9">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2#排气筒</w:t>
                  </w:r>
                </w:p>
              </w:tc>
              <w:tc>
                <w:tcPr>
                  <w:tcW w:w="1386" w:type="dxa"/>
                  <w:vAlign w:val="center"/>
                </w:tcPr>
                <w:p w14:paraId="05CCABA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一般排放口</w:t>
                  </w:r>
                </w:p>
              </w:tc>
            </w:tr>
            <w:tr w14:paraId="316B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7" w:type="dxa"/>
                  <w:shd w:val="clear" w:color="auto" w:fill="auto"/>
                  <w:vAlign w:val="center"/>
                </w:tcPr>
                <w:p w14:paraId="496FF1E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二次白米分级、二次抛光、三次色选、精选</w:t>
                  </w:r>
                </w:p>
              </w:tc>
              <w:tc>
                <w:tcPr>
                  <w:tcW w:w="1290" w:type="dxa"/>
                  <w:vAlign w:val="center"/>
                </w:tcPr>
                <w:p w14:paraId="6F7F719A">
                  <w:pPr>
                    <w:spacing w:line="24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颗粒物</w:t>
                  </w:r>
                </w:p>
              </w:tc>
              <w:tc>
                <w:tcPr>
                  <w:tcW w:w="849" w:type="dxa"/>
                  <w:vAlign w:val="center"/>
                </w:tcPr>
                <w:p w14:paraId="1BB8FA7C">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15</w:t>
                  </w:r>
                </w:p>
              </w:tc>
              <w:tc>
                <w:tcPr>
                  <w:tcW w:w="1065" w:type="dxa"/>
                  <w:vAlign w:val="center"/>
                </w:tcPr>
                <w:p w14:paraId="4EF21A94">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0.4</w:t>
                  </w:r>
                </w:p>
              </w:tc>
              <w:tc>
                <w:tcPr>
                  <w:tcW w:w="1212" w:type="dxa"/>
                  <w:vAlign w:val="center"/>
                </w:tcPr>
                <w:p w14:paraId="509FEC22">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25</w:t>
                  </w:r>
                </w:p>
              </w:tc>
              <w:tc>
                <w:tcPr>
                  <w:tcW w:w="1236" w:type="dxa"/>
                  <w:vAlign w:val="center"/>
                </w:tcPr>
                <w:p w14:paraId="63965141">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1440" w:type="dxa"/>
                  <w:vAlign w:val="center"/>
                </w:tcPr>
                <w:p w14:paraId="2FEADF77">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116.790788</w:t>
                  </w:r>
                </w:p>
              </w:tc>
              <w:tc>
                <w:tcPr>
                  <w:tcW w:w="1344" w:type="dxa"/>
                  <w:vAlign w:val="center"/>
                </w:tcPr>
                <w:p w14:paraId="03ACF092">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32.834299</w:t>
                  </w:r>
                </w:p>
              </w:tc>
              <w:tc>
                <w:tcPr>
                  <w:tcW w:w="1690" w:type="dxa"/>
                  <w:shd w:val="clear" w:color="auto" w:fill="auto"/>
                  <w:vAlign w:val="center"/>
                </w:tcPr>
                <w:p w14:paraId="6C51ECFF">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3#排气筒</w:t>
                  </w:r>
                </w:p>
              </w:tc>
              <w:tc>
                <w:tcPr>
                  <w:tcW w:w="1386" w:type="dxa"/>
                  <w:shd w:val="clear" w:color="auto" w:fill="auto"/>
                  <w:vAlign w:val="center"/>
                </w:tcPr>
                <w:p w14:paraId="192F882F">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一般排放口</w:t>
                  </w:r>
                </w:p>
              </w:tc>
            </w:tr>
          </w:tbl>
          <w:p w14:paraId="726970EC">
            <w:pPr>
              <w:spacing w:line="360" w:lineRule="auto"/>
              <w:jc w:val="center"/>
              <w:rPr>
                <w:rFonts w:hint="eastAsia"/>
                <w:b/>
                <w:color w:val="auto"/>
                <w:szCs w:val="21"/>
              </w:rPr>
            </w:pPr>
          </w:p>
          <w:p w14:paraId="6BE588AA">
            <w:pPr>
              <w:spacing w:line="360" w:lineRule="auto"/>
              <w:jc w:val="center"/>
              <w:rPr>
                <w:rFonts w:hint="eastAsia"/>
                <w:b/>
                <w:color w:val="auto"/>
                <w:szCs w:val="21"/>
              </w:rPr>
            </w:pPr>
          </w:p>
          <w:p w14:paraId="4FE3FA2B">
            <w:pPr>
              <w:spacing w:line="360" w:lineRule="auto"/>
              <w:jc w:val="center"/>
              <w:rPr>
                <w:rFonts w:hint="eastAsia"/>
                <w:b/>
                <w:color w:val="auto"/>
                <w:szCs w:val="21"/>
              </w:rPr>
            </w:pPr>
          </w:p>
          <w:p w14:paraId="79999951">
            <w:pPr>
              <w:spacing w:line="360" w:lineRule="auto"/>
              <w:jc w:val="center"/>
              <w:rPr>
                <w:rFonts w:hint="eastAsia"/>
                <w:b/>
                <w:color w:val="auto"/>
                <w:szCs w:val="21"/>
              </w:rPr>
            </w:pPr>
          </w:p>
          <w:p w14:paraId="102ABDD9">
            <w:pPr>
              <w:spacing w:line="360" w:lineRule="auto"/>
              <w:jc w:val="center"/>
              <w:rPr>
                <w:rFonts w:hint="eastAsia"/>
                <w:b/>
                <w:color w:val="auto"/>
                <w:szCs w:val="21"/>
              </w:rPr>
            </w:pPr>
            <w:r>
              <w:rPr>
                <w:rFonts w:hint="eastAsia"/>
                <w:b/>
                <w:color w:val="auto"/>
                <w:szCs w:val="21"/>
              </w:rPr>
              <w:t>表4-</w:t>
            </w:r>
            <w:r>
              <w:rPr>
                <w:rFonts w:hint="eastAsia"/>
                <w:b/>
                <w:color w:val="auto"/>
                <w:szCs w:val="21"/>
                <w:lang w:val="en-US" w:eastAsia="zh-CN"/>
              </w:rPr>
              <w:t>3</w:t>
            </w:r>
            <w:r>
              <w:rPr>
                <w:rFonts w:hint="eastAsia"/>
                <w:b/>
                <w:color w:val="auto"/>
                <w:szCs w:val="21"/>
              </w:rPr>
              <w:t xml:space="preserve">  建设项目无组织废气排放情况一览表</w:t>
            </w:r>
          </w:p>
          <w:tbl>
            <w:tblPr>
              <w:tblStyle w:val="46"/>
              <w:tblW w:w="14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851"/>
              <w:gridCol w:w="899"/>
              <w:gridCol w:w="1261"/>
              <w:gridCol w:w="1256"/>
              <w:gridCol w:w="1351"/>
              <w:gridCol w:w="909"/>
              <w:gridCol w:w="1047"/>
              <w:gridCol w:w="912"/>
              <w:gridCol w:w="1200"/>
              <w:gridCol w:w="3131"/>
            </w:tblGrid>
            <w:tr w14:paraId="7B8E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dxa"/>
                  <w:vMerge w:val="restart"/>
                  <w:vAlign w:val="center"/>
                </w:tcPr>
                <w:p w14:paraId="4B00C3D2">
                  <w:pPr>
                    <w:jc w:val="center"/>
                    <w:rPr>
                      <w:b/>
                      <w:color w:val="auto"/>
                      <w:sz w:val="21"/>
                      <w:szCs w:val="21"/>
                    </w:rPr>
                  </w:pPr>
                  <w:r>
                    <w:rPr>
                      <w:rFonts w:hint="eastAsia"/>
                      <w:b/>
                      <w:color w:val="auto"/>
                      <w:sz w:val="21"/>
                      <w:szCs w:val="21"/>
                    </w:rPr>
                    <w:t>面源</w:t>
                  </w:r>
                </w:p>
              </w:tc>
              <w:tc>
                <w:tcPr>
                  <w:tcW w:w="3011" w:type="dxa"/>
                  <w:gridSpan w:val="3"/>
                  <w:vAlign w:val="center"/>
                </w:tcPr>
                <w:p w14:paraId="334433A6">
                  <w:pPr>
                    <w:jc w:val="center"/>
                    <w:rPr>
                      <w:b/>
                      <w:color w:val="auto"/>
                      <w:sz w:val="21"/>
                      <w:szCs w:val="21"/>
                    </w:rPr>
                  </w:pPr>
                  <w:r>
                    <w:rPr>
                      <w:rFonts w:hint="eastAsia"/>
                      <w:b/>
                      <w:color w:val="auto"/>
                      <w:sz w:val="21"/>
                      <w:szCs w:val="21"/>
                      <w:lang w:eastAsia="zh-CN"/>
                    </w:rPr>
                    <w:t>矩形</w:t>
                  </w:r>
                  <w:r>
                    <w:rPr>
                      <w:rFonts w:hint="eastAsia"/>
                      <w:b/>
                      <w:color w:val="auto"/>
                      <w:sz w:val="21"/>
                      <w:szCs w:val="21"/>
                    </w:rPr>
                    <w:t>面源</w:t>
                  </w:r>
                </w:p>
              </w:tc>
              <w:tc>
                <w:tcPr>
                  <w:tcW w:w="2607" w:type="dxa"/>
                  <w:gridSpan w:val="2"/>
                  <w:vAlign w:val="center"/>
                </w:tcPr>
                <w:p w14:paraId="40751BB0">
                  <w:pPr>
                    <w:jc w:val="center"/>
                    <w:rPr>
                      <w:rFonts w:hint="eastAsia" w:eastAsia="宋体"/>
                      <w:b/>
                      <w:color w:val="auto"/>
                      <w:sz w:val="21"/>
                      <w:szCs w:val="21"/>
                      <w:lang w:val="en-US" w:eastAsia="zh-CN"/>
                    </w:rPr>
                  </w:pPr>
                  <w:r>
                    <w:rPr>
                      <w:rFonts w:hint="eastAsia"/>
                      <w:b/>
                      <w:color w:val="auto"/>
                      <w:sz w:val="21"/>
                      <w:szCs w:val="21"/>
                      <w:lang w:val="en-US" w:eastAsia="zh-CN"/>
                    </w:rPr>
                    <w:t>坐标</w:t>
                  </w:r>
                </w:p>
              </w:tc>
              <w:tc>
                <w:tcPr>
                  <w:tcW w:w="909" w:type="dxa"/>
                  <w:vMerge w:val="restart"/>
                  <w:vAlign w:val="center"/>
                </w:tcPr>
                <w:p w14:paraId="70984C02">
                  <w:pPr>
                    <w:jc w:val="center"/>
                    <w:rPr>
                      <w:rFonts w:hint="eastAsia" w:eastAsia="宋体"/>
                      <w:b/>
                      <w:color w:val="auto"/>
                      <w:sz w:val="21"/>
                      <w:szCs w:val="21"/>
                      <w:lang w:eastAsia="zh-CN"/>
                    </w:rPr>
                  </w:pPr>
                  <w:r>
                    <w:rPr>
                      <w:rFonts w:hint="eastAsia"/>
                      <w:b/>
                      <w:color w:val="auto"/>
                      <w:sz w:val="21"/>
                      <w:szCs w:val="21"/>
                      <w:lang w:eastAsia="zh-CN"/>
                    </w:rPr>
                    <w:t>产排污环节</w:t>
                  </w:r>
                </w:p>
              </w:tc>
              <w:tc>
                <w:tcPr>
                  <w:tcW w:w="1047" w:type="dxa"/>
                  <w:vMerge w:val="restart"/>
                  <w:vAlign w:val="center"/>
                </w:tcPr>
                <w:p w14:paraId="4B7EB15B">
                  <w:pPr>
                    <w:jc w:val="center"/>
                    <w:rPr>
                      <w:b/>
                      <w:color w:val="auto"/>
                      <w:sz w:val="21"/>
                      <w:szCs w:val="21"/>
                    </w:rPr>
                  </w:pPr>
                  <w:r>
                    <w:rPr>
                      <w:rFonts w:hint="eastAsia"/>
                      <w:b/>
                      <w:color w:val="auto"/>
                      <w:sz w:val="21"/>
                      <w:szCs w:val="21"/>
                    </w:rPr>
                    <w:t>污染物种类</w:t>
                  </w:r>
                </w:p>
              </w:tc>
              <w:tc>
                <w:tcPr>
                  <w:tcW w:w="912" w:type="dxa"/>
                  <w:vMerge w:val="restart"/>
                  <w:vAlign w:val="center"/>
                </w:tcPr>
                <w:p w14:paraId="2F9C4E7C">
                  <w:pPr>
                    <w:jc w:val="center"/>
                    <w:rPr>
                      <w:b/>
                      <w:color w:val="auto"/>
                      <w:sz w:val="21"/>
                      <w:szCs w:val="21"/>
                    </w:rPr>
                  </w:pPr>
                  <w:r>
                    <w:rPr>
                      <w:rFonts w:hint="eastAsia"/>
                      <w:b/>
                      <w:color w:val="auto"/>
                      <w:sz w:val="21"/>
                      <w:szCs w:val="21"/>
                    </w:rPr>
                    <w:t>排放（t/a）</w:t>
                  </w:r>
                </w:p>
              </w:tc>
              <w:tc>
                <w:tcPr>
                  <w:tcW w:w="1200" w:type="dxa"/>
                  <w:vMerge w:val="restart"/>
                  <w:vAlign w:val="center"/>
                </w:tcPr>
                <w:p w14:paraId="0B65767D">
                  <w:pPr>
                    <w:jc w:val="center"/>
                    <w:rPr>
                      <w:b/>
                      <w:color w:val="auto"/>
                      <w:sz w:val="21"/>
                      <w:szCs w:val="21"/>
                    </w:rPr>
                  </w:pPr>
                  <w:r>
                    <w:rPr>
                      <w:rFonts w:hint="eastAsia"/>
                      <w:b/>
                      <w:color w:val="auto"/>
                      <w:sz w:val="21"/>
                      <w:szCs w:val="21"/>
                    </w:rPr>
                    <w:t>排放速率（kg/h）</w:t>
                  </w:r>
                </w:p>
              </w:tc>
              <w:tc>
                <w:tcPr>
                  <w:tcW w:w="3131" w:type="dxa"/>
                  <w:vMerge w:val="restart"/>
                  <w:vAlign w:val="center"/>
                </w:tcPr>
                <w:p w14:paraId="2267017A">
                  <w:pPr>
                    <w:jc w:val="center"/>
                    <w:rPr>
                      <w:rFonts w:hint="eastAsia" w:eastAsia="宋体"/>
                      <w:b/>
                      <w:color w:val="auto"/>
                      <w:sz w:val="21"/>
                      <w:szCs w:val="21"/>
                      <w:lang w:eastAsia="zh-CN"/>
                    </w:rPr>
                  </w:pPr>
                  <w:r>
                    <w:rPr>
                      <w:rFonts w:hint="eastAsia"/>
                      <w:b/>
                      <w:color w:val="auto"/>
                      <w:sz w:val="21"/>
                      <w:szCs w:val="21"/>
                    </w:rPr>
                    <w:t>无组织排放浓度限值</w:t>
                  </w:r>
                  <w:r>
                    <w:rPr>
                      <w:rFonts w:hint="eastAsia"/>
                      <w:b/>
                      <w:bCs w:val="0"/>
                      <w:color w:val="auto"/>
                      <w:sz w:val="21"/>
                      <w:szCs w:val="21"/>
                      <w:lang w:eastAsia="zh-CN"/>
                    </w:rPr>
                    <w:t>（</w:t>
                  </w:r>
                  <w:r>
                    <w:rPr>
                      <w:rFonts w:hint="eastAsia" w:hAnsi="宋体"/>
                      <w:b/>
                      <w:bCs w:val="0"/>
                      <w:color w:val="auto"/>
                      <w:szCs w:val="21"/>
                    </w:rPr>
                    <w:t>mg/m</w:t>
                  </w:r>
                  <w:r>
                    <w:rPr>
                      <w:rFonts w:hint="eastAsia" w:hAnsi="宋体"/>
                      <w:b/>
                      <w:bCs w:val="0"/>
                      <w:color w:val="auto"/>
                      <w:szCs w:val="21"/>
                      <w:vertAlign w:val="superscript"/>
                    </w:rPr>
                    <w:t>3</w:t>
                  </w:r>
                  <w:r>
                    <w:rPr>
                      <w:rFonts w:hint="eastAsia"/>
                      <w:b/>
                      <w:color w:val="auto"/>
                      <w:sz w:val="21"/>
                      <w:szCs w:val="21"/>
                      <w:lang w:eastAsia="zh-CN"/>
                    </w:rPr>
                    <w:t>）</w:t>
                  </w:r>
                </w:p>
              </w:tc>
            </w:tr>
            <w:tr w14:paraId="3FB0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dxa"/>
                  <w:vMerge w:val="continue"/>
                  <w:vAlign w:val="center"/>
                </w:tcPr>
                <w:p w14:paraId="596EAFC4">
                  <w:pPr>
                    <w:jc w:val="center"/>
                  </w:pPr>
                </w:p>
              </w:tc>
              <w:tc>
                <w:tcPr>
                  <w:tcW w:w="851" w:type="dxa"/>
                  <w:vAlign w:val="center"/>
                </w:tcPr>
                <w:p w14:paraId="2C28B322">
                  <w:pPr>
                    <w:jc w:val="center"/>
                    <w:rPr>
                      <w:rFonts w:hint="default" w:eastAsia="宋体"/>
                      <w:b/>
                      <w:color w:val="auto"/>
                      <w:sz w:val="21"/>
                      <w:szCs w:val="21"/>
                      <w:lang w:val="en-US" w:eastAsia="zh-CN"/>
                    </w:rPr>
                  </w:pPr>
                  <w:r>
                    <w:rPr>
                      <w:rFonts w:hint="eastAsia"/>
                      <w:b/>
                      <w:color w:val="auto"/>
                      <w:sz w:val="21"/>
                      <w:szCs w:val="21"/>
                      <w:lang w:eastAsia="zh-CN"/>
                    </w:rPr>
                    <w:t>长度</w:t>
                  </w:r>
                  <w:r>
                    <w:rPr>
                      <w:rFonts w:hint="eastAsia"/>
                      <w:b/>
                      <w:color w:val="auto"/>
                      <w:sz w:val="21"/>
                      <w:szCs w:val="21"/>
                      <w:lang w:val="en-US" w:eastAsia="zh-CN"/>
                    </w:rPr>
                    <w:t>m</w:t>
                  </w:r>
                </w:p>
              </w:tc>
              <w:tc>
                <w:tcPr>
                  <w:tcW w:w="899" w:type="dxa"/>
                  <w:vAlign w:val="center"/>
                </w:tcPr>
                <w:p w14:paraId="4723C14F">
                  <w:pPr>
                    <w:jc w:val="center"/>
                    <w:rPr>
                      <w:rFonts w:hint="default" w:eastAsia="宋体"/>
                      <w:b/>
                      <w:color w:val="auto"/>
                      <w:sz w:val="21"/>
                      <w:szCs w:val="21"/>
                      <w:lang w:val="en-US" w:eastAsia="zh-CN"/>
                    </w:rPr>
                  </w:pPr>
                  <w:r>
                    <w:rPr>
                      <w:rFonts w:hint="eastAsia"/>
                      <w:b/>
                      <w:color w:val="auto"/>
                      <w:sz w:val="21"/>
                      <w:szCs w:val="21"/>
                      <w:lang w:eastAsia="zh-CN"/>
                    </w:rPr>
                    <w:t>宽度</w:t>
                  </w:r>
                  <w:r>
                    <w:rPr>
                      <w:rFonts w:hint="eastAsia"/>
                      <w:b/>
                      <w:color w:val="auto"/>
                      <w:sz w:val="21"/>
                      <w:szCs w:val="21"/>
                      <w:lang w:val="en-US" w:eastAsia="zh-CN"/>
                    </w:rPr>
                    <w:t>m</w:t>
                  </w:r>
                </w:p>
              </w:tc>
              <w:tc>
                <w:tcPr>
                  <w:tcW w:w="1261" w:type="dxa"/>
                  <w:vAlign w:val="center"/>
                </w:tcPr>
                <w:p w14:paraId="3FBC159A">
                  <w:pPr>
                    <w:jc w:val="center"/>
                    <w:rPr>
                      <w:rFonts w:hint="default" w:eastAsia="宋体"/>
                      <w:b/>
                      <w:color w:val="auto"/>
                      <w:sz w:val="21"/>
                      <w:szCs w:val="21"/>
                      <w:lang w:val="en-US" w:eastAsia="zh-CN"/>
                    </w:rPr>
                  </w:pPr>
                  <w:r>
                    <w:rPr>
                      <w:rFonts w:hint="eastAsia"/>
                      <w:b/>
                      <w:color w:val="auto"/>
                      <w:sz w:val="21"/>
                      <w:szCs w:val="21"/>
                      <w:lang w:eastAsia="zh-CN"/>
                    </w:rPr>
                    <w:t>有效高度</w:t>
                  </w:r>
                  <w:r>
                    <w:rPr>
                      <w:rFonts w:hint="eastAsia"/>
                      <w:b/>
                      <w:color w:val="auto"/>
                      <w:sz w:val="21"/>
                      <w:szCs w:val="21"/>
                      <w:lang w:val="en-US" w:eastAsia="zh-CN"/>
                    </w:rPr>
                    <w:t>m</w:t>
                  </w:r>
                </w:p>
              </w:tc>
              <w:tc>
                <w:tcPr>
                  <w:tcW w:w="1256" w:type="dxa"/>
                  <w:vAlign w:val="center"/>
                </w:tcPr>
                <w:p w14:paraId="49E062FE">
                  <w:pPr>
                    <w:jc w:val="center"/>
                    <w:rPr>
                      <w:rFonts w:hint="eastAsia" w:eastAsia="宋体"/>
                      <w:b/>
                      <w:color w:val="auto"/>
                      <w:sz w:val="21"/>
                      <w:szCs w:val="21"/>
                      <w:lang w:eastAsia="zh-CN"/>
                    </w:rPr>
                  </w:pPr>
                  <w:r>
                    <w:rPr>
                      <w:rFonts w:hint="eastAsia"/>
                      <w:b/>
                      <w:color w:val="auto"/>
                      <w:sz w:val="21"/>
                      <w:szCs w:val="21"/>
                      <w:lang w:eastAsia="zh-CN"/>
                    </w:rPr>
                    <w:t>经度</w:t>
                  </w:r>
                </w:p>
              </w:tc>
              <w:tc>
                <w:tcPr>
                  <w:tcW w:w="1351" w:type="dxa"/>
                  <w:vAlign w:val="center"/>
                </w:tcPr>
                <w:p w14:paraId="39502B14">
                  <w:pPr>
                    <w:jc w:val="center"/>
                    <w:rPr>
                      <w:rFonts w:hint="eastAsia" w:eastAsia="宋体"/>
                      <w:b/>
                      <w:color w:val="auto"/>
                      <w:sz w:val="21"/>
                      <w:szCs w:val="21"/>
                      <w:lang w:eastAsia="zh-CN"/>
                    </w:rPr>
                  </w:pPr>
                  <w:r>
                    <w:rPr>
                      <w:rFonts w:hint="eastAsia"/>
                      <w:b/>
                      <w:color w:val="auto"/>
                      <w:sz w:val="21"/>
                      <w:szCs w:val="21"/>
                      <w:lang w:eastAsia="zh-CN"/>
                    </w:rPr>
                    <w:t>纬度</w:t>
                  </w:r>
                </w:p>
              </w:tc>
              <w:tc>
                <w:tcPr>
                  <w:tcW w:w="909" w:type="dxa"/>
                  <w:vMerge w:val="continue"/>
                  <w:vAlign w:val="center"/>
                </w:tcPr>
                <w:p w14:paraId="318B3EDF">
                  <w:pPr>
                    <w:jc w:val="center"/>
                    <w:rPr>
                      <w:rFonts w:hint="eastAsia"/>
                      <w:b/>
                      <w:color w:val="auto"/>
                      <w:sz w:val="21"/>
                      <w:szCs w:val="21"/>
                    </w:rPr>
                  </w:pPr>
                </w:p>
              </w:tc>
              <w:tc>
                <w:tcPr>
                  <w:tcW w:w="1047" w:type="dxa"/>
                  <w:vMerge w:val="continue"/>
                  <w:vAlign w:val="center"/>
                </w:tcPr>
                <w:p w14:paraId="5F8810E1">
                  <w:pPr>
                    <w:jc w:val="center"/>
                    <w:rPr>
                      <w:rFonts w:hint="eastAsia"/>
                      <w:b/>
                      <w:color w:val="auto"/>
                      <w:sz w:val="21"/>
                      <w:szCs w:val="21"/>
                    </w:rPr>
                  </w:pPr>
                </w:p>
              </w:tc>
              <w:tc>
                <w:tcPr>
                  <w:tcW w:w="912" w:type="dxa"/>
                  <w:vMerge w:val="continue"/>
                  <w:vAlign w:val="center"/>
                </w:tcPr>
                <w:p w14:paraId="4A759231">
                  <w:pPr>
                    <w:jc w:val="center"/>
                    <w:rPr>
                      <w:rFonts w:hint="eastAsia"/>
                      <w:b/>
                      <w:color w:val="auto"/>
                      <w:sz w:val="21"/>
                      <w:szCs w:val="21"/>
                    </w:rPr>
                  </w:pPr>
                </w:p>
              </w:tc>
              <w:tc>
                <w:tcPr>
                  <w:tcW w:w="1200" w:type="dxa"/>
                  <w:vMerge w:val="continue"/>
                  <w:vAlign w:val="center"/>
                </w:tcPr>
                <w:p w14:paraId="36DCD61C">
                  <w:pPr>
                    <w:jc w:val="center"/>
                    <w:rPr>
                      <w:rFonts w:hint="eastAsia"/>
                      <w:b/>
                      <w:color w:val="auto"/>
                      <w:sz w:val="21"/>
                      <w:szCs w:val="21"/>
                    </w:rPr>
                  </w:pPr>
                </w:p>
              </w:tc>
              <w:tc>
                <w:tcPr>
                  <w:tcW w:w="3131" w:type="dxa"/>
                  <w:vMerge w:val="continue"/>
                  <w:vAlign w:val="center"/>
                </w:tcPr>
                <w:p w14:paraId="46C0B5D5">
                  <w:pPr>
                    <w:jc w:val="center"/>
                    <w:rPr>
                      <w:rFonts w:hint="eastAsia"/>
                      <w:b/>
                      <w:color w:val="auto"/>
                      <w:sz w:val="21"/>
                      <w:szCs w:val="21"/>
                    </w:rPr>
                  </w:pPr>
                </w:p>
              </w:tc>
            </w:tr>
            <w:tr w14:paraId="4F8B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74" w:type="dxa"/>
                  <w:vAlign w:val="center"/>
                </w:tcPr>
                <w:p w14:paraId="61318BEE">
                  <w:pPr>
                    <w:jc w:val="center"/>
                    <w:rPr>
                      <w:color w:val="auto"/>
                      <w:sz w:val="21"/>
                      <w:szCs w:val="21"/>
                    </w:rPr>
                  </w:pPr>
                  <w:r>
                    <w:rPr>
                      <w:rFonts w:hint="eastAsia"/>
                      <w:color w:val="auto"/>
                      <w:sz w:val="21"/>
                      <w:szCs w:val="21"/>
                      <w:lang w:val="en-US" w:eastAsia="zh-CN"/>
                    </w:rPr>
                    <w:t>生产</w:t>
                  </w:r>
                  <w:r>
                    <w:rPr>
                      <w:rFonts w:hint="eastAsia"/>
                      <w:color w:val="auto"/>
                      <w:sz w:val="21"/>
                      <w:szCs w:val="21"/>
                    </w:rPr>
                    <w:t>车间</w:t>
                  </w:r>
                </w:p>
              </w:tc>
              <w:tc>
                <w:tcPr>
                  <w:tcW w:w="851" w:type="dxa"/>
                  <w:vAlign w:val="center"/>
                </w:tcPr>
                <w:p w14:paraId="4EBAEDAC">
                  <w:pPr>
                    <w:tabs>
                      <w:tab w:val="center" w:pos="376"/>
                      <w:tab w:val="left" w:pos="545"/>
                    </w:tabs>
                    <w:jc w:val="center"/>
                    <w:rPr>
                      <w:rFonts w:hint="default" w:eastAsia="宋体"/>
                      <w:color w:val="auto"/>
                      <w:sz w:val="21"/>
                      <w:szCs w:val="21"/>
                      <w:lang w:val="en-US" w:eastAsia="zh-CN"/>
                    </w:rPr>
                  </w:pPr>
                  <w:r>
                    <w:rPr>
                      <w:rFonts w:hint="eastAsia" w:eastAsia="宋体"/>
                      <w:color w:val="auto"/>
                      <w:sz w:val="21"/>
                      <w:szCs w:val="21"/>
                      <w:lang w:val="en-US" w:eastAsia="zh-CN"/>
                    </w:rPr>
                    <w:t>133</w:t>
                  </w:r>
                </w:p>
              </w:tc>
              <w:tc>
                <w:tcPr>
                  <w:tcW w:w="899" w:type="dxa"/>
                  <w:vAlign w:val="center"/>
                </w:tcPr>
                <w:p w14:paraId="3EFB5B48">
                  <w:pPr>
                    <w:jc w:val="center"/>
                    <w:rPr>
                      <w:rFonts w:hint="default"/>
                      <w:color w:val="auto"/>
                      <w:sz w:val="21"/>
                      <w:szCs w:val="21"/>
                      <w:lang w:val="en-US" w:eastAsia="zh-CN"/>
                    </w:rPr>
                  </w:pPr>
                  <w:r>
                    <w:rPr>
                      <w:rFonts w:hint="eastAsia"/>
                      <w:color w:val="auto"/>
                      <w:sz w:val="21"/>
                      <w:szCs w:val="21"/>
                      <w:lang w:val="en-US" w:eastAsia="zh-CN"/>
                    </w:rPr>
                    <w:t>26</w:t>
                  </w:r>
                </w:p>
              </w:tc>
              <w:tc>
                <w:tcPr>
                  <w:tcW w:w="1261" w:type="dxa"/>
                  <w:vAlign w:val="center"/>
                </w:tcPr>
                <w:p w14:paraId="242E9B02">
                  <w:pPr>
                    <w:jc w:val="center"/>
                    <w:rPr>
                      <w:rFonts w:hint="default"/>
                      <w:color w:val="auto"/>
                      <w:sz w:val="21"/>
                      <w:szCs w:val="21"/>
                      <w:lang w:val="en-US" w:eastAsia="zh-CN"/>
                    </w:rPr>
                  </w:pPr>
                  <w:r>
                    <w:rPr>
                      <w:rFonts w:hint="eastAsia"/>
                      <w:color w:val="auto"/>
                      <w:sz w:val="21"/>
                      <w:szCs w:val="21"/>
                      <w:lang w:val="en-US" w:eastAsia="zh-CN"/>
                    </w:rPr>
                    <w:t>9</w:t>
                  </w:r>
                </w:p>
              </w:tc>
              <w:tc>
                <w:tcPr>
                  <w:tcW w:w="1256" w:type="dxa"/>
                  <w:vAlign w:val="center"/>
                </w:tcPr>
                <w:p w14:paraId="08CFBC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116.790686</w:t>
                  </w:r>
                </w:p>
              </w:tc>
              <w:tc>
                <w:tcPr>
                  <w:tcW w:w="1351" w:type="dxa"/>
                  <w:vAlign w:val="center"/>
                </w:tcPr>
                <w:p w14:paraId="6BAB97C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32.834384</w:t>
                  </w:r>
                </w:p>
              </w:tc>
              <w:tc>
                <w:tcPr>
                  <w:tcW w:w="909" w:type="dxa"/>
                  <w:vAlign w:val="center"/>
                </w:tcPr>
                <w:p w14:paraId="550A19FB">
                  <w:pPr>
                    <w:jc w:val="center"/>
                    <w:rPr>
                      <w:rFonts w:hint="eastAsia"/>
                      <w:color w:val="auto"/>
                      <w:sz w:val="21"/>
                      <w:szCs w:val="21"/>
                      <w:lang w:eastAsia="zh-CN"/>
                    </w:rPr>
                  </w:pPr>
                  <w:r>
                    <w:rPr>
                      <w:rFonts w:hint="eastAsia" w:ascii="Times New Roman" w:hAnsi="Times New Roman" w:eastAsia="宋体" w:cs="Times New Roman"/>
                      <w:color w:val="auto"/>
                      <w:sz w:val="21"/>
                      <w:szCs w:val="21"/>
                      <w:lang w:val="en-US" w:eastAsia="zh-CN"/>
                    </w:rPr>
                    <w:t>卸料</w:t>
                  </w:r>
                </w:p>
              </w:tc>
              <w:tc>
                <w:tcPr>
                  <w:tcW w:w="1047" w:type="dxa"/>
                  <w:vAlign w:val="center"/>
                </w:tcPr>
                <w:p w14:paraId="7E92788A">
                  <w:pPr>
                    <w:jc w:val="center"/>
                    <w:rPr>
                      <w:rFonts w:hint="eastAsia" w:eastAsia="宋体"/>
                      <w:color w:val="auto"/>
                      <w:sz w:val="21"/>
                      <w:szCs w:val="21"/>
                      <w:lang w:eastAsia="zh-CN"/>
                    </w:rPr>
                  </w:pPr>
                  <w:r>
                    <w:rPr>
                      <w:rFonts w:hint="eastAsia"/>
                      <w:color w:val="auto"/>
                      <w:sz w:val="21"/>
                      <w:szCs w:val="21"/>
                      <w:lang w:eastAsia="zh-CN"/>
                    </w:rPr>
                    <w:t>颗粒物</w:t>
                  </w:r>
                </w:p>
              </w:tc>
              <w:tc>
                <w:tcPr>
                  <w:tcW w:w="912" w:type="dxa"/>
                  <w:vAlign w:val="center"/>
                </w:tcPr>
                <w:p w14:paraId="54081AD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0.578</w:t>
                  </w:r>
                </w:p>
              </w:tc>
              <w:tc>
                <w:tcPr>
                  <w:tcW w:w="1200" w:type="dxa"/>
                  <w:vAlign w:val="center"/>
                </w:tcPr>
                <w:p w14:paraId="68C06FDF">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0.642</w:t>
                  </w:r>
                </w:p>
              </w:tc>
              <w:tc>
                <w:tcPr>
                  <w:tcW w:w="3131" w:type="dxa"/>
                  <w:vAlign w:val="center"/>
                </w:tcPr>
                <w:p w14:paraId="28767BFA">
                  <w:pPr>
                    <w:jc w:val="center"/>
                    <w:rPr>
                      <w:rFonts w:hint="default" w:eastAsia="宋体"/>
                      <w:color w:val="auto"/>
                      <w:sz w:val="21"/>
                      <w:szCs w:val="21"/>
                      <w:lang w:val="en-US" w:eastAsia="zh-CN"/>
                    </w:rPr>
                  </w:pPr>
                  <w:r>
                    <w:rPr>
                      <w:color w:val="auto"/>
                      <w:sz w:val="21"/>
                      <w:szCs w:val="21"/>
                    </w:rPr>
                    <w:t>厂界监控点浓度限值</w:t>
                  </w:r>
                  <w:r>
                    <w:rPr>
                      <w:rFonts w:hint="eastAsia"/>
                      <w:color w:val="auto"/>
                      <w:sz w:val="21"/>
                      <w:szCs w:val="21"/>
                      <w:lang w:val="en-US" w:eastAsia="zh-CN"/>
                    </w:rPr>
                    <w:t>1.0</w:t>
                  </w:r>
                </w:p>
              </w:tc>
            </w:tr>
          </w:tbl>
          <w:p w14:paraId="6BFDDF7C">
            <w:pPr>
              <w:spacing w:line="360" w:lineRule="auto"/>
              <w:jc w:val="left"/>
              <w:rPr>
                <w:rFonts w:hint="eastAsia"/>
                <w:lang w:eastAsia="zh-CN"/>
              </w:rPr>
            </w:pPr>
          </w:p>
          <w:p w14:paraId="56465FF8">
            <w:pPr>
              <w:pStyle w:val="30"/>
              <w:rPr>
                <w:rFonts w:hint="eastAsia"/>
                <w:lang w:eastAsia="zh-CN"/>
              </w:rPr>
            </w:pPr>
          </w:p>
          <w:p w14:paraId="35764FD9">
            <w:pPr>
              <w:pStyle w:val="31"/>
              <w:rPr>
                <w:rFonts w:hint="eastAsia"/>
                <w:lang w:eastAsia="zh-CN"/>
              </w:rPr>
            </w:pPr>
          </w:p>
          <w:p w14:paraId="683C68F7">
            <w:pPr>
              <w:rPr>
                <w:rFonts w:hint="eastAsia"/>
                <w:lang w:eastAsia="zh-CN"/>
              </w:rPr>
            </w:pPr>
          </w:p>
          <w:p w14:paraId="27FD090E">
            <w:pPr>
              <w:pStyle w:val="30"/>
              <w:rPr>
                <w:rFonts w:hint="eastAsia"/>
                <w:lang w:eastAsia="zh-CN"/>
              </w:rPr>
            </w:pPr>
          </w:p>
          <w:p w14:paraId="25B1FD21">
            <w:pPr>
              <w:pStyle w:val="31"/>
              <w:rPr>
                <w:rFonts w:hint="eastAsia"/>
                <w:lang w:eastAsia="zh-CN"/>
              </w:rPr>
            </w:pPr>
          </w:p>
          <w:p w14:paraId="3E9BC290">
            <w:pPr>
              <w:rPr>
                <w:rFonts w:hint="eastAsia"/>
                <w:lang w:eastAsia="zh-CN"/>
              </w:rPr>
            </w:pPr>
          </w:p>
          <w:p w14:paraId="124FC6E7">
            <w:pPr>
              <w:pStyle w:val="30"/>
              <w:rPr>
                <w:rFonts w:hint="eastAsia"/>
                <w:lang w:eastAsia="zh-CN"/>
              </w:rPr>
            </w:pPr>
          </w:p>
          <w:p w14:paraId="4CF57C99">
            <w:pPr>
              <w:pStyle w:val="31"/>
              <w:rPr>
                <w:rFonts w:hint="eastAsia"/>
                <w:lang w:eastAsia="zh-CN"/>
              </w:rPr>
            </w:pPr>
          </w:p>
          <w:p w14:paraId="1CD97442">
            <w:pPr>
              <w:rPr>
                <w:rFonts w:hint="eastAsia"/>
                <w:lang w:eastAsia="zh-CN"/>
              </w:rPr>
            </w:pPr>
          </w:p>
          <w:p w14:paraId="291BEBDE">
            <w:pPr>
              <w:pStyle w:val="30"/>
              <w:rPr>
                <w:rFonts w:hint="eastAsia"/>
                <w:lang w:eastAsia="zh-CN"/>
              </w:rPr>
            </w:pPr>
          </w:p>
          <w:p w14:paraId="3DDFD7D5">
            <w:pPr>
              <w:pStyle w:val="31"/>
              <w:rPr>
                <w:rFonts w:hint="eastAsia"/>
                <w:lang w:eastAsia="zh-CN"/>
              </w:rPr>
            </w:pPr>
          </w:p>
          <w:p w14:paraId="1561C396">
            <w:pPr>
              <w:rPr>
                <w:rFonts w:hint="eastAsia"/>
                <w:lang w:eastAsia="zh-CN"/>
              </w:rPr>
            </w:pPr>
          </w:p>
          <w:p w14:paraId="5721BF1D">
            <w:pPr>
              <w:pStyle w:val="30"/>
              <w:rPr>
                <w:rFonts w:hint="eastAsia"/>
                <w:lang w:eastAsia="zh-CN"/>
              </w:rPr>
            </w:pPr>
          </w:p>
          <w:p w14:paraId="7F4F1CFF">
            <w:pPr>
              <w:pStyle w:val="31"/>
              <w:rPr>
                <w:rFonts w:hint="eastAsia"/>
                <w:lang w:eastAsia="zh-CN"/>
              </w:rPr>
            </w:pPr>
          </w:p>
          <w:p w14:paraId="4EDC0526">
            <w:pPr>
              <w:rPr>
                <w:rFonts w:hint="eastAsia"/>
                <w:lang w:eastAsia="zh-CN"/>
              </w:rPr>
            </w:pPr>
          </w:p>
          <w:p w14:paraId="0AEEED1E">
            <w:pPr>
              <w:pStyle w:val="30"/>
              <w:rPr>
                <w:rFonts w:hint="eastAsia"/>
                <w:lang w:eastAsia="zh-CN"/>
              </w:rPr>
            </w:pPr>
          </w:p>
          <w:p w14:paraId="6FD37D2C">
            <w:pPr>
              <w:pStyle w:val="31"/>
              <w:rPr>
                <w:rFonts w:hint="eastAsia"/>
                <w:lang w:eastAsia="zh-CN"/>
              </w:rPr>
            </w:pPr>
          </w:p>
          <w:p w14:paraId="5C8B3574">
            <w:pPr>
              <w:rPr>
                <w:rFonts w:hint="eastAsia"/>
                <w:lang w:eastAsia="zh-CN"/>
              </w:rPr>
            </w:pPr>
          </w:p>
          <w:p w14:paraId="32029E16">
            <w:pPr>
              <w:pStyle w:val="30"/>
              <w:rPr>
                <w:rFonts w:hint="eastAsia"/>
                <w:lang w:eastAsia="zh-CN"/>
              </w:rPr>
            </w:pPr>
          </w:p>
          <w:p w14:paraId="11550C52">
            <w:pPr>
              <w:pStyle w:val="30"/>
              <w:rPr>
                <w:rFonts w:hint="eastAsia"/>
                <w:lang w:eastAsia="zh-CN"/>
              </w:rPr>
            </w:pPr>
          </w:p>
        </w:tc>
      </w:tr>
    </w:tbl>
    <w:p w14:paraId="4D9E54C1">
      <w:pPr>
        <w:spacing w:line="360" w:lineRule="auto"/>
        <w:jc w:val="center"/>
        <w:outlineLvl w:val="0"/>
        <w:rPr>
          <w:rFonts w:hint="eastAsia" w:eastAsia="黑体"/>
          <w:b/>
          <w:bCs/>
          <w:color w:val="auto"/>
          <w:sz w:val="30"/>
          <w:szCs w:val="24"/>
        </w:rPr>
        <w:sectPr>
          <w:pgSz w:w="16838" w:h="11906" w:orient="landscape"/>
          <w:pgMar w:top="1701" w:right="1020" w:bottom="1701" w:left="1020"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3"/>
      </w:tblGrid>
      <w:tr w14:paraId="68EB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33" w:type="dxa"/>
            <w:vAlign w:val="center"/>
          </w:tcPr>
          <w:p w14:paraId="76240AF6">
            <w:pPr>
              <w:spacing w:line="360" w:lineRule="auto"/>
              <w:jc w:val="center"/>
              <w:rPr>
                <w:rFonts w:eastAsia="黑体"/>
                <w:b/>
                <w:bCs/>
                <w:color w:val="auto"/>
                <w:sz w:val="30"/>
                <w:szCs w:val="24"/>
              </w:rPr>
            </w:pPr>
            <w:r>
              <w:rPr>
                <w:rFonts w:hint="eastAsia"/>
                <w:color w:val="auto"/>
                <w:sz w:val="24"/>
                <w:szCs w:val="24"/>
              </w:rPr>
              <w:t>运营期环境影响和保护措施</w:t>
            </w:r>
          </w:p>
        </w:tc>
        <w:tc>
          <w:tcPr>
            <w:tcW w:w="8753" w:type="dxa"/>
            <w:vAlign w:val="center"/>
          </w:tcPr>
          <w:p w14:paraId="450358A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b/>
                <w:bCs/>
                <w:color w:val="auto"/>
                <w:spacing w:val="-10"/>
                <w:sz w:val="24"/>
                <w:lang w:eastAsia="zh-CN"/>
              </w:rPr>
            </w:pPr>
            <w:r>
              <w:rPr>
                <w:rFonts w:hint="eastAsia" w:ascii="Times New Roman" w:hAnsi="Times New Roman" w:cs="Times New Roman"/>
                <w:b/>
                <w:bCs/>
                <w:color w:val="auto"/>
                <w:spacing w:val="-10"/>
                <w:sz w:val="24"/>
                <w:lang w:val="en-US" w:eastAsia="zh-CN"/>
              </w:rPr>
              <w:t>1.1</w:t>
            </w:r>
            <w:r>
              <w:rPr>
                <w:rFonts w:hint="default" w:ascii="Times New Roman" w:hAnsi="Times New Roman" w:cs="Times New Roman"/>
                <w:b/>
                <w:bCs/>
                <w:color w:val="auto"/>
                <w:spacing w:val="-10"/>
                <w:sz w:val="24"/>
              </w:rPr>
              <w:t>废气污染源强核算</w:t>
            </w:r>
            <w:r>
              <w:rPr>
                <w:rFonts w:hint="default" w:ascii="Times New Roman" w:hAnsi="Times New Roman" w:cs="Times New Roman"/>
                <w:b/>
                <w:bCs/>
                <w:color w:val="auto"/>
                <w:spacing w:val="-10"/>
                <w:sz w:val="24"/>
                <w:lang w:eastAsia="zh-CN"/>
              </w:rPr>
              <w:t>：</w:t>
            </w:r>
          </w:p>
          <w:p w14:paraId="4F812DA2">
            <w:pPr>
              <w:pStyle w:val="30"/>
              <w:spacing w:line="360" w:lineRule="auto"/>
              <w:ind w:firstLine="480" w:firstLineChars="200"/>
              <w:rPr>
                <w:rFonts w:hint="default" w:ascii="宋体" w:hAnsi="宋体" w:eastAsia="宋体" w:cs="宋体"/>
                <w:color w:val="auto"/>
                <w:kern w:val="0"/>
                <w:sz w:val="24"/>
                <w:szCs w:val="24"/>
                <w:lang w:val="en-US" w:eastAsia="zh-CN" w:bidi="ar"/>
              </w:rPr>
            </w:pPr>
            <w:r>
              <w:rPr>
                <w:rFonts w:hint="default" w:ascii="Times New Roman" w:hAnsi="Times New Roman" w:cs="Times New Roman"/>
                <w:color w:val="auto"/>
                <w:sz w:val="24"/>
              </w:rPr>
              <w:t>项目营运期</w:t>
            </w:r>
            <w:r>
              <w:rPr>
                <w:rFonts w:hint="default" w:ascii="Times New Roman" w:hAnsi="Times New Roman" w:cs="Times New Roman"/>
                <w:color w:val="auto"/>
                <w:sz w:val="24"/>
                <w:lang w:val="en-US" w:eastAsia="zh-CN"/>
              </w:rPr>
              <w:t>主要</w:t>
            </w:r>
            <w:r>
              <w:rPr>
                <w:rFonts w:hint="default" w:ascii="Times New Roman" w:hAnsi="Times New Roman" w:cs="Times New Roman"/>
                <w:color w:val="auto"/>
                <w:sz w:val="24"/>
              </w:rPr>
              <w:t>大气污染物</w:t>
            </w:r>
            <w:r>
              <w:rPr>
                <w:rFonts w:hint="eastAsia" w:cs="Times New Roman"/>
                <w:color w:val="auto"/>
                <w:sz w:val="24"/>
                <w:highlight w:val="none"/>
                <w:lang w:val="en-US" w:eastAsia="zh-CN"/>
              </w:rPr>
              <w:t>主要为</w:t>
            </w:r>
            <w:r>
              <w:rPr>
                <w:rFonts w:hint="eastAsia" w:ascii="宋体" w:hAnsi="宋体" w:eastAsia="宋体" w:cs="宋体"/>
                <w:color w:val="auto"/>
                <w:kern w:val="0"/>
                <w:sz w:val="24"/>
                <w:szCs w:val="24"/>
                <w:lang w:val="en-US" w:eastAsia="zh-CN" w:bidi="ar"/>
              </w:rPr>
              <w:t>卸料</w:t>
            </w:r>
            <w:r>
              <w:rPr>
                <w:rFonts w:hint="eastAsia" w:ascii="宋体" w:hAnsi="宋体" w:cs="宋体"/>
                <w:color w:val="auto"/>
                <w:kern w:val="0"/>
                <w:sz w:val="24"/>
                <w:szCs w:val="24"/>
                <w:lang w:val="en-US" w:eastAsia="zh-CN" w:bidi="ar"/>
              </w:rPr>
              <w:t>粉尘</w:t>
            </w:r>
            <w:r>
              <w:rPr>
                <w:rFonts w:hint="eastAsia" w:ascii="宋体" w:hAnsi="宋体" w:eastAsia="宋体" w:cs="宋体"/>
                <w:color w:val="auto"/>
                <w:kern w:val="0"/>
                <w:sz w:val="24"/>
                <w:szCs w:val="24"/>
                <w:lang w:val="en-US" w:eastAsia="zh-CN" w:bidi="ar"/>
              </w:rPr>
              <w:t>和大米加工废气</w:t>
            </w:r>
            <w:r>
              <w:rPr>
                <w:rFonts w:hint="eastAsia" w:ascii="宋体" w:hAnsi="宋体" w:cs="宋体"/>
                <w:color w:val="auto"/>
                <w:kern w:val="0"/>
                <w:sz w:val="24"/>
                <w:szCs w:val="24"/>
                <w:lang w:val="en-US" w:eastAsia="zh-CN" w:bidi="ar"/>
              </w:rPr>
              <w:t>，大米加工废气主要包括除杂粉尘、去石粉尘、砻谷粉尘、谷糙分离粉尘、一次色选</w:t>
            </w:r>
            <w:r>
              <w:rPr>
                <w:rFonts w:hint="eastAsia" w:ascii="宋体" w:hAnsi="宋体" w:eastAsia="宋体" w:cs="宋体"/>
                <w:color w:val="auto"/>
                <w:kern w:val="0"/>
                <w:sz w:val="24"/>
                <w:szCs w:val="24"/>
                <w:lang w:val="en-US" w:eastAsia="zh-CN" w:bidi="ar"/>
              </w:rPr>
              <w:t>粉尘、碾米粉尘</w:t>
            </w:r>
            <w:r>
              <w:rPr>
                <w:rFonts w:hint="eastAsia" w:ascii="宋体" w:hAnsi="宋体" w:cs="宋体"/>
                <w:color w:val="auto"/>
                <w:kern w:val="0"/>
                <w:sz w:val="24"/>
                <w:szCs w:val="24"/>
                <w:lang w:val="en-US" w:eastAsia="zh-CN" w:bidi="ar"/>
              </w:rPr>
              <w:t>、一次白米分级粉尘、一次抛光粉尘、二次色选粉尘、二次抛光粉尘、三次色选粉尘、二次白米分级粉尘、精选粉尘</w:t>
            </w:r>
            <w:r>
              <w:rPr>
                <w:rFonts w:hint="eastAsia" w:ascii="宋体" w:hAnsi="宋体" w:eastAsia="宋体" w:cs="宋体"/>
                <w:color w:val="auto"/>
                <w:kern w:val="0"/>
                <w:sz w:val="24"/>
                <w:szCs w:val="24"/>
                <w:lang w:val="en-US" w:eastAsia="zh-CN" w:bidi="ar"/>
              </w:rPr>
              <w:t>。</w:t>
            </w:r>
          </w:p>
          <w:p w14:paraId="1DE8254B">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本项目大米加工过程中会产生粉尘。根据《排放源统计调查产排污核算方法和系数手册》中《131稻谷加工行业系数手册》中</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大米·稻谷清理、碾磨、除尘</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过程颗粒物产污系数为0.015千克/吨-原料，项目年产加工</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万吨优质大米，原料稻谷用量约1</w:t>
            </w:r>
            <w:r>
              <w:rPr>
                <w:rFonts w:hint="eastAsia" w:cs="Times New Roman"/>
                <w:color w:val="auto"/>
                <w:kern w:val="0"/>
                <w:sz w:val="24"/>
                <w:szCs w:val="24"/>
                <w:lang w:val="en-US" w:eastAsia="zh-CN" w:bidi="ar"/>
              </w:rPr>
              <w:t>9247.03</w:t>
            </w:r>
            <w:r>
              <w:rPr>
                <w:rFonts w:hint="default" w:ascii="Times New Roman" w:hAnsi="Times New Roman" w:eastAsia="宋体" w:cs="Times New Roman"/>
                <w:color w:val="auto"/>
                <w:kern w:val="0"/>
                <w:sz w:val="24"/>
                <w:szCs w:val="24"/>
                <w:lang w:val="en-US" w:eastAsia="zh-CN" w:bidi="ar"/>
              </w:rPr>
              <w:t>吨，计算得出颗粒物产生量为</w:t>
            </w:r>
            <w:r>
              <w:rPr>
                <w:rFonts w:hint="eastAsia" w:ascii="Times New Roman" w:hAnsi="Times New Roman" w:eastAsia="宋体" w:cs="Times New Roman"/>
                <w:color w:val="auto"/>
                <w:kern w:val="0"/>
                <w:sz w:val="24"/>
                <w:szCs w:val="24"/>
                <w:lang w:val="en-US" w:eastAsia="zh-CN" w:bidi="ar"/>
              </w:rPr>
              <w:t>0.2</w:t>
            </w:r>
            <w:r>
              <w:rPr>
                <w:rFonts w:hint="eastAsia"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t/a。</w:t>
            </w:r>
          </w:p>
          <w:p w14:paraId="2A076482">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宋体" w:hAnsi="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（1）卸料</w:t>
            </w:r>
            <w:r>
              <w:rPr>
                <w:rFonts w:hint="eastAsia" w:ascii="Times New Roman" w:hAnsi="Times New Roman" w:cs="Times New Roman"/>
                <w:color w:val="auto"/>
                <w:kern w:val="0"/>
                <w:sz w:val="24"/>
                <w:szCs w:val="24"/>
                <w:lang w:val="en-US" w:eastAsia="zh-CN" w:bidi="ar"/>
              </w:rPr>
              <w:t>粉尘</w:t>
            </w:r>
            <w:r>
              <w:rPr>
                <w:rFonts w:hint="default" w:ascii="Times New Roman" w:hAnsi="Times New Roman"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除杂粉尘、去石粉尘、砻谷粉尘、谷糙分离粉尘、一次色选</w:t>
            </w:r>
            <w:r>
              <w:rPr>
                <w:rFonts w:hint="eastAsia" w:ascii="宋体" w:hAnsi="宋体" w:eastAsia="宋体" w:cs="宋体"/>
                <w:color w:val="auto"/>
                <w:kern w:val="0"/>
                <w:sz w:val="24"/>
                <w:szCs w:val="24"/>
                <w:lang w:val="en-US" w:eastAsia="zh-CN" w:bidi="ar"/>
              </w:rPr>
              <w:t>粉尘、碾米粉尘</w:t>
            </w:r>
          </w:p>
          <w:p w14:paraId="0D1F1B45">
            <w:pPr>
              <w:widowControl/>
              <w:spacing w:line="360" w:lineRule="auto"/>
              <w:ind w:firstLine="480"/>
              <w:jc w:val="both"/>
              <w:rPr>
                <w:rFonts w:hint="default" w:ascii="Times New Roman" w:hAnsi="Times New Roman" w:cs="Times New Roman"/>
                <w:color w:val="auto"/>
                <w:kern w:val="0"/>
                <w:sz w:val="24"/>
                <w:szCs w:val="24"/>
              </w:rPr>
            </w:pPr>
            <w:r>
              <w:rPr>
                <w:rFonts w:hint="eastAsia" w:ascii="宋体" w:hAnsi="宋体" w:eastAsia="宋体" w:cs="宋体"/>
                <w:color w:val="auto"/>
                <w:kern w:val="0"/>
                <w:sz w:val="24"/>
                <w:szCs w:val="24"/>
                <w:lang w:val="en-US" w:eastAsia="zh-CN" w:bidi="ar"/>
              </w:rPr>
              <w:t>项目稻谷卸料过程中会有一定的卸</w:t>
            </w:r>
            <w:r>
              <w:rPr>
                <w:rFonts w:hint="default" w:ascii="Times New Roman" w:hAnsi="Times New Roman" w:eastAsia="宋体" w:cs="Times New Roman"/>
                <w:color w:val="auto"/>
                <w:kern w:val="0"/>
                <w:sz w:val="24"/>
                <w:szCs w:val="24"/>
                <w:lang w:val="en-US" w:eastAsia="zh-CN" w:bidi="ar"/>
              </w:rPr>
              <w:t>料粉尘产生，参考《逸散性工业粉尘控制技术》第五章表5-1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谷物贮存的逸散尘排放因子</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：卡车下料粉尘产污系数为0.3kg/t，本项目稻谷年用量为1</w:t>
            </w:r>
            <w:r>
              <w:rPr>
                <w:rFonts w:hint="eastAsia" w:cs="Times New Roman"/>
                <w:color w:val="auto"/>
                <w:kern w:val="0"/>
                <w:sz w:val="24"/>
                <w:szCs w:val="24"/>
                <w:lang w:val="en-US" w:eastAsia="zh-CN" w:bidi="ar"/>
              </w:rPr>
              <w:t>9247</w:t>
            </w:r>
            <w:r>
              <w:rPr>
                <w:rFonts w:hint="default" w:ascii="Times New Roman" w:hAnsi="Times New Roman" w:eastAsia="宋体" w:cs="Times New Roman"/>
                <w:color w:val="auto"/>
                <w:kern w:val="0"/>
                <w:sz w:val="24"/>
                <w:szCs w:val="24"/>
                <w:lang w:val="en-US" w:eastAsia="zh-CN" w:bidi="ar"/>
              </w:rPr>
              <w:t>t/a，则卸粮粉尘产生量约为</w:t>
            </w:r>
            <w:r>
              <w:rPr>
                <w:rFonts w:hint="eastAsia" w:cs="Times New Roman"/>
                <w:color w:val="auto"/>
                <w:kern w:val="0"/>
                <w:sz w:val="24"/>
                <w:szCs w:val="24"/>
                <w:lang w:val="en-US" w:eastAsia="zh-CN" w:bidi="ar"/>
              </w:rPr>
              <w:t>5.78</w:t>
            </w:r>
            <w:r>
              <w:rPr>
                <w:rFonts w:hint="default" w:ascii="Times New Roman" w:hAnsi="Times New Roman" w:eastAsia="宋体" w:cs="Times New Roman"/>
                <w:color w:val="auto"/>
                <w:kern w:val="0"/>
                <w:sz w:val="24"/>
                <w:szCs w:val="24"/>
                <w:lang w:val="en-US" w:eastAsia="zh-CN" w:bidi="ar"/>
              </w:rPr>
              <w:t>t/a。项目拟在</w:t>
            </w:r>
            <w:r>
              <w:rPr>
                <w:rFonts w:hint="eastAsia" w:cs="Times New Roman"/>
                <w:color w:val="auto"/>
                <w:kern w:val="0"/>
                <w:sz w:val="24"/>
                <w:szCs w:val="24"/>
                <w:lang w:val="en-US" w:eastAsia="zh-CN" w:bidi="ar"/>
              </w:rPr>
              <w:t>1个</w:t>
            </w:r>
            <w:r>
              <w:rPr>
                <w:rFonts w:hint="default" w:ascii="Times New Roman" w:hAnsi="Times New Roman" w:eastAsia="宋体" w:cs="Times New Roman"/>
                <w:color w:val="auto"/>
                <w:kern w:val="0"/>
                <w:sz w:val="24"/>
                <w:szCs w:val="24"/>
                <w:lang w:val="en-US" w:eastAsia="zh-CN" w:bidi="ar"/>
              </w:rPr>
              <w:t>卸粮坑上方设置集气罩（</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m）收集粉尘</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rPr>
              <w:t>根据公式：</w:t>
            </w:r>
          </w:p>
          <w:p w14:paraId="31282E77">
            <w:pPr>
              <w:pStyle w:val="14"/>
              <w:spacing w:before="0" w:after="0" w:line="360" w:lineRule="auto"/>
              <w:ind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L=0.75（10x</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+F）v</w:t>
            </w:r>
            <w:r>
              <w:rPr>
                <w:rFonts w:hint="default" w:ascii="Times New Roman" w:hAnsi="Times New Roman" w:cs="Times New Roman"/>
                <w:color w:val="auto"/>
                <w:sz w:val="24"/>
                <w:szCs w:val="24"/>
                <w:vertAlign w:val="subscript"/>
              </w:rPr>
              <w:t>x</w:t>
            </w:r>
          </w:p>
          <w:p w14:paraId="64F8FB39">
            <w:pPr>
              <w:pStyle w:val="14"/>
              <w:spacing w:before="0" w:after="0" w:line="360" w:lineRule="auto"/>
              <w:ind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其中，L：风量，m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/s；</w:t>
            </w:r>
          </w:p>
          <w:p w14:paraId="34300F31">
            <w:pPr>
              <w:pStyle w:val="14"/>
              <w:spacing w:before="0" w:after="0" w:line="360" w:lineRule="auto"/>
              <w:ind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x：</w:t>
            </w:r>
            <w:r>
              <w:rPr>
                <w:rFonts w:hint="eastAsia" w:ascii="Times New Roman" w:hAnsi="Times New Roman" w:cs="Times New Roman"/>
                <w:color w:val="auto"/>
                <w:sz w:val="24"/>
                <w:szCs w:val="24"/>
                <w:lang w:val="en-US" w:eastAsia="zh-CN"/>
              </w:rPr>
              <w:t>卡车卸料口</w:t>
            </w:r>
            <w:r>
              <w:rPr>
                <w:rFonts w:hint="default" w:ascii="Times New Roman" w:hAnsi="Times New Roman" w:cs="Times New Roman"/>
                <w:color w:val="auto"/>
                <w:sz w:val="24"/>
                <w:szCs w:val="24"/>
              </w:rPr>
              <w:t>距罩口距离，m，取0.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w:t>
            </w:r>
          </w:p>
          <w:p w14:paraId="444EB735">
            <w:pPr>
              <w:pStyle w:val="14"/>
              <w:spacing w:before="0" w:after="0" w:line="360" w:lineRule="auto"/>
              <w:ind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F：罩口面积，m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6D2A3227">
            <w:pPr>
              <w:pStyle w:val="14"/>
              <w:spacing w:before="0" w:after="0" w:line="360" w:lineRule="auto"/>
              <w:ind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：控制风速，m/s，取0.3；</w:t>
            </w:r>
          </w:p>
          <w:p w14:paraId="01AC574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rPr>
              <w:t>经计算，</w:t>
            </w:r>
            <w:r>
              <w:rPr>
                <w:rFonts w:hint="default" w:ascii="Times New Roman" w:hAnsi="Times New Roman" w:eastAsia="宋体" w:cs="Times New Roman"/>
                <w:color w:val="auto"/>
                <w:kern w:val="0"/>
                <w:sz w:val="24"/>
                <w:szCs w:val="24"/>
                <w:lang w:val="en-US" w:eastAsia="zh-CN" w:bidi="ar"/>
              </w:rPr>
              <w:t>卸粮粉尘</w:t>
            </w:r>
            <w:r>
              <w:rPr>
                <w:rFonts w:hint="eastAsia" w:ascii="Times New Roman" w:hAnsi="Times New Roman" w:eastAsia="宋体" w:cs="Times New Roman"/>
                <w:color w:val="auto"/>
                <w:kern w:val="0"/>
                <w:sz w:val="24"/>
                <w:szCs w:val="24"/>
                <w:lang w:val="en-US" w:eastAsia="zh-CN" w:bidi="ar"/>
              </w:rPr>
              <w:t>设置的</w:t>
            </w: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套</w:t>
            </w:r>
            <w:r>
              <w:rPr>
                <w:rFonts w:hint="default" w:ascii="Times New Roman" w:hAnsi="Times New Roman" w:cs="Times New Roman"/>
                <w:color w:val="auto"/>
                <w:sz w:val="24"/>
                <w:szCs w:val="24"/>
              </w:rPr>
              <w:t>顶吸式集气罩风量为</w:t>
            </w:r>
            <w:r>
              <w:rPr>
                <w:rFonts w:hint="eastAsia" w:cs="Times New Roman"/>
                <w:color w:val="auto"/>
                <w:sz w:val="24"/>
                <w:szCs w:val="24"/>
                <w:lang w:val="en-US" w:eastAsia="zh-CN"/>
              </w:rPr>
              <w:t>8505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r>
              <w:rPr>
                <w:rFonts w:hint="eastAsia" w:ascii="Times New Roman" w:hAnsi="Times New Roman" w:cs="Times New Roman"/>
                <w:color w:val="auto"/>
                <w:sz w:val="24"/>
                <w:szCs w:val="24"/>
                <w:lang w:val="en-US" w:eastAsia="zh-CN"/>
              </w:rPr>
              <w:t>集气罩收集效率为90%，收集粉尘量为</w:t>
            </w:r>
            <w:r>
              <w:rPr>
                <w:rFonts w:hint="eastAsia" w:cs="Times New Roman"/>
                <w:color w:val="auto"/>
                <w:sz w:val="24"/>
                <w:szCs w:val="24"/>
                <w:lang w:val="en-US" w:eastAsia="zh-CN"/>
              </w:rPr>
              <w:t>5.202</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cs="Times New Roman"/>
                <w:color w:val="auto"/>
                <w:sz w:val="24"/>
                <w:szCs w:val="24"/>
                <w:lang w:val="en-US" w:eastAsia="zh-CN"/>
              </w:rPr>
              <w:t>，卸粮无组织粉尘排放量为</w:t>
            </w:r>
            <w:r>
              <w:rPr>
                <w:rFonts w:hint="eastAsia" w:cs="Times New Roman"/>
                <w:color w:val="auto"/>
                <w:sz w:val="24"/>
                <w:szCs w:val="24"/>
                <w:lang w:val="en-US" w:eastAsia="zh-CN"/>
              </w:rPr>
              <w:t>0.578</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本工程</w:t>
            </w:r>
            <w:r>
              <w:rPr>
                <w:rFonts w:hint="eastAsia" w:ascii="Times New Roman" w:hAnsi="Times New Roman" w:cs="Times New Roman"/>
                <w:color w:val="auto"/>
                <w:sz w:val="24"/>
                <w:szCs w:val="24"/>
                <w:lang w:val="en-US" w:eastAsia="zh-CN"/>
              </w:rPr>
              <w:t>卸粮</w:t>
            </w:r>
            <w:r>
              <w:rPr>
                <w:rFonts w:hint="default" w:ascii="Times New Roman" w:hAnsi="Times New Roman" w:cs="Times New Roman"/>
                <w:color w:val="auto"/>
                <w:sz w:val="24"/>
                <w:szCs w:val="24"/>
              </w:rPr>
              <w:t>时间</w:t>
            </w:r>
            <w:r>
              <w:rPr>
                <w:rFonts w:hint="eastAsia" w:ascii="Times New Roman" w:hAnsi="Times New Roman" w:cs="Times New Roman"/>
                <w:color w:val="auto"/>
                <w:sz w:val="24"/>
                <w:szCs w:val="24"/>
                <w:lang w:val="en-US" w:eastAsia="zh-CN"/>
              </w:rPr>
              <w:t>按9</w:t>
            </w:r>
            <w:r>
              <w:rPr>
                <w:rFonts w:hint="default" w:ascii="Times New Roman" w:hAnsi="Times New Roman" w:cs="Times New Roman"/>
                <w:color w:val="auto"/>
                <w:sz w:val="24"/>
                <w:szCs w:val="24"/>
              </w:rPr>
              <w:t>00h/a</w:t>
            </w:r>
            <w:r>
              <w:rPr>
                <w:rFonts w:hint="eastAsia" w:ascii="Times New Roman" w:hAnsi="Times New Roman" w:cs="Times New Roman"/>
                <w:color w:val="auto"/>
                <w:sz w:val="24"/>
                <w:szCs w:val="24"/>
                <w:lang w:val="en-US" w:eastAsia="zh-CN"/>
              </w:rPr>
              <w:t>计</w:t>
            </w:r>
            <w:r>
              <w:rPr>
                <w:rFonts w:hint="default" w:ascii="Times New Roman" w:hAnsi="Times New Roman" w:cs="Times New Roman"/>
                <w:color w:val="auto"/>
                <w:sz w:val="24"/>
                <w:szCs w:val="24"/>
              </w:rPr>
              <w:t>。</w:t>
            </w:r>
          </w:p>
          <w:p w14:paraId="3AC7185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宋体" w:hAnsi="宋体" w:cs="宋体"/>
                <w:color w:val="auto"/>
                <w:kern w:val="0"/>
                <w:sz w:val="24"/>
                <w:szCs w:val="24"/>
                <w:lang w:val="en-US" w:eastAsia="zh-CN" w:bidi="ar"/>
              </w:rPr>
              <w:t>根据相关行业资料及类比同类“年</w:t>
            </w:r>
            <w:r>
              <w:rPr>
                <w:rFonts w:hint="default" w:ascii="Times New Roman" w:hAnsi="Times New Roman" w:cs="Times New Roman"/>
                <w:color w:val="auto"/>
                <w:kern w:val="0"/>
                <w:sz w:val="24"/>
                <w:szCs w:val="24"/>
                <w:lang w:val="en-US" w:eastAsia="zh-CN" w:bidi="ar"/>
              </w:rPr>
              <w:t>产5万吨优质大米加工项目（金安区粮油储备物流中心建设项目（三期）大米加工及配套工程）</w:t>
            </w:r>
            <w:r>
              <w:rPr>
                <w:rFonts w:hint="eastAsia" w:cs="Times New Roman"/>
                <w:color w:val="auto"/>
                <w:kern w:val="0"/>
                <w:sz w:val="24"/>
                <w:szCs w:val="24"/>
                <w:lang w:val="en-US" w:eastAsia="zh-CN" w:bidi="ar"/>
              </w:rPr>
              <w:t>，生产工艺为卸粮、除杂、去石、砻谷、谷糙分离、色选、碾米、白米分级、抛光、包装等</w:t>
            </w:r>
            <w:r>
              <w:rPr>
                <w:rFonts w:hint="default" w:ascii="Times New Roman" w:hAnsi="Times New Roman" w:cs="Times New Roman"/>
                <w:color w:val="auto"/>
                <w:kern w:val="0"/>
                <w:sz w:val="24"/>
                <w:szCs w:val="24"/>
                <w:lang w:val="en-US" w:eastAsia="zh-CN" w:bidi="ar"/>
              </w:rPr>
              <w:t>”，清理工序即去石除杂粉尘产生量约占大米加工过程中粉尘产生总量的30%，砻谷、谷糙分离</w:t>
            </w:r>
            <w:r>
              <w:rPr>
                <w:rFonts w:hint="eastAsia" w:ascii="Times New Roman" w:hAnsi="Times New Roman"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一次色选、碾米</w:t>
            </w:r>
            <w:r>
              <w:rPr>
                <w:rFonts w:hint="default" w:ascii="Times New Roman" w:hAnsi="Times New Roman" w:cs="Times New Roman"/>
                <w:color w:val="auto"/>
                <w:kern w:val="0"/>
                <w:sz w:val="24"/>
                <w:szCs w:val="24"/>
                <w:lang w:val="en-US" w:eastAsia="zh-CN" w:bidi="ar"/>
              </w:rPr>
              <w:t>工序粉尘产生量约占大米加工工序粉尘产生总量的</w:t>
            </w:r>
            <w:r>
              <w:rPr>
                <w:rFonts w:hint="eastAsia" w:cs="Times New Roman"/>
                <w:color w:val="auto"/>
                <w:kern w:val="0"/>
                <w:sz w:val="24"/>
                <w:szCs w:val="24"/>
                <w:lang w:val="en-US" w:eastAsia="zh-CN" w:bidi="ar"/>
              </w:rPr>
              <w:t>50</w:t>
            </w:r>
            <w:r>
              <w:rPr>
                <w:rFonts w:hint="default" w:ascii="Times New Roman" w:hAnsi="Times New Roman"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，计算得</w:t>
            </w:r>
            <w:r>
              <w:rPr>
                <w:rFonts w:hint="eastAsia" w:ascii="宋体" w:hAnsi="宋体" w:cs="宋体"/>
                <w:color w:val="auto"/>
                <w:kern w:val="0"/>
                <w:sz w:val="24"/>
                <w:szCs w:val="24"/>
                <w:lang w:val="en-US" w:eastAsia="zh-CN" w:bidi="ar"/>
              </w:rPr>
              <w:t>除杂、去石、砻谷、谷糙分离、一次色选</w:t>
            </w:r>
            <w:r>
              <w:rPr>
                <w:rFonts w:hint="eastAsia" w:ascii="宋体" w:hAnsi="宋体" w:eastAsia="宋体" w:cs="宋体"/>
                <w:color w:val="auto"/>
                <w:kern w:val="0"/>
                <w:sz w:val="24"/>
                <w:szCs w:val="24"/>
                <w:lang w:val="en-US" w:eastAsia="zh-CN" w:bidi="ar"/>
              </w:rPr>
              <w:t>、碾米</w:t>
            </w:r>
            <w:r>
              <w:rPr>
                <w:rFonts w:hint="default" w:ascii="Times New Roman" w:hAnsi="Times New Roman" w:eastAsia="宋体" w:cs="Times New Roman"/>
                <w:color w:val="auto"/>
                <w:kern w:val="0"/>
                <w:sz w:val="24"/>
                <w:szCs w:val="24"/>
                <w:lang w:val="en-US" w:eastAsia="zh-CN" w:bidi="ar"/>
              </w:rPr>
              <w:t>工序</w:t>
            </w:r>
            <w:r>
              <w:rPr>
                <w:rFonts w:hint="eastAsia" w:ascii="Times New Roman" w:hAnsi="Times New Roman" w:eastAsia="宋体" w:cs="Times New Roman"/>
                <w:color w:val="auto"/>
                <w:kern w:val="0"/>
                <w:sz w:val="24"/>
                <w:szCs w:val="24"/>
                <w:lang w:val="en-US" w:eastAsia="zh-CN" w:bidi="ar"/>
              </w:rPr>
              <w:t>粉尘产生量为0.2</w:t>
            </w:r>
            <w:r>
              <w:rPr>
                <w:rFonts w:hint="eastAsia" w:cs="Times New Roman"/>
                <w:color w:val="auto"/>
                <w:kern w:val="0"/>
                <w:sz w:val="24"/>
                <w:szCs w:val="24"/>
                <w:lang w:val="en-US" w:eastAsia="zh-CN" w:bidi="ar"/>
              </w:rPr>
              <w:t>32</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，该工序密闭管道收集效率为100%</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根据业主提供资料</w:t>
            </w:r>
            <w:r>
              <w:rPr>
                <w:rFonts w:hint="eastAsia" w:ascii="Times New Roman" w:hAnsi="Times New Roman" w:cs="Times New Roman"/>
                <w:color w:val="auto"/>
                <w:kern w:val="0"/>
                <w:sz w:val="24"/>
                <w:szCs w:val="24"/>
                <w:lang w:val="en-US" w:eastAsia="zh-CN" w:bidi="ar"/>
              </w:rPr>
              <w:t>，项目</w:t>
            </w:r>
            <w:r>
              <w:rPr>
                <w:rFonts w:hint="eastAsia" w:cs="Times New Roman"/>
                <w:color w:val="auto"/>
                <w:kern w:val="0"/>
                <w:sz w:val="24"/>
                <w:szCs w:val="24"/>
                <w:lang w:val="en-US" w:eastAsia="zh-CN" w:bidi="ar"/>
              </w:rPr>
              <w:t>每台清理筛、</w:t>
            </w:r>
            <w:r>
              <w:rPr>
                <w:rFonts w:hint="eastAsia" w:ascii="Times New Roman" w:hAnsi="Times New Roman" w:cs="Times New Roman"/>
                <w:color w:val="auto"/>
                <w:kern w:val="0"/>
                <w:sz w:val="24"/>
                <w:szCs w:val="24"/>
                <w:lang w:val="en-US" w:eastAsia="zh-CN" w:bidi="ar"/>
              </w:rPr>
              <w:t>去石</w:t>
            </w:r>
            <w:r>
              <w:rPr>
                <w:rFonts w:hint="eastAsia" w:cs="Times New Roman"/>
                <w:color w:val="auto"/>
                <w:kern w:val="0"/>
                <w:sz w:val="24"/>
                <w:szCs w:val="24"/>
                <w:lang w:val="en-US" w:eastAsia="zh-CN" w:bidi="ar"/>
              </w:rPr>
              <w:t>机、</w:t>
            </w:r>
            <w:r>
              <w:rPr>
                <w:rFonts w:hint="eastAsia" w:ascii="Times New Roman" w:hAnsi="Times New Roman" w:cs="Times New Roman"/>
                <w:color w:val="auto"/>
                <w:kern w:val="0"/>
                <w:sz w:val="24"/>
                <w:szCs w:val="24"/>
                <w:lang w:val="en-US" w:eastAsia="zh-CN" w:bidi="ar"/>
              </w:rPr>
              <w:t>碾米机先设置1套旋风除尘器除尘，共设置6套旋风除尘器，除杂粉尘、</w:t>
            </w:r>
            <w:r>
              <w:rPr>
                <w:rFonts w:hint="eastAsia" w:cs="Times New Roman"/>
                <w:color w:val="auto"/>
                <w:kern w:val="0"/>
                <w:sz w:val="24"/>
                <w:szCs w:val="24"/>
                <w:lang w:val="en-US" w:eastAsia="zh-CN" w:bidi="ar"/>
              </w:rPr>
              <w:t>去石粉尘、</w:t>
            </w:r>
            <w:r>
              <w:rPr>
                <w:rFonts w:hint="eastAsia" w:ascii="Times New Roman" w:hAnsi="Times New Roman" w:cs="Times New Roman"/>
                <w:color w:val="auto"/>
                <w:kern w:val="0"/>
                <w:sz w:val="24"/>
                <w:szCs w:val="24"/>
                <w:lang w:val="en-US" w:eastAsia="zh-CN" w:bidi="ar"/>
              </w:rPr>
              <w:t>碾米粉尘经密闭管道收集经并</w:t>
            </w:r>
            <w:r>
              <w:rPr>
                <w:rFonts w:hint="eastAsia" w:cs="Times New Roman"/>
                <w:color w:val="auto"/>
                <w:kern w:val="0"/>
                <w:sz w:val="24"/>
                <w:szCs w:val="24"/>
                <w:lang w:val="en-US" w:eastAsia="zh-CN" w:bidi="ar"/>
              </w:rPr>
              <w:t>联</w:t>
            </w:r>
            <w:r>
              <w:rPr>
                <w:rFonts w:hint="eastAsia" w:ascii="Times New Roman" w:hAnsi="Times New Roman" w:cs="Times New Roman"/>
                <w:color w:val="auto"/>
                <w:kern w:val="0"/>
                <w:sz w:val="24"/>
                <w:szCs w:val="24"/>
                <w:lang w:val="en-US" w:eastAsia="zh-CN" w:bidi="ar"/>
              </w:rPr>
              <w:t>6套旋风除尘器处理后，</w:t>
            </w:r>
            <w:r>
              <w:rPr>
                <w:rFonts w:hint="eastAsia" w:cs="Times New Roman"/>
                <w:color w:val="auto"/>
                <w:kern w:val="0"/>
                <w:sz w:val="24"/>
                <w:szCs w:val="24"/>
                <w:lang w:val="en-US" w:eastAsia="zh-CN" w:bidi="ar"/>
              </w:rPr>
              <w:t>再</w:t>
            </w:r>
            <w:r>
              <w:rPr>
                <w:rFonts w:hint="eastAsia" w:ascii="Times New Roman" w:hAnsi="Times New Roman" w:cs="Times New Roman"/>
                <w:color w:val="auto"/>
                <w:kern w:val="0"/>
                <w:sz w:val="24"/>
                <w:szCs w:val="24"/>
                <w:lang w:val="en-US" w:eastAsia="zh-CN" w:bidi="ar"/>
              </w:rPr>
              <w:t>与经集气罩收集的卸粮粉尘，密闭管道收集的砻谷粉尘、谷糙分离粉尘、一次色选粉尘，共同经1套脉冲除尘器处理，尾气经1根15m高排气筒（DA001）有组织排放</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根据</w:t>
            </w:r>
            <w:r>
              <w:rPr>
                <w:rFonts w:hint="eastAsia" w:cs="Times New Roman"/>
                <w:color w:val="auto"/>
                <w:kern w:val="0"/>
                <w:sz w:val="24"/>
                <w:szCs w:val="24"/>
                <w:lang w:val="en-US" w:eastAsia="zh-CN" w:bidi="ar"/>
              </w:rPr>
              <w:t>配备的风机铭牌标识</w:t>
            </w:r>
            <w:r>
              <w:rPr>
                <w:rFonts w:hint="eastAsia" w:ascii="Times New Roman" w:hAnsi="Times New Roman"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除杂、去石、砻谷、谷糙分离、一次色选</w:t>
            </w:r>
            <w:r>
              <w:rPr>
                <w:rFonts w:hint="eastAsia" w:ascii="宋体" w:hAnsi="宋体" w:eastAsia="宋体" w:cs="宋体"/>
                <w:color w:val="auto"/>
                <w:kern w:val="0"/>
                <w:sz w:val="24"/>
                <w:szCs w:val="24"/>
                <w:lang w:val="en-US" w:eastAsia="zh-CN" w:bidi="ar"/>
              </w:rPr>
              <w:t>、碾米</w:t>
            </w:r>
            <w:r>
              <w:rPr>
                <w:rFonts w:hint="default" w:ascii="Times New Roman" w:hAnsi="Times New Roman" w:eastAsia="宋体" w:cs="Times New Roman"/>
                <w:color w:val="auto"/>
                <w:kern w:val="0"/>
                <w:sz w:val="24"/>
                <w:szCs w:val="24"/>
                <w:lang w:val="en-US" w:eastAsia="zh-CN" w:bidi="ar"/>
              </w:rPr>
              <w:t>配套风机风量</w:t>
            </w:r>
            <w:r>
              <w:rPr>
                <w:rFonts w:hint="eastAsia" w:ascii="Times New Roman" w:hAnsi="Times New Roman" w:cs="Times New Roman"/>
                <w:color w:val="auto"/>
                <w:kern w:val="0"/>
                <w:sz w:val="24"/>
                <w:szCs w:val="24"/>
                <w:lang w:val="en-US" w:eastAsia="zh-CN" w:bidi="ar"/>
              </w:rPr>
              <w:t>1</w:t>
            </w:r>
            <w:r>
              <w:rPr>
                <w:rFonts w:hint="eastAsia" w:cs="Times New Roman"/>
                <w:color w:val="auto"/>
                <w:kern w:val="0"/>
                <w:sz w:val="24"/>
                <w:szCs w:val="24"/>
                <w:lang w:val="en-US" w:eastAsia="zh-CN" w:bidi="ar"/>
              </w:rPr>
              <w:t>5</w:t>
            </w:r>
            <w:r>
              <w:rPr>
                <w:rFonts w:hint="eastAsia" w:ascii="Times New Roman" w:hAnsi="Times New Roman" w:cs="Times New Roman"/>
                <w:color w:val="auto"/>
                <w:kern w:val="0"/>
                <w:sz w:val="24"/>
                <w:szCs w:val="24"/>
                <w:lang w:val="en-US" w:eastAsia="zh-CN" w:bidi="ar"/>
              </w:rPr>
              <w:t>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/h，则卸粮、</w:t>
            </w:r>
            <w:r>
              <w:rPr>
                <w:rFonts w:hint="eastAsia" w:ascii="宋体" w:hAnsi="宋体" w:cs="宋体"/>
                <w:color w:val="auto"/>
                <w:kern w:val="0"/>
                <w:sz w:val="24"/>
                <w:szCs w:val="24"/>
                <w:lang w:val="en-US" w:eastAsia="zh-CN" w:bidi="ar"/>
              </w:rPr>
              <w:t>除杂、去石、砻谷、谷糙分离、一次色选</w:t>
            </w:r>
            <w:r>
              <w:rPr>
                <w:rFonts w:hint="eastAsia" w:ascii="宋体" w:hAnsi="宋体" w:eastAsia="宋体" w:cs="宋体"/>
                <w:color w:val="auto"/>
                <w:kern w:val="0"/>
                <w:sz w:val="24"/>
                <w:szCs w:val="24"/>
                <w:lang w:val="en-US" w:eastAsia="zh-CN" w:bidi="ar"/>
              </w:rPr>
              <w:t>、碾米</w:t>
            </w:r>
            <w:r>
              <w:rPr>
                <w:rFonts w:hint="default" w:ascii="Times New Roman" w:hAnsi="Times New Roman" w:eastAsia="宋体" w:cs="Times New Roman"/>
                <w:color w:val="auto"/>
                <w:kern w:val="0"/>
                <w:sz w:val="24"/>
                <w:szCs w:val="24"/>
                <w:lang w:val="en-US" w:eastAsia="zh-CN" w:bidi="ar"/>
              </w:rPr>
              <w:t>工序风机总风量为</w:t>
            </w:r>
            <w:r>
              <w:rPr>
                <w:rFonts w:hint="eastAsia" w:ascii="Times New Roman" w:hAnsi="Times New Roman" w:cs="Times New Roman"/>
                <w:color w:val="auto"/>
                <w:kern w:val="0"/>
                <w:sz w:val="24"/>
                <w:szCs w:val="24"/>
                <w:lang w:val="en-US" w:eastAsia="zh-CN" w:bidi="ar"/>
              </w:rPr>
              <w:t>2</w:t>
            </w:r>
            <w:r>
              <w:rPr>
                <w:rFonts w:hint="eastAsia" w:cs="Times New Roman"/>
                <w:color w:val="auto"/>
                <w:kern w:val="0"/>
                <w:sz w:val="24"/>
                <w:szCs w:val="24"/>
                <w:lang w:val="en-US" w:eastAsia="zh-CN" w:bidi="ar"/>
              </w:rPr>
              <w:t>3505</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/h，考虑风损等情况，</w:t>
            </w:r>
            <w:r>
              <w:rPr>
                <w:rFonts w:hint="eastAsia" w:ascii="Times New Roman" w:hAnsi="Times New Roman" w:cs="Times New Roman"/>
                <w:color w:val="auto"/>
                <w:kern w:val="0"/>
                <w:sz w:val="24"/>
                <w:szCs w:val="24"/>
                <w:lang w:val="en-US" w:eastAsia="zh-CN" w:bidi="ar"/>
              </w:rPr>
              <w:t>总风量为25000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rPr>
              <w:t>本工程</w:t>
            </w:r>
            <w:r>
              <w:rPr>
                <w:rFonts w:hint="eastAsia" w:ascii="宋体" w:hAnsi="宋体" w:cs="宋体"/>
                <w:color w:val="auto"/>
                <w:kern w:val="0"/>
                <w:sz w:val="24"/>
                <w:szCs w:val="24"/>
                <w:lang w:val="en-US" w:eastAsia="zh-CN" w:bidi="ar"/>
              </w:rPr>
              <w:t>除杂、去石、砻谷、谷糙分离、一次色选</w:t>
            </w:r>
            <w:r>
              <w:rPr>
                <w:rFonts w:hint="eastAsia" w:ascii="宋体" w:hAnsi="宋体" w:eastAsia="宋体" w:cs="宋体"/>
                <w:color w:val="auto"/>
                <w:kern w:val="0"/>
                <w:sz w:val="24"/>
                <w:szCs w:val="24"/>
                <w:lang w:val="en-US" w:eastAsia="zh-CN" w:bidi="ar"/>
              </w:rPr>
              <w:t>、碾米</w:t>
            </w:r>
            <w:r>
              <w:rPr>
                <w:rFonts w:hint="default" w:ascii="Times New Roman" w:hAnsi="Times New Roman" w:cs="Times New Roman"/>
                <w:color w:val="auto"/>
                <w:sz w:val="24"/>
                <w:szCs w:val="24"/>
              </w:rPr>
              <w:t>时间</w:t>
            </w:r>
            <w:r>
              <w:rPr>
                <w:rFonts w:hint="eastAsia" w:ascii="Times New Roman" w:hAnsi="Times New Roman" w:cs="Times New Roman"/>
                <w:color w:val="auto"/>
                <w:sz w:val="24"/>
                <w:szCs w:val="24"/>
                <w:lang w:val="en-US" w:eastAsia="zh-CN"/>
              </w:rPr>
              <w:t>按24</w:t>
            </w:r>
            <w:r>
              <w:rPr>
                <w:rFonts w:hint="default" w:ascii="Times New Roman" w:hAnsi="Times New Roman" w:cs="Times New Roman"/>
                <w:color w:val="auto"/>
                <w:sz w:val="24"/>
                <w:szCs w:val="24"/>
              </w:rPr>
              <w:t>00h/a</w:t>
            </w:r>
            <w:r>
              <w:rPr>
                <w:rFonts w:hint="eastAsia" w:ascii="Times New Roman" w:hAnsi="Times New Roman" w:cs="Times New Roman"/>
                <w:color w:val="auto"/>
                <w:sz w:val="24"/>
                <w:szCs w:val="24"/>
                <w:lang w:val="en-US" w:eastAsia="zh-CN"/>
              </w:rPr>
              <w:t>计</w:t>
            </w:r>
            <w:r>
              <w:rPr>
                <w:rFonts w:hint="default" w:ascii="Times New Roman" w:hAnsi="Times New Roman" w:eastAsia="宋体" w:cs="Times New Roman"/>
                <w:color w:val="auto"/>
                <w:kern w:val="0"/>
                <w:sz w:val="24"/>
                <w:szCs w:val="24"/>
                <w:lang w:val="en-US" w:eastAsia="zh-CN" w:bidi="ar"/>
              </w:rPr>
              <w:t>。</w:t>
            </w:r>
          </w:p>
          <w:p w14:paraId="0F18491F">
            <w:pPr>
              <w:pStyle w:val="30"/>
              <w:spacing w:line="360" w:lineRule="auto"/>
              <w:ind w:firstLine="480" w:firstLineChars="200"/>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项目卸粮、</w:t>
            </w:r>
            <w:r>
              <w:rPr>
                <w:rFonts w:hint="eastAsia" w:ascii="宋体" w:hAnsi="宋体" w:cs="宋体"/>
                <w:color w:val="auto"/>
                <w:kern w:val="0"/>
                <w:sz w:val="24"/>
                <w:szCs w:val="24"/>
                <w:lang w:val="en-US" w:eastAsia="zh-CN" w:bidi="ar"/>
              </w:rPr>
              <w:t>除杂、去石、砻谷、谷糙分离、一次色选</w:t>
            </w:r>
            <w:r>
              <w:rPr>
                <w:rFonts w:hint="eastAsia" w:ascii="宋体" w:hAnsi="宋体" w:eastAsia="宋体" w:cs="宋体"/>
                <w:color w:val="auto"/>
                <w:kern w:val="0"/>
                <w:sz w:val="24"/>
                <w:szCs w:val="24"/>
                <w:lang w:val="en-US" w:eastAsia="zh-CN" w:bidi="ar"/>
              </w:rPr>
              <w:t>、碾米</w:t>
            </w:r>
            <w:r>
              <w:rPr>
                <w:rFonts w:hint="default" w:ascii="Times New Roman" w:hAnsi="Times New Roman" w:eastAsia="宋体" w:cs="Times New Roman"/>
                <w:color w:val="auto"/>
                <w:kern w:val="0"/>
                <w:sz w:val="24"/>
                <w:szCs w:val="24"/>
                <w:lang w:val="en-US" w:eastAsia="zh-CN" w:bidi="ar"/>
              </w:rPr>
              <w:t>工序有组织粉尘产生量为</w:t>
            </w:r>
            <w:r>
              <w:rPr>
                <w:rFonts w:hint="eastAsia" w:cs="Times New Roman"/>
                <w:color w:val="auto"/>
                <w:kern w:val="0"/>
                <w:sz w:val="24"/>
                <w:szCs w:val="24"/>
                <w:lang w:val="en-US" w:eastAsia="zh-CN" w:bidi="ar"/>
              </w:rPr>
              <w:t>5.434</w:t>
            </w:r>
            <w:r>
              <w:rPr>
                <w:rFonts w:hint="default" w:ascii="Times New Roman" w:hAnsi="Times New Roman" w:eastAsia="宋体" w:cs="Times New Roman"/>
                <w:color w:val="auto"/>
                <w:kern w:val="0"/>
                <w:sz w:val="24"/>
                <w:szCs w:val="24"/>
                <w:lang w:val="en-US" w:eastAsia="zh-CN" w:bidi="ar"/>
              </w:rPr>
              <w:t>t/a，产生速率为</w:t>
            </w:r>
            <w:r>
              <w:rPr>
                <w:rFonts w:hint="eastAsia" w:cs="Times New Roman"/>
                <w:color w:val="auto"/>
                <w:kern w:val="0"/>
                <w:sz w:val="24"/>
                <w:szCs w:val="24"/>
                <w:lang w:val="en-US" w:eastAsia="zh-CN" w:bidi="ar"/>
              </w:rPr>
              <w:t>5.877</w:t>
            </w:r>
            <w:r>
              <w:rPr>
                <w:rFonts w:hint="default" w:ascii="Times New Roman" w:hAnsi="Times New Roman" w:eastAsia="宋体" w:cs="Times New Roman"/>
                <w:color w:val="auto"/>
                <w:kern w:val="0"/>
                <w:sz w:val="24"/>
                <w:szCs w:val="24"/>
                <w:lang w:val="en-US" w:eastAsia="zh-CN" w:bidi="ar"/>
              </w:rPr>
              <w:t>kg/h</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产生浓度为</w:t>
            </w:r>
            <w:r>
              <w:rPr>
                <w:rFonts w:hint="eastAsia" w:cs="Times New Roman"/>
                <w:color w:val="auto"/>
                <w:kern w:val="0"/>
                <w:sz w:val="24"/>
                <w:szCs w:val="24"/>
                <w:lang w:val="en-US" w:eastAsia="zh-CN" w:bidi="ar"/>
              </w:rPr>
              <w:t>235.08</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除杂粉尘、</w:t>
            </w:r>
            <w:r>
              <w:rPr>
                <w:rFonts w:hint="eastAsia" w:cs="Times New Roman"/>
                <w:color w:val="auto"/>
                <w:kern w:val="0"/>
                <w:sz w:val="24"/>
                <w:szCs w:val="24"/>
                <w:lang w:val="en-US" w:eastAsia="zh-CN" w:bidi="ar"/>
              </w:rPr>
              <w:t>去石粉尘、</w:t>
            </w:r>
            <w:r>
              <w:rPr>
                <w:rFonts w:hint="eastAsia" w:ascii="Times New Roman" w:hAnsi="Times New Roman" w:cs="Times New Roman"/>
                <w:color w:val="auto"/>
                <w:kern w:val="0"/>
                <w:sz w:val="24"/>
                <w:szCs w:val="24"/>
                <w:lang w:val="en-US" w:eastAsia="zh-CN" w:bidi="ar"/>
              </w:rPr>
              <w:t>碾米粉尘经密闭管道收集经并</w:t>
            </w:r>
            <w:r>
              <w:rPr>
                <w:rFonts w:hint="eastAsia" w:cs="Times New Roman"/>
                <w:color w:val="auto"/>
                <w:kern w:val="0"/>
                <w:sz w:val="24"/>
                <w:szCs w:val="24"/>
                <w:lang w:val="en-US" w:eastAsia="zh-CN" w:bidi="ar"/>
              </w:rPr>
              <w:t>联</w:t>
            </w:r>
            <w:r>
              <w:rPr>
                <w:rFonts w:hint="eastAsia" w:ascii="Times New Roman" w:hAnsi="Times New Roman" w:cs="Times New Roman"/>
                <w:color w:val="auto"/>
                <w:kern w:val="0"/>
                <w:sz w:val="24"/>
                <w:szCs w:val="24"/>
                <w:lang w:val="en-US" w:eastAsia="zh-CN" w:bidi="ar"/>
              </w:rPr>
              <w:t>6套旋风除尘器处理后，</w:t>
            </w:r>
            <w:r>
              <w:rPr>
                <w:rFonts w:hint="eastAsia" w:cs="Times New Roman"/>
                <w:color w:val="auto"/>
                <w:kern w:val="0"/>
                <w:sz w:val="24"/>
                <w:szCs w:val="24"/>
                <w:lang w:val="en-US" w:eastAsia="zh-CN" w:bidi="ar"/>
              </w:rPr>
              <w:t>再</w:t>
            </w:r>
            <w:r>
              <w:rPr>
                <w:rFonts w:hint="eastAsia" w:ascii="Times New Roman" w:hAnsi="Times New Roman" w:cs="Times New Roman"/>
                <w:color w:val="auto"/>
                <w:kern w:val="0"/>
                <w:sz w:val="24"/>
                <w:szCs w:val="24"/>
                <w:lang w:val="en-US" w:eastAsia="zh-CN" w:bidi="ar"/>
              </w:rPr>
              <w:t>与经集气罩收集的卸粮粉尘，密闭管道收集的砻谷粉尘、谷糙分离粉尘、一次色选粉尘，共同经1套脉冲除尘器处理，</w:t>
            </w:r>
            <w:r>
              <w:rPr>
                <w:rFonts w:hint="eastAsia" w:cs="Times New Roman"/>
                <w:color w:val="auto"/>
                <w:kern w:val="0"/>
                <w:sz w:val="24"/>
                <w:szCs w:val="24"/>
                <w:lang w:val="en-US" w:eastAsia="zh-CN" w:bidi="ar"/>
              </w:rPr>
              <w:t>颗粒物综合</w:t>
            </w:r>
            <w:r>
              <w:rPr>
                <w:rFonts w:hint="default" w:ascii="Times New Roman" w:hAnsi="Times New Roman" w:eastAsia="宋体" w:cs="Times New Roman"/>
                <w:color w:val="auto"/>
                <w:kern w:val="0"/>
                <w:sz w:val="24"/>
                <w:szCs w:val="24"/>
                <w:lang w:val="en-US" w:eastAsia="zh-CN" w:bidi="ar"/>
              </w:rPr>
              <w:t>处理效率</w:t>
            </w:r>
            <w:r>
              <w:rPr>
                <w:rFonts w:hint="eastAsia" w:cs="Times New Roman"/>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99%，则有组织粉尘的排放量为</w:t>
            </w:r>
            <w:r>
              <w:rPr>
                <w:rFonts w:hint="eastAsia" w:cs="Times New Roman"/>
                <w:color w:val="auto"/>
                <w:kern w:val="0"/>
                <w:sz w:val="24"/>
                <w:szCs w:val="24"/>
                <w:lang w:val="en-US" w:eastAsia="zh-CN" w:bidi="ar"/>
              </w:rPr>
              <w:t>0.054</w:t>
            </w:r>
            <w:r>
              <w:rPr>
                <w:rFonts w:hint="default" w:ascii="Times New Roman" w:hAnsi="Times New Roman" w:eastAsia="宋体" w:cs="Times New Roman"/>
                <w:color w:val="auto"/>
                <w:kern w:val="0"/>
                <w:sz w:val="24"/>
                <w:szCs w:val="24"/>
                <w:lang w:val="en-US" w:eastAsia="zh-CN" w:bidi="ar"/>
              </w:rPr>
              <w:t>t/a，排放速率为</w:t>
            </w:r>
            <w:r>
              <w:rPr>
                <w:rFonts w:hint="eastAsia" w:cs="Times New Roman"/>
                <w:color w:val="auto"/>
                <w:kern w:val="0"/>
                <w:sz w:val="24"/>
                <w:szCs w:val="24"/>
                <w:lang w:val="en-US" w:eastAsia="zh-CN" w:bidi="ar"/>
              </w:rPr>
              <w:t>0.059</w:t>
            </w:r>
            <w:r>
              <w:rPr>
                <w:rFonts w:hint="default" w:ascii="Times New Roman" w:hAnsi="Times New Roman" w:eastAsia="宋体" w:cs="Times New Roman"/>
                <w:color w:val="auto"/>
                <w:kern w:val="0"/>
                <w:sz w:val="24"/>
                <w:szCs w:val="24"/>
                <w:lang w:val="en-US" w:eastAsia="zh-CN" w:bidi="ar"/>
              </w:rPr>
              <w:t>kg/h，排放浓度为</w:t>
            </w:r>
            <w:r>
              <w:rPr>
                <w:rFonts w:hint="eastAsia" w:cs="Times New Roman"/>
                <w:color w:val="auto"/>
                <w:kern w:val="0"/>
                <w:sz w:val="24"/>
                <w:szCs w:val="24"/>
                <w:lang w:val="en-US" w:eastAsia="zh-CN" w:bidi="ar"/>
              </w:rPr>
              <w:t>2.351</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w:t>
            </w:r>
          </w:p>
          <w:p w14:paraId="5BC39602">
            <w:pPr>
              <w:pStyle w:val="3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未收集的粉尘产生量为</w:t>
            </w:r>
            <w:r>
              <w:rPr>
                <w:rFonts w:hint="eastAsia" w:cs="Times New Roman"/>
                <w:color w:val="auto"/>
                <w:sz w:val="24"/>
                <w:szCs w:val="24"/>
                <w:lang w:val="en-US" w:eastAsia="zh-CN"/>
              </w:rPr>
              <w:t>0.578</w:t>
            </w:r>
            <w:r>
              <w:rPr>
                <w:rFonts w:hint="default" w:ascii="Times New Roman" w:hAnsi="Times New Roman" w:eastAsia="宋体" w:cs="Times New Roman"/>
                <w:color w:val="auto"/>
                <w:kern w:val="0"/>
                <w:sz w:val="24"/>
                <w:szCs w:val="24"/>
                <w:lang w:val="en-US" w:eastAsia="zh-CN" w:bidi="ar"/>
              </w:rPr>
              <w:t>t/a，排放速率为</w:t>
            </w:r>
            <w:r>
              <w:rPr>
                <w:rFonts w:hint="eastAsia" w:cs="Times New Roman"/>
                <w:color w:val="auto"/>
                <w:kern w:val="0"/>
                <w:sz w:val="24"/>
                <w:szCs w:val="24"/>
                <w:lang w:val="en-US" w:eastAsia="zh-CN" w:bidi="ar"/>
              </w:rPr>
              <w:t>0.642</w:t>
            </w:r>
            <w:r>
              <w:rPr>
                <w:rFonts w:hint="default" w:ascii="Times New Roman" w:hAnsi="Times New Roman" w:eastAsia="宋体" w:cs="Times New Roman"/>
                <w:color w:val="auto"/>
                <w:kern w:val="0"/>
                <w:sz w:val="24"/>
                <w:szCs w:val="24"/>
                <w:lang w:val="en-US" w:eastAsia="zh-CN" w:bidi="ar"/>
              </w:rPr>
              <w:t>kg/h，以无组织形式排放。</w:t>
            </w:r>
          </w:p>
          <w:p w14:paraId="1DBB2EC4">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cs="Times New Roman"/>
                <w:b w:val="0"/>
                <w:bCs w:val="0"/>
                <w:color w:val="auto"/>
                <w:sz w:val="24"/>
                <w:lang w:val="en-US" w:eastAsia="zh-CN"/>
              </w:rPr>
            </w:pP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一次白米分级粉尘、一次抛光粉尘、二次色选粉尘</w:t>
            </w:r>
          </w:p>
          <w:p w14:paraId="1A2E1DB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宋体" w:hAnsi="宋体" w:cs="宋体"/>
                <w:color w:val="auto"/>
                <w:kern w:val="0"/>
                <w:sz w:val="24"/>
                <w:szCs w:val="24"/>
                <w:lang w:val="en-US" w:eastAsia="zh-CN" w:bidi="ar"/>
              </w:rPr>
              <w:t>根据相关行业资料及类比同类“年</w:t>
            </w:r>
            <w:r>
              <w:rPr>
                <w:rFonts w:hint="default" w:ascii="Times New Roman" w:hAnsi="Times New Roman" w:cs="Times New Roman"/>
                <w:color w:val="auto"/>
                <w:kern w:val="0"/>
                <w:sz w:val="24"/>
                <w:szCs w:val="24"/>
                <w:lang w:val="en-US" w:eastAsia="zh-CN" w:bidi="ar"/>
              </w:rPr>
              <w:t>产5万吨优质大米加工项目（金安区粮油储备物流中心建设项目（三期）大米加工及配套工程）”，</w:t>
            </w:r>
            <w:r>
              <w:rPr>
                <w:rFonts w:hint="eastAsia" w:ascii="宋体" w:hAnsi="宋体" w:cs="宋体"/>
                <w:color w:val="auto"/>
                <w:kern w:val="0"/>
                <w:sz w:val="24"/>
                <w:szCs w:val="24"/>
                <w:lang w:val="en-US" w:eastAsia="zh-CN" w:bidi="ar"/>
              </w:rPr>
              <w:t>一次白米分级、一次抛光、二次色选</w:t>
            </w:r>
            <w:r>
              <w:rPr>
                <w:rFonts w:hint="default" w:ascii="Times New Roman" w:hAnsi="Times New Roman" w:cs="Times New Roman"/>
                <w:color w:val="auto"/>
                <w:kern w:val="0"/>
                <w:sz w:val="24"/>
                <w:szCs w:val="24"/>
                <w:lang w:val="en-US" w:eastAsia="zh-CN" w:bidi="ar"/>
              </w:rPr>
              <w:t>粉尘产生量约占大米加工粉尘总产生量的</w:t>
            </w:r>
            <w:r>
              <w:rPr>
                <w:rFonts w:hint="eastAsia" w:cs="Times New Roman"/>
                <w:color w:val="auto"/>
                <w:kern w:val="0"/>
                <w:sz w:val="24"/>
                <w:szCs w:val="24"/>
                <w:lang w:val="en-US" w:eastAsia="zh-CN" w:bidi="ar"/>
              </w:rPr>
              <w:t>10</w:t>
            </w:r>
            <w:r>
              <w:rPr>
                <w:rFonts w:hint="default" w:ascii="Times New Roman" w:hAnsi="Times New Roman"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计算得</w:t>
            </w:r>
            <w:r>
              <w:rPr>
                <w:rFonts w:hint="eastAsia" w:ascii="宋体" w:hAnsi="宋体" w:cs="宋体"/>
                <w:color w:val="auto"/>
                <w:kern w:val="0"/>
                <w:sz w:val="24"/>
                <w:szCs w:val="24"/>
                <w:lang w:val="en-US" w:eastAsia="zh-CN" w:bidi="ar"/>
              </w:rPr>
              <w:t>一次白米分级、一次抛光、二次色选</w:t>
            </w:r>
            <w:r>
              <w:rPr>
                <w:rFonts w:hint="default" w:ascii="Times New Roman" w:hAnsi="Times New Roman" w:eastAsia="宋体" w:cs="Times New Roman"/>
                <w:color w:val="auto"/>
                <w:kern w:val="0"/>
                <w:sz w:val="24"/>
                <w:szCs w:val="24"/>
                <w:lang w:val="en-US" w:eastAsia="zh-CN" w:bidi="ar"/>
              </w:rPr>
              <w:t>工序</w:t>
            </w:r>
            <w:r>
              <w:rPr>
                <w:rFonts w:hint="eastAsia" w:ascii="Times New Roman" w:hAnsi="Times New Roman" w:eastAsia="宋体" w:cs="Times New Roman"/>
                <w:color w:val="auto"/>
                <w:kern w:val="0"/>
                <w:sz w:val="24"/>
                <w:szCs w:val="24"/>
                <w:lang w:val="en-US" w:eastAsia="zh-CN" w:bidi="ar"/>
              </w:rPr>
              <w:t>粉尘产生量为0.0</w:t>
            </w:r>
            <w:r>
              <w:rPr>
                <w:rFonts w:hint="eastAsia"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，该工序密闭管道收集效率为100%</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根据业主提供资料</w:t>
            </w:r>
            <w:r>
              <w:rPr>
                <w:rFonts w:hint="eastAsia" w:ascii="Times New Roman" w:hAnsi="Times New Roman" w:cs="Times New Roman"/>
                <w:color w:val="auto"/>
                <w:kern w:val="0"/>
                <w:sz w:val="24"/>
                <w:szCs w:val="24"/>
                <w:lang w:val="en-US" w:eastAsia="zh-CN" w:bidi="ar"/>
              </w:rPr>
              <w:t>，项目</w:t>
            </w:r>
            <w:r>
              <w:rPr>
                <w:rFonts w:hint="eastAsia" w:ascii="宋体" w:hAnsi="宋体" w:cs="宋体"/>
                <w:color w:val="auto"/>
                <w:kern w:val="0"/>
                <w:sz w:val="24"/>
                <w:szCs w:val="24"/>
                <w:lang w:val="en-US" w:eastAsia="zh-CN" w:bidi="ar"/>
              </w:rPr>
              <w:t>一次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套旋风除尘器，项目一次抛光粉尘</w:t>
            </w:r>
            <w:r>
              <w:rPr>
                <w:rFonts w:hint="eastAsia" w:cs="Times New Roman"/>
                <w:color w:val="auto"/>
                <w:kern w:val="0"/>
                <w:sz w:val="24"/>
                <w:szCs w:val="24"/>
                <w:lang w:val="en-US" w:eastAsia="zh-CN" w:bidi="ar"/>
              </w:rPr>
              <w:t>分别</w:t>
            </w:r>
            <w:r>
              <w:rPr>
                <w:rFonts w:hint="eastAsia" w:ascii="Times New Roman" w:hAnsi="Times New Roman" w:cs="Times New Roman"/>
                <w:color w:val="auto"/>
                <w:kern w:val="0"/>
                <w:sz w:val="24"/>
                <w:szCs w:val="24"/>
                <w:lang w:val="en-US" w:eastAsia="zh-CN" w:bidi="ar"/>
              </w:rPr>
              <w:t>经2套</w:t>
            </w:r>
            <w:r>
              <w:rPr>
                <w:rFonts w:hint="eastAsia" w:cs="Times New Roman"/>
                <w:color w:val="auto"/>
                <w:kern w:val="0"/>
                <w:sz w:val="24"/>
                <w:szCs w:val="24"/>
                <w:lang w:val="en-US" w:eastAsia="zh-CN" w:bidi="ar"/>
              </w:rPr>
              <w:t>并联</w:t>
            </w:r>
            <w:r>
              <w:rPr>
                <w:rFonts w:hint="eastAsia" w:ascii="Times New Roman" w:hAnsi="Times New Roman" w:cs="Times New Roman"/>
                <w:color w:val="auto"/>
                <w:kern w:val="0"/>
                <w:sz w:val="24"/>
                <w:szCs w:val="24"/>
                <w:lang w:val="en-US" w:eastAsia="zh-CN" w:bidi="ar"/>
              </w:rPr>
              <w:t>旋风除尘器处理后，与一次白米分级粉尘、二次色选粉尘通过密闭管道收集，共同经1套脉冲除尘器处理，尾气经1根15米高排气筒（DA002）有组织排放</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根据</w:t>
            </w:r>
            <w:r>
              <w:rPr>
                <w:rFonts w:hint="eastAsia" w:cs="Times New Roman"/>
                <w:color w:val="auto"/>
                <w:kern w:val="0"/>
                <w:sz w:val="24"/>
                <w:szCs w:val="24"/>
                <w:lang w:val="en-US" w:eastAsia="zh-CN" w:bidi="ar"/>
              </w:rPr>
              <w:t>配备的风机铭牌标识</w:t>
            </w:r>
            <w:r>
              <w:rPr>
                <w:rFonts w:hint="eastAsia" w:ascii="Times New Roman" w:hAnsi="Times New Roman"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一次白米分级、一次抛光、二次色选</w:t>
            </w:r>
            <w:r>
              <w:rPr>
                <w:rFonts w:hint="default" w:ascii="Times New Roman" w:hAnsi="Times New Roman" w:eastAsia="宋体" w:cs="Times New Roman"/>
                <w:color w:val="auto"/>
                <w:kern w:val="0"/>
                <w:sz w:val="24"/>
                <w:szCs w:val="24"/>
                <w:lang w:val="en-US" w:eastAsia="zh-CN" w:bidi="ar"/>
              </w:rPr>
              <w:t>配套风机风量</w:t>
            </w:r>
            <w:r>
              <w:rPr>
                <w:rFonts w:hint="eastAsia" w:cs="Times New Roman"/>
                <w:color w:val="auto"/>
                <w:kern w:val="0"/>
                <w:sz w:val="24"/>
                <w:szCs w:val="24"/>
                <w:lang w:val="en-US" w:eastAsia="zh-CN" w:bidi="ar"/>
              </w:rPr>
              <w:t>8</w:t>
            </w:r>
            <w:r>
              <w:rPr>
                <w:rFonts w:hint="eastAsia" w:ascii="Times New Roman" w:hAnsi="Times New Roman" w:cs="Times New Roman"/>
                <w:color w:val="auto"/>
                <w:kern w:val="0"/>
                <w:sz w:val="24"/>
                <w:szCs w:val="24"/>
                <w:lang w:val="en-US" w:eastAsia="zh-CN" w:bidi="ar"/>
              </w:rPr>
              <w:t>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rPr>
              <w:t>本工程</w:t>
            </w:r>
            <w:r>
              <w:rPr>
                <w:rFonts w:hint="eastAsia" w:ascii="宋体" w:hAnsi="宋体" w:cs="宋体"/>
                <w:color w:val="auto"/>
                <w:kern w:val="0"/>
                <w:sz w:val="24"/>
                <w:szCs w:val="24"/>
                <w:lang w:val="en-US" w:eastAsia="zh-CN" w:bidi="ar"/>
              </w:rPr>
              <w:t>一次白米分级、一次抛光、二次色选</w:t>
            </w:r>
            <w:r>
              <w:rPr>
                <w:rFonts w:hint="default" w:ascii="Times New Roman" w:hAnsi="Times New Roman" w:cs="Times New Roman"/>
                <w:color w:val="auto"/>
                <w:sz w:val="24"/>
                <w:szCs w:val="24"/>
              </w:rPr>
              <w:t>时间</w:t>
            </w:r>
            <w:r>
              <w:rPr>
                <w:rFonts w:hint="eastAsia" w:ascii="Times New Roman" w:hAnsi="Times New Roman" w:cs="Times New Roman"/>
                <w:color w:val="auto"/>
                <w:sz w:val="24"/>
                <w:szCs w:val="24"/>
                <w:lang w:val="en-US" w:eastAsia="zh-CN"/>
              </w:rPr>
              <w:t>按24</w:t>
            </w:r>
            <w:r>
              <w:rPr>
                <w:rFonts w:hint="default" w:ascii="Times New Roman" w:hAnsi="Times New Roman" w:cs="Times New Roman"/>
                <w:color w:val="auto"/>
                <w:sz w:val="24"/>
                <w:szCs w:val="24"/>
              </w:rPr>
              <w:t>00h/a</w:t>
            </w:r>
            <w:r>
              <w:rPr>
                <w:rFonts w:hint="eastAsia" w:ascii="Times New Roman" w:hAnsi="Times New Roman" w:cs="Times New Roman"/>
                <w:color w:val="auto"/>
                <w:sz w:val="24"/>
                <w:szCs w:val="24"/>
                <w:lang w:val="en-US" w:eastAsia="zh-CN"/>
              </w:rPr>
              <w:t>计</w:t>
            </w:r>
            <w:r>
              <w:rPr>
                <w:rFonts w:hint="default" w:ascii="Times New Roman" w:hAnsi="Times New Roman" w:eastAsia="宋体" w:cs="Times New Roman"/>
                <w:color w:val="auto"/>
                <w:kern w:val="0"/>
                <w:sz w:val="24"/>
                <w:szCs w:val="24"/>
                <w:lang w:val="en-US" w:eastAsia="zh-CN" w:bidi="ar"/>
              </w:rPr>
              <w:t>。</w:t>
            </w:r>
          </w:p>
          <w:p w14:paraId="190A5341">
            <w:pPr>
              <w:spacing w:line="360" w:lineRule="auto"/>
              <w:ind w:firstLine="480" w:firstLineChars="200"/>
              <w:rPr>
                <w:rFonts w:hint="default"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w:t>
            </w:r>
            <w:r>
              <w:rPr>
                <w:rFonts w:hint="eastAsia" w:ascii="宋体" w:hAnsi="宋体" w:cs="宋体"/>
                <w:color w:val="auto"/>
                <w:kern w:val="0"/>
                <w:sz w:val="24"/>
                <w:szCs w:val="24"/>
                <w:lang w:val="en-US" w:eastAsia="zh-CN" w:bidi="ar"/>
              </w:rPr>
              <w:t>一次白米分级、一次抛光、二次色选</w:t>
            </w:r>
            <w:r>
              <w:rPr>
                <w:rFonts w:hint="default" w:ascii="Times New Roman" w:hAnsi="Times New Roman" w:eastAsia="宋体" w:cs="Times New Roman"/>
                <w:color w:val="auto"/>
                <w:kern w:val="0"/>
                <w:sz w:val="24"/>
                <w:szCs w:val="24"/>
                <w:lang w:val="en-US" w:eastAsia="zh-CN" w:bidi="ar"/>
              </w:rPr>
              <w:t>工序有组织粉尘产生量为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t/a，产生速率为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kg/h</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产生浓度为</w:t>
            </w:r>
            <w:r>
              <w:rPr>
                <w:rFonts w:hint="eastAsia"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项目一次抛光粉尘</w:t>
            </w:r>
            <w:r>
              <w:rPr>
                <w:rFonts w:hint="eastAsia" w:cs="Times New Roman"/>
                <w:color w:val="auto"/>
                <w:kern w:val="0"/>
                <w:sz w:val="24"/>
                <w:szCs w:val="24"/>
                <w:lang w:val="en-US" w:eastAsia="zh-CN" w:bidi="ar"/>
              </w:rPr>
              <w:t>分别</w:t>
            </w:r>
            <w:r>
              <w:rPr>
                <w:rFonts w:hint="eastAsia" w:ascii="Times New Roman" w:hAnsi="Times New Roman" w:cs="Times New Roman"/>
                <w:color w:val="auto"/>
                <w:kern w:val="0"/>
                <w:sz w:val="24"/>
                <w:szCs w:val="24"/>
                <w:lang w:val="en-US" w:eastAsia="zh-CN" w:bidi="ar"/>
              </w:rPr>
              <w:t>经2套旋风除尘器处理后，与一次白米分级粉尘、二次色选粉尘通过密闭管道收集，共同经1套脉冲除尘器处理，颗粒物</w:t>
            </w:r>
            <w:r>
              <w:rPr>
                <w:rFonts w:hint="eastAsia" w:cs="Times New Roman"/>
                <w:color w:val="auto"/>
                <w:kern w:val="0"/>
                <w:sz w:val="24"/>
                <w:szCs w:val="24"/>
                <w:lang w:val="en-US" w:eastAsia="zh-CN" w:bidi="ar"/>
              </w:rPr>
              <w:t>综合</w:t>
            </w:r>
            <w:r>
              <w:rPr>
                <w:rFonts w:hint="default" w:ascii="Times New Roman" w:hAnsi="Times New Roman" w:eastAsia="宋体" w:cs="Times New Roman"/>
                <w:color w:val="auto"/>
                <w:kern w:val="0"/>
                <w:sz w:val="24"/>
                <w:szCs w:val="24"/>
                <w:lang w:val="en-US" w:eastAsia="zh-CN" w:bidi="ar"/>
              </w:rPr>
              <w:t>处理效率</w:t>
            </w:r>
            <w:r>
              <w:rPr>
                <w:rFonts w:hint="eastAsia" w:cs="Times New Roman"/>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99%，则有组织粉尘的排放量为</w:t>
            </w:r>
            <w:r>
              <w:rPr>
                <w:rFonts w:hint="eastAsia" w:ascii="Times New Roman" w:hAnsi="Times New Roman" w:eastAsia="宋体" w:cs="Times New Roman"/>
                <w:color w:val="auto"/>
                <w:kern w:val="0"/>
                <w:sz w:val="24"/>
                <w:szCs w:val="24"/>
                <w:lang w:val="en-US" w:eastAsia="zh-CN" w:bidi="ar"/>
              </w:rPr>
              <w:t>0.000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t/a，排放速率为</w:t>
            </w:r>
            <w:r>
              <w:rPr>
                <w:rFonts w:hint="eastAsia" w:ascii="Times New Roman" w:hAnsi="Times New Roman" w:eastAsia="宋体" w:cs="Times New Roman"/>
                <w:color w:val="auto"/>
                <w:kern w:val="0"/>
                <w:sz w:val="24"/>
                <w:szCs w:val="24"/>
                <w:lang w:val="en-US" w:eastAsia="zh-CN" w:bidi="ar"/>
              </w:rPr>
              <w:t>0.000</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kg/h，排放浓度为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w:t>
            </w:r>
          </w:p>
          <w:p w14:paraId="68EBAC4F">
            <w:pPr>
              <w:pStyle w:val="31"/>
              <w:numPr>
                <w:ilvl w:val="0"/>
                <w:numId w:val="0"/>
              </w:numPr>
              <w:spacing w:line="360" w:lineRule="auto"/>
              <w:ind w:firstLine="480" w:firstLineChars="200"/>
              <w:jc w:val="both"/>
              <w:rPr>
                <w:rFonts w:hint="eastAsia" w:ascii="宋体" w:hAnsi="宋体" w:cs="宋体"/>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（3）</w:t>
            </w:r>
            <w:r>
              <w:rPr>
                <w:rFonts w:hint="default" w:ascii="Times New Roman" w:hAnsi="Times New Roman" w:cs="Times New Roman"/>
                <w:color w:val="auto"/>
                <w:kern w:val="0"/>
                <w:sz w:val="24"/>
                <w:szCs w:val="24"/>
                <w:lang w:val="en-US" w:eastAsia="zh-CN" w:bidi="ar"/>
              </w:rPr>
              <w:t>二次抛光粉尘、三</w:t>
            </w:r>
            <w:r>
              <w:rPr>
                <w:rFonts w:hint="eastAsia" w:ascii="宋体" w:hAnsi="宋体" w:cs="宋体"/>
                <w:color w:val="auto"/>
                <w:kern w:val="0"/>
                <w:sz w:val="24"/>
                <w:szCs w:val="24"/>
                <w:lang w:val="en-US" w:eastAsia="zh-CN" w:bidi="ar"/>
              </w:rPr>
              <w:t>次色选粉尘、二次白米分级粉尘、精选粉尘</w:t>
            </w:r>
          </w:p>
          <w:p w14:paraId="5796643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宋体" w:hAnsi="宋体" w:cs="宋体"/>
                <w:color w:val="auto"/>
                <w:kern w:val="0"/>
                <w:sz w:val="24"/>
                <w:szCs w:val="24"/>
                <w:lang w:val="en-US" w:eastAsia="zh-CN" w:bidi="ar"/>
              </w:rPr>
              <w:t>根据相关行业资料及类比同类“年</w:t>
            </w:r>
            <w:r>
              <w:rPr>
                <w:rFonts w:hint="default" w:ascii="Times New Roman" w:hAnsi="Times New Roman" w:cs="Times New Roman"/>
                <w:color w:val="auto"/>
                <w:kern w:val="0"/>
                <w:sz w:val="24"/>
                <w:szCs w:val="24"/>
                <w:lang w:val="en-US" w:eastAsia="zh-CN" w:bidi="ar"/>
              </w:rPr>
              <w:t>产5万吨优质大米加工项目（金安区粮油储备物流中心建设项目（三期）大米加工及配套工程）”，</w:t>
            </w:r>
            <w:r>
              <w:rPr>
                <w:rFonts w:hint="eastAsia" w:ascii="宋体" w:hAnsi="宋体" w:cs="宋体"/>
                <w:color w:val="auto"/>
                <w:kern w:val="0"/>
                <w:sz w:val="24"/>
                <w:szCs w:val="24"/>
                <w:lang w:val="en-US" w:eastAsia="zh-CN" w:bidi="ar"/>
              </w:rPr>
              <w:t>二次白米分级、二次抛光、三次色选、精选</w:t>
            </w:r>
            <w:r>
              <w:rPr>
                <w:rFonts w:hint="default" w:ascii="Times New Roman" w:hAnsi="Times New Roman" w:cs="Times New Roman"/>
                <w:color w:val="auto"/>
                <w:kern w:val="0"/>
                <w:sz w:val="24"/>
                <w:szCs w:val="24"/>
                <w:lang w:val="en-US" w:eastAsia="zh-CN" w:bidi="ar"/>
              </w:rPr>
              <w:t>粉尘产生量约占大米加工粉尘总产生量的</w:t>
            </w:r>
            <w:r>
              <w:rPr>
                <w:rFonts w:hint="eastAsia" w:cs="Times New Roman"/>
                <w:color w:val="auto"/>
                <w:kern w:val="0"/>
                <w:sz w:val="24"/>
                <w:szCs w:val="24"/>
                <w:lang w:val="en-US" w:eastAsia="zh-CN" w:bidi="ar"/>
              </w:rPr>
              <w:t>10</w:t>
            </w:r>
            <w:r>
              <w:rPr>
                <w:rFonts w:hint="default" w:ascii="Times New Roman" w:hAnsi="Times New Roman"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计算得</w:t>
            </w:r>
            <w:r>
              <w:rPr>
                <w:rFonts w:hint="default" w:ascii="Times New Roman" w:hAnsi="Times New Roman" w:cs="Times New Roman"/>
                <w:color w:val="auto"/>
                <w:kern w:val="0"/>
                <w:sz w:val="24"/>
                <w:szCs w:val="24"/>
                <w:lang w:val="en-US" w:eastAsia="zh-CN" w:bidi="ar"/>
              </w:rPr>
              <w:t>二次抛光、三</w:t>
            </w:r>
            <w:r>
              <w:rPr>
                <w:rFonts w:hint="eastAsia" w:ascii="宋体" w:hAnsi="宋体" w:cs="宋体"/>
                <w:color w:val="auto"/>
                <w:kern w:val="0"/>
                <w:sz w:val="24"/>
                <w:szCs w:val="24"/>
                <w:lang w:val="en-US" w:eastAsia="zh-CN" w:bidi="ar"/>
              </w:rPr>
              <w:t>次色选、二次白米分级、精选</w:t>
            </w:r>
            <w:r>
              <w:rPr>
                <w:rFonts w:hint="default" w:ascii="Times New Roman" w:hAnsi="Times New Roman" w:eastAsia="宋体" w:cs="Times New Roman"/>
                <w:color w:val="auto"/>
                <w:kern w:val="0"/>
                <w:sz w:val="24"/>
                <w:szCs w:val="24"/>
                <w:lang w:val="en-US" w:eastAsia="zh-CN" w:bidi="ar"/>
              </w:rPr>
              <w:t>工序</w:t>
            </w:r>
            <w:r>
              <w:rPr>
                <w:rFonts w:hint="eastAsia" w:ascii="Times New Roman" w:hAnsi="Times New Roman" w:eastAsia="宋体" w:cs="Times New Roman"/>
                <w:color w:val="auto"/>
                <w:kern w:val="0"/>
                <w:sz w:val="24"/>
                <w:szCs w:val="24"/>
                <w:lang w:val="en-US" w:eastAsia="zh-CN" w:bidi="ar"/>
              </w:rPr>
              <w:t>粉尘产生量为0.0</w:t>
            </w:r>
            <w:r>
              <w:rPr>
                <w:rFonts w:hint="eastAsia"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，该工序密闭管道收集效率为100%</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根据业主提供资料</w:t>
            </w:r>
            <w:r>
              <w:rPr>
                <w:rFonts w:hint="eastAsia" w:ascii="Times New Roman" w:hAnsi="Times New Roman" w:cs="Times New Roman"/>
                <w:color w:val="auto"/>
                <w:kern w:val="0"/>
                <w:sz w:val="24"/>
                <w:szCs w:val="24"/>
                <w:lang w:val="en-US" w:eastAsia="zh-CN" w:bidi="ar"/>
              </w:rPr>
              <w:t>，项目</w:t>
            </w:r>
            <w:r>
              <w:rPr>
                <w:rFonts w:hint="default" w:ascii="Times New Roman" w:hAnsi="Times New Roman" w:cs="Times New Roman"/>
                <w:color w:val="auto"/>
                <w:kern w:val="0"/>
                <w:sz w:val="24"/>
                <w:szCs w:val="24"/>
                <w:lang w:val="en-US" w:eastAsia="zh-CN" w:bidi="ar"/>
              </w:rPr>
              <w:t>二次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套旋风除尘器，项目二次抛光粉尘</w:t>
            </w:r>
            <w:r>
              <w:rPr>
                <w:rFonts w:hint="eastAsia" w:cs="Times New Roman"/>
                <w:color w:val="auto"/>
                <w:kern w:val="0"/>
                <w:sz w:val="24"/>
                <w:szCs w:val="24"/>
                <w:lang w:val="en-US" w:eastAsia="zh-CN" w:bidi="ar"/>
              </w:rPr>
              <w:t>分别</w:t>
            </w:r>
            <w:r>
              <w:rPr>
                <w:rFonts w:hint="eastAsia" w:ascii="Times New Roman" w:hAnsi="Times New Roman" w:cs="Times New Roman"/>
                <w:color w:val="auto"/>
                <w:kern w:val="0"/>
                <w:sz w:val="24"/>
                <w:szCs w:val="24"/>
                <w:lang w:val="en-US" w:eastAsia="zh-CN" w:bidi="ar"/>
              </w:rPr>
              <w:t>经2套</w:t>
            </w:r>
            <w:r>
              <w:rPr>
                <w:rFonts w:hint="eastAsia" w:cs="Times New Roman"/>
                <w:color w:val="auto"/>
                <w:kern w:val="0"/>
                <w:sz w:val="24"/>
                <w:szCs w:val="24"/>
                <w:lang w:val="en-US" w:eastAsia="zh-CN" w:bidi="ar"/>
              </w:rPr>
              <w:t>并联</w:t>
            </w:r>
            <w:r>
              <w:rPr>
                <w:rFonts w:hint="eastAsia" w:ascii="Times New Roman" w:hAnsi="Times New Roman" w:cs="Times New Roman"/>
                <w:color w:val="auto"/>
                <w:kern w:val="0"/>
                <w:sz w:val="24"/>
                <w:szCs w:val="24"/>
                <w:lang w:val="en-US" w:eastAsia="zh-CN" w:bidi="ar"/>
              </w:rPr>
              <w:t>旋风除尘器处理后，与三次色选粉尘、二次白米分级粉尘、精选粉尘通过密闭管道收集，共同经1套脉冲除尘器处理，尾气1根15米高排气筒（DA003）有组织排放</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根据建设单位提供资料，二次抛光、三次色选、二次白米分级、精选</w:t>
            </w:r>
            <w:r>
              <w:rPr>
                <w:rFonts w:hint="default" w:ascii="Times New Roman" w:hAnsi="Times New Roman" w:eastAsia="宋体" w:cs="Times New Roman"/>
                <w:color w:val="auto"/>
                <w:kern w:val="0"/>
                <w:sz w:val="24"/>
                <w:szCs w:val="24"/>
                <w:lang w:val="en-US" w:eastAsia="zh-CN" w:bidi="ar"/>
              </w:rPr>
              <w:t>配套风机风量</w:t>
            </w:r>
            <w:r>
              <w:rPr>
                <w:rFonts w:hint="eastAsia" w:cs="Times New Roman"/>
                <w:color w:val="auto"/>
                <w:kern w:val="0"/>
                <w:sz w:val="24"/>
                <w:szCs w:val="24"/>
                <w:lang w:val="en-US" w:eastAsia="zh-CN" w:bidi="ar"/>
              </w:rPr>
              <w:t>8</w:t>
            </w:r>
            <w:r>
              <w:rPr>
                <w:rFonts w:hint="eastAsia" w:ascii="Times New Roman" w:hAnsi="Times New Roman" w:cs="Times New Roman"/>
                <w:color w:val="auto"/>
                <w:kern w:val="0"/>
                <w:sz w:val="24"/>
                <w:szCs w:val="24"/>
                <w:lang w:val="en-US" w:eastAsia="zh-CN" w:bidi="ar"/>
              </w:rPr>
              <w:t>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rPr>
              <w:t>本工程</w:t>
            </w:r>
            <w:r>
              <w:rPr>
                <w:rFonts w:hint="default" w:ascii="Times New Roman" w:hAnsi="Times New Roman" w:cs="Times New Roman"/>
                <w:color w:val="auto"/>
                <w:kern w:val="0"/>
                <w:sz w:val="24"/>
                <w:szCs w:val="24"/>
                <w:lang w:val="en-US" w:eastAsia="zh-CN" w:bidi="ar"/>
              </w:rPr>
              <w:t>二次抛光、三</w:t>
            </w:r>
            <w:r>
              <w:rPr>
                <w:rFonts w:hint="eastAsia" w:ascii="宋体" w:hAnsi="宋体" w:cs="宋体"/>
                <w:color w:val="auto"/>
                <w:kern w:val="0"/>
                <w:sz w:val="24"/>
                <w:szCs w:val="24"/>
                <w:lang w:val="en-US" w:eastAsia="zh-CN" w:bidi="ar"/>
              </w:rPr>
              <w:t>次色选、二次白米分级、精选</w:t>
            </w:r>
            <w:r>
              <w:rPr>
                <w:rFonts w:hint="default" w:ascii="Times New Roman" w:hAnsi="Times New Roman" w:cs="Times New Roman"/>
                <w:color w:val="auto"/>
                <w:sz w:val="24"/>
                <w:szCs w:val="24"/>
              </w:rPr>
              <w:t>时间</w:t>
            </w:r>
            <w:r>
              <w:rPr>
                <w:rFonts w:hint="eastAsia" w:ascii="Times New Roman" w:hAnsi="Times New Roman" w:cs="Times New Roman"/>
                <w:color w:val="auto"/>
                <w:sz w:val="24"/>
                <w:szCs w:val="24"/>
                <w:lang w:val="en-US" w:eastAsia="zh-CN"/>
              </w:rPr>
              <w:t>按24</w:t>
            </w:r>
            <w:r>
              <w:rPr>
                <w:rFonts w:hint="default" w:ascii="Times New Roman" w:hAnsi="Times New Roman" w:cs="Times New Roman"/>
                <w:color w:val="auto"/>
                <w:sz w:val="24"/>
                <w:szCs w:val="24"/>
              </w:rPr>
              <w:t>00h/a</w:t>
            </w:r>
            <w:r>
              <w:rPr>
                <w:rFonts w:hint="eastAsia" w:ascii="Times New Roman" w:hAnsi="Times New Roman" w:cs="Times New Roman"/>
                <w:color w:val="auto"/>
                <w:sz w:val="24"/>
                <w:szCs w:val="24"/>
                <w:lang w:val="en-US" w:eastAsia="zh-CN"/>
              </w:rPr>
              <w:t>计</w:t>
            </w:r>
            <w:r>
              <w:rPr>
                <w:rFonts w:hint="default" w:ascii="Times New Roman" w:hAnsi="Times New Roman" w:eastAsia="宋体" w:cs="Times New Roman"/>
                <w:color w:val="auto"/>
                <w:kern w:val="0"/>
                <w:sz w:val="24"/>
                <w:szCs w:val="24"/>
                <w:lang w:val="en-US" w:eastAsia="zh-CN" w:bidi="ar"/>
              </w:rPr>
              <w:t>。</w:t>
            </w:r>
          </w:p>
          <w:p w14:paraId="01EC5A2B">
            <w:pPr>
              <w:numPr>
                <w:ilvl w:val="0"/>
                <w:numId w:val="0"/>
              </w:numPr>
              <w:spacing w:line="360" w:lineRule="auto"/>
              <w:ind w:firstLine="480" w:firstLineChars="200"/>
              <w:rPr>
                <w:rFonts w:hint="default"/>
                <w:color w:val="auto"/>
              </w:rPr>
            </w:pPr>
            <w:r>
              <w:rPr>
                <w:rFonts w:hint="default" w:ascii="Times New Roman" w:hAnsi="Times New Roman" w:eastAsia="宋体" w:cs="Times New Roman"/>
                <w:color w:val="auto"/>
                <w:kern w:val="0"/>
                <w:sz w:val="24"/>
                <w:szCs w:val="24"/>
                <w:lang w:val="en-US" w:eastAsia="zh-CN" w:bidi="ar"/>
              </w:rPr>
              <w:t>项目</w:t>
            </w:r>
            <w:r>
              <w:rPr>
                <w:rFonts w:hint="default" w:ascii="Times New Roman" w:hAnsi="Times New Roman" w:cs="Times New Roman"/>
                <w:color w:val="auto"/>
                <w:kern w:val="0"/>
                <w:sz w:val="24"/>
                <w:szCs w:val="24"/>
                <w:lang w:val="en-US" w:eastAsia="zh-CN" w:bidi="ar"/>
              </w:rPr>
              <w:t>二次抛光、三</w:t>
            </w:r>
            <w:r>
              <w:rPr>
                <w:rFonts w:hint="eastAsia" w:ascii="宋体" w:hAnsi="宋体" w:cs="宋体"/>
                <w:color w:val="auto"/>
                <w:kern w:val="0"/>
                <w:sz w:val="24"/>
                <w:szCs w:val="24"/>
                <w:lang w:val="en-US" w:eastAsia="zh-CN" w:bidi="ar"/>
              </w:rPr>
              <w:t>次色选、二次白米分级、精选</w:t>
            </w:r>
            <w:r>
              <w:rPr>
                <w:rFonts w:hint="default" w:ascii="Times New Roman" w:hAnsi="Times New Roman" w:eastAsia="宋体" w:cs="Times New Roman"/>
                <w:color w:val="auto"/>
                <w:kern w:val="0"/>
                <w:sz w:val="24"/>
                <w:szCs w:val="24"/>
                <w:lang w:val="en-US" w:eastAsia="zh-CN" w:bidi="ar"/>
              </w:rPr>
              <w:t>工序有组织粉尘产生量为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t/a，产生速率为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kg/h</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产生浓度为</w:t>
            </w:r>
            <w:r>
              <w:rPr>
                <w:rFonts w:hint="eastAsia"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项目二次抛光粉尘</w:t>
            </w:r>
            <w:r>
              <w:rPr>
                <w:rFonts w:hint="eastAsia" w:cs="Times New Roman"/>
                <w:color w:val="auto"/>
                <w:kern w:val="0"/>
                <w:sz w:val="24"/>
                <w:szCs w:val="24"/>
                <w:lang w:val="en-US" w:eastAsia="zh-CN" w:bidi="ar"/>
              </w:rPr>
              <w:t>先</w:t>
            </w:r>
            <w:r>
              <w:rPr>
                <w:rFonts w:hint="eastAsia" w:ascii="Times New Roman" w:hAnsi="Times New Roman" w:cs="Times New Roman"/>
                <w:color w:val="auto"/>
                <w:kern w:val="0"/>
                <w:sz w:val="24"/>
                <w:szCs w:val="24"/>
                <w:lang w:val="en-US" w:eastAsia="zh-CN" w:bidi="ar"/>
              </w:rPr>
              <w:t>经2套旋风除尘器处理后，与三次色选粉尘、二次白米分级粉尘、精选粉尘通过密闭管道收集，共同经1套脉冲除尘器处理。颗粒物</w:t>
            </w:r>
            <w:r>
              <w:rPr>
                <w:rFonts w:hint="eastAsia" w:cs="Times New Roman"/>
                <w:color w:val="auto"/>
                <w:kern w:val="0"/>
                <w:sz w:val="24"/>
                <w:szCs w:val="24"/>
                <w:lang w:val="en-US" w:eastAsia="zh-CN" w:bidi="ar"/>
              </w:rPr>
              <w:t>综合</w:t>
            </w:r>
            <w:r>
              <w:rPr>
                <w:rFonts w:hint="default" w:ascii="Times New Roman" w:hAnsi="Times New Roman" w:eastAsia="宋体" w:cs="Times New Roman"/>
                <w:color w:val="auto"/>
                <w:kern w:val="0"/>
                <w:sz w:val="24"/>
                <w:szCs w:val="24"/>
                <w:lang w:val="en-US" w:eastAsia="zh-CN" w:bidi="ar"/>
              </w:rPr>
              <w:t>处理效率</w:t>
            </w:r>
            <w:r>
              <w:rPr>
                <w:rFonts w:hint="eastAsia" w:cs="Times New Roman"/>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99%，则有组织粉尘的排放量为</w:t>
            </w:r>
            <w:r>
              <w:rPr>
                <w:rFonts w:hint="eastAsia" w:ascii="Times New Roman" w:hAnsi="Times New Roman" w:eastAsia="宋体" w:cs="Times New Roman"/>
                <w:color w:val="auto"/>
                <w:kern w:val="0"/>
                <w:sz w:val="24"/>
                <w:szCs w:val="24"/>
                <w:lang w:val="en-US" w:eastAsia="zh-CN" w:bidi="ar"/>
              </w:rPr>
              <w:t>0.000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t/a，排放速率为</w:t>
            </w:r>
            <w:r>
              <w:rPr>
                <w:rFonts w:hint="eastAsia" w:ascii="Times New Roman" w:hAnsi="Times New Roman" w:eastAsia="宋体" w:cs="Times New Roman"/>
                <w:color w:val="auto"/>
                <w:kern w:val="0"/>
                <w:sz w:val="24"/>
                <w:szCs w:val="24"/>
                <w:lang w:val="en-US" w:eastAsia="zh-CN" w:bidi="ar"/>
              </w:rPr>
              <w:t>0.000</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kg/h，排放浓度为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w:t>
            </w:r>
          </w:p>
          <w:p w14:paraId="0FF0D955">
            <w:p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1.2废气达标情况判定</w:t>
            </w:r>
          </w:p>
          <w:p w14:paraId="4C195573">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0"/>
                <w:sz w:val="24"/>
                <w:szCs w:val="24"/>
                <w:lang w:val="en-US" w:eastAsia="zh-CN" w:bidi="ar"/>
              </w:rPr>
              <w:t>卸料</w:t>
            </w:r>
            <w:r>
              <w:rPr>
                <w:rFonts w:hint="eastAsia" w:ascii="Times New Roman" w:hAnsi="Times New Roman" w:cs="Times New Roman"/>
                <w:color w:val="auto"/>
                <w:kern w:val="0"/>
                <w:sz w:val="24"/>
                <w:szCs w:val="24"/>
                <w:lang w:val="en-US" w:eastAsia="zh-CN" w:bidi="ar"/>
              </w:rPr>
              <w:t>粉尘</w:t>
            </w:r>
            <w:r>
              <w:rPr>
                <w:rFonts w:hint="default" w:ascii="Times New Roman" w:hAnsi="Times New Roman" w:cs="Times New Roman"/>
                <w:color w:val="auto"/>
                <w:kern w:val="0"/>
                <w:sz w:val="24"/>
                <w:szCs w:val="24"/>
                <w:lang w:val="en-US" w:eastAsia="zh-CN" w:bidi="ar"/>
              </w:rPr>
              <w:t>、</w:t>
            </w:r>
            <w:r>
              <w:rPr>
                <w:rFonts w:hint="eastAsia" w:ascii="宋体" w:hAnsi="宋体" w:cs="宋体"/>
                <w:color w:val="auto"/>
                <w:kern w:val="0"/>
                <w:sz w:val="24"/>
                <w:szCs w:val="24"/>
                <w:lang w:val="en-US" w:eastAsia="zh-CN" w:bidi="ar"/>
              </w:rPr>
              <w:t>除杂粉尘、去石粉尘、砻谷粉尘、谷糙分离粉尘、一次色选</w:t>
            </w:r>
            <w:r>
              <w:rPr>
                <w:rFonts w:hint="eastAsia" w:ascii="宋体" w:hAnsi="宋体" w:eastAsia="宋体" w:cs="宋体"/>
                <w:color w:val="auto"/>
                <w:kern w:val="0"/>
                <w:sz w:val="24"/>
                <w:szCs w:val="24"/>
                <w:lang w:val="en-US" w:eastAsia="zh-CN" w:bidi="ar"/>
              </w:rPr>
              <w:t>粉尘、碾米粉尘</w:t>
            </w:r>
          </w:p>
          <w:p w14:paraId="6E0C586D">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kern w:val="0"/>
                <w:sz w:val="24"/>
                <w:szCs w:val="24"/>
                <w:lang w:val="en-US" w:eastAsia="zh-CN" w:bidi="ar"/>
              </w:rPr>
              <w:t>项目</w:t>
            </w:r>
            <w:r>
              <w:rPr>
                <w:rFonts w:hint="eastAsia" w:cs="Times New Roman"/>
                <w:color w:val="auto"/>
                <w:kern w:val="0"/>
                <w:sz w:val="24"/>
                <w:szCs w:val="24"/>
                <w:lang w:val="en-US" w:eastAsia="zh-CN" w:bidi="ar"/>
              </w:rPr>
              <w:t>每台清理筛、</w:t>
            </w:r>
            <w:r>
              <w:rPr>
                <w:rFonts w:hint="eastAsia" w:ascii="Times New Roman" w:hAnsi="Times New Roman" w:cs="Times New Roman"/>
                <w:color w:val="auto"/>
                <w:kern w:val="0"/>
                <w:sz w:val="24"/>
                <w:szCs w:val="24"/>
                <w:lang w:val="en-US" w:eastAsia="zh-CN" w:bidi="ar"/>
              </w:rPr>
              <w:t>去石</w:t>
            </w:r>
            <w:r>
              <w:rPr>
                <w:rFonts w:hint="eastAsia" w:cs="Times New Roman"/>
                <w:color w:val="auto"/>
                <w:kern w:val="0"/>
                <w:sz w:val="24"/>
                <w:szCs w:val="24"/>
                <w:lang w:val="en-US" w:eastAsia="zh-CN" w:bidi="ar"/>
              </w:rPr>
              <w:t>机、</w:t>
            </w:r>
            <w:r>
              <w:rPr>
                <w:rFonts w:hint="eastAsia" w:ascii="Times New Roman" w:hAnsi="Times New Roman" w:cs="Times New Roman"/>
                <w:color w:val="auto"/>
                <w:kern w:val="0"/>
                <w:sz w:val="24"/>
                <w:szCs w:val="24"/>
                <w:lang w:val="en-US" w:eastAsia="zh-CN" w:bidi="ar"/>
              </w:rPr>
              <w:t>碾米机先设置1套旋风除尘器除尘，共设置6套旋风除尘器，除杂粉尘、</w:t>
            </w:r>
            <w:r>
              <w:rPr>
                <w:rFonts w:hint="eastAsia" w:cs="Times New Roman"/>
                <w:color w:val="auto"/>
                <w:kern w:val="0"/>
                <w:sz w:val="24"/>
                <w:szCs w:val="24"/>
                <w:lang w:val="en-US" w:eastAsia="zh-CN" w:bidi="ar"/>
              </w:rPr>
              <w:t>去石粉尘、</w:t>
            </w:r>
            <w:r>
              <w:rPr>
                <w:rFonts w:hint="eastAsia" w:ascii="Times New Roman" w:hAnsi="Times New Roman" w:cs="Times New Roman"/>
                <w:color w:val="auto"/>
                <w:kern w:val="0"/>
                <w:sz w:val="24"/>
                <w:szCs w:val="24"/>
                <w:lang w:val="en-US" w:eastAsia="zh-CN" w:bidi="ar"/>
              </w:rPr>
              <w:t>碾米粉尘经密闭管道收集经并</w:t>
            </w:r>
            <w:r>
              <w:rPr>
                <w:rFonts w:hint="eastAsia" w:cs="Times New Roman"/>
                <w:color w:val="auto"/>
                <w:kern w:val="0"/>
                <w:sz w:val="24"/>
                <w:szCs w:val="24"/>
                <w:lang w:val="en-US" w:eastAsia="zh-CN" w:bidi="ar"/>
              </w:rPr>
              <w:t>联</w:t>
            </w:r>
            <w:r>
              <w:rPr>
                <w:rFonts w:hint="eastAsia" w:ascii="Times New Roman" w:hAnsi="Times New Roman" w:cs="Times New Roman"/>
                <w:color w:val="auto"/>
                <w:kern w:val="0"/>
                <w:sz w:val="24"/>
                <w:szCs w:val="24"/>
                <w:lang w:val="en-US" w:eastAsia="zh-CN" w:bidi="ar"/>
              </w:rPr>
              <w:t>6套旋风除尘器处理后，</w:t>
            </w:r>
            <w:r>
              <w:rPr>
                <w:rFonts w:hint="eastAsia" w:cs="Times New Roman"/>
                <w:color w:val="auto"/>
                <w:kern w:val="0"/>
                <w:sz w:val="24"/>
                <w:szCs w:val="24"/>
                <w:lang w:val="en-US" w:eastAsia="zh-CN" w:bidi="ar"/>
              </w:rPr>
              <w:t>再</w:t>
            </w:r>
            <w:r>
              <w:rPr>
                <w:rFonts w:hint="eastAsia" w:ascii="Times New Roman" w:hAnsi="Times New Roman" w:cs="Times New Roman"/>
                <w:color w:val="auto"/>
                <w:kern w:val="0"/>
                <w:sz w:val="24"/>
                <w:szCs w:val="24"/>
                <w:lang w:val="en-US" w:eastAsia="zh-CN" w:bidi="ar"/>
              </w:rPr>
              <w:t>与经集气罩收集的卸粮粉尘，密闭管道收集的砻谷粉尘、谷糙分离粉尘、一次色选粉尘，共同经1套脉冲除尘器处理，尾气经1根15m高排气筒（DA001）有组织排放</w:t>
            </w:r>
            <w:r>
              <w:rPr>
                <w:rFonts w:hint="default" w:ascii="Times New Roman" w:hAnsi="Times New Roman" w:cs="Times New Roman"/>
                <w:color w:val="auto"/>
                <w:sz w:val="24"/>
              </w:rPr>
              <w:t>，</w:t>
            </w:r>
            <w:r>
              <w:rPr>
                <w:rFonts w:hint="default" w:ascii="Times New Roman" w:hAnsi="Times New Roman" w:cs="Times New Roman"/>
                <w:color w:val="auto"/>
                <w:sz w:val="24"/>
                <w:szCs w:val="24"/>
              </w:rPr>
              <w:t>主要污染物颗粒物排放速率约为</w:t>
            </w:r>
            <w:r>
              <w:rPr>
                <w:rFonts w:hint="eastAsia" w:cs="Times New Roman"/>
                <w:color w:val="auto"/>
                <w:kern w:val="0"/>
                <w:sz w:val="24"/>
                <w:szCs w:val="24"/>
                <w:lang w:val="en-US" w:eastAsia="zh-CN" w:bidi="ar"/>
              </w:rPr>
              <w:t>0.059</w:t>
            </w:r>
            <w:r>
              <w:rPr>
                <w:rFonts w:hint="default" w:ascii="Times New Roman" w:hAnsi="Times New Roman" w:cs="Times New Roman"/>
                <w:color w:val="auto"/>
                <w:sz w:val="24"/>
                <w:szCs w:val="24"/>
              </w:rPr>
              <w:t>kg/h，排放浓度约为</w:t>
            </w:r>
            <w:r>
              <w:rPr>
                <w:rFonts w:hint="eastAsia" w:cs="Times New Roman"/>
                <w:color w:val="auto"/>
                <w:kern w:val="0"/>
                <w:sz w:val="24"/>
                <w:szCs w:val="24"/>
                <w:lang w:val="en-US" w:eastAsia="zh-CN" w:bidi="ar"/>
              </w:rPr>
              <w:t>2.351</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，满足《大气污染物综合排放标准》（GB16297-1996）表2中的排放限值要求（颗粒物最高允许排放浓度≤1</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，最高允许排放速率≤</w:t>
            </w:r>
            <w:r>
              <w:rPr>
                <w:rFonts w:hint="default"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rPr>
              <w:t>kg/h）。</w:t>
            </w:r>
          </w:p>
          <w:p w14:paraId="227FE2FD">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（2）</w:t>
            </w:r>
            <w:r>
              <w:rPr>
                <w:rFonts w:hint="eastAsia" w:ascii="宋体" w:hAnsi="宋体" w:cs="宋体"/>
                <w:color w:val="auto"/>
                <w:kern w:val="0"/>
                <w:sz w:val="24"/>
                <w:szCs w:val="24"/>
                <w:lang w:val="en-US" w:eastAsia="zh-CN" w:bidi="ar"/>
              </w:rPr>
              <w:t>一次白米分级粉尘、一次抛光粉尘、二次色选粉尘</w:t>
            </w:r>
          </w:p>
          <w:p w14:paraId="1F68D954">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kern w:val="0"/>
                <w:sz w:val="24"/>
                <w:szCs w:val="24"/>
                <w:lang w:val="en-US" w:eastAsia="zh-CN" w:bidi="ar"/>
              </w:rPr>
              <w:t>项目</w:t>
            </w:r>
            <w:r>
              <w:rPr>
                <w:rFonts w:hint="eastAsia" w:ascii="宋体" w:hAnsi="宋体" w:cs="宋体"/>
                <w:color w:val="auto"/>
                <w:kern w:val="0"/>
                <w:sz w:val="24"/>
                <w:szCs w:val="24"/>
                <w:lang w:val="en-US" w:eastAsia="zh-CN" w:bidi="ar"/>
              </w:rPr>
              <w:t>一次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套旋风除尘器，项目一次抛光粉尘</w:t>
            </w:r>
            <w:r>
              <w:rPr>
                <w:rFonts w:hint="eastAsia" w:cs="Times New Roman"/>
                <w:color w:val="auto"/>
                <w:kern w:val="0"/>
                <w:sz w:val="24"/>
                <w:szCs w:val="24"/>
                <w:lang w:val="en-US" w:eastAsia="zh-CN" w:bidi="ar"/>
              </w:rPr>
              <w:t>分别</w:t>
            </w:r>
            <w:r>
              <w:rPr>
                <w:rFonts w:hint="eastAsia" w:ascii="Times New Roman" w:hAnsi="Times New Roman" w:cs="Times New Roman"/>
                <w:color w:val="auto"/>
                <w:kern w:val="0"/>
                <w:sz w:val="24"/>
                <w:szCs w:val="24"/>
                <w:lang w:val="en-US" w:eastAsia="zh-CN" w:bidi="ar"/>
              </w:rPr>
              <w:t>经2套旋风除尘器处理后，与一次白米分级粉尘、二次色选粉尘通过密闭管道收集，共同经1套脉冲除尘器处理，尾气经1根15米高排气筒（DA002）有组织排放</w:t>
            </w:r>
            <w:r>
              <w:rPr>
                <w:rFonts w:hint="default" w:ascii="Times New Roman" w:hAnsi="Times New Roman" w:cs="Times New Roman"/>
                <w:color w:val="auto"/>
                <w:sz w:val="24"/>
              </w:rPr>
              <w:t>，</w:t>
            </w:r>
            <w:r>
              <w:rPr>
                <w:rFonts w:hint="default" w:ascii="Times New Roman" w:hAnsi="Times New Roman" w:cs="Times New Roman"/>
                <w:color w:val="auto"/>
                <w:sz w:val="24"/>
                <w:szCs w:val="24"/>
              </w:rPr>
              <w:t>主要污染物</w:t>
            </w:r>
            <w:r>
              <w:rPr>
                <w:rFonts w:hint="default"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rPr>
              <w:t>排放速率约为</w:t>
            </w:r>
            <w:r>
              <w:rPr>
                <w:rFonts w:hint="eastAsia" w:ascii="Times New Roman" w:hAnsi="Times New Roman" w:eastAsia="宋体" w:cs="Times New Roman"/>
                <w:color w:val="auto"/>
                <w:kern w:val="0"/>
                <w:sz w:val="24"/>
                <w:szCs w:val="24"/>
                <w:lang w:val="en-US" w:eastAsia="zh-CN" w:bidi="ar"/>
              </w:rPr>
              <w:t>0.000</w:t>
            </w:r>
            <w:r>
              <w:rPr>
                <w:rFonts w:hint="eastAsia" w:cs="Times New Roman"/>
                <w:color w:val="auto"/>
                <w:kern w:val="0"/>
                <w:sz w:val="24"/>
                <w:szCs w:val="24"/>
                <w:lang w:val="en-US" w:eastAsia="zh-CN" w:bidi="ar"/>
              </w:rPr>
              <w:t>1</w:t>
            </w:r>
            <w:r>
              <w:rPr>
                <w:rFonts w:hint="default" w:ascii="Times New Roman" w:hAnsi="Times New Roman" w:cs="Times New Roman"/>
                <w:color w:val="auto"/>
                <w:sz w:val="24"/>
                <w:szCs w:val="24"/>
              </w:rPr>
              <w:t>kg/h，排放浓度约为</w:t>
            </w:r>
            <w:r>
              <w:rPr>
                <w:rFonts w:hint="eastAsia" w:ascii="Times New Roman" w:hAnsi="Times New Roman" w:eastAsia="宋体" w:cs="Times New Roman"/>
                <w:color w:val="auto"/>
                <w:kern w:val="0"/>
                <w:sz w:val="24"/>
                <w:szCs w:val="24"/>
                <w:lang w:val="en-US" w:eastAsia="zh-CN" w:bidi="ar"/>
              </w:rPr>
              <w:t>0.0</w:t>
            </w:r>
            <w:r>
              <w:rPr>
                <w:rFonts w:hint="eastAsia" w:cs="Times New Roman"/>
                <w:color w:val="auto"/>
                <w:kern w:val="0"/>
                <w:sz w:val="24"/>
                <w:szCs w:val="24"/>
                <w:lang w:val="en-US" w:eastAsia="zh-CN" w:bidi="ar"/>
              </w:rPr>
              <w:t>15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，满足《大气污染物综合排放标准》（GB16297-1996）表2中的排放限值要求（颗粒物最高允许排放浓度≤1</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，最高允许排放速率≤</w:t>
            </w:r>
            <w:r>
              <w:rPr>
                <w:rFonts w:hint="default"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rPr>
              <w:t>kg/h）。</w:t>
            </w:r>
          </w:p>
          <w:p w14:paraId="4F629F1E">
            <w:pPr>
              <w:pStyle w:val="3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kern w:val="0"/>
                <w:sz w:val="24"/>
                <w:szCs w:val="24"/>
                <w:lang w:val="en-US" w:eastAsia="zh-CN" w:bidi="ar"/>
              </w:rPr>
              <w:t>二次抛光粉尘、三次色选粉尘、二次白米分级粉尘、精选粉尘</w:t>
            </w:r>
          </w:p>
          <w:p w14:paraId="7D2C283B">
            <w:pPr>
              <w:pStyle w:val="31"/>
              <w:spacing w:line="360" w:lineRule="auto"/>
              <w:jc w:val="both"/>
              <w:rPr>
                <w:rFonts w:hint="default"/>
                <w:color w:val="auto"/>
              </w:rPr>
            </w:pP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kern w:val="0"/>
                <w:sz w:val="24"/>
                <w:szCs w:val="24"/>
                <w:lang w:val="en-US" w:eastAsia="zh-CN" w:bidi="ar"/>
              </w:rPr>
              <w:t>项目</w:t>
            </w:r>
            <w:r>
              <w:rPr>
                <w:rFonts w:hint="default" w:ascii="Times New Roman" w:hAnsi="Times New Roman" w:cs="Times New Roman"/>
                <w:color w:val="auto"/>
                <w:kern w:val="0"/>
                <w:sz w:val="24"/>
                <w:szCs w:val="24"/>
                <w:lang w:val="en-US" w:eastAsia="zh-CN" w:bidi="ar"/>
              </w:rPr>
              <w:t>二次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套旋风除尘器，项目二次抛光粉尘</w:t>
            </w:r>
            <w:r>
              <w:rPr>
                <w:rFonts w:hint="eastAsia" w:cs="Times New Roman"/>
                <w:color w:val="auto"/>
                <w:kern w:val="0"/>
                <w:sz w:val="24"/>
                <w:szCs w:val="24"/>
                <w:lang w:val="en-US" w:eastAsia="zh-CN" w:bidi="ar"/>
              </w:rPr>
              <w:t>先</w:t>
            </w:r>
            <w:r>
              <w:rPr>
                <w:rFonts w:hint="eastAsia" w:ascii="Times New Roman" w:hAnsi="Times New Roman" w:cs="Times New Roman"/>
                <w:color w:val="auto"/>
                <w:kern w:val="0"/>
                <w:sz w:val="24"/>
                <w:szCs w:val="24"/>
                <w:lang w:val="en-US" w:eastAsia="zh-CN" w:bidi="ar"/>
              </w:rPr>
              <w:t>经2套旋风除尘器处理后，与三次色选粉尘、二次白米分级粉尘、精选粉尘通过密闭管道收集，共同经1套脉冲除尘器处理，尾气1根15米高排气筒（DA003）有组织排放</w:t>
            </w:r>
            <w:r>
              <w:rPr>
                <w:rFonts w:hint="default" w:ascii="Times New Roman" w:hAnsi="Times New Roman" w:cs="Times New Roman"/>
                <w:color w:val="auto"/>
                <w:sz w:val="24"/>
              </w:rPr>
              <w:t>，</w:t>
            </w:r>
            <w:r>
              <w:rPr>
                <w:rFonts w:hint="default" w:ascii="Times New Roman" w:hAnsi="Times New Roman" w:cs="Times New Roman"/>
                <w:color w:val="auto"/>
                <w:sz w:val="24"/>
                <w:szCs w:val="24"/>
              </w:rPr>
              <w:t>主要污染物</w:t>
            </w:r>
            <w:r>
              <w:rPr>
                <w:rFonts w:hint="default"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rPr>
              <w:t>排放速率约为</w:t>
            </w:r>
            <w:r>
              <w:rPr>
                <w:rFonts w:hint="default" w:ascii="Times New Roman" w:hAnsi="Times New Roman" w:eastAsia="宋体" w:cs="Times New Roman"/>
                <w:color w:val="auto"/>
                <w:kern w:val="0"/>
                <w:sz w:val="24"/>
                <w:szCs w:val="24"/>
                <w:lang w:val="en-US" w:eastAsia="zh-CN" w:bidi="ar"/>
              </w:rPr>
              <w:t>0.0001</w:t>
            </w:r>
            <w:r>
              <w:rPr>
                <w:rFonts w:hint="default" w:ascii="Times New Roman" w:hAnsi="Times New Roman" w:cs="Times New Roman"/>
                <w:color w:val="auto"/>
                <w:sz w:val="24"/>
                <w:szCs w:val="24"/>
              </w:rPr>
              <w:t>kg/h，排放浓度约为</w:t>
            </w:r>
            <w:r>
              <w:rPr>
                <w:rFonts w:hint="default" w:ascii="Times New Roman" w:hAnsi="Times New Roman" w:eastAsia="宋体" w:cs="Times New Roman"/>
                <w:color w:val="auto"/>
                <w:kern w:val="0"/>
                <w:sz w:val="24"/>
                <w:szCs w:val="24"/>
                <w:lang w:val="en-US" w:eastAsia="zh-CN" w:bidi="ar"/>
              </w:rPr>
              <w:t>0.0</w:t>
            </w:r>
            <w:r>
              <w:rPr>
                <w:rFonts w:hint="eastAsia" w:ascii="Times New Roman" w:hAnsi="Times New Roman" w:cs="Times New Roman"/>
                <w:color w:val="auto"/>
                <w:kern w:val="0"/>
                <w:sz w:val="24"/>
                <w:szCs w:val="24"/>
                <w:lang w:val="en-US" w:eastAsia="zh-CN" w:bidi="ar"/>
              </w:rPr>
              <w:t>15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，满足《大气污染物综合排放标准》（GB16297-1996）表2中的排放限值要求（颗粒物最高允许排放浓度≤1</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，最高允许排放速率≤</w:t>
            </w:r>
            <w:r>
              <w:rPr>
                <w:rFonts w:hint="default"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rPr>
              <w:t>kg/h）。</w:t>
            </w:r>
          </w:p>
          <w:p w14:paraId="317701C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3废气收集处理措施可行性分析</w:t>
            </w:r>
          </w:p>
          <w:p w14:paraId="20281671">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旋风除尘器原理：是利用气流旋转过程产生的离心力，使粉尘从含尘气流中分离出来的。含尘气流由除尘器进口沿切线方向进入除尘器后，沿外壁向下做旋转运动，这股向下旋转的气流称为外</w:t>
            </w:r>
            <w:r>
              <w:rPr>
                <w:rFonts w:hint="default" w:ascii="Times New Roman" w:hAnsi="Times New Roman" w:cs="Times New Roman"/>
                <w:b w:val="0"/>
                <w:bCs w:val="0"/>
                <w:color w:val="auto"/>
                <w:sz w:val="24"/>
                <w:szCs w:val="24"/>
                <w:lang w:val="en-US" w:eastAsia="zh-CN"/>
              </w:rPr>
              <w:t>旋涡</w:t>
            </w:r>
            <w:r>
              <w:rPr>
                <w:rFonts w:hint="default" w:ascii="Times New Roman" w:hAnsi="Times New Roman" w:eastAsia="宋体" w:cs="Times New Roman"/>
                <w:b w:val="0"/>
                <w:bCs w:val="0"/>
                <w:color w:val="auto"/>
                <w:sz w:val="24"/>
                <w:szCs w:val="24"/>
                <w:lang w:val="en-US" w:eastAsia="zh-CN"/>
              </w:rPr>
              <w:t xml:space="preserve">。外漩涡到达锥体底部后，转而向上，沿轴心向上旋转，最后从排出管排出。这股向上的气流成为内漩涡。向下的外漩涡和向上的内漩涡旋转方向是相同的，即统一为顺时针或统一为逆时针。气流做旋转运动时，粉尘在离心力的作用下甩向外壁，到达外壁的粉尘在下旋气流和重力的共同作用下沿壁面落入灰。 </w:t>
            </w:r>
          </w:p>
          <w:p w14:paraId="5EBBEB93">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旋风除尘器优点：</w:t>
            </w:r>
          </w:p>
          <w:p w14:paraId="43E47EE2">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①旋风除尘器内部没有运动部件，维护方便；</w:t>
            </w:r>
          </w:p>
          <w:p w14:paraId="03FC2BDF">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②制作、管理十分方便；</w:t>
            </w:r>
          </w:p>
          <w:p w14:paraId="63DFE178">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③处理相同风量的情况下体积小，结构简单，价格便宜；</w:t>
            </w:r>
          </w:p>
          <w:p w14:paraId="6215746E">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④作为预除尘器使用时，可以立式安装，使用方便。</w:t>
            </w:r>
          </w:p>
          <w:p w14:paraId="5E25599C">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⑤处理大风量时便于多台并联使用，效率阻力不受影响。</w:t>
            </w:r>
          </w:p>
          <w:p w14:paraId="45E1F2E9">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⑥可耐600℃高温，如采用特殊的耐高温材料，还可以耐受更高的温度。</w:t>
            </w:r>
          </w:p>
          <w:p w14:paraId="74401D80">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⑦除尘器内设耐磨内衬后，可用以净化含高磨蚀性粉尘的烟气。</w:t>
            </w:r>
          </w:p>
          <w:p w14:paraId="203E0FDB">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⑧可以干法清灰，有利于回收有价值的粉尘。 </w:t>
            </w:r>
          </w:p>
          <w:p w14:paraId="0D51219B">
            <w:pPr>
              <w:spacing w:line="360" w:lineRule="auto"/>
              <w:ind w:firstLine="482" w:firstLineChars="200"/>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脉冲</w:t>
            </w:r>
            <w:r>
              <w:rPr>
                <w:rFonts w:hint="default" w:ascii="Times New Roman" w:hAnsi="Times New Roman" w:eastAsia="宋体" w:cs="Times New Roman"/>
                <w:b/>
                <w:bCs/>
                <w:color w:val="auto"/>
                <w:sz w:val="24"/>
                <w:szCs w:val="24"/>
                <w:lang w:val="en-US" w:eastAsia="zh-CN"/>
              </w:rPr>
              <w:t>除尘器原理：</w:t>
            </w:r>
            <w:r>
              <w:rPr>
                <w:rFonts w:hint="eastAsia" w:cs="Times New Roman"/>
                <w:b w:val="0"/>
                <w:bCs w:val="0"/>
                <w:color w:val="auto"/>
                <w:sz w:val="24"/>
                <w:szCs w:val="24"/>
                <w:lang w:val="en-US" w:eastAsia="zh-CN"/>
              </w:rPr>
              <w:t>脉冲</w:t>
            </w:r>
            <w:r>
              <w:rPr>
                <w:rFonts w:hint="default" w:ascii="Times New Roman" w:hAnsi="Times New Roman" w:eastAsia="宋体" w:cs="Times New Roman"/>
                <w:b w:val="0"/>
                <w:bCs w:val="0"/>
                <w:color w:val="auto"/>
                <w:sz w:val="24"/>
                <w:szCs w:val="24"/>
                <w:lang w:val="en-US" w:eastAsia="zh-CN"/>
              </w:rPr>
              <w:t>除尘器是基于过滤原理的过滤式除尘设备，利用有机纤维或无机纤维过滤布将气体中的粉尘过滤出来。含尘气体由进气口进入中部箱体，从袋外进入布袋内，粉尘被阻挡在滤袋外的表面，净化的空气进入袋内，再由布袋上部进入上箱体，最后由排气管排出。</w:t>
            </w:r>
          </w:p>
          <w:p w14:paraId="7779AE42">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脉冲</w:t>
            </w:r>
            <w:r>
              <w:rPr>
                <w:rFonts w:hint="default" w:ascii="Times New Roman" w:hAnsi="Times New Roman" w:eastAsia="宋体" w:cs="Times New Roman"/>
                <w:b/>
                <w:bCs/>
                <w:color w:val="auto"/>
                <w:sz w:val="24"/>
                <w:szCs w:val="24"/>
                <w:lang w:val="en-US" w:eastAsia="zh-CN"/>
              </w:rPr>
              <w:t>除尘器优点：</w:t>
            </w:r>
          </w:p>
          <w:p w14:paraId="6EDF7F32">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①净化效率高。符合国家和地方所规定的排放标准。</w:t>
            </w:r>
          </w:p>
          <w:p w14:paraId="3841F0F7">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②且运行稳定。检修方便，检修人员在上箱体换滤袋可不与灰尘接触。</w:t>
            </w:r>
          </w:p>
          <w:p w14:paraId="23A26BD7">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③合理地利用空间，尽可能地占地面积小。</w:t>
            </w:r>
          </w:p>
          <w:p w14:paraId="0734EA3F">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④所收集的粉尘属干式，且集尘量大，清灰方便。</w:t>
            </w:r>
          </w:p>
          <w:p w14:paraId="6964BA9F">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⑤不会产生二次污染。</w:t>
            </w:r>
          </w:p>
          <w:p w14:paraId="76BA37AA">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⑥采用自动控制，是目前国内外各行各业首选的除尘设备。</w:t>
            </w:r>
          </w:p>
          <w:p w14:paraId="111158B2">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根据工程分析可知，本项目各工序产生的粉尘</w:t>
            </w:r>
            <w:r>
              <w:rPr>
                <w:rFonts w:hint="eastAsia" w:cs="Times New Roman"/>
                <w:b w:val="0"/>
                <w:bCs w:val="0"/>
                <w:color w:val="auto"/>
                <w:sz w:val="24"/>
                <w:szCs w:val="24"/>
                <w:lang w:val="en-US" w:eastAsia="zh-CN"/>
              </w:rPr>
              <w:t>经除尘器</w:t>
            </w:r>
            <w:r>
              <w:rPr>
                <w:rFonts w:hint="default" w:ascii="Times New Roman" w:hAnsi="Times New Roman" w:eastAsia="宋体" w:cs="Times New Roman"/>
                <w:b w:val="0"/>
                <w:bCs w:val="0"/>
                <w:color w:val="auto"/>
                <w:sz w:val="24"/>
                <w:szCs w:val="24"/>
                <w:lang w:val="en-US" w:eastAsia="zh-CN"/>
              </w:rPr>
              <w:t>处理后，均能满足《大气污染物综合排放标准》（GB16297-1996）中相关限值标准。</w:t>
            </w:r>
          </w:p>
          <w:p w14:paraId="328099FD">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综上，项目产生的颗粒物控制措施是可行的。</w:t>
            </w:r>
          </w:p>
          <w:p w14:paraId="638B6681">
            <w:p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大气污染物非正常排放分析</w:t>
            </w:r>
          </w:p>
          <w:p w14:paraId="4C12583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项目非正常工况指生产过程中开停</w:t>
            </w:r>
            <w:r>
              <w:rPr>
                <w:rFonts w:hint="default"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、设备检修、工艺设备运转异常等非正常工况下的污染物排放，以及污染物排放控制措施达不到应有效率等情况下的排放。</w:t>
            </w:r>
          </w:p>
          <w:p w14:paraId="53DBBDF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项目在车间开工时，首先运行所有的废气处理装置，然后再开启车间的工艺流程，使在生产中所产生的废气都能得到处理。车间停工时，所有的废气处理装置继续运转，待工艺中的废气没有排出之后才逐台关闭。车间在开、停车时排出污染物均得到有效处理，经排气筒排出的污染物浓度和正常生产时基本一致。</w:t>
            </w:r>
          </w:p>
          <w:p w14:paraId="1F07196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bidi="ar"/>
              </w:rPr>
              <w:t>废气处理系统和排风机均设有保安电源，当废气处理设备出现故障时，工艺生产过</w:t>
            </w:r>
            <w:r>
              <w:rPr>
                <w:rFonts w:hint="default" w:ascii="Times New Roman" w:hAnsi="Times New Roman" w:cs="Times New Roman"/>
                <w:color w:val="auto"/>
                <w:sz w:val="24"/>
                <w:lang w:eastAsia="zh-CN" w:bidi="ar"/>
              </w:rPr>
              <w:t>程中</w:t>
            </w:r>
            <w:r>
              <w:rPr>
                <w:rFonts w:hint="default" w:ascii="Times New Roman" w:hAnsi="Times New Roman" w:cs="Times New Roman"/>
                <w:color w:val="auto"/>
                <w:sz w:val="24"/>
                <w:lang w:bidi="ar"/>
              </w:rPr>
              <w:t>排放的废气将未经处理直接排入大气，造成非正常排放。本工程排风系统均设有安全保护电源和报警系统，设备每年检修一次，基本上能保证无故障运行。日常运行中，若出现故障，检修人员可立即到现场进行维修，一般操作在30分钟内基本上可以完成，预计最长不会超过60分钟。</w:t>
            </w:r>
          </w:p>
          <w:p w14:paraId="794B187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bidi="ar"/>
              </w:rPr>
              <w:t>废气处理系统出现故障，一般有</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bidi="ar"/>
              </w:rPr>
              <w:t>种情况：停电、</w:t>
            </w:r>
            <w:r>
              <w:rPr>
                <w:rFonts w:hint="default" w:ascii="Times New Roman" w:hAnsi="Times New Roman" w:cs="Times New Roman"/>
                <w:color w:val="auto"/>
                <w:sz w:val="24"/>
                <w:lang w:eastAsia="zh-CN" w:bidi="ar"/>
              </w:rPr>
              <w:t>废气处理设施</w:t>
            </w:r>
            <w:r>
              <w:rPr>
                <w:rFonts w:hint="default" w:ascii="Times New Roman" w:hAnsi="Times New Roman" w:cs="Times New Roman"/>
                <w:color w:val="auto"/>
                <w:sz w:val="24"/>
                <w:lang w:bidi="ar"/>
              </w:rPr>
              <w:t>出现故障，对生产异常情况，采取以下措施：</w:t>
            </w:r>
          </w:p>
          <w:p w14:paraId="1FE5AC7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bidi="ar"/>
              </w:rPr>
              <w:t>a.如果全厂停电，停止生产，无污染物产生。为确保安全，风机仍然继续运转（采用UPS）。</w:t>
            </w:r>
          </w:p>
          <w:p w14:paraId="6AA3F49F">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bidi="ar"/>
              </w:rPr>
              <w:t>b</w:t>
            </w:r>
            <w:r>
              <w:rPr>
                <w:rFonts w:hint="default" w:ascii="Times New Roman" w:hAnsi="Times New Roman" w:cs="Times New Roman"/>
                <w:color w:val="auto"/>
                <w:sz w:val="24"/>
                <w:lang w:bidi="ar"/>
              </w:rPr>
              <w:t>.当废气处理设施出现故障时，应立即进行维修，必要时停止生产原料的供给。</w:t>
            </w:r>
          </w:p>
          <w:p w14:paraId="7CC85B0F">
            <w:pPr>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szCs w:val="24"/>
                <w:lang w:eastAsia="zh-CN"/>
              </w:rPr>
              <w:t>综上，本</w:t>
            </w:r>
            <w:r>
              <w:rPr>
                <w:rFonts w:hint="default" w:ascii="Times New Roman" w:hAnsi="Times New Roman" w:cs="Times New Roman"/>
                <w:color w:val="auto"/>
                <w:sz w:val="24"/>
                <w:szCs w:val="24"/>
              </w:rPr>
              <w:t>项目最不利非正常工况为废气污染物排放控制措施达不到应有效率，根据工程分析，项目非正常工况污染物排放情况核算内容见下表。</w:t>
            </w:r>
          </w:p>
          <w:p w14:paraId="3F19C49A">
            <w:pPr>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建设项目废气污染源非正常排放量核算表</w:t>
            </w:r>
          </w:p>
          <w:tbl>
            <w:tblPr>
              <w:tblStyle w:val="46"/>
              <w:tblW w:w="85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0"/>
              <w:gridCol w:w="868"/>
              <w:gridCol w:w="816"/>
              <w:gridCol w:w="852"/>
              <w:gridCol w:w="960"/>
              <w:gridCol w:w="1032"/>
              <w:gridCol w:w="840"/>
              <w:gridCol w:w="690"/>
              <w:gridCol w:w="897"/>
            </w:tblGrid>
            <w:tr w14:paraId="7B0B3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5F41E586">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非正常排放源</w:t>
                  </w:r>
                </w:p>
              </w:tc>
              <w:tc>
                <w:tcPr>
                  <w:tcW w:w="868" w:type="dxa"/>
                  <w:shd w:val="clear" w:color="auto" w:fill="auto"/>
                  <w:vAlign w:val="center"/>
                </w:tcPr>
                <w:p w14:paraId="3DBB4DA9">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非正常排放原因</w:t>
                  </w:r>
                </w:p>
              </w:tc>
              <w:tc>
                <w:tcPr>
                  <w:tcW w:w="816" w:type="dxa"/>
                  <w:shd w:val="clear" w:color="auto" w:fill="auto"/>
                  <w:vAlign w:val="center"/>
                </w:tcPr>
                <w:p w14:paraId="52A55850">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污染物</w:t>
                  </w:r>
                </w:p>
              </w:tc>
              <w:tc>
                <w:tcPr>
                  <w:tcW w:w="852" w:type="dxa"/>
                  <w:tcBorders>
                    <w:right w:val="single" w:color="auto" w:sz="4" w:space="0"/>
                  </w:tcBorders>
                  <w:shd w:val="clear" w:color="auto" w:fill="auto"/>
                  <w:vAlign w:val="center"/>
                </w:tcPr>
                <w:p w14:paraId="75E8D759">
                  <w:pPr>
                    <w:jc w:val="center"/>
                    <w:rPr>
                      <w:rFonts w:hint="default" w:ascii="Times New Roman" w:hAnsi="Times New Roman" w:cs="Times New Roman"/>
                      <w:b/>
                      <w:iCs/>
                      <w:color w:val="auto"/>
                      <w:szCs w:val="21"/>
                    </w:rPr>
                  </w:pPr>
                  <w:r>
                    <w:rPr>
                      <w:rFonts w:hint="eastAsia" w:ascii="Times New Roman" w:hAnsi="Times New Roman" w:cs="Times New Roman"/>
                      <w:b/>
                      <w:iCs/>
                      <w:color w:val="auto"/>
                      <w:szCs w:val="21"/>
                      <w:lang w:val="en-US" w:eastAsia="zh-CN"/>
                    </w:rPr>
                    <w:t>非正常</w:t>
                  </w:r>
                  <w:r>
                    <w:rPr>
                      <w:rFonts w:hint="default" w:ascii="Times New Roman" w:hAnsi="Times New Roman" w:cs="Times New Roman"/>
                      <w:b/>
                      <w:iCs/>
                      <w:color w:val="auto"/>
                      <w:szCs w:val="21"/>
                    </w:rPr>
                    <w:t>排放浓度</w:t>
                  </w:r>
                  <w:r>
                    <w:rPr>
                      <w:rFonts w:hint="default" w:ascii="Times New Roman" w:hAnsi="Times New Roman" w:cs="Times New Roman"/>
                      <w:b/>
                      <w:iCs/>
                      <w:color w:val="auto"/>
                      <w:spacing w:val="-8"/>
                      <w:szCs w:val="21"/>
                    </w:rPr>
                    <w:t>（mg/m</w:t>
                  </w:r>
                  <w:r>
                    <w:rPr>
                      <w:rFonts w:hint="default" w:ascii="Times New Roman" w:hAnsi="Times New Roman" w:cs="Times New Roman"/>
                      <w:b/>
                      <w:iCs/>
                      <w:color w:val="auto"/>
                      <w:spacing w:val="-8"/>
                      <w:szCs w:val="21"/>
                      <w:vertAlign w:val="superscript"/>
                    </w:rPr>
                    <w:t>3</w:t>
                  </w:r>
                  <w:r>
                    <w:rPr>
                      <w:rFonts w:hint="default" w:ascii="Times New Roman" w:hAnsi="Times New Roman" w:cs="Times New Roman"/>
                      <w:b/>
                      <w:iCs/>
                      <w:color w:val="auto"/>
                      <w:spacing w:val="-8"/>
                      <w:szCs w:val="21"/>
                    </w:rPr>
                    <w:t>）</w:t>
                  </w:r>
                </w:p>
              </w:tc>
              <w:tc>
                <w:tcPr>
                  <w:tcW w:w="960" w:type="dxa"/>
                  <w:tcBorders>
                    <w:left w:val="single" w:color="auto" w:sz="4" w:space="0"/>
                  </w:tcBorders>
                  <w:shd w:val="clear" w:color="auto" w:fill="auto"/>
                  <w:vAlign w:val="center"/>
                </w:tcPr>
                <w:p w14:paraId="3584CEEF">
                  <w:pPr>
                    <w:jc w:val="center"/>
                    <w:rPr>
                      <w:rFonts w:hint="default" w:ascii="Times New Roman" w:hAnsi="Times New Roman" w:cs="Times New Roman"/>
                      <w:b/>
                      <w:iCs/>
                      <w:color w:val="auto"/>
                      <w:szCs w:val="21"/>
                      <w:lang w:val="en-US" w:eastAsia="zh-CN"/>
                    </w:rPr>
                  </w:pPr>
                  <w:r>
                    <w:rPr>
                      <w:rFonts w:hint="eastAsia" w:ascii="Times New Roman" w:hAnsi="Times New Roman" w:cs="Times New Roman"/>
                      <w:b/>
                      <w:iCs/>
                      <w:color w:val="auto"/>
                      <w:szCs w:val="21"/>
                      <w:lang w:val="en-US" w:eastAsia="zh-CN"/>
                    </w:rPr>
                    <w:t>非正常排放速率</w:t>
                  </w:r>
                  <w:r>
                    <w:rPr>
                      <w:rFonts w:hint="default" w:ascii="Times New Roman" w:hAnsi="Times New Roman" w:cs="Times New Roman"/>
                      <w:b/>
                      <w:iCs/>
                      <w:color w:val="auto"/>
                      <w:spacing w:val="-10"/>
                      <w:szCs w:val="21"/>
                    </w:rPr>
                    <w:t>（kg/</w:t>
                  </w:r>
                  <w:r>
                    <w:rPr>
                      <w:rFonts w:hint="eastAsia" w:ascii="Times New Roman" w:hAnsi="Times New Roman" w:cs="Times New Roman"/>
                      <w:b/>
                      <w:iCs/>
                      <w:color w:val="auto"/>
                      <w:spacing w:val="-10"/>
                      <w:szCs w:val="21"/>
                      <w:lang w:val="en-US" w:eastAsia="zh-CN"/>
                    </w:rPr>
                    <w:t>h</w:t>
                  </w:r>
                  <w:r>
                    <w:rPr>
                      <w:rFonts w:hint="default" w:ascii="Times New Roman" w:hAnsi="Times New Roman" w:cs="Times New Roman"/>
                      <w:b/>
                      <w:iCs/>
                      <w:color w:val="auto"/>
                      <w:spacing w:val="-10"/>
                      <w:szCs w:val="21"/>
                    </w:rPr>
                    <w:t>）</w:t>
                  </w:r>
                </w:p>
              </w:tc>
              <w:tc>
                <w:tcPr>
                  <w:tcW w:w="1032" w:type="dxa"/>
                  <w:shd w:val="clear" w:color="auto" w:fill="auto"/>
                  <w:vAlign w:val="center"/>
                </w:tcPr>
                <w:p w14:paraId="07223756">
                  <w:pPr>
                    <w:jc w:val="center"/>
                    <w:rPr>
                      <w:rFonts w:hint="default" w:ascii="Times New Roman" w:hAnsi="Times New Roman" w:cs="Times New Roman"/>
                      <w:b/>
                      <w:iCs/>
                      <w:color w:val="auto"/>
                      <w:szCs w:val="21"/>
                    </w:rPr>
                  </w:pPr>
                  <w:r>
                    <w:rPr>
                      <w:rFonts w:hint="eastAsia" w:ascii="Times New Roman" w:hAnsi="Times New Roman" w:cs="Times New Roman"/>
                      <w:b/>
                      <w:iCs/>
                      <w:color w:val="auto"/>
                      <w:szCs w:val="21"/>
                      <w:lang w:val="en-US" w:eastAsia="zh-CN"/>
                    </w:rPr>
                    <w:t>非正常</w:t>
                  </w:r>
                  <w:r>
                    <w:rPr>
                      <w:rFonts w:hint="default" w:ascii="Times New Roman" w:hAnsi="Times New Roman" w:cs="Times New Roman"/>
                      <w:b/>
                      <w:iCs/>
                      <w:color w:val="auto"/>
                      <w:szCs w:val="21"/>
                    </w:rPr>
                    <w:t>排放量</w:t>
                  </w:r>
                  <w:r>
                    <w:rPr>
                      <w:rFonts w:hint="default" w:ascii="Times New Roman" w:hAnsi="Times New Roman" w:cs="Times New Roman"/>
                      <w:b/>
                      <w:iCs/>
                      <w:color w:val="auto"/>
                      <w:spacing w:val="-10"/>
                      <w:szCs w:val="21"/>
                    </w:rPr>
                    <w:t>（kg/次）</w:t>
                  </w:r>
                </w:p>
              </w:tc>
              <w:tc>
                <w:tcPr>
                  <w:tcW w:w="840" w:type="dxa"/>
                  <w:shd w:val="clear" w:color="auto" w:fill="auto"/>
                  <w:vAlign w:val="center"/>
                </w:tcPr>
                <w:p w14:paraId="35A71A3A">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单次持续时间（</w:t>
                  </w:r>
                  <w:r>
                    <w:rPr>
                      <w:rFonts w:hint="default" w:ascii="Times New Roman" w:hAnsi="Times New Roman" w:cs="Times New Roman"/>
                      <w:b/>
                      <w:iCs/>
                      <w:color w:val="auto"/>
                      <w:szCs w:val="21"/>
                      <w:lang w:val="en-US" w:eastAsia="zh-CN"/>
                    </w:rPr>
                    <w:t>h</w:t>
                  </w:r>
                  <w:r>
                    <w:rPr>
                      <w:rFonts w:hint="default" w:ascii="Times New Roman" w:hAnsi="Times New Roman" w:cs="Times New Roman"/>
                      <w:b/>
                      <w:iCs/>
                      <w:color w:val="auto"/>
                      <w:szCs w:val="21"/>
                    </w:rPr>
                    <w:t>）</w:t>
                  </w:r>
                </w:p>
              </w:tc>
              <w:tc>
                <w:tcPr>
                  <w:tcW w:w="690" w:type="dxa"/>
                  <w:shd w:val="clear" w:color="auto" w:fill="auto"/>
                  <w:vAlign w:val="center"/>
                </w:tcPr>
                <w:p w14:paraId="361DAC74">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年最大发生频次</w:t>
                  </w:r>
                </w:p>
              </w:tc>
              <w:tc>
                <w:tcPr>
                  <w:tcW w:w="897" w:type="dxa"/>
                  <w:shd w:val="clear" w:color="auto" w:fill="auto"/>
                  <w:vAlign w:val="center"/>
                </w:tcPr>
                <w:p w14:paraId="36CE001B">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应对</w:t>
                  </w:r>
                </w:p>
                <w:p w14:paraId="3C911A43">
                  <w:pPr>
                    <w:jc w:val="center"/>
                    <w:rPr>
                      <w:rFonts w:hint="default" w:ascii="Times New Roman" w:hAnsi="Times New Roman" w:cs="Times New Roman"/>
                      <w:b/>
                      <w:iCs/>
                      <w:color w:val="auto"/>
                      <w:szCs w:val="21"/>
                    </w:rPr>
                  </w:pPr>
                  <w:r>
                    <w:rPr>
                      <w:rFonts w:hint="default" w:ascii="Times New Roman" w:hAnsi="Times New Roman" w:cs="Times New Roman"/>
                      <w:b/>
                      <w:iCs/>
                      <w:color w:val="auto"/>
                      <w:szCs w:val="21"/>
                    </w:rPr>
                    <w:t>措施</w:t>
                  </w:r>
                </w:p>
              </w:tc>
            </w:tr>
            <w:tr w14:paraId="3A5A2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64B960E0">
                  <w:pPr>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lang w:val="en-US" w:eastAsia="zh-CN"/>
                    </w:rPr>
                    <w:t>卸料粉尘、除杂粉尘、去石粉尘、砻谷粉尘、谷糙分离粉尘、一次色选粉尘、碾米粉尘排放口</w:t>
                  </w:r>
                  <w:r>
                    <w:rPr>
                      <w:rFonts w:hint="eastAsia" w:ascii="Times New Roman" w:hAnsi="Times New Roman" w:cs="Times New Roman"/>
                      <w:color w:val="auto"/>
                      <w:sz w:val="21"/>
                      <w:szCs w:val="21"/>
                      <w:lang w:val="en-US" w:eastAsia="zh-CN"/>
                    </w:rPr>
                    <w:t>（DA001）</w:t>
                  </w:r>
                </w:p>
              </w:tc>
              <w:tc>
                <w:tcPr>
                  <w:tcW w:w="868" w:type="dxa"/>
                  <w:vMerge w:val="restart"/>
                  <w:shd w:val="clear" w:color="auto" w:fill="auto"/>
                  <w:vAlign w:val="center"/>
                </w:tcPr>
                <w:p w14:paraId="1449510B">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废气处理装置损坏，废气处理效率为0</w:t>
                  </w:r>
                </w:p>
              </w:tc>
              <w:tc>
                <w:tcPr>
                  <w:tcW w:w="816" w:type="dxa"/>
                  <w:shd w:val="clear" w:color="auto" w:fill="auto"/>
                  <w:vAlign w:val="center"/>
                </w:tcPr>
                <w:p w14:paraId="12057DFB">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852" w:type="dxa"/>
                  <w:tcBorders>
                    <w:right w:val="single" w:color="auto" w:sz="4" w:space="0"/>
                  </w:tcBorders>
                  <w:shd w:val="clear" w:color="auto" w:fill="auto"/>
                  <w:vAlign w:val="center"/>
                </w:tcPr>
                <w:p w14:paraId="63326FC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235.08</w:t>
                  </w:r>
                </w:p>
              </w:tc>
              <w:tc>
                <w:tcPr>
                  <w:tcW w:w="960" w:type="dxa"/>
                  <w:tcBorders>
                    <w:left w:val="single" w:color="auto" w:sz="4" w:space="0"/>
                  </w:tcBorders>
                  <w:shd w:val="clear" w:color="auto" w:fill="auto"/>
                  <w:vAlign w:val="center"/>
                </w:tcPr>
                <w:p w14:paraId="2F780A7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5.877</w:t>
                  </w:r>
                </w:p>
              </w:tc>
              <w:tc>
                <w:tcPr>
                  <w:tcW w:w="1032" w:type="dxa"/>
                  <w:shd w:val="clear" w:color="auto" w:fill="auto"/>
                  <w:vAlign w:val="center"/>
                </w:tcPr>
                <w:p w14:paraId="62EA754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5.877</w:t>
                  </w:r>
                </w:p>
              </w:tc>
              <w:tc>
                <w:tcPr>
                  <w:tcW w:w="840" w:type="dxa"/>
                  <w:vMerge w:val="restart"/>
                  <w:shd w:val="clear" w:color="auto" w:fill="auto"/>
                  <w:vAlign w:val="center"/>
                </w:tcPr>
                <w:p w14:paraId="20B6FD4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p>
              </w:tc>
              <w:tc>
                <w:tcPr>
                  <w:tcW w:w="690" w:type="dxa"/>
                  <w:vMerge w:val="restart"/>
                  <w:shd w:val="clear" w:color="auto" w:fill="auto"/>
                  <w:vAlign w:val="center"/>
                </w:tcPr>
                <w:p w14:paraId="2B362A5C">
                  <w:pPr>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1次</w:t>
                  </w:r>
                </w:p>
              </w:tc>
              <w:tc>
                <w:tcPr>
                  <w:tcW w:w="897" w:type="dxa"/>
                  <w:vMerge w:val="restart"/>
                  <w:shd w:val="clear" w:color="auto" w:fill="auto"/>
                  <w:vAlign w:val="center"/>
                </w:tcPr>
                <w:p w14:paraId="30F1BAE1">
                  <w:pPr>
                    <w:jc w:val="center"/>
                    <w:rPr>
                      <w:rFonts w:hint="default" w:ascii="Times New Roman" w:hAnsi="Times New Roman" w:cs="Times New Roman"/>
                      <w:color w:val="auto"/>
                      <w:szCs w:val="21"/>
                    </w:rPr>
                  </w:pPr>
                  <w:r>
                    <w:rPr>
                      <w:rFonts w:hint="default" w:ascii="Times New Roman" w:hAnsi="Times New Roman" w:cs="Times New Roman"/>
                      <w:color w:val="auto"/>
                      <w:szCs w:val="21"/>
                    </w:rPr>
                    <w:t>立即停止相关产污环节生产，维修废气处理设施</w:t>
                  </w:r>
                </w:p>
              </w:tc>
            </w:tr>
            <w:tr w14:paraId="7CB16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7CA701ED">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lang w:val="en-US" w:eastAsia="zh-CN"/>
                    </w:rPr>
                    <w:t>一次白米分级粉尘、一次抛光粉尘、二次色选粉尘排放口</w:t>
                  </w:r>
                  <w:r>
                    <w:rPr>
                      <w:rFonts w:hint="eastAsia" w:ascii="Times New Roman" w:hAnsi="Times New Roman" w:cs="Times New Roman"/>
                      <w:color w:val="auto"/>
                      <w:sz w:val="21"/>
                      <w:szCs w:val="21"/>
                      <w:lang w:val="en-US" w:eastAsia="zh-CN"/>
                    </w:rPr>
                    <w:t>（DA002）</w:t>
                  </w:r>
                </w:p>
              </w:tc>
              <w:tc>
                <w:tcPr>
                  <w:tcW w:w="868" w:type="dxa"/>
                  <w:vMerge w:val="continue"/>
                  <w:shd w:val="clear" w:color="auto" w:fill="auto"/>
                  <w:vAlign w:val="center"/>
                </w:tcPr>
                <w:p w14:paraId="79E6E3C5">
                  <w:pPr>
                    <w:jc w:val="center"/>
                    <w:rPr>
                      <w:rFonts w:hint="default" w:ascii="Times New Roman" w:hAnsi="Times New Roman" w:cs="Times New Roman"/>
                      <w:color w:val="auto"/>
                      <w:szCs w:val="21"/>
                    </w:rPr>
                  </w:pPr>
                </w:p>
              </w:tc>
              <w:tc>
                <w:tcPr>
                  <w:tcW w:w="816" w:type="dxa"/>
                  <w:shd w:val="clear" w:color="auto" w:fill="auto"/>
                  <w:vAlign w:val="center"/>
                </w:tcPr>
                <w:p w14:paraId="58D0071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852" w:type="dxa"/>
                  <w:tcBorders>
                    <w:right w:val="single" w:color="auto" w:sz="4" w:space="0"/>
                  </w:tcBorders>
                  <w:shd w:val="clear" w:color="auto" w:fill="auto"/>
                  <w:vAlign w:val="center"/>
                </w:tcPr>
                <w:p w14:paraId="5609948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960" w:type="dxa"/>
                  <w:tcBorders>
                    <w:left w:val="single" w:color="auto" w:sz="4" w:space="0"/>
                  </w:tcBorders>
                  <w:shd w:val="clear" w:color="auto" w:fill="auto"/>
                  <w:vAlign w:val="center"/>
                </w:tcPr>
                <w:p w14:paraId="6D70BE1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0.012</w:t>
                  </w:r>
                </w:p>
              </w:tc>
              <w:tc>
                <w:tcPr>
                  <w:tcW w:w="1032" w:type="dxa"/>
                  <w:shd w:val="clear" w:color="auto" w:fill="auto"/>
                  <w:vAlign w:val="center"/>
                </w:tcPr>
                <w:p w14:paraId="2581574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0.012</w:t>
                  </w:r>
                </w:p>
              </w:tc>
              <w:tc>
                <w:tcPr>
                  <w:tcW w:w="840" w:type="dxa"/>
                  <w:vMerge w:val="continue"/>
                  <w:shd w:val="clear" w:color="auto" w:fill="auto"/>
                  <w:vAlign w:val="center"/>
                </w:tcPr>
                <w:p w14:paraId="49A1E78E">
                  <w:pPr>
                    <w:jc w:val="center"/>
                    <w:rPr>
                      <w:rFonts w:hint="default" w:ascii="Times New Roman" w:hAnsi="Times New Roman" w:cs="Times New Roman"/>
                      <w:color w:val="auto"/>
                      <w:szCs w:val="21"/>
                    </w:rPr>
                  </w:pPr>
                </w:p>
              </w:tc>
              <w:tc>
                <w:tcPr>
                  <w:tcW w:w="690" w:type="dxa"/>
                  <w:vMerge w:val="continue"/>
                  <w:shd w:val="clear" w:color="auto" w:fill="auto"/>
                  <w:vAlign w:val="center"/>
                </w:tcPr>
                <w:p w14:paraId="28DC64E5">
                  <w:pPr>
                    <w:jc w:val="center"/>
                    <w:rPr>
                      <w:rFonts w:hint="default" w:ascii="Times New Roman" w:hAnsi="Times New Roman" w:cs="Times New Roman"/>
                      <w:color w:val="auto"/>
                      <w:szCs w:val="21"/>
                    </w:rPr>
                  </w:pPr>
                </w:p>
              </w:tc>
              <w:tc>
                <w:tcPr>
                  <w:tcW w:w="897" w:type="dxa"/>
                  <w:vMerge w:val="continue"/>
                  <w:shd w:val="clear" w:color="auto" w:fill="auto"/>
                  <w:vAlign w:val="center"/>
                </w:tcPr>
                <w:p w14:paraId="7975AB21">
                  <w:pPr>
                    <w:jc w:val="center"/>
                    <w:rPr>
                      <w:rFonts w:hint="default" w:ascii="Times New Roman" w:hAnsi="Times New Roman" w:cs="Times New Roman"/>
                      <w:color w:val="auto"/>
                      <w:szCs w:val="21"/>
                    </w:rPr>
                  </w:pPr>
                </w:p>
              </w:tc>
            </w:tr>
            <w:tr w14:paraId="4005E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735946F6">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二次抛光粉尘、三次色选粉尘、二次白米分级粉尘、精选粉尘排放口</w:t>
                  </w:r>
                  <w:r>
                    <w:rPr>
                      <w:rFonts w:hint="eastAsia" w:ascii="Times New Roman" w:hAnsi="Times New Roman" w:cs="Times New Roman"/>
                      <w:color w:val="auto"/>
                      <w:sz w:val="21"/>
                      <w:szCs w:val="21"/>
                      <w:lang w:val="en-US" w:eastAsia="zh-CN"/>
                    </w:rPr>
                    <w:t>（DA003）</w:t>
                  </w:r>
                </w:p>
              </w:tc>
              <w:tc>
                <w:tcPr>
                  <w:tcW w:w="868" w:type="dxa"/>
                  <w:vMerge w:val="continue"/>
                  <w:shd w:val="clear" w:color="auto" w:fill="auto"/>
                  <w:vAlign w:val="center"/>
                </w:tcPr>
                <w:p w14:paraId="392F0458">
                  <w:pPr>
                    <w:jc w:val="center"/>
                    <w:rPr>
                      <w:rFonts w:hint="default" w:ascii="Times New Roman" w:hAnsi="Times New Roman" w:cs="Times New Roman"/>
                      <w:color w:val="auto"/>
                      <w:szCs w:val="21"/>
                    </w:rPr>
                  </w:pPr>
                </w:p>
              </w:tc>
              <w:tc>
                <w:tcPr>
                  <w:tcW w:w="816" w:type="dxa"/>
                  <w:shd w:val="clear" w:color="auto" w:fill="auto"/>
                  <w:vAlign w:val="center"/>
                </w:tcPr>
                <w:p w14:paraId="0363EECE">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852" w:type="dxa"/>
                  <w:tcBorders>
                    <w:right w:val="single" w:color="auto" w:sz="4" w:space="0"/>
                  </w:tcBorders>
                  <w:shd w:val="clear" w:color="auto" w:fill="auto"/>
                  <w:vAlign w:val="center"/>
                </w:tcPr>
                <w:p w14:paraId="601385D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1.5</w:t>
                  </w:r>
                </w:p>
              </w:tc>
              <w:tc>
                <w:tcPr>
                  <w:tcW w:w="960" w:type="dxa"/>
                  <w:tcBorders>
                    <w:left w:val="single" w:color="auto" w:sz="4" w:space="0"/>
                  </w:tcBorders>
                  <w:shd w:val="clear" w:color="auto" w:fill="auto"/>
                  <w:vAlign w:val="center"/>
                </w:tcPr>
                <w:p w14:paraId="00DE459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0.012</w:t>
                  </w:r>
                </w:p>
              </w:tc>
              <w:tc>
                <w:tcPr>
                  <w:tcW w:w="1032" w:type="dxa"/>
                  <w:shd w:val="clear" w:color="auto" w:fill="auto"/>
                  <w:vAlign w:val="center"/>
                </w:tcPr>
                <w:p w14:paraId="6E561320">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0.012</w:t>
                  </w:r>
                </w:p>
              </w:tc>
              <w:tc>
                <w:tcPr>
                  <w:tcW w:w="840" w:type="dxa"/>
                  <w:vMerge w:val="continue"/>
                  <w:shd w:val="clear" w:color="auto" w:fill="auto"/>
                  <w:vAlign w:val="center"/>
                </w:tcPr>
                <w:p w14:paraId="72E64A3A">
                  <w:pPr>
                    <w:jc w:val="center"/>
                    <w:rPr>
                      <w:rFonts w:hint="default" w:ascii="Times New Roman" w:hAnsi="Times New Roman" w:cs="Times New Roman"/>
                      <w:color w:val="auto"/>
                      <w:szCs w:val="21"/>
                    </w:rPr>
                  </w:pPr>
                </w:p>
              </w:tc>
              <w:tc>
                <w:tcPr>
                  <w:tcW w:w="690" w:type="dxa"/>
                  <w:vMerge w:val="continue"/>
                  <w:shd w:val="clear" w:color="auto" w:fill="auto"/>
                  <w:vAlign w:val="center"/>
                </w:tcPr>
                <w:p w14:paraId="4A01FF14">
                  <w:pPr>
                    <w:jc w:val="center"/>
                    <w:rPr>
                      <w:rFonts w:hint="default" w:ascii="Times New Roman" w:hAnsi="Times New Roman" w:cs="Times New Roman"/>
                      <w:color w:val="auto"/>
                      <w:szCs w:val="21"/>
                    </w:rPr>
                  </w:pPr>
                </w:p>
              </w:tc>
              <w:tc>
                <w:tcPr>
                  <w:tcW w:w="897" w:type="dxa"/>
                  <w:vMerge w:val="continue"/>
                  <w:shd w:val="clear" w:color="auto" w:fill="auto"/>
                  <w:vAlign w:val="center"/>
                </w:tcPr>
                <w:p w14:paraId="4AE7D540">
                  <w:pPr>
                    <w:jc w:val="center"/>
                    <w:rPr>
                      <w:rFonts w:hint="default" w:ascii="Times New Roman" w:hAnsi="Times New Roman" w:cs="Times New Roman"/>
                      <w:color w:val="auto"/>
                      <w:szCs w:val="21"/>
                    </w:rPr>
                  </w:pPr>
                </w:p>
              </w:tc>
            </w:tr>
          </w:tbl>
          <w:p w14:paraId="45248DE7">
            <w:p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废气污染源监测计划</w:t>
            </w:r>
          </w:p>
          <w:p w14:paraId="7698C347">
            <w:pPr>
              <w:spacing w:line="360" w:lineRule="auto"/>
              <w:ind w:firstLine="480" w:firstLineChars="200"/>
              <w:outlineLvl w:val="0"/>
              <w:rPr>
                <w:rFonts w:hint="default" w:ascii="Times New Roman" w:hAnsi="Times New Roman" w:cs="Times New Roman"/>
                <w:color w:val="auto"/>
                <w:sz w:val="24"/>
                <w:szCs w:val="24"/>
              </w:rPr>
            </w:pPr>
            <w:bookmarkStart w:id="10" w:name="_Toc2507"/>
            <w:bookmarkStart w:id="11" w:name="_Toc19355"/>
            <w:r>
              <w:rPr>
                <w:rFonts w:hint="default" w:ascii="Times New Roman" w:hAnsi="Times New Roman" w:cs="Times New Roman"/>
                <w:color w:val="auto"/>
                <w:sz w:val="24"/>
                <w:szCs w:val="24"/>
                <w:lang w:val="en-US" w:eastAsia="zh-CN"/>
              </w:rPr>
              <w:t>参照《排污单位自行监测技术指南 农副食品加工业》（HJ986-2018）</w:t>
            </w:r>
            <w:r>
              <w:rPr>
                <w:rFonts w:hint="default" w:ascii="Times New Roman" w:hAnsi="Times New Roman" w:cs="Times New Roman"/>
                <w:color w:val="auto"/>
                <w:sz w:val="24"/>
                <w:szCs w:val="24"/>
              </w:rPr>
              <w:t>，建设项目废气污染源监测计划详见表4-</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bookmarkEnd w:id="10"/>
            <w:bookmarkEnd w:id="11"/>
          </w:p>
          <w:p w14:paraId="038DDE84">
            <w:pPr>
              <w:spacing w:line="360" w:lineRule="auto"/>
              <w:ind w:firstLine="422" w:firstLineChars="200"/>
              <w:jc w:val="center"/>
              <w:outlineLvl w:val="0"/>
              <w:rPr>
                <w:rFonts w:hint="default" w:ascii="Times New Roman" w:hAnsi="Times New Roman" w:cs="Times New Roman"/>
                <w:b/>
                <w:color w:val="auto"/>
                <w:szCs w:val="21"/>
              </w:rPr>
            </w:pPr>
            <w:bookmarkStart w:id="12" w:name="_Toc19180"/>
            <w:bookmarkStart w:id="13" w:name="_Toc11439"/>
          </w:p>
          <w:p w14:paraId="012920C0">
            <w:pPr>
              <w:spacing w:line="360" w:lineRule="auto"/>
              <w:ind w:firstLine="422" w:firstLineChars="200"/>
              <w:jc w:val="center"/>
              <w:outlineLvl w:val="0"/>
              <w:rPr>
                <w:rFonts w:hint="default" w:ascii="Times New Roman" w:hAnsi="Times New Roman" w:cs="Times New Roman"/>
                <w:b/>
                <w:color w:val="auto"/>
                <w:szCs w:val="21"/>
              </w:rPr>
            </w:pPr>
          </w:p>
          <w:p w14:paraId="6D7AA9F1">
            <w:pPr>
              <w:spacing w:line="360" w:lineRule="auto"/>
              <w:ind w:firstLine="422" w:firstLineChars="200"/>
              <w:jc w:val="center"/>
              <w:outlineLvl w:val="0"/>
              <w:rPr>
                <w:rFonts w:hint="default" w:ascii="Times New Roman" w:hAnsi="Times New Roman" w:cs="Times New Roman"/>
                <w:b/>
                <w:color w:val="auto"/>
                <w:szCs w:val="21"/>
              </w:rPr>
            </w:pPr>
          </w:p>
          <w:p w14:paraId="64D01025">
            <w:pPr>
              <w:spacing w:line="360" w:lineRule="auto"/>
              <w:ind w:firstLine="422" w:firstLineChars="200"/>
              <w:jc w:val="center"/>
              <w:outlineLvl w:val="0"/>
              <w:rPr>
                <w:rFonts w:hint="default" w:ascii="Times New Roman" w:hAnsi="Times New Roman" w:cs="Times New Roman"/>
                <w:b/>
                <w:color w:val="auto"/>
                <w:szCs w:val="21"/>
              </w:rPr>
            </w:pPr>
          </w:p>
          <w:p w14:paraId="1758253D">
            <w:pPr>
              <w:spacing w:line="360" w:lineRule="auto"/>
              <w:ind w:firstLine="422" w:firstLineChars="200"/>
              <w:jc w:val="center"/>
              <w:outlineLvl w:val="0"/>
              <w:rPr>
                <w:rFonts w:hint="default" w:ascii="Times New Roman" w:hAnsi="Times New Roman" w:cs="Times New Roman"/>
                <w:b/>
                <w:color w:val="auto"/>
                <w:szCs w:val="21"/>
              </w:rPr>
            </w:pPr>
          </w:p>
          <w:p w14:paraId="0B69A5D1">
            <w:pPr>
              <w:spacing w:line="240" w:lineRule="auto"/>
              <w:ind w:firstLine="422" w:firstLineChars="200"/>
              <w:jc w:val="center"/>
              <w:outlineLvl w:val="0"/>
              <w:rPr>
                <w:rFonts w:hint="default" w:ascii="Times New Roman" w:hAnsi="Times New Roman" w:cs="Times New Roman"/>
                <w:b/>
                <w:color w:val="auto"/>
                <w:szCs w:val="21"/>
              </w:rPr>
            </w:pPr>
          </w:p>
          <w:p w14:paraId="06D1E515">
            <w:pPr>
              <w:spacing w:line="240" w:lineRule="auto"/>
              <w:ind w:firstLine="422" w:firstLineChars="200"/>
              <w:jc w:val="center"/>
              <w:outlineLvl w:val="0"/>
              <w:rPr>
                <w:rFonts w:hint="default" w:ascii="Times New Roman" w:hAnsi="Times New Roman" w:cs="Times New Roman"/>
                <w:b/>
                <w:color w:val="auto"/>
                <w:szCs w:val="21"/>
              </w:rPr>
            </w:pPr>
          </w:p>
          <w:p w14:paraId="25292BE6">
            <w:pPr>
              <w:spacing w:line="240" w:lineRule="auto"/>
              <w:ind w:firstLine="422" w:firstLineChars="200"/>
              <w:jc w:val="center"/>
              <w:outlineLvl w:val="0"/>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 xml:space="preserve"> 建设项目废气污染源监测计划一览表</w:t>
            </w:r>
            <w:bookmarkEnd w:id="12"/>
            <w:bookmarkEnd w:id="13"/>
          </w:p>
          <w:tbl>
            <w:tblPr>
              <w:tblStyle w:val="46"/>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6"/>
              <w:gridCol w:w="2052"/>
              <w:gridCol w:w="2159"/>
            </w:tblGrid>
            <w:tr w14:paraId="2878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6" w:type="dxa"/>
                  <w:vAlign w:val="center"/>
                </w:tcPr>
                <w:p w14:paraId="582D1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2052" w:type="dxa"/>
                  <w:vAlign w:val="center"/>
                </w:tcPr>
                <w:p w14:paraId="7C251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监测因子</w:t>
                  </w:r>
                </w:p>
              </w:tc>
              <w:tc>
                <w:tcPr>
                  <w:tcW w:w="2159" w:type="dxa"/>
                  <w:vAlign w:val="center"/>
                </w:tcPr>
                <w:p w14:paraId="2E47E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4B95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6" w:type="dxa"/>
                  <w:vAlign w:val="center"/>
                </w:tcPr>
                <w:p w14:paraId="60D81C54">
                  <w:pPr>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lang w:val="en-US" w:eastAsia="zh-CN"/>
                    </w:rPr>
                    <w:t>卸料粉尘、除杂粉尘、去石粉尘、砻谷粉尘、谷糙分离粉尘、一次色选粉尘、碾米粉尘排放口</w:t>
                  </w:r>
                  <w:r>
                    <w:rPr>
                      <w:rFonts w:hint="eastAsia" w:ascii="Times New Roman" w:hAnsi="Times New Roman" w:cs="Times New Roman"/>
                      <w:color w:val="auto"/>
                      <w:sz w:val="21"/>
                      <w:szCs w:val="21"/>
                      <w:lang w:val="en-US" w:eastAsia="zh-CN"/>
                    </w:rPr>
                    <w:t>（DA001）</w:t>
                  </w:r>
                </w:p>
              </w:tc>
              <w:tc>
                <w:tcPr>
                  <w:tcW w:w="2052" w:type="dxa"/>
                  <w:vAlign w:val="center"/>
                </w:tcPr>
                <w:p w14:paraId="19D2B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159" w:type="dxa"/>
                  <w:vAlign w:val="center"/>
                </w:tcPr>
                <w:p w14:paraId="59643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r>
            <w:tr w14:paraId="2F41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6" w:type="dxa"/>
                  <w:vAlign w:val="center"/>
                </w:tcPr>
                <w:p w14:paraId="590BB2CC">
                  <w:pPr>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lang w:val="en-US" w:eastAsia="zh-CN"/>
                    </w:rPr>
                    <w:t>一次白米分级粉尘、一次抛光粉尘、二次色选粉尘排放口</w:t>
                  </w:r>
                  <w:r>
                    <w:rPr>
                      <w:rFonts w:hint="eastAsia" w:ascii="Times New Roman" w:hAnsi="Times New Roman" w:cs="Times New Roman"/>
                      <w:color w:val="auto"/>
                      <w:sz w:val="21"/>
                      <w:szCs w:val="21"/>
                      <w:lang w:val="en-US" w:eastAsia="zh-CN"/>
                    </w:rPr>
                    <w:t>（DA002）</w:t>
                  </w:r>
                </w:p>
              </w:tc>
              <w:tc>
                <w:tcPr>
                  <w:tcW w:w="2052" w:type="dxa"/>
                  <w:vAlign w:val="center"/>
                </w:tcPr>
                <w:p w14:paraId="13B95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颗粒物</w:t>
                  </w:r>
                </w:p>
              </w:tc>
              <w:tc>
                <w:tcPr>
                  <w:tcW w:w="2159" w:type="dxa"/>
                  <w:vAlign w:val="center"/>
                </w:tcPr>
                <w:p w14:paraId="6856A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r>
            <w:tr w14:paraId="62BD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6" w:type="dxa"/>
                  <w:vAlign w:val="center"/>
                </w:tcPr>
                <w:p w14:paraId="73513DB5">
                  <w:pPr>
                    <w:spacing w:line="240" w:lineRule="auto"/>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sz w:val="21"/>
                      <w:szCs w:val="21"/>
                      <w:lang w:val="en-US" w:eastAsia="zh-CN"/>
                    </w:rPr>
                    <w:t>二次抛光粉尘、三次色选粉尘、二次白米分级粉尘、精选粉尘排放口</w:t>
                  </w:r>
                  <w:r>
                    <w:rPr>
                      <w:rFonts w:hint="eastAsia" w:ascii="Times New Roman" w:hAnsi="Times New Roman" w:cs="Times New Roman"/>
                      <w:color w:val="auto"/>
                      <w:sz w:val="21"/>
                      <w:szCs w:val="21"/>
                      <w:lang w:val="en-US" w:eastAsia="zh-CN"/>
                    </w:rPr>
                    <w:t>（DA003）</w:t>
                  </w:r>
                </w:p>
              </w:tc>
              <w:tc>
                <w:tcPr>
                  <w:tcW w:w="2052" w:type="dxa"/>
                  <w:vAlign w:val="center"/>
                </w:tcPr>
                <w:p w14:paraId="3A696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2159" w:type="dxa"/>
                  <w:vAlign w:val="center"/>
                </w:tcPr>
                <w:p w14:paraId="5CA9E5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r>
            <w:tr w14:paraId="55E2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6" w:type="dxa"/>
                  <w:vAlign w:val="center"/>
                </w:tcPr>
                <w:p w14:paraId="6140E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无组织排放厂界监控点</w:t>
                  </w:r>
                </w:p>
              </w:tc>
              <w:tc>
                <w:tcPr>
                  <w:tcW w:w="2052" w:type="dxa"/>
                  <w:vAlign w:val="center"/>
                </w:tcPr>
                <w:p w14:paraId="5BC8F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159" w:type="dxa"/>
                  <w:vAlign w:val="center"/>
                </w:tcPr>
                <w:p w14:paraId="77C328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r>
          </w:tbl>
          <w:p w14:paraId="6A4B58D0">
            <w:pPr>
              <w:spacing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6</w:t>
            </w:r>
            <w:r>
              <w:rPr>
                <w:rFonts w:hint="default" w:ascii="Times New Roman" w:hAnsi="Times New Roman" w:cs="Times New Roman"/>
                <w:b/>
                <w:color w:val="auto"/>
                <w:sz w:val="24"/>
                <w:szCs w:val="24"/>
              </w:rPr>
              <w:t>大气环境影响</w:t>
            </w:r>
            <w:r>
              <w:rPr>
                <w:rFonts w:hint="eastAsia" w:cs="Times New Roman"/>
                <w:b/>
                <w:color w:val="auto"/>
                <w:sz w:val="24"/>
                <w:szCs w:val="24"/>
                <w:lang w:val="en-US" w:eastAsia="zh-CN"/>
              </w:rPr>
              <w:t>评价结论</w:t>
            </w:r>
          </w:p>
          <w:p w14:paraId="05861A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w:t>
            </w:r>
            <w:r>
              <w:rPr>
                <w:rFonts w:hint="eastAsia" w:cs="Times New Roman"/>
                <w:color w:val="auto"/>
                <w:kern w:val="0"/>
                <w:sz w:val="24"/>
                <w:szCs w:val="24"/>
                <w:lang w:val="en-US" w:eastAsia="zh-CN" w:bidi="ar"/>
              </w:rPr>
              <w:t>每台清理筛、</w:t>
            </w:r>
            <w:r>
              <w:rPr>
                <w:rFonts w:hint="eastAsia" w:ascii="Times New Roman" w:hAnsi="Times New Roman" w:cs="Times New Roman"/>
                <w:color w:val="auto"/>
                <w:kern w:val="0"/>
                <w:sz w:val="24"/>
                <w:szCs w:val="24"/>
                <w:lang w:val="en-US" w:eastAsia="zh-CN" w:bidi="ar"/>
              </w:rPr>
              <w:t>去石</w:t>
            </w:r>
            <w:r>
              <w:rPr>
                <w:rFonts w:hint="eastAsia" w:cs="Times New Roman"/>
                <w:color w:val="auto"/>
                <w:kern w:val="0"/>
                <w:sz w:val="24"/>
                <w:szCs w:val="24"/>
                <w:lang w:val="en-US" w:eastAsia="zh-CN" w:bidi="ar"/>
              </w:rPr>
              <w:t>机、</w:t>
            </w:r>
            <w:r>
              <w:rPr>
                <w:rFonts w:hint="eastAsia" w:ascii="Times New Roman" w:hAnsi="Times New Roman" w:cs="Times New Roman"/>
                <w:color w:val="auto"/>
                <w:kern w:val="0"/>
                <w:sz w:val="24"/>
                <w:szCs w:val="24"/>
                <w:lang w:val="en-US" w:eastAsia="zh-CN" w:bidi="ar"/>
              </w:rPr>
              <w:t>碾米机先设置1套旋风除尘器除尘，共设置6套旋风除尘器，除杂粉尘、</w:t>
            </w:r>
            <w:r>
              <w:rPr>
                <w:rFonts w:hint="eastAsia" w:cs="Times New Roman"/>
                <w:color w:val="auto"/>
                <w:kern w:val="0"/>
                <w:sz w:val="24"/>
                <w:szCs w:val="24"/>
                <w:lang w:val="en-US" w:eastAsia="zh-CN" w:bidi="ar"/>
              </w:rPr>
              <w:t>去石粉尘、</w:t>
            </w:r>
            <w:r>
              <w:rPr>
                <w:rFonts w:hint="eastAsia" w:ascii="Times New Roman" w:hAnsi="Times New Roman" w:cs="Times New Roman"/>
                <w:color w:val="auto"/>
                <w:kern w:val="0"/>
                <w:sz w:val="24"/>
                <w:szCs w:val="24"/>
                <w:lang w:val="en-US" w:eastAsia="zh-CN" w:bidi="ar"/>
              </w:rPr>
              <w:t>碾米粉尘经密闭管道收集经并</w:t>
            </w:r>
            <w:r>
              <w:rPr>
                <w:rFonts w:hint="eastAsia" w:cs="Times New Roman"/>
                <w:color w:val="auto"/>
                <w:kern w:val="0"/>
                <w:sz w:val="24"/>
                <w:szCs w:val="24"/>
                <w:lang w:val="en-US" w:eastAsia="zh-CN" w:bidi="ar"/>
              </w:rPr>
              <w:t>联</w:t>
            </w:r>
            <w:r>
              <w:rPr>
                <w:rFonts w:hint="eastAsia" w:ascii="Times New Roman" w:hAnsi="Times New Roman" w:cs="Times New Roman"/>
                <w:color w:val="auto"/>
                <w:kern w:val="0"/>
                <w:sz w:val="24"/>
                <w:szCs w:val="24"/>
                <w:lang w:val="en-US" w:eastAsia="zh-CN" w:bidi="ar"/>
              </w:rPr>
              <w:t>6套旋风除尘器处理后，</w:t>
            </w:r>
            <w:r>
              <w:rPr>
                <w:rFonts w:hint="eastAsia" w:cs="Times New Roman"/>
                <w:color w:val="auto"/>
                <w:kern w:val="0"/>
                <w:sz w:val="24"/>
                <w:szCs w:val="24"/>
                <w:lang w:val="en-US" w:eastAsia="zh-CN" w:bidi="ar"/>
              </w:rPr>
              <w:t>再</w:t>
            </w:r>
            <w:r>
              <w:rPr>
                <w:rFonts w:hint="eastAsia" w:ascii="Times New Roman" w:hAnsi="Times New Roman" w:cs="Times New Roman"/>
                <w:color w:val="auto"/>
                <w:kern w:val="0"/>
                <w:sz w:val="24"/>
                <w:szCs w:val="24"/>
                <w:lang w:val="en-US" w:eastAsia="zh-CN" w:bidi="ar"/>
              </w:rPr>
              <w:t>与经集气罩收集的卸粮粉尘，密闭管道收集的砻谷粉尘、谷糙分离粉尘、一次色选粉尘，共同经1套脉冲除尘器处理，尾气经1根15m高排气筒（DA001）有组织排放。项目</w:t>
            </w:r>
            <w:r>
              <w:rPr>
                <w:rFonts w:hint="eastAsia" w:ascii="宋体" w:hAnsi="宋体" w:cs="宋体"/>
                <w:color w:val="auto"/>
                <w:kern w:val="0"/>
                <w:sz w:val="24"/>
                <w:szCs w:val="24"/>
                <w:lang w:val="en-US" w:eastAsia="zh-CN" w:bidi="ar"/>
              </w:rPr>
              <w:t>一次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套旋风除尘器，项目一次抛光粉尘</w:t>
            </w:r>
            <w:r>
              <w:rPr>
                <w:rFonts w:hint="eastAsia" w:cs="Times New Roman"/>
                <w:color w:val="auto"/>
                <w:kern w:val="0"/>
                <w:sz w:val="24"/>
                <w:szCs w:val="24"/>
                <w:lang w:val="en-US" w:eastAsia="zh-CN" w:bidi="ar"/>
              </w:rPr>
              <w:t>分别</w:t>
            </w:r>
            <w:r>
              <w:rPr>
                <w:rFonts w:hint="eastAsia" w:ascii="Times New Roman" w:hAnsi="Times New Roman" w:cs="Times New Roman"/>
                <w:color w:val="auto"/>
                <w:kern w:val="0"/>
                <w:sz w:val="24"/>
                <w:szCs w:val="24"/>
                <w:lang w:val="en-US" w:eastAsia="zh-CN" w:bidi="ar"/>
              </w:rPr>
              <w:t>经2套旋风除尘器处理后，与一次白米分级粉尘、二次色选粉尘通过密闭管道收集，共同经1套脉冲除尘器处理，尾气经1根15米高排气筒（DA002）有组织排放。</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kern w:val="0"/>
                <w:sz w:val="24"/>
                <w:szCs w:val="24"/>
                <w:lang w:val="en-US" w:eastAsia="zh-CN" w:bidi="ar"/>
              </w:rPr>
              <w:t>项目</w:t>
            </w:r>
            <w:r>
              <w:rPr>
                <w:rFonts w:hint="default" w:ascii="Times New Roman" w:hAnsi="Times New Roman" w:cs="Times New Roman"/>
                <w:color w:val="auto"/>
                <w:kern w:val="0"/>
                <w:sz w:val="24"/>
                <w:szCs w:val="24"/>
                <w:lang w:val="en-US" w:eastAsia="zh-CN" w:bidi="ar"/>
              </w:rPr>
              <w:t>二次</w:t>
            </w:r>
            <w:r>
              <w:rPr>
                <w:rFonts w:hint="eastAsia" w:cs="Times New Roman"/>
                <w:color w:val="auto"/>
                <w:kern w:val="0"/>
                <w:sz w:val="24"/>
                <w:szCs w:val="24"/>
                <w:lang w:val="en-US" w:eastAsia="zh-CN" w:bidi="ar"/>
              </w:rPr>
              <w:t>抛光设置2台抛光机，每台抛光机</w:t>
            </w:r>
            <w:r>
              <w:rPr>
                <w:rFonts w:hint="eastAsia" w:ascii="Times New Roman" w:hAnsi="Times New Roman" w:cs="Times New Roman"/>
                <w:color w:val="auto"/>
                <w:kern w:val="0"/>
                <w:sz w:val="24"/>
                <w:szCs w:val="24"/>
                <w:lang w:val="en-US" w:eastAsia="zh-CN" w:bidi="ar"/>
              </w:rPr>
              <w:t>先设置1套旋风除尘器除尘，共设置</w:t>
            </w:r>
            <w:r>
              <w:rPr>
                <w:rFonts w:hint="eastAsia" w:cs="Times New Roman"/>
                <w:color w:val="auto"/>
                <w:kern w:val="0"/>
                <w:sz w:val="24"/>
                <w:szCs w:val="24"/>
                <w:lang w:val="en-US" w:eastAsia="zh-CN" w:bidi="ar"/>
              </w:rPr>
              <w:t>2</w:t>
            </w:r>
            <w:r>
              <w:rPr>
                <w:rFonts w:hint="eastAsia" w:ascii="Times New Roman" w:hAnsi="Times New Roman" w:cs="Times New Roman"/>
                <w:color w:val="auto"/>
                <w:kern w:val="0"/>
                <w:sz w:val="24"/>
                <w:szCs w:val="24"/>
                <w:lang w:val="en-US" w:eastAsia="zh-CN" w:bidi="ar"/>
              </w:rPr>
              <w:t>套旋风除尘器，项目二次抛光粉尘</w:t>
            </w:r>
            <w:r>
              <w:rPr>
                <w:rFonts w:hint="eastAsia" w:cs="Times New Roman"/>
                <w:color w:val="auto"/>
                <w:kern w:val="0"/>
                <w:sz w:val="24"/>
                <w:szCs w:val="24"/>
                <w:lang w:val="en-US" w:eastAsia="zh-CN" w:bidi="ar"/>
              </w:rPr>
              <w:t>先</w:t>
            </w:r>
            <w:r>
              <w:rPr>
                <w:rFonts w:hint="eastAsia" w:ascii="Times New Roman" w:hAnsi="Times New Roman" w:cs="Times New Roman"/>
                <w:color w:val="auto"/>
                <w:kern w:val="0"/>
                <w:sz w:val="24"/>
                <w:szCs w:val="24"/>
                <w:lang w:val="en-US" w:eastAsia="zh-CN" w:bidi="ar"/>
              </w:rPr>
              <w:t>经2套旋风除尘器处理后，与三次色选粉尘、二次白米分级粉尘、精选粉尘通过密闭管道收集，共同经1套脉冲除尘器处理，尾气1根15米高排气筒（DA003）有组织排放。本项目颗粒物排放</w:t>
            </w:r>
            <w:r>
              <w:rPr>
                <w:rFonts w:hint="default" w:ascii="Times New Roman" w:hAnsi="Times New Roman" w:cs="Times New Roman"/>
                <w:color w:val="auto"/>
                <w:sz w:val="24"/>
                <w:szCs w:val="24"/>
                <w:lang w:eastAsia="zh-CN"/>
              </w:rPr>
              <w:t>能够满足《大气污染物综合排放标准》（</w:t>
            </w:r>
            <w:r>
              <w:rPr>
                <w:rFonts w:hint="default" w:ascii="Times New Roman" w:hAnsi="Times New Roman" w:cs="Times New Roman"/>
                <w:color w:val="auto"/>
                <w:sz w:val="24"/>
                <w:szCs w:val="24"/>
                <w:lang w:val="en-US" w:eastAsia="zh-CN"/>
              </w:rPr>
              <w:t>GB16297-1996</w:t>
            </w:r>
            <w:r>
              <w:rPr>
                <w:rFonts w:hint="default" w:ascii="Times New Roman" w:hAnsi="Times New Roman" w:cs="Times New Roman"/>
                <w:color w:val="auto"/>
                <w:sz w:val="24"/>
                <w:szCs w:val="24"/>
                <w:lang w:eastAsia="zh-CN"/>
              </w:rPr>
              <w:t>）中相关限值标准要求，</w:t>
            </w:r>
            <w:r>
              <w:rPr>
                <w:rFonts w:hint="default" w:ascii="Times New Roman" w:hAnsi="Times New Roman" w:cs="Times New Roman"/>
                <w:color w:val="auto"/>
                <w:sz w:val="24"/>
                <w:szCs w:val="24"/>
              </w:rPr>
              <w:t>对周边大气环境影响较小。</w:t>
            </w:r>
          </w:p>
          <w:p w14:paraId="1D60CBB4">
            <w:pPr>
              <w:spacing w:line="360" w:lineRule="auto"/>
              <w:rPr>
                <w:b/>
                <w:color w:val="auto"/>
                <w:sz w:val="24"/>
                <w:szCs w:val="24"/>
              </w:rPr>
            </w:pPr>
            <w:r>
              <w:rPr>
                <w:rFonts w:hint="eastAsia"/>
                <w:b/>
                <w:color w:val="auto"/>
                <w:sz w:val="24"/>
                <w:szCs w:val="24"/>
              </w:rPr>
              <w:t>2、废水环境影响及保护措施</w:t>
            </w:r>
          </w:p>
          <w:p w14:paraId="0917D2D6">
            <w:pPr>
              <w:pStyle w:val="30"/>
              <w:spacing w:line="360" w:lineRule="auto"/>
              <w:ind w:firstLine="480" w:firstLineChars="200"/>
              <w:rPr>
                <w:rFonts w:hint="eastAsia" w:ascii="Times New Roman" w:hAnsi="Times New Roman" w:cs="Times New Roman"/>
                <w:bCs/>
                <w:color w:val="auto"/>
                <w:sz w:val="24"/>
                <w:szCs w:val="24"/>
                <w:lang w:val="en-US" w:eastAsia="zh-CN"/>
              </w:rPr>
            </w:pPr>
            <w:r>
              <w:rPr>
                <w:rFonts w:hint="default" w:ascii="Times New Roman" w:hAnsi="Times New Roman" w:cs="Times New Roman"/>
                <w:color w:val="auto"/>
                <w:sz w:val="24"/>
                <w:szCs w:val="24"/>
                <w:highlight w:val="none"/>
              </w:rPr>
              <w:t>根据建设项目特点及水平衡图，本项目产生的废水主要为生活污水。</w:t>
            </w:r>
            <w:r>
              <w:rPr>
                <w:rFonts w:hint="default" w:ascii="Times New Roman" w:hAnsi="Times New Roman" w:cs="Times New Roman"/>
                <w:color w:val="auto"/>
                <w:sz w:val="24"/>
              </w:rPr>
              <w:t>本项目生活污水</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量为</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rPr>
              <w:t>/d</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生活污水经化粪池处理后定期清掏</w:t>
            </w:r>
            <w:r>
              <w:rPr>
                <w:rFonts w:hint="eastAsia" w:cs="Times New Roman"/>
                <w:bCs/>
                <w:color w:val="auto"/>
                <w:sz w:val="24"/>
                <w:szCs w:val="24"/>
                <w:lang w:val="en-US" w:eastAsia="zh-CN"/>
              </w:rPr>
              <w:t>用于农田施肥</w:t>
            </w:r>
            <w:r>
              <w:rPr>
                <w:rFonts w:hint="eastAsia" w:ascii="Times New Roman" w:hAnsi="Times New Roman" w:cs="Times New Roman"/>
                <w:bCs/>
                <w:color w:val="auto"/>
                <w:sz w:val="24"/>
                <w:szCs w:val="24"/>
                <w:lang w:val="en-US" w:eastAsia="zh-CN"/>
              </w:rPr>
              <w:t>，不外排。</w:t>
            </w:r>
          </w:p>
          <w:p w14:paraId="4A1B2DB4">
            <w:pPr>
              <w:spacing w:line="360" w:lineRule="auto"/>
              <w:rPr>
                <w:b/>
                <w:color w:val="auto"/>
                <w:sz w:val="24"/>
                <w:szCs w:val="24"/>
              </w:rPr>
            </w:pPr>
            <w:r>
              <w:rPr>
                <w:rFonts w:hint="eastAsia"/>
                <w:b/>
                <w:color w:val="auto"/>
                <w:sz w:val="24"/>
                <w:szCs w:val="24"/>
              </w:rPr>
              <w:t>3、噪声环境影响及保护措施</w:t>
            </w:r>
          </w:p>
          <w:p w14:paraId="70C55B94">
            <w:pPr>
              <w:spacing w:line="360" w:lineRule="auto"/>
              <w:rPr>
                <w:b/>
                <w:color w:val="auto"/>
                <w:sz w:val="24"/>
                <w:szCs w:val="24"/>
              </w:rPr>
            </w:pPr>
            <w:r>
              <w:rPr>
                <w:rFonts w:hint="eastAsia"/>
                <w:b/>
                <w:color w:val="auto"/>
                <w:sz w:val="24"/>
                <w:szCs w:val="24"/>
              </w:rPr>
              <w:t>3.1建设项目声源情况</w:t>
            </w:r>
          </w:p>
          <w:p w14:paraId="2A94A76F">
            <w:pPr>
              <w:pStyle w:val="31"/>
              <w:spacing w:line="360" w:lineRule="auto"/>
              <w:ind w:firstLine="480" w:firstLineChars="200"/>
              <w:jc w:val="left"/>
              <w:rPr>
                <w:rFonts w:hint="default"/>
                <w:color w:val="auto"/>
              </w:rPr>
            </w:pPr>
            <w:r>
              <w:rPr>
                <w:rFonts w:hint="default" w:ascii="Times New Roman" w:hAnsi="Times New Roman" w:eastAsia="宋体" w:cs="Times New Roman"/>
                <w:color w:val="auto"/>
                <w:sz w:val="24"/>
                <w:szCs w:val="24"/>
              </w:rPr>
              <w:t>本项目在生产过程中，噪声主要来源于</w:t>
            </w:r>
            <w:r>
              <w:rPr>
                <w:rFonts w:hint="default" w:ascii="Times New Roman" w:hAnsi="Times New Roman" w:eastAsia="宋体" w:cs="Times New Roman"/>
                <w:color w:val="auto"/>
                <w:sz w:val="24"/>
                <w:szCs w:val="24"/>
                <w:lang w:val="en-US" w:eastAsia="zh-CN"/>
              </w:rPr>
              <w:t>清理筛</w:t>
            </w:r>
            <w:r>
              <w:rPr>
                <w:rFonts w:hint="eastAsia"/>
                <w:color w:val="auto"/>
                <w:sz w:val="24"/>
                <w:szCs w:val="24"/>
                <w:lang w:val="en-US" w:eastAsia="zh-CN"/>
              </w:rPr>
              <w:t>、去石机、</w:t>
            </w:r>
            <w:r>
              <w:rPr>
                <w:rFonts w:hint="eastAsia" w:ascii="Times New Roman" w:hAnsi="Times New Roman"/>
                <w:color w:val="auto"/>
                <w:sz w:val="24"/>
                <w:szCs w:val="24"/>
                <w:lang w:val="en-US" w:eastAsia="zh-CN"/>
              </w:rPr>
              <w:t>砻谷机、碾米机、谷糙分离机</w:t>
            </w:r>
            <w:r>
              <w:rPr>
                <w:rFonts w:hint="eastAsia" w:hAnsi="Times New Roman"/>
                <w:color w:val="auto"/>
                <w:lang w:val="en-US" w:eastAsia="zh-CN"/>
              </w:rPr>
              <w:t>、</w:t>
            </w:r>
            <w:r>
              <w:rPr>
                <w:rFonts w:hint="eastAsia" w:ascii="Times New Roman" w:hAnsi="Times New Roman"/>
                <w:color w:val="auto"/>
                <w:sz w:val="24"/>
                <w:szCs w:val="24"/>
                <w:lang w:val="en-US" w:eastAsia="zh-CN"/>
              </w:rPr>
              <w:t>白米分级筛、抛光机、色选机、精选机</w:t>
            </w:r>
            <w:r>
              <w:rPr>
                <w:rFonts w:hint="eastAsia"/>
                <w:color w:val="auto"/>
                <w:sz w:val="24"/>
                <w:szCs w:val="24"/>
                <w:lang w:val="en-US" w:eastAsia="zh-CN"/>
              </w:rPr>
              <w:t>、电子定量包装</w:t>
            </w:r>
            <w:r>
              <w:rPr>
                <w:rFonts w:hint="eastAsia" w:ascii="Times New Roman" w:hAnsi="Times New Roman"/>
                <w:color w:val="auto"/>
                <w:sz w:val="24"/>
                <w:szCs w:val="24"/>
                <w:lang w:val="en-US" w:eastAsia="zh-CN"/>
              </w:rPr>
              <w:t>秤</w:t>
            </w:r>
            <w:r>
              <w:rPr>
                <w:rFonts w:hint="eastAsia" w:cs="Times New Roman"/>
                <w:color w:val="auto"/>
                <w:sz w:val="24"/>
                <w:szCs w:val="24"/>
                <w:lang w:val="en-US" w:eastAsia="zh-CN"/>
              </w:rPr>
              <w:t>以及风机等</w:t>
            </w:r>
            <w:r>
              <w:rPr>
                <w:rFonts w:hint="default" w:ascii="Times New Roman" w:hAnsi="Times New Roman" w:eastAsia="宋体" w:cs="Times New Roman"/>
                <w:color w:val="auto"/>
                <w:sz w:val="24"/>
                <w:szCs w:val="24"/>
              </w:rPr>
              <w:t>设备的机械摩擦、机械振动</w:t>
            </w:r>
            <w:r>
              <w:rPr>
                <w:rFonts w:hint="default" w:ascii="Times New Roman" w:hAnsi="Times New Roman" w:cs="Times New Roman"/>
                <w:color w:val="auto"/>
                <w:sz w:val="24"/>
                <w:szCs w:val="24"/>
                <w:lang w:val="en-US" w:eastAsia="zh-CN"/>
              </w:rPr>
              <w:t>时</w:t>
            </w:r>
            <w:r>
              <w:rPr>
                <w:rFonts w:hint="default" w:ascii="Times New Roman" w:hAnsi="Times New Roman" w:eastAsia="宋体" w:cs="Times New Roman"/>
                <w:color w:val="auto"/>
                <w:sz w:val="24"/>
                <w:szCs w:val="24"/>
              </w:rPr>
              <w:t>所产生的机械噪声，根据不同噪声设备采取相应的降噪措施，详见下表</w:t>
            </w:r>
            <w:r>
              <w:rPr>
                <w:color w:val="auto"/>
                <w:sz w:val="24"/>
                <w:szCs w:val="28"/>
              </w:rPr>
              <w:t>。</w:t>
            </w:r>
          </w:p>
        </w:tc>
      </w:tr>
    </w:tbl>
    <w:p w14:paraId="3EAEE55A">
      <w:pPr>
        <w:spacing w:line="360" w:lineRule="auto"/>
        <w:ind w:firstLine="480" w:firstLineChars="200"/>
        <w:rPr>
          <w:color w:val="auto"/>
          <w:sz w:val="24"/>
        </w:rPr>
        <w:sectPr>
          <w:footerReference r:id="rId6" w:type="default"/>
          <w:pgSz w:w="11906" w:h="16838"/>
          <w:pgMar w:top="1417" w:right="1701" w:bottom="1417"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7"/>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835"/>
      </w:tblGrid>
      <w:tr w14:paraId="4DB1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0422EBB">
            <w:pPr>
              <w:spacing w:line="360" w:lineRule="auto"/>
              <w:jc w:val="center"/>
              <w:rPr>
                <w:color w:val="auto"/>
                <w:sz w:val="24"/>
              </w:rPr>
            </w:pPr>
            <w:r>
              <w:rPr>
                <w:rFonts w:hint="eastAsia" w:ascii="宋体" w:hAnsi="宋体"/>
                <w:bCs/>
                <w:color w:val="auto"/>
                <w:sz w:val="24"/>
                <w:szCs w:val="24"/>
              </w:rPr>
              <w:t>运营期环境影响和保护措施</w:t>
            </w:r>
          </w:p>
        </w:tc>
        <w:tc>
          <w:tcPr>
            <w:tcW w:w="12835" w:type="dxa"/>
            <w:vAlign w:val="center"/>
          </w:tcPr>
          <w:p w14:paraId="24EEA5F6">
            <w:pPr>
              <w:spacing w:line="240" w:lineRule="auto"/>
              <w:ind w:firstLine="0" w:firstLineChars="0"/>
              <w:jc w:val="center"/>
              <w:rPr>
                <w:b/>
                <w:color w:val="auto"/>
                <w:szCs w:val="21"/>
              </w:rPr>
            </w:pPr>
            <w:r>
              <w:rPr>
                <w:b/>
                <w:bCs/>
                <w:color w:val="auto"/>
              </w:rPr>
              <w:t>表</w:t>
            </w:r>
            <w:r>
              <w:rPr>
                <w:rFonts w:hint="eastAsia"/>
                <w:b/>
                <w:bCs/>
                <w:color w:val="auto"/>
                <w:lang w:val="en-US" w:eastAsia="zh-CN"/>
              </w:rPr>
              <w:t>4</w:t>
            </w:r>
            <w:r>
              <w:rPr>
                <w:rFonts w:hint="eastAsia"/>
                <w:b/>
                <w:bCs/>
                <w:color w:val="auto"/>
              </w:rPr>
              <w:t>-</w:t>
            </w:r>
            <w:r>
              <w:rPr>
                <w:rFonts w:hint="eastAsia"/>
                <w:b/>
                <w:bCs/>
                <w:color w:val="auto"/>
                <w:lang w:val="en-US" w:eastAsia="zh-CN"/>
              </w:rPr>
              <w:t>6</w:t>
            </w:r>
            <w:r>
              <w:rPr>
                <w:b/>
                <w:bCs/>
                <w:color w:val="auto"/>
              </w:rPr>
              <w:t xml:space="preserve"> </w:t>
            </w:r>
            <w:r>
              <w:rPr>
                <w:b/>
                <w:bCs/>
                <w:color w:val="auto"/>
                <w:szCs w:val="21"/>
              </w:rPr>
              <w:t>工</w:t>
            </w:r>
            <w:r>
              <w:rPr>
                <w:b/>
                <w:color w:val="auto"/>
                <w:szCs w:val="21"/>
              </w:rPr>
              <w:t>业企业噪声源强调查清单（室外声源）</w:t>
            </w:r>
            <w:r>
              <w:rPr>
                <w:rFonts w:hint="eastAsia"/>
                <w:b/>
                <w:bCs/>
                <w:color w:val="auto"/>
                <w:szCs w:val="21"/>
              </w:rPr>
              <w:t>（以项目区西南角为原点坐标）</w:t>
            </w:r>
          </w:p>
          <w:tbl>
            <w:tblPr>
              <w:tblStyle w:val="46"/>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422"/>
              <w:gridCol w:w="930"/>
              <w:gridCol w:w="1996"/>
              <w:gridCol w:w="1116"/>
              <w:gridCol w:w="930"/>
              <w:gridCol w:w="1096"/>
              <w:gridCol w:w="2054"/>
              <w:gridCol w:w="1122"/>
            </w:tblGrid>
            <w:tr w14:paraId="09C8D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0" w:type="pct"/>
                  <w:vMerge w:val="restart"/>
                  <w:tcBorders>
                    <w:left w:val="single" w:color="auto" w:sz="4" w:space="0"/>
                    <w:tl2br w:val="nil"/>
                    <w:tr2bl w:val="nil"/>
                  </w:tcBorders>
                  <w:noWrap/>
                  <w:vAlign w:val="center"/>
                </w:tcPr>
                <w:p w14:paraId="4EA8A23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生产工序</w:t>
                  </w:r>
                </w:p>
              </w:tc>
              <w:tc>
                <w:tcPr>
                  <w:tcW w:w="961" w:type="pct"/>
                  <w:vMerge w:val="restart"/>
                  <w:tcBorders>
                    <w:tl2br w:val="nil"/>
                    <w:tr2bl w:val="nil"/>
                  </w:tcBorders>
                  <w:noWrap/>
                  <w:vAlign w:val="center"/>
                </w:tcPr>
                <w:p w14:paraId="33FB4AB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声源名称</w:t>
                  </w:r>
                </w:p>
              </w:tc>
              <w:tc>
                <w:tcPr>
                  <w:tcW w:w="369" w:type="pct"/>
                  <w:vMerge w:val="restart"/>
                  <w:tcBorders>
                    <w:tl2br w:val="nil"/>
                    <w:tr2bl w:val="nil"/>
                  </w:tcBorders>
                  <w:noWrap/>
                  <w:vAlign w:val="center"/>
                </w:tcPr>
                <w:p w14:paraId="1A40E55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数量（台）</w:t>
                  </w:r>
                </w:p>
              </w:tc>
              <w:tc>
                <w:tcPr>
                  <w:tcW w:w="792" w:type="pct"/>
                  <w:tcBorders>
                    <w:tl2br w:val="nil"/>
                    <w:tr2bl w:val="nil"/>
                  </w:tcBorders>
                  <w:noWrap/>
                  <w:vAlign w:val="center"/>
                </w:tcPr>
                <w:p w14:paraId="365F3A3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声源源强</w:t>
                  </w:r>
                </w:p>
              </w:tc>
              <w:tc>
                <w:tcPr>
                  <w:tcW w:w="1246" w:type="pct"/>
                  <w:gridSpan w:val="3"/>
                  <w:tcBorders>
                    <w:bottom w:val="single" w:color="auto" w:sz="4" w:space="0"/>
                    <w:tl2br w:val="nil"/>
                    <w:tr2bl w:val="nil"/>
                  </w:tcBorders>
                  <w:noWrap/>
                  <w:vAlign w:val="center"/>
                </w:tcPr>
                <w:p w14:paraId="51706E6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空间相对位置/m</w:t>
                  </w:r>
                </w:p>
              </w:tc>
              <w:tc>
                <w:tcPr>
                  <w:tcW w:w="815" w:type="pct"/>
                  <w:vMerge w:val="restart"/>
                  <w:tcBorders>
                    <w:tl2br w:val="nil"/>
                    <w:tr2bl w:val="nil"/>
                  </w:tcBorders>
                  <w:noWrap/>
                  <w:vAlign w:val="center"/>
                </w:tcPr>
                <w:p w14:paraId="2A1C702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声源控制措施</w:t>
                  </w:r>
                </w:p>
              </w:tc>
              <w:tc>
                <w:tcPr>
                  <w:tcW w:w="445" w:type="pct"/>
                  <w:vMerge w:val="restart"/>
                  <w:tcBorders>
                    <w:tl2br w:val="nil"/>
                    <w:tr2bl w:val="nil"/>
                  </w:tcBorders>
                  <w:noWrap/>
                  <w:vAlign w:val="center"/>
                </w:tcPr>
                <w:p w14:paraId="64A9041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运行</w:t>
                  </w:r>
                </w:p>
                <w:p w14:paraId="00007B9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时段</w:t>
                  </w:r>
                </w:p>
              </w:tc>
            </w:tr>
            <w:tr w14:paraId="6B43F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0" w:type="pct"/>
                  <w:vMerge w:val="continue"/>
                  <w:tcBorders>
                    <w:left w:val="single" w:color="auto" w:sz="4" w:space="0"/>
                    <w:tl2br w:val="nil"/>
                    <w:tr2bl w:val="nil"/>
                  </w:tcBorders>
                  <w:noWrap/>
                  <w:vAlign w:val="center"/>
                </w:tcPr>
                <w:p w14:paraId="79989EA0">
                  <w:pPr>
                    <w:jc w:val="center"/>
                    <w:rPr>
                      <w:rFonts w:hint="eastAsia" w:ascii="Times New Roman" w:hAnsi="Times New Roman" w:eastAsia="宋体" w:cs="Times New Roman"/>
                      <w:color w:val="auto"/>
                      <w:lang w:val="en-US" w:eastAsia="zh-CN"/>
                    </w:rPr>
                  </w:pPr>
                </w:p>
              </w:tc>
              <w:tc>
                <w:tcPr>
                  <w:tcW w:w="961" w:type="pct"/>
                  <w:vMerge w:val="continue"/>
                  <w:tcBorders>
                    <w:tl2br w:val="nil"/>
                    <w:tr2bl w:val="nil"/>
                  </w:tcBorders>
                  <w:noWrap/>
                  <w:vAlign w:val="center"/>
                </w:tcPr>
                <w:p w14:paraId="535FB0BF">
                  <w:pPr>
                    <w:jc w:val="center"/>
                    <w:rPr>
                      <w:rFonts w:hint="eastAsia" w:ascii="Times New Roman" w:hAnsi="Times New Roman" w:eastAsia="宋体" w:cs="Times New Roman"/>
                      <w:color w:val="auto"/>
                      <w:lang w:val="en-US" w:eastAsia="zh-CN"/>
                    </w:rPr>
                  </w:pPr>
                </w:p>
              </w:tc>
              <w:tc>
                <w:tcPr>
                  <w:tcW w:w="369" w:type="pct"/>
                  <w:vMerge w:val="continue"/>
                  <w:tcBorders>
                    <w:tl2br w:val="nil"/>
                    <w:tr2bl w:val="nil"/>
                  </w:tcBorders>
                  <w:noWrap/>
                  <w:vAlign w:val="center"/>
                </w:tcPr>
                <w:p w14:paraId="41AB8871">
                  <w:pPr>
                    <w:jc w:val="center"/>
                    <w:rPr>
                      <w:rFonts w:hint="eastAsia" w:ascii="Times New Roman" w:hAnsi="Times New Roman" w:eastAsia="宋体" w:cs="Times New Roman"/>
                      <w:color w:val="auto"/>
                      <w:lang w:val="en-US" w:eastAsia="zh-CN"/>
                    </w:rPr>
                  </w:pPr>
                </w:p>
              </w:tc>
              <w:tc>
                <w:tcPr>
                  <w:tcW w:w="792" w:type="pct"/>
                  <w:tcBorders>
                    <w:top w:val="single" w:color="auto" w:sz="4" w:space="0"/>
                    <w:tl2br w:val="nil"/>
                    <w:tr2bl w:val="nil"/>
                  </w:tcBorders>
                  <w:noWrap/>
                  <w:vAlign w:val="center"/>
                </w:tcPr>
                <w:p w14:paraId="75D05A5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（声压级/距声源距离）/（dB（A）/m）</w:t>
                  </w:r>
                </w:p>
              </w:tc>
              <w:tc>
                <w:tcPr>
                  <w:tcW w:w="442" w:type="pct"/>
                  <w:tcBorders>
                    <w:top w:val="single" w:color="auto" w:sz="4" w:space="0"/>
                    <w:right w:val="single" w:color="auto" w:sz="4" w:space="0"/>
                    <w:tl2br w:val="nil"/>
                    <w:tr2bl w:val="nil"/>
                  </w:tcBorders>
                  <w:noWrap/>
                  <w:vAlign w:val="center"/>
                </w:tcPr>
                <w:p w14:paraId="3639507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X</w:t>
                  </w:r>
                </w:p>
              </w:tc>
              <w:tc>
                <w:tcPr>
                  <w:tcW w:w="369" w:type="pct"/>
                  <w:tcBorders>
                    <w:tl2br w:val="nil"/>
                    <w:tr2bl w:val="nil"/>
                  </w:tcBorders>
                  <w:noWrap/>
                  <w:vAlign w:val="center"/>
                </w:tcPr>
                <w:p w14:paraId="54905EA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Y</w:t>
                  </w:r>
                </w:p>
              </w:tc>
              <w:tc>
                <w:tcPr>
                  <w:tcW w:w="434" w:type="pct"/>
                  <w:tcBorders>
                    <w:tl2br w:val="nil"/>
                    <w:tr2bl w:val="nil"/>
                  </w:tcBorders>
                  <w:noWrap/>
                  <w:vAlign w:val="center"/>
                </w:tcPr>
                <w:p w14:paraId="45794D4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w:t>
                  </w:r>
                </w:p>
              </w:tc>
              <w:tc>
                <w:tcPr>
                  <w:tcW w:w="815" w:type="pct"/>
                  <w:vMerge w:val="continue"/>
                  <w:tcBorders>
                    <w:tl2br w:val="nil"/>
                    <w:tr2bl w:val="nil"/>
                  </w:tcBorders>
                  <w:noWrap/>
                  <w:vAlign w:val="center"/>
                </w:tcPr>
                <w:p w14:paraId="35A61275">
                  <w:pPr>
                    <w:jc w:val="center"/>
                    <w:rPr>
                      <w:rFonts w:hint="eastAsia" w:ascii="Times New Roman" w:hAnsi="Times New Roman" w:eastAsia="宋体" w:cs="Times New Roman"/>
                      <w:color w:val="auto"/>
                      <w:lang w:val="en-US" w:eastAsia="zh-CN"/>
                    </w:rPr>
                  </w:pPr>
                </w:p>
              </w:tc>
              <w:tc>
                <w:tcPr>
                  <w:tcW w:w="445" w:type="pct"/>
                  <w:vMerge w:val="continue"/>
                  <w:tcBorders>
                    <w:tl2br w:val="nil"/>
                    <w:tr2bl w:val="nil"/>
                  </w:tcBorders>
                  <w:noWrap/>
                  <w:vAlign w:val="center"/>
                </w:tcPr>
                <w:p w14:paraId="6789614E">
                  <w:pPr>
                    <w:jc w:val="center"/>
                    <w:rPr>
                      <w:rFonts w:hint="eastAsia" w:ascii="Times New Roman" w:hAnsi="Times New Roman" w:eastAsia="宋体" w:cs="Times New Roman"/>
                      <w:color w:val="auto"/>
                      <w:lang w:val="en-US" w:eastAsia="zh-CN"/>
                    </w:rPr>
                  </w:pPr>
                </w:p>
              </w:tc>
            </w:tr>
            <w:tr w14:paraId="0A371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0" w:type="pct"/>
                  <w:vMerge w:val="restart"/>
                  <w:tcBorders>
                    <w:tl2br w:val="nil"/>
                    <w:tr2bl w:val="nil"/>
                  </w:tcBorders>
                  <w:noWrap/>
                  <w:vAlign w:val="center"/>
                </w:tcPr>
                <w:p w14:paraId="72D3EC6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废气治理</w:t>
                  </w:r>
                </w:p>
              </w:tc>
              <w:tc>
                <w:tcPr>
                  <w:tcW w:w="961" w:type="pct"/>
                  <w:tcBorders>
                    <w:tl2br w:val="nil"/>
                    <w:tr2bl w:val="nil"/>
                  </w:tcBorders>
                  <w:noWrap/>
                  <w:vAlign w:val="center"/>
                </w:tcPr>
                <w:p w14:paraId="680E305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369" w:type="pct"/>
                  <w:tcBorders>
                    <w:tl2br w:val="nil"/>
                    <w:tr2bl w:val="nil"/>
                  </w:tcBorders>
                  <w:noWrap/>
                  <w:vAlign w:val="center"/>
                </w:tcPr>
                <w:p w14:paraId="4BF0D31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92" w:type="pct"/>
                  <w:tcBorders>
                    <w:top w:val="single" w:color="auto" w:sz="4" w:space="0"/>
                    <w:bottom w:val="single" w:color="auto" w:sz="4" w:space="0"/>
                    <w:tl2br w:val="nil"/>
                    <w:tr2bl w:val="nil"/>
                  </w:tcBorders>
                  <w:noWrap/>
                  <w:vAlign w:val="center"/>
                </w:tcPr>
                <w:p w14:paraId="32E6D90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r>
                    <w:rPr>
                      <w:rFonts w:hint="eastAsia" w:cs="Times New Roman"/>
                      <w:color w:val="auto"/>
                      <w:lang w:val="en-US" w:eastAsia="zh-CN"/>
                    </w:rPr>
                    <w:t>5</w:t>
                  </w:r>
                  <w:r>
                    <w:rPr>
                      <w:rFonts w:hint="eastAsia" w:ascii="Times New Roman" w:hAnsi="Times New Roman" w:eastAsia="宋体" w:cs="Times New Roman"/>
                      <w:color w:val="auto"/>
                      <w:lang w:val="en-US" w:eastAsia="zh-CN"/>
                    </w:rPr>
                    <w:t>/1</w:t>
                  </w:r>
                </w:p>
              </w:tc>
              <w:tc>
                <w:tcPr>
                  <w:tcW w:w="442" w:type="pct"/>
                  <w:tcBorders>
                    <w:top w:val="single" w:color="auto" w:sz="4" w:space="0"/>
                    <w:bottom w:val="single" w:color="auto" w:sz="4" w:space="0"/>
                    <w:tl2br w:val="nil"/>
                    <w:tr2bl w:val="nil"/>
                  </w:tcBorders>
                  <w:noWrap/>
                  <w:vAlign w:val="center"/>
                </w:tcPr>
                <w:p w14:paraId="2A9E07E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29</w:t>
                  </w:r>
                </w:p>
              </w:tc>
              <w:tc>
                <w:tcPr>
                  <w:tcW w:w="369" w:type="pct"/>
                  <w:tcBorders>
                    <w:tl2br w:val="nil"/>
                    <w:tr2bl w:val="nil"/>
                  </w:tcBorders>
                  <w:noWrap/>
                  <w:vAlign w:val="center"/>
                </w:tcPr>
                <w:p w14:paraId="4996EBF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434" w:type="pct"/>
                  <w:tcBorders>
                    <w:top w:val="single" w:color="auto" w:sz="4" w:space="0"/>
                    <w:bottom w:val="single" w:color="auto" w:sz="4" w:space="0"/>
                    <w:tl2br w:val="nil"/>
                    <w:tr2bl w:val="nil"/>
                  </w:tcBorders>
                  <w:noWrap/>
                  <w:vAlign w:val="center"/>
                </w:tcPr>
                <w:p w14:paraId="5CA53FA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815" w:type="pct"/>
                  <w:vMerge w:val="restart"/>
                  <w:tcBorders>
                    <w:top w:val="single" w:color="auto" w:sz="4" w:space="0"/>
                    <w:tl2br w:val="nil"/>
                    <w:tr2bl w:val="nil"/>
                  </w:tcBorders>
                  <w:noWrap/>
                  <w:vAlign w:val="center"/>
                </w:tcPr>
                <w:p w14:paraId="2B8FAD2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采取减振、消声等措施</w:t>
                  </w:r>
                </w:p>
              </w:tc>
              <w:tc>
                <w:tcPr>
                  <w:tcW w:w="445" w:type="pct"/>
                  <w:vMerge w:val="restart"/>
                  <w:tcBorders>
                    <w:tl2br w:val="nil"/>
                    <w:tr2bl w:val="nil"/>
                  </w:tcBorders>
                  <w:noWrap/>
                  <w:vAlign w:val="center"/>
                </w:tcPr>
                <w:p w14:paraId="095B330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8:00</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18:00</w:t>
                  </w:r>
                </w:p>
              </w:tc>
            </w:tr>
            <w:tr w14:paraId="77C3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ign w:val="center"/>
                </w:tcPr>
                <w:p w14:paraId="1FCE2B54">
                  <w:pPr>
                    <w:jc w:val="center"/>
                    <w:rPr>
                      <w:rFonts w:hint="eastAsia" w:ascii="Times New Roman" w:hAnsi="Times New Roman" w:eastAsia="宋体" w:cs="Times New Roman"/>
                      <w:color w:val="auto"/>
                      <w:lang w:val="en-US" w:eastAsia="zh-CN"/>
                    </w:rPr>
                  </w:pPr>
                </w:p>
              </w:tc>
              <w:tc>
                <w:tcPr>
                  <w:tcW w:w="961" w:type="pct"/>
                  <w:tcBorders>
                    <w:tl2br w:val="nil"/>
                    <w:tr2bl w:val="nil"/>
                  </w:tcBorders>
                  <w:noWrap/>
                  <w:vAlign w:val="center"/>
                </w:tcPr>
                <w:p w14:paraId="322EBCF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369" w:type="pct"/>
                  <w:tcBorders>
                    <w:tl2br w:val="nil"/>
                    <w:tr2bl w:val="nil"/>
                  </w:tcBorders>
                  <w:noWrap/>
                  <w:vAlign w:val="center"/>
                </w:tcPr>
                <w:p w14:paraId="02506F9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92" w:type="pct"/>
                  <w:tcBorders>
                    <w:top w:val="single" w:color="auto" w:sz="4" w:space="0"/>
                    <w:bottom w:val="single" w:color="auto" w:sz="4" w:space="0"/>
                    <w:tl2br w:val="nil"/>
                    <w:tr2bl w:val="nil"/>
                  </w:tcBorders>
                  <w:noWrap/>
                  <w:vAlign w:val="center"/>
                </w:tcPr>
                <w:p w14:paraId="0FA5EC1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r>
                    <w:rPr>
                      <w:rFonts w:hint="eastAsia" w:cs="Times New Roman"/>
                      <w:color w:val="auto"/>
                      <w:lang w:val="en-US" w:eastAsia="zh-CN"/>
                    </w:rPr>
                    <w:t>0</w:t>
                  </w:r>
                  <w:r>
                    <w:rPr>
                      <w:rFonts w:hint="eastAsia" w:ascii="Times New Roman" w:hAnsi="Times New Roman" w:eastAsia="宋体" w:cs="Times New Roman"/>
                      <w:color w:val="auto"/>
                      <w:lang w:val="en-US" w:eastAsia="zh-CN"/>
                    </w:rPr>
                    <w:t>/1</w:t>
                  </w:r>
                </w:p>
              </w:tc>
              <w:tc>
                <w:tcPr>
                  <w:tcW w:w="442" w:type="pct"/>
                  <w:tcBorders>
                    <w:top w:val="single" w:color="auto" w:sz="4" w:space="0"/>
                    <w:bottom w:val="single" w:color="auto" w:sz="4" w:space="0"/>
                    <w:tl2br w:val="nil"/>
                    <w:tr2bl w:val="nil"/>
                  </w:tcBorders>
                  <w:noWrap/>
                  <w:vAlign w:val="center"/>
                </w:tcPr>
                <w:p w14:paraId="59612FE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29</w:t>
                  </w:r>
                </w:p>
              </w:tc>
              <w:tc>
                <w:tcPr>
                  <w:tcW w:w="369" w:type="pct"/>
                  <w:tcBorders>
                    <w:tl2br w:val="nil"/>
                    <w:tr2bl w:val="nil"/>
                  </w:tcBorders>
                  <w:noWrap/>
                  <w:vAlign w:val="center"/>
                </w:tcPr>
                <w:p w14:paraId="23FD206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42</w:t>
                  </w:r>
                </w:p>
              </w:tc>
              <w:tc>
                <w:tcPr>
                  <w:tcW w:w="434" w:type="pct"/>
                  <w:tcBorders>
                    <w:top w:val="single" w:color="auto" w:sz="4" w:space="0"/>
                    <w:bottom w:val="single" w:color="auto" w:sz="4" w:space="0"/>
                    <w:tl2br w:val="nil"/>
                    <w:tr2bl w:val="nil"/>
                  </w:tcBorders>
                  <w:noWrap/>
                  <w:vAlign w:val="center"/>
                </w:tcPr>
                <w:p w14:paraId="2908D995">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815" w:type="pct"/>
                  <w:vMerge w:val="continue"/>
                  <w:tcBorders>
                    <w:tl2br w:val="nil"/>
                    <w:tr2bl w:val="nil"/>
                  </w:tcBorders>
                  <w:noWrap/>
                  <w:vAlign w:val="center"/>
                </w:tcPr>
                <w:p w14:paraId="4812FCDC">
                  <w:pPr>
                    <w:jc w:val="center"/>
                    <w:rPr>
                      <w:rFonts w:hint="eastAsia" w:ascii="Times New Roman" w:hAnsi="Times New Roman" w:eastAsia="宋体" w:cs="Times New Roman"/>
                      <w:color w:val="auto"/>
                      <w:lang w:val="en-US" w:eastAsia="zh-CN"/>
                    </w:rPr>
                  </w:pPr>
                </w:p>
              </w:tc>
              <w:tc>
                <w:tcPr>
                  <w:tcW w:w="445" w:type="pct"/>
                  <w:vMerge w:val="continue"/>
                  <w:tcBorders>
                    <w:tl2br w:val="nil"/>
                    <w:tr2bl w:val="nil"/>
                  </w:tcBorders>
                  <w:noWrap/>
                  <w:vAlign w:val="center"/>
                </w:tcPr>
                <w:p w14:paraId="0EBE7F50">
                  <w:pPr>
                    <w:jc w:val="center"/>
                    <w:rPr>
                      <w:rFonts w:hint="default" w:ascii="Times New Roman" w:hAnsi="Times New Roman" w:eastAsia="宋体" w:cs="Times New Roman"/>
                      <w:color w:val="auto"/>
                      <w:lang w:val="en-US" w:eastAsia="zh-CN"/>
                    </w:rPr>
                  </w:pPr>
                </w:p>
              </w:tc>
            </w:tr>
            <w:tr w14:paraId="4ADF7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ign w:val="center"/>
                </w:tcPr>
                <w:p w14:paraId="5EE3EE02">
                  <w:pPr>
                    <w:jc w:val="center"/>
                    <w:rPr>
                      <w:rFonts w:hint="eastAsia" w:ascii="Times New Roman" w:hAnsi="Times New Roman" w:eastAsia="宋体" w:cs="Times New Roman"/>
                      <w:color w:val="auto"/>
                      <w:lang w:val="en-US" w:eastAsia="zh-CN"/>
                    </w:rPr>
                  </w:pPr>
                </w:p>
              </w:tc>
              <w:tc>
                <w:tcPr>
                  <w:tcW w:w="961" w:type="pct"/>
                  <w:tcBorders>
                    <w:tl2br w:val="nil"/>
                    <w:tr2bl w:val="nil"/>
                  </w:tcBorders>
                  <w:noWrap/>
                  <w:vAlign w:val="center"/>
                </w:tcPr>
                <w:p w14:paraId="3EDD6CD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369" w:type="pct"/>
                  <w:tcBorders>
                    <w:tl2br w:val="nil"/>
                    <w:tr2bl w:val="nil"/>
                  </w:tcBorders>
                  <w:noWrap/>
                  <w:vAlign w:val="center"/>
                </w:tcPr>
                <w:p w14:paraId="09F9FA5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92" w:type="pct"/>
                  <w:tcBorders>
                    <w:top w:val="single" w:color="auto" w:sz="4" w:space="0"/>
                    <w:bottom w:val="single" w:color="auto" w:sz="4" w:space="0"/>
                    <w:tl2br w:val="nil"/>
                    <w:tr2bl w:val="nil"/>
                  </w:tcBorders>
                  <w:noWrap/>
                  <w:vAlign w:val="center"/>
                </w:tcPr>
                <w:p w14:paraId="22170423">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90</w:t>
                  </w:r>
                  <w:r>
                    <w:rPr>
                      <w:rFonts w:hint="eastAsia" w:ascii="Times New Roman" w:hAnsi="Times New Roman" w:eastAsia="宋体" w:cs="Times New Roman"/>
                      <w:color w:val="auto"/>
                      <w:lang w:val="en-US" w:eastAsia="zh-CN"/>
                    </w:rPr>
                    <w:t>/1</w:t>
                  </w:r>
                </w:p>
              </w:tc>
              <w:tc>
                <w:tcPr>
                  <w:tcW w:w="442" w:type="pct"/>
                  <w:tcBorders>
                    <w:top w:val="single" w:color="auto" w:sz="4" w:space="0"/>
                    <w:bottom w:val="single" w:color="auto" w:sz="4" w:space="0"/>
                    <w:tl2br w:val="nil"/>
                    <w:tr2bl w:val="nil"/>
                  </w:tcBorders>
                  <w:noWrap/>
                  <w:vAlign w:val="center"/>
                </w:tcPr>
                <w:p w14:paraId="475F25C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29</w:t>
                  </w:r>
                </w:p>
              </w:tc>
              <w:tc>
                <w:tcPr>
                  <w:tcW w:w="369" w:type="pct"/>
                  <w:tcBorders>
                    <w:tl2br w:val="nil"/>
                    <w:tr2bl w:val="nil"/>
                  </w:tcBorders>
                  <w:noWrap/>
                  <w:vAlign w:val="center"/>
                </w:tcPr>
                <w:p w14:paraId="431929D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434" w:type="pct"/>
                  <w:tcBorders>
                    <w:top w:val="single" w:color="auto" w:sz="4" w:space="0"/>
                    <w:bottom w:val="single" w:color="auto" w:sz="4" w:space="0"/>
                    <w:tl2br w:val="nil"/>
                    <w:tr2bl w:val="nil"/>
                  </w:tcBorders>
                  <w:noWrap/>
                  <w:vAlign w:val="center"/>
                </w:tcPr>
                <w:p w14:paraId="50BF78C3">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815" w:type="pct"/>
                  <w:vMerge w:val="continue"/>
                  <w:tcBorders>
                    <w:tl2br w:val="nil"/>
                    <w:tr2bl w:val="nil"/>
                  </w:tcBorders>
                  <w:noWrap/>
                  <w:vAlign w:val="center"/>
                </w:tcPr>
                <w:p w14:paraId="20053EEC">
                  <w:pPr>
                    <w:jc w:val="center"/>
                    <w:rPr>
                      <w:rFonts w:hint="eastAsia" w:ascii="Times New Roman" w:hAnsi="Times New Roman" w:eastAsia="宋体" w:cs="Times New Roman"/>
                      <w:color w:val="auto"/>
                      <w:lang w:val="en-US" w:eastAsia="zh-CN"/>
                    </w:rPr>
                  </w:pPr>
                </w:p>
              </w:tc>
              <w:tc>
                <w:tcPr>
                  <w:tcW w:w="445" w:type="pct"/>
                  <w:vMerge w:val="continue"/>
                  <w:tcBorders>
                    <w:tl2br w:val="nil"/>
                    <w:tr2bl w:val="nil"/>
                  </w:tcBorders>
                  <w:noWrap/>
                  <w:vAlign w:val="center"/>
                </w:tcPr>
                <w:p w14:paraId="3AC8C247">
                  <w:pPr>
                    <w:jc w:val="center"/>
                    <w:rPr>
                      <w:rFonts w:hint="eastAsia" w:ascii="Times New Roman" w:hAnsi="Times New Roman" w:eastAsia="宋体" w:cs="Times New Roman"/>
                      <w:color w:val="auto"/>
                      <w:lang w:val="en-US" w:eastAsia="zh-CN"/>
                    </w:rPr>
                  </w:pPr>
                </w:p>
              </w:tc>
            </w:tr>
          </w:tbl>
          <w:p w14:paraId="36C0A246">
            <w:pPr>
              <w:adjustRightInd w:val="0"/>
              <w:snapToGrid w:val="0"/>
              <w:spacing w:line="240" w:lineRule="auto"/>
              <w:ind w:firstLine="0" w:firstLineChars="0"/>
              <w:jc w:val="center"/>
              <w:rPr>
                <w:b/>
                <w:bCs/>
                <w:color w:val="auto"/>
                <w:kern w:val="0"/>
                <w:szCs w:val="21"/>
              </w:rPr>
            </w:pPr>
            <w:r>
              <w:rPr>
                <w:b/>
                <w:bCs/>
                <w:color w:val="auto"/>
                <w:kern w:val="0"/>
                <w:szCs w:val="21"/>
              </w:rPr>
              <w:t>表</w:t>
            </w:r>
            <w:r>
              <w:rPr>
                <w:rFonts w:hint="eastAsia"/>
                <w:b/>
                <w:bCs/>
                <w:color w:val="auto"/>
                <w:kern w:val="0"/>
                <w:szCs w:val="21"/>
                <w:lang w:val="en-US" w:eastAsia="zh-CN"/>
              </w:rPr>
              <w:t>4</w:t>
            </w:r>
            <w:r>
              <w:rPr>
                <w:rFonts w:hint="eastAsia"/>
                <w:b/>
                <w:bCs/>
                <w:color w:val="auto"/>
                <w:kern w:val="0"/>
                <w:szCs w:val="21"/>
              </w:rPr>
              <w:t>-</w:t>
            </w:r>
            <w:r>
              <w:rPr>
                <w:rFonts w:hint="eastAsia"/>
                <w:b/>
                <w:bCs/>
                <w:color w:val="auto"/>
                <w:kern w:val="0"/>
                <w:szCs w:val="21"/>
                <w:lang w:val="en-US" w:eastAsia="zh-CN"/>
              </w:rPr>
              <w:t>7</w:t>
            </w:r>
            <w:r>
              <w:rPr>
                <w:b/>
                <w:bCs/>
                <w:color w:val="auto"/>
                <w:kern w:val="0"/>
                <w:szCs w:val="21"/>
              </w:rPr>
              <w:t xml:space="preserve"> 工业企业噪声源强调查清单</w:t>
            </w:r>
            <w:r>
              <w:rPr>
                <w:b/>
                <w:bCs/>
                <w:color w:val="auto"/>
              </w:rPr>
              <w:t>（</w:t>
            </w:r>
            <w:r>
              <w:rPr>
                <w:b/>
                <w:color w:val="auto"/>
                <w:szCs w:val="21"/>
              </w:rPr>
              <w:t>室内声源）</w:t>
            </w:r>
            <w:r>
              <w:rPr>
                <w:rFonts w:hint="eastAsia"/>
                <w:b/>
                <w:color w:val="auto"/>
                <w:szCs w:val="21"/>
              </w:rPr>
              <w:t>（以项目区西南角为原点坐标）</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511"/>
              <w:gridCol w:w="1287"/>
              <w:gridCol w:w="696"/>
              <w:gridCol w:w="1005"/>
              <w:gridCol w:w="507"/>
              <w:gridCol w:w="481"/>
              <w:gridCol w:w="421"/>
              <w:gridCol w:w="454"/>
              <w:gridCol w:w="444"/>
              <w:gridCol w:w="384"/>
              <w:gridCol w:w="597"/>
              <w:gridCol w:w="523"/>
              <w:gridCol w:w="523"/>
              <w:gridCol w:w="619"/>
              <w:gridCol w:w="558"/>
              <w:gridCol w:w="636"/>
              <w:gridCol w:w="684"/>
              <w:gridCol w:w="667"/>
              <w:gridCol w:w="701"/>
              <w:gridCol w:w="468"/>
            </w:tblGrid>
            <w:tr w14:paraId="6C47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Merge w:val="restart"/>
                  <w:vAlign w:val="center"/>
                </w:tcPr>
                <w:p w14:paraId="1BA98125">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GB" w:eastAsia="zh-CN"/>
                    </w:rPr>
                    <w:t>序号</w:t>
                  </w:r>
                </w:p>
              </w:tc>
              <w:tc>
                <w:tcPr>
                  <w:tcW w:w="202" w:type="pct"/>
                  <w:vMerge w:val="restart"/>
                  <w:vAlign w:val="center"/>
                </w:tcPr>
                <w:p w14:paraId="57C3C3D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建筑物名称</w:t>
                  </w:r>
                </w:p>
              </w:tc>
              <w:tc>
                <w:tcPr>
                  <w:tcW w:w="510" w:type="pct"/>
                  <w:vMerge w:val="restart"/>
                  <w:vAlign w:val="center"/>
                </w:tcPr>
                <w:p w14:paraId="315C882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GB" w:eastAsia="zh-CN"/>
                    </w:rPr>
                    <w:t>声源名称</w:t>
                  </w:r>
                </w:p>
              </w:tc>
              <w:tc>
                <w:tcPr>
                  <w:tcW w:w="276" w:type="pct"/>
                  <w:vMerge w:val="restart"/>
                  <w:vAlign w:val="center"/>
                </w:tcPr>
                <w:p w14:paraId="651960B2">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GB" w:eastAsia="zh-CN"/>
                    </w:rPr>
                    <w:t>数量（台）</w:t>
                  </w:r>
                </w:p>
              </w:tc>
              <w:tc>
                <w:tcPr>
                  <w:tcW w:w="398" w:type="pct"/>
                  <w:vAlign w:val="center"/>
                </w:tcPr>
                <w:p w14:paraId="2BB3820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w:t>
                  </w:r>
                </w:p>
                <w:p w14:paraId="0F3D1EA3">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源强</w:t>
                  </w:r>
                </w:p>
              </w:tc>
              <w:tc>
                <w:tcPr>
                  <w:tcW w:w="559" w:type="pct"/>
                  <w:gridSpan w:val="3"/>
                  <w:vAlign w:val="center"/>
                </w:tcPr>
                <w:p w14:paraId="4BB738D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空间相对位置/m</w:t>
                  </w:r>
                </w:p>
              </w:tc>
              <w:tc>
                <w:tcPr>
                  <w:tcW w:w="745" w:type="pct"/>
                  <w:gridSpan w:val="4"/>
                  <w:vAlign w:val="center"/>
                </w:tcPr>
                <w:p w14:paraId="11B6F87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距离室内边界距离/m</w:t>
                  </w:r>
                </w:p>
              </w:tc>
              <w:tc>
                <w:tcPr>
                  <w:tcW w:w="882" w:type="pct"/>
                  <w:gridSpan w:val="4"/>
                  <w:vAlign w:val="center"/>
                </w:tcPr>
                <w:p w14:paraId="041DBE2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室内边界声级/dB(A)</w:t>
                  </w:r>
                </w:p>
              </w:tc>
              <w:tc>
                <w:tcPr>
                  <w:tcW w:w="252" w:type="pct"/>
                  <w:vMerge w:val="restart"/>
                  <w:vAlign w:val="center"/>
                </w:tcPr>
                <w:p w14:paraId="4A14C4A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声源控制措施</w:t>
                  </w:r>
                </w:p>
              </w:tc>
              <w:tc>
                <w:tcPr>
                  <w:tcW w:w="271" w:type="pct"/>
                  <w:vMerge w:val="restart"/>
                  <w:vAlign w:val="center"/>
                </w:tcPr>
                <w:p w14:paraId="0171F4AB">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GB" w:eastAsia="zh-CN"/>
                    </w:rPr>
                    <w:t>筑物插入损失/dB(A)</w:t>
                  </w:r>
                </w:p>
              </w:tc>
              <w:tc>
                <w:tcPr>
                  <w:tcW w:w="542" w:type="pct"/>
                  <w:gridSpan w:val="2"/>
                  <w:vAlign w:val="center"/>
                </w:tcPr>
                <w:p w14:paraId="4EF47276">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建筑物外噪声</w:t>
                  </w:r>
                </w:p>
              </w:tc>
              <w:tc>
                <w:tcPr>
                  <w:tcW w:w="185" w:type="pct"/>
                  <w:vMerge w:val="restart"/>
                  <w:vAlign w:val="center"/>
                </w:tcPr>
                <w:p w14:paraId="6746D3C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运行</w:t>
                  </w:r>
                </w:p>
                <w:p w14:paraId="33ACC51E">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时段</w:t>
                  </w:r>
                </w:p>
              </w:tc>
            </w:tr>
            <w:tr w14:paraId="3AFA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Merge w:val="continue"/>
                  <w:vAlign w:val="center"/>
                </w:tcPr>
                <w:p w14:paraId="57124051">
                  <w:pPr>
                    <w:jc w:val="center"/>
                    <w:rPr>
                      <w:rFonts w:hint="eastAsia" w:ascii="Times New Roman" w:hAnsi="Times New Roman" w:eastAsia="宋体" w:cs="Times New Roman"/>
                      <w:color w:val="auto"/>
                      <w:lang w:val="en-GB" w:eastAsia="zh-CN"/>
                    </w:rPr>
                  </w:pPr>
                </w:p>
              </w:tc>
              <w:tc>
                <w:tcPr>
                  <w:tcW w:w="202" w:type="pct"/>
                  <w:vMerge w:val="continue"/>
                  <w:vAlign w:val="center"/>
                </w:tcPr>
                <w:p w14:paraId="091408F8">
                  <w:pPr>
                    <w:jc w:val="center"/>
                    <w:rPr>
                      <w:rFonts w:hint="eastAsia" w:ascii="Times New Roman" w:hAnsi="Times New Roman" w:eastAsia="宋体" w:cs="Times New Roman"/>
                      <w:color w:val="auto"/>
                      <w:lang w:val="en-GB" w:eastAsia="zh-CN"/>
                    </w:rPr>
                  </w:pPr>
                </w:p>
              </w:tc>
              <w:tc>
                <w:tcPr>
                  <w:tcW w:w="510" w:type="pct"/>
                  <w:vMerge w:val="continue"/>
                  <w:vAlign w:val="center"/>
                </w:tcPr>
                <w:p w14:paraId="0F8FEE9E">
                  <w:pPr>
                    <w:jc w:val="center"/>
                    <w:rPr>
                      <w:rFonts w:hint="eastAsia" w:ascii="Times New Roman" w:hAnsi="Times New Roman" w:eastAsia="宋体" w:cs="Times New Roman"/>
                      <w:color w:val="auto"/>
                      <w:lang w:val="en-GB" w:eastAsia="zh-CN"/>
                    </w:rPr>
                  </w:pPr>
                </w:p>
              </w:tc>
              <w:tc>
                <w:tcPr>
                  <w:tcW w:w="276" w:type="pct"/>
                  <w:vMerge w:val="continue"/>
                  <w:vAlign w:val="center"/>
                </w:tcPr>
                <w:p w14:paraId="1350E6C8">
                  <w:pPr>
                    <w:jc w:val="center"/>
                    <w:rPr>
                      <w:rFonts w:hint="eastAsia" w:ascii="Times New Roman" w:hAnsi="Times New Roman" w:eastAsia="宋体" w:cs="Times New Roman"/>
                      <w:color w:val="auto"/>
                      <w:lang w:val="en-GB" w:eastAsia="zh-CN"/>
                    </w:rPr>
                  </w:pPr>
                </w:p>
              </w:tc>
              <w:tc>
                <w:tcPr>
                  <w:tcW w:w="398" w:type="pct"/>
                  <w:vAlign w:val="center"/>
                </w:tcPr>
                <w:p w14:paraId="6A55745B">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（声压级/距声源距离）/（dB（A）/m）</w:t>
                  </w:r>
                </w:p>
              </w:tc>
              <w:tc>
                <w:tcPr>
                  <w:tcW w:w="201" w:type="pct"/>
                  <w:vAlign w:val="center"/>
                </w:tcPr>
                <w:p w14:paraId="40F4729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X</w:t>
                  </w:r>
                </w:p>
              </w:tc>
              <w:tc>
                <w:tcPr>
                  <w:tcW w:w="190" w:type="pct"/>
                  <w:vAlign w:val="center"/>
                </w:tcPr>
                <w:p w14:paraId="68DD4E1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Y</w:t>
                  </w:r>
                </w:p>
              </w:tc>
              <w:tc>
                <w:tcPr>
                  <w:tcW w:w="167" w:type="pct"/>
                  <w:vAlign w:val="center"/>
                </w:tcPr>
                <w:p w14:paraId="039E7A1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w:t>
                  </w:r>
                </w:p>
              </w:tc>
              <w:tc>
                <w:tcPr>
                  <w:tcW w:w="180" w:type="pct"/>
                  <w:vAlign w:val="center"/>
                </w:tcPr>
                <w:p w14:paraId="588E85C7">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东</w:t>
                  </w:r>
                </w:p>
              </w:tc>
              <w:tc>
                <w:tcPr>
                  <w:tcW w:w="176" w:type="pct"/>
                  <w:vAlign w:val="center"/>
                </w:tcPr>
                <w:p w14:paraId="769C74D3">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南</w:t>
                  </w:r>
                </w:p>
              </w:tc>
              <w:tc>
                <w:tcPr>
                  <w:tcW w:w="152" w:type="pct"/>
                  <w:vAlign w:val="center"/>
                </w:tcPr>
                <w:p w14:paraId="2A752348">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西</w:t>
                  </w:r>
                </w:p>
              </w:tc>
              <w:tc>
                <w:tcPr>
                  <w:tcW w:w="236" w:type="pct"/>
                  <w:vAlign w:val="center"/>
                </w:tcPr>
                <w:p w14:paraId="285FD1A5">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北</w:t>
                  </w:r>
                </w:p>
              </w:tc>
              <w:tc>
                <w:tcPr>
                  <w:tcW w:w="207" w:type="pct"/>
                  <w:vAlign w:val="center"/>
                </w:tcPr>
                <w:p w14:paraId="085D8A1B">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东</w:t>
                  </w:r>
                </w:p>
              </w:tc>
              <w:tc>
                <w:tcPr>
                  <w:tcW w:w="207" w:type="pct"/>
                  <w:vAlign w:val="center"/>
                </w:tcPr>
                <w:p w14:paraId="0D331CCE">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南</w:t>
                  </w:r>
                </w:p>
              </w:tc>
              <w:tc>
                <w:tcPr>
                  <w:tcW w:w="245" w:type="pct"/>
                  <w:vAlign w:val="center"/>
                </w:tcPr>
                <w:p w14:paraId="77473824">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西</w:t>
                  </w:r>
                </w:p>
              </w:tc>
              <w:tc>
                <w:tcPr>
                  <w:tcW w:w="221" w:type="pct"/>
                  <w:vAlign w:val="center"/>
                </w:tcPr>
                <w:p w14:paraId="7FDFE1C6">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北</w:t>
                  </w:r>
                </w:p>
              </w:tc>
              <w:tc>
                <w:tcPr>
                  <w:tcW w:w="252" w:type="pct"/>
                  <w:vMerge w:val="continue"/>
                  <w:vAlign w:val="center"/>
                </w:tcPr>
                <w:p w14:paraId="26922BD5">
                  <w:pPr>
                    <w:jc w:val="center"/>
                    <w:rPr>
                      <w:rFonts w:hint="eastAsia" w:ascii="Times New Roman" w:hAnsi="Times New Roman" w:eastAsia="宋体" w:cs="Times New Roman"/>
                      <w:color w:val="auto"/>
                      <w:lang w:val="en-US" w:eastAsia="zh-CN"/>
                    </w:rPr>
                  </w:pPr>
                </w:p>
              </w:tc>
              <w:tc>
                <w:tcPr>
                  <w:tcW w:w="271" w:type="pct"/>
                  <w:vMerge w:val="continue"/>
                  <w:vAlign w:val="center"/>
                </w:tcPr>
                <w:p w14:paraId="4823D97C">
                  <w:pPr>
                    <w:jc w:val="center"/>
                    <w:rPr>
                      <w:rFonts w:hint="eastAsia" w:ascii="Times New Roman" w:hAnsi="Times New Roman" w:eastAsia="宋体" w:cs="Times New Roman"/>
                      <w:color w:val="auto"/>
                      <w:lang w:val="en-GB" w:eastAsia="zh-CN"/>
                    </w:rPr>
                  </w:pPr>
                </w:p>
              </w:tc>
              <w:tc>
                <w:tcPr>
                  <w:tcW w:w="264" w:type="pct"/>
                  <w:vAlign w:val="center"/>
                </w:tcPr>
                <w:p w14:paraId="28FA4FBF">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声压级/dB(A)</w:t>
                  </w:r>
                </w:p>
              </w:tc>
              <w:tc>
                <w:tcPr>
                  <w:tcW w:w="278" w:type="pct"/>
                  <w:vAlign w:val="center"/>
                </w:tcPr>
                <w:p w14:paraId="0BE988DD">
                  <w:pPr>
                    <w:jc w:val="center"/>
                    <w:rPr>
                      <w:rFonts w:hint="eastAsia" w:ascii="Times New Roman" w:hAnsi="Times New Roman" w:eastAsia="宋体" w:cs="Times New Roman"/>
                      <w:color w:val="auto"/>
                      <w:lang w:val="en-GB" w:eastAsia="zh-CN"/>
                    </w:rPr>
                  </w:pPr>
                  <w:r>
                    <w:rPr>
                      <w:rFonts w:hint="eastAsia" w:ascii="Times New Roman" w:hAnsi="Times New Roman" w:eastAsia="宋体" w:cs="Times New Roman"/>
                      <w:color w:val="auto"/>
                      <w:lang w:val="en-US" w:eastAsia="zh-CN"/>
                    </w:rPr>
                    <w:t>建筑物外距离（m）</w:t>
                  </w:r>
                </w:p>
              </w:tc>
              <w:tc>
                <w:tcPr>
                  <w:tcW w:w="185" w:type="pct"/>
                  <w:vMerge w:val="continue"/>
                  <w:vAlign w:val="center"/>
                </w:tcPr>
                <w:p w14:paraId="68F754E1">
                  <w:pPr>
                    <w:jc w:val="center"/>
                    <w:rPr>
                      <w:rFonts w:hint="eastAsia" w:ascii="Times New Roman" w:hAnsi="Times New Roman" w:eastAsia="宋体" w:cs="Times New Roman"/>
                      <w:color w:val="auto"/>
                      <w:lang w:val="en-GB" w:eastAsia="zh-CN"/>
                    </w:rPr>
                  </w:pPr>
                </w:p>
              </w:tc>
            </w:tr>
            <w:tr w14:paraId="1669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Align w:val="center"/>
                </w:tcPr>
                <w:p w14:paraId="57463B7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02" w:type="pct"/>
                  <w:vMerge w:val="restart"/>
                  <w:vAlign w:val="center"/>
                </w:tcPr>
                <w:p w14:paraId="36ED35A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生产厂房</w:t>
                  </w:r>
                </w:p>
              </w:tc>
              <w:tc>
                <w:tcPr>
                  <w:tcW w:w="510" w:type="pct"/>
                  <w:shd w:val="clear" w:color="auto" w:fill="auto"/>
                  <w:vAlign w:val="center"/>
                </w:tcPr>
                <w:p w14:paraId="4E8D1C5E">
                  <w:pPr>
                    <w:jc w:val="center"/>
                    <w:rPr>
                      <w:rFonts w:hint="eastAsia" w:ascii="Times New Roman" w:hAnsi="Times New Roman" w:eastAsia="宋体" w:cs="Times New Roman"/>
                      <w:kern w:val="2"/>
                      <w:sz w:val="21"/>
                      <w:szCs w:val="21"/>
                      <w:shd w:val="clear" w:color="auto" w:fill="auto"/>
                      <w:lang w:val="en-US" w:eastAsia="zh-CN" w:bidi="ar-SA"/>
                    </w:rPr>
                  </w:pPr>
                  <w:r>
                    <w:rPr>
                      <w:rFonts w:hint="eastAsia" w:cs="Times New Roman"/>
                      <w:color w:val="auto"/>
                      <w:sz w:val="21"/>
                      <w:szCs w:val="21"/>
                      <w:lang w:val="en-US" w:eastAsia="zh-CN"/>
                    </w:rPr>
                    <w:t>清理筛</w:t>
                  </w:r>
                </w:p>
              </w:tc>
              <w:tc>
                <w:tcPr>
                  <w:tcW w:w="276" w:type="pct"/>
                  <w:vAlign w:val="center"/>
                </w:tcPr>
                <w:p w14:paraId="01FE6D0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3B52ED0F">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75</w:t>
                  </w:r>
                  <w:r>
                    <w:rPr>
                      <w:rFonts w:hint="eastAsia" w:ascii="Times New Roman" w:hAnsi="Times New Roman" w:eastAsia="宋体" w:cs="Times New Roman"/>
                      <w:color w:val="auto"/>
                      <w:lang w:val="en-US" w:eastAsia="zh-CN"/>
                    </w:rPr>
                    <w:t>/1</w:t>
                  </w:r>
                </w:p>
              </w:tc>
              <w:tc>
                <w:tcPr>
                  <w:tcW w:w="201" w:type="pct"/>
                  <w:vAlign w:val="center"/>
                </w:tcPr>
                <w:p w14:paraId="7B30C4D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1133655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7</w:t>
                  </w:r>
                </w:p>
              </w:tc>
              <w:tc>
                <w:tcPr>
                  <w:tcW w:w="167" w:type="pct"/>
                  <w:vAlign w:val="center"/>
                </w:tcPr>
                <w:p w14:paraId="4E5A077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6EA1B05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0F01B79">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7</w:t>
                  </w:r>
                </w:p>
              </w:tc>
              <w:tc>
                <w:tcPr>
                  <w:tcW w:w="152" w:type="pct"/>
                  <w:vAlign w:val="center"/>
                </w:tcPr>
                <w:p w14:paraId="443D43A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29E6C995">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126</w:t>
                  </w:r>
                </w:p>
              </w:tc>
              <w:tc>
                <w:tcPr>
                  <w:tcW w:w="523" w:type="dxa"/>
                  <w:vAlign w:val="bottom"/>
                </w:tcPr>
                <w:p w14:paraId="20CCA76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52.7 </w:t>
                  </w:r>
                </w:p>
              </w:tc>
              <w:tc>
                <w:tcPr>
                  <w:tcW w:w="523" w:type="dxa"/>
                  <w:vAlign w:val="bottom"/>
                </w:tcPr>
                <w:p w14:paraId="50569AC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58.1 </w:t>
                  </w:r>
                </w:p>
              </w:tc>
              <w:tc>
                <w:tcPr>
                  <w:tcW w:w="619" w:type="dxa"/>
                  <w:vAlign w:val="center"/>
                </w:tcPr>
                <w:p w14:paraId="220E5D2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65.5</w:t>
                  </w:r>
                </w:p>
              </w:tc>
              <w:tc>
                <w:tcPr>
                  <w:tcW w:w="558" w:type="dxa"/>
                  <w:vAlign w:val="bottom"/>
                </w:tcPr>
                <w:p w14:paraId="0077EC2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33.0 </w:t>
                  </w:r>
                </w:p>
              </w:tc>
              <w:tc>
                <w:tcPr>
                  <w:tcW w:w="252" w:type="pct"/>
                  <w:vMerge w:val="restart"/>
                  <w:vAlign w:val="center"/>
                </w:tcPr>
                <w:p w14:paraId="60566FD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选用低噪声设备、合理布局，减震、隔声等措施</w:t>
                  </w:r>
                </w:p>
              </w:tc>
              <w:tc>
                <w:tcPr>
                  <w:tcW w:w="271" w:type="pct"/>
                  <w:vAlign w:val="center"/>
                </w:tcPr>
                <w:p w14:paraId="072C774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1A7593B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40.5</w:t>
                  </w:r>
                </w:p>
              </w:tc>
              <w:tc>
                <w:tcPr>
                  <w:tcW w:w="278" w:type="pct"/>
                  <w:vAlign w:val="center"/>
                </w:tcPr>
                <w:p w14:paraId="112C51D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restart"/>
                  <w:vAlign w:val="center"/>
                </w:tcPr>
                <w:p w14:paraId="7617346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8:00</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18:00</w:t>
                  </w:r>
                </w:p>
              </w:tc>
            </w:tr>
            <w:tr w14:paraId="713F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Align w:val="center"/>
                </w:tcPr>
                <w:p w14:paraId="294D771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202" w:type="pct"/>
                  <w:vMerge w:val="continue"/>
                  <w:vAlign w:val="center"/>
                </w:tcPr>
                <w:p w14:paraId="45D455DD">
                  <w:pPr>
                    <w:jc w:val="center"/>
                    <w:rPr>
                      <w:rFonts w:hint="eastAsia" w:ascii="Times New Roman" w:hAnsi="Times New Roman" w:eastAsia="宋体" w:cs="Times New Roman"/>
                      <w:color w:val="auto"/>
                      <w:lang w:val="en-US" w:eastAsia="zh-CN"/>
                    </w:rPr>
                  </w:pPr>
                </w:p>
              </w:tc>
              <w:tc>
                <w:tcPr>
                  <w:tcW w:w="510" w:type="pct"/>
                  <w:shd w:val="clear" w:color="auto" w:fill="auto"/>
                  <w:vAlign w:val="center"/>
                </w:tcPr>
                <w:p w14:paraId="336870C7">
                  <w:pPr>
                    <w:jc w:val="center"/>
                    <w:rPr>
                      <w:rFonts w:hint="eastAsia" w:ascii="Times New Roman" w:hAnsi="Times New Roman" w:eastAsia="宋体" w:cs="Times New Roman"/>
                      <w:kern w:val="2"/>
                      <w:sz w:val="21"/>
                      <w:szCs w:val="21"/>
                      <w:shd w:val="clear" w:color="auto" w:fill="auto"/>
                      <w:lang w:val="en-US" w:eastAsia="zh-CN" w:bidi="ar-SA"/>
                    </w:rPr>
                  </w:pPr>
                  <w:r>
                    <w:rPr>
                      <w:rFonts w:hint="eastAsia" w:cs="Times New Roman"/>
                      <w:color w:val="auto"/>
                      <w:sz w:val="21"/>
                      <w:szCs w:val="21"/>
                      <w:lang w:val="en-US" w:eastAsia="zh-CN"/>
                    </w:rPr>
                    <w:t>平面回转筛</w:t>
                  </w:r>
                </w:p>
              </w:tc>
              <w:tc>
                <w:tcPr>
                  <w:tcW w:w="276" w:type="pct"/>
                  <w:vAlign w:val="center"/>
                </w:tcPr>
                <w:p w14:paraId="3D3ED8D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07C013D5">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75</w:t>
                  </w:r>
                  <w:r>
                    <w:rPr>
                      <w:rFonts w:hint="eastAsia" w:ascii="Times New Roman" w:hAnsi="Times New Roman" w:eastAsia="宋体" w:cs="Times New Roman"/>
                      <w:color w:val="auto"/>
                      <w:lang w:val="en-US" w:eastAsia="zh-CN"/>
                    </w:rPr>
                    <w:t>/1</w:t>
                  </w:r>
                </w:p>
              </w:tc>
              <w:tc>
                <w:tcPr>
                  <w:tcW w:w="201" w:type="pct"/>
                  <w:vAlign w:val="center"/>
                </w:tcPr>
                <w:p w14:paraId="55A3256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443438B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167" w:type="pct"/>
                  <w:vAlign w:val="center"/>
                </w:tcPr>
                <w:p w14:paraId="509DA9E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42737D3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783A15EF">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9</w:t>
                  </w:r>
                </w:p>
              </w:tc>
              <w:tc>
                <w:tcPr>
                  <w:tcW w:w="152" w:type="pct"/>
                  <w:vAlign w:val="center"/>
                </w:tcPr>
                <w:p w14:paraId="14D0777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2260692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124</w:t>
                  </w:r>
                </w:p>
              </w:tc>
              <w:tc>
                <w:tcPr>
                  <w:tcW w:w="523" w:type="dxa"/>
                  <w:vAlign w:val="bottom"/>
                </w:tcPr>
                <w:p w14:paraId="7270B20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52.7 </w:t>
                  </w:r>
                </w:p>
              </w:tc>
              <w:tc>
                <w:tcPr>
                  <w:tcW w:w="523" w:type="dxa"/>
                  <w:vAlign w:val="bottom"/>
                </w:tcPr>
                <w:p w14:paraId="5F5C635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55.9 </w:t>
                  </w:r>
                </w:p>
              </w:tc>
              <w:tc>
                <w:tcPr>
                  <w:tcW w:w="619" w:type="dxa"/>
                  <w:vAlign w:val="center"/>
                </w:tcPr>
                <w:p w14:paraId="5D0734C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65.5</w:t>
                  </w:r>
                </w:p>
              </w:tc>
              <w:tc>
                <w:tcPr>
                  <w:tcW w:w="558" w:type="dxa"/>
                  <w:vAlign w:val="bottom"/>
                </w:tcPr>
                <w:p w14:paraId="42EFEC7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33.1 </w:t>
                  </w:r>
                </w:p>
              </w:tc>
              <w:tc>
                <w:tcPr>
                  <w:tcW w:w="252" w:type="pct"/>
                  <w:vMerge w:val="continue"/>
                  <w:vAlign w:val="center"/>
                </w:tcPr>
                <w:p w14:paraId="21E61AAE">
                  <w:pPr>
                    <w:jc w:val="center"/>
                    <w:rPr>
                      <w:rFonts w:hint="eastAsia" w:ascii="Times New Roman" w:hAnsi="Times New Roman" w:eastAsia="宋体" w:cs="Times New Roman"/>
                      <w:color w:val="auto"/>
                      <w:lang w:val="en-US" w:eastAsia="zh-CN"/>
                    </w:rPr>
                  </w:pPr>
                </w:p>
              </w:tc>
              <w:tc>
                <w:tcPr>
                  <w:tcW w:w="271" w:type="pct"/>
                  <w:vAlign w:val="center"/>
                </w:tcPr>
                <w:p w14:paraId="778C9400">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44BB5CC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40.5</w:t>
                  </w:r>
                </w:p>
              </w:tc>
              <w:tc>
                <w:tcPr>
                  <w:tcW w:w="278" w:type="pct"/>
                  <w:vAlign w:val="center"/>
                </w:tcPr>
                <w:p w14:paraId="7502952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603971BD">
                  <w:pPr>
                    <w:jc w:val="center"/>
                    <w:rPr>
                      <w:rFonts w:hint="eastAsia" w:ascii="Times New Roman" w:hAnsi="Times New Roman" w:eastAsia="宋体" w:cs="Times New Roman"/>
                      <w:color w:val="auto"/>
                      <w:lang w:val="en-US" w:eastAsia="zh-CN"/>
                    </w:rPr>
                  </w:pPr>
                </w:p>
              </w:tc>
            </w:tr>
            <w:tr w14:paraId="5494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Align w:val="center"/>
                </w:tcPr>
                <w:p w14:paraId="72680AD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202" w:type="pct"/>
                  <w:vMerge w:val="continue"/>
                  <w:vAlign w:val="center"/>
                </w:tcPr>
                <w:p w14:paraId="40FD1BE2">
                  <w:pPr>
                    <w:jc w:val="center"/>
                    <w:rPr>
                      <w:rFonts w:hint="eastAsia" w:ascii="Times New Roman" w:hAnsi="Times New Roman" w:eastAsia="宋体" w:cs="Times New Roman"/>
                      <w:color w:val="auto"/>
                      <w:lang w:val="en-US" w:eastAsia="zh-CN"/>
                    </w:rPr>
                  </w:pPr>
                </w:p>
              </w:tc>
              <w:tc>
                <w:tcPr>
                  <w:tcW w:w="510" w:type="pct"/>
                  <w:shd w:val="clear" w:color="auto" w:fill="auto"/>
                  <w:vAlign w:val="center"/>
                </w:tcPr>
                <w:p w14:paraId="156E5ED2">
                  <w:pPr>
                    <w:jc w:val="center"/>
                    <w:rPr>
                      <w:rFonts w:hint="eastAsia"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sz w:val="21"/>
                      <w:szCs w:val="21"/>
                      <w:shd w:val="clear" w:color="auto" w:fill="auto"/>
                      <w:lang w:val="en-US" w:eastAsia="zh-CN"/>
                    </w:rPr>
                    <w:t>去石机</w:t>
                  </w:r>
                </w:p>
              </w:tc>
              <w:tc>
                <w:tcPr>
                  <w:tcW w:w="276" w:type="pct"/>
                  <w:vAlign w:val="center"/>
                </w:tcPr>
                <w:p w14:paraId="7C7D761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46A1FA7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75/1</w:t>
                  </w:r>
                </w:p>
              </w:tc>
              <w:tc>
                <w:tcPr>
                  <w:tcW w:w="201" w:type="pct"/>
                  <w:vAlign w:val="center"/>
                </w:tcPr>
                <w:p w14:paraId="5AF4A19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1000E885">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11</w:t>
                  </w:r>
                </w:p>
              </w:tc>
              <w:tc>
                <w:tcPr>
                  <w:tcW w:w="167" w:type="pct"/>
                  <w:vAlign w:val="center"/>
                </w:tcPr>
                <w:p w14:paraId="1CEF307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36BF6BC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790A103D">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11</w:t>
                  </w:r>
                </w:p>
              </w:tc>
              <w:tc>
                <w:tcPr>
                  <w:tcW w:w="152" w:type="pct"/>
                  <w:vAlign w:val="center"/>
                </w:tcPr>
                <w:p w14:paraId="44EE9F6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530820BE">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122</w:t>
                  </w:r>
                </w:p>
              </w:tc>
              <w:tc>
                <w:tcPr>
                  <w:tcW w:w="523" w:type="dxa"/>
                  <w:vAlign w:val="bottom"/>
                </w:tcPr>
                <w:p w14:paraId="22D56F4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52.7 </w:t>
                  </w:r>
                </w:p>
              </w:tc>
              <w:tc>
                <w:tcPr>
                  <w:tcW w:w="523" w:type="dxa"/>
                  <w:vAlign w:val="bottom"/>
                </w:tcPr>
                <w:p w14:paraId="35A3271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54.2 </w:t>
                  </w:r>
                </w:p>
              </w:tc>
              <w:tc>
                <w:tcPr>
                  <w:tcW w:w="619" w:type="dxa"/>
                  <w:vAlign w:val="center"/>
                </w:tcPr>
                <w:p w14:paraId="14B79FB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65.5</w:t>
                  </w:r>
                </w:p>
              </w:tc>
              <w:tc>
                <w:tcPr>
                  <w:tcW w:w="558" w:type="dxa"/>
                  <w:vAlign w:val="bottom"/>
                </w:tcPr>
                <w:p w14:paraId="2106ACE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33.3 </w:t>
                  </w:r>
                </w:p>
              </w:tc>
              <w:tc>
                <w:tcPr>
                  <w:tcW w:w="252" w:type="pct"/>
                  <w:vMerge w:val="continue"/>
                  <w:vAlign w:val="center"/>
                </w:tcPr>
                <w:p w14:paraId="4A940F1E">
                  <w:pPr>
                    <w:jc w:val="center"/>
                    <w:rPr>
                      <w:rFonts w:hint="eastAsia" w:ascii="Times New Roman" w:hAnsi="Times New Roman" w:eastAsia="宋体" w:cs="Times New Roman"/>
                      <w:color w:val="auto"/>
                      <w:lang w:val="en-US" w:eastAsia="zh-CN"/>
                    </w:rPr>
                  </w:pPr>
                </w:p>
              </w:tc>
              <w:tc>
                <w:tcPr>
                  <w:tcW w:w="684" w:type="dxa"/>
                  <w:vAlign w:val="center"/>
                </w:tcPr>
                <w:p w14:paraId="571935F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36DAB24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40.5</w:t>
                  </w:r>
                </w:p>
              </w:tc>
              <w:tc>
                <w:tcPr>
                  <w:tcW w:w="278" w:type="pct"/>
                  <w:vAlign w:val="center"/>
                </w:tcPr>
                <w:p w14:paraId="3B8F64C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98349A6">
                  <w:pPr>
                    <w:jc w:val="center"/>
                    <w:rPr>
                      <w:rFonts w:hint="eastAsia" w:ascii="Times New Roman" w:hAnsi="Times New Roman" w:eastAsia="宋体" w:cs="Times New Roman"/>
                      <w:color w:val="auto"/>
                      <w:lang w:val="en-US" w:eastAsia="zh-CN"/>
                    </w:rPr>
                  </w:pPr>
                </w:p>
              </w:tc>
            </w:tr>
            <w:tr w14:paraId="3FC7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vAlign w:val="center"/>
                </w:tcPr>
                <w:p w14:paraId="79EBE94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202" w:type="pct"/>
                  <w:vMerge w:val="continue"/>
                  <w:vAlign w:val="center"/>
                </w:tcPr>
                <w:p w14:paraId="13855E90">
                  <w:pPr>
                    <w:jc w:val="center"/>
                    <w:rPr>
                      <w:rFonts w:hint="eastAsia" w:ascii="Times New Roman" w:hAnsi="Times New Roman" w:eastAsia="宋体" w:cs="Times New Roman"/>
                      <w:color w:val="auto"/>
                      <w:lang w:val="en-US" w:eastAsia="zh-CN"/>
                    </w:rPr>
                  </w:pPr>
                </w:p>
              </w:tc>
              <w:tc>
                <w:tcPr>
                  <w:tcW w:w="510" w:type="pct"/>
                  <w:shd w:val="clear" w:color="auto" w:fill="auto"/>
                  <w:vAlign w:val="center"/>
                </w:tcPr>
                <w:p w14:paraId="62CB5E88">
                  <w:pPr>
                    <w:jc w:val="center"/>
                    <w:rPr>
                      <w:rFonts w:hint="eastAsia" w:ascii="Times New Roman" w:hAnsi="Times New Roman" w:eastAsia="宋体" w:cs="Times New Roman"/>
                      <w:color w:val="auto"/>
                      <w:kern w:val="2"/>
                      <w:sz w:val="21"/>
                      <w:lang w:val="en-US" w:eastAsia="zh-CN" w:bidi="ar-SA"/>
                    </w:rPr>
                  </w:pPr>
                  <w:r>
                    <w:rPr>
                      <w:rFonts w:hint="default" w:ascii="Times New Roman" w:hAnsi="Times New Roman" w:eastAsia="宋体" w:cs="Times New Roman"/>
                      <w:sz w:val="21"/>
                      <w:szCs w:val="21"/>
                      <w:shd w:val="clear" w:color="auto" w:fill="auto"/>
                      <w:lang w:val="en-US" w:eastAsia="zh-CN"/>
                    </w:rPr>
                    <w:t>砻谷机</w:t>
                  </w:r>
                </w:p>
              </w:tc>
              <w:tc>
                <w:tcPr>
                  <w:tcW w:w="276" w:type="pct"/>
                  <w:vAlign w:val="center"/>
                </w:tcPr>
                <w:p w14:paraId="6A42A21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757CB2D3">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5/1</w:t>
                  </w:r>
                </w:p>
              </w:tc>
              <w:tc>
                <w:tcPr>
                  <w:tcW w:w="201" w:type="pct"/>
                  <w:vAlign w:val="center"/>
                </w:tcPr>
                <w:p w14:paraId="373FB4A7">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22822A3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167" w:type="pct"/>
                  <w:vAlign w:val="center"/>
                </w:tcPr>
                <w:p w14:paraId="442B80E7">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27CCA1D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99A2249">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14</w:t>
                  </w:r>
                </w:p>
              </w:tc>
              <w:tc>
                <w:tcPr>
                  <w:tcW w:w="152" w:type="pct"/>
                  <w:vAlign w:val="center"/>
                </w:tcPr>
                <w:p w14:paraId="12C9E63E">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17971E9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119</w:t>
                  </w:r>
                </w:p>
              </w:tc>
              <w:tc>
                <w:tcPr>
                  <w:tcW w:w="523" w:type="dxa"/>
                  <w:vAlign w:val="bottom"/>
                </w:tcPr>
                <w:p w14:paraId="5C3663E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699FB37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62.1 </w:t>
                  </w:r>
                </w:p>
              </w:tc>
              <w:tc>
                <w:tcPr>
                  <w:tcW w:w="619" w:type="dxa"/>
                  <w:vAlign w:val="center"/>
                </w:tcPr>
                <w:p w14:paraId="37A264F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123FB5C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43.5 </w:t>
                  </w:r>
                </w:p>
              </w:tc>
              <w:tc>
                <w:tcPr>
                  <w:tcW w:w="252" w:type="pct"/>
                  <w:vMerge w:val="continue"/>
                  <w:vAlign w:val="center"/>
                </w:tcPr>
                <w:p w14:paraId="59059B3D">
                  <w:pPr>
                    <w:jc w:val="center"/>
                    <w:rPr>
                      <w:rFonts w:hint="eastAsia" w:ascii="Times New Roman" w:hAnsi="Times New Roman" w:eastAsia="宋体" w:cs="Times New Roman"/>
                      <w:color w:val="auto"/>
                      <w:lang w:val="en-US" w:eastAsia="zh-CN"/>
                    </w:rPr>
                  </w:pPr>
                </w:p>
              </w:tc>
              <w:tc>
                <w:tcPr>
                  <w:tcW w:w="684" w:type="dxa"/>
                  <w:vAlign w:val="center"/>
                </w:tcPr>
                <w:p w14:paraId="4F6FB18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6C5639D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32F92AF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7593B1C4">
                  <w:pPr>
                    <w:jc w:val="center"/>
                    <w:rPr>
                      <w:rFonts w:hint="eastAsia" w:ascii="Times New Roman" w:hAnsi="Times New Roman" w:eastAsia="宋体" w:cs="Times New Roman"/>
                      <w:color w:val="auto"/>
                      <w:lang w:val="en-US" w:eastAsia="zh-CN"/>
                    </w:rPr>
                  </w:pPr>
                </w:p>
              </w:tc>
            </w:tr>
            <w:tr w14:paraId="4D41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00FA918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202" w:type="pct"/>
                  <w:vMerge w:val="continue"/>
                  <w:vAlign w:val="center"/>
                </w:tcPr>
                <w:p w14:paraId="0CF2E5FB">
                  <w:pPr>
                    <w:jc w:val="center"/>
                    <w:rPr>
                      <w:rFonts w:hint="eastAsia" w:ascii="Times New Roman" w:hAnsi="Times New Roman" w:eastAsia="宋体" w:cs="Times New Roman"/>
                      <w:color w:val="auto"/>
                      <w:lang w:val="en-US" w:eastAsia="zh-CN"/>
                    </w:rPr>
                  </w:pPr>
                </w:p>
              </w:tc>
              <w:tc>
                <w:tcPr>
                  <w:tcW w:w="510" w:type="pct"/>
                  <w:shd w:val="clear" w:color="auto" w:fill="auto"/>
                  <w:vAlign w:val="center"/>
                </w:tcPr>
                <w:p w14:paraId="14C67AAB">
                  <w:pPr>
                    <w:jc w:val="center"/>
                    <w:rPr>
                      <w:rFonts w:hint="eastAsia"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lang w:val="en-US" w:eastAsia="zh-CN"/>
                    </w:rPr>
                    <w:t>谷糙</w:t>
                  </w:r>
                  <w:r>
                    <w:rPr>
                      <w:rFonts w:hint="eastAsia" w:cs="Times New Roman"/>
                      <w:color w:val="auto"/>
                      <w:sz w:val="21"/>
                      <w:szCs w:val="21"/>
                      <w:lang w:val="en-US" w:eastAsia="zh-CN"/>
                    </w:rPr>
                    <w:t>分离</w:t>
                  </w:r>
                  <w:r>
                    <w:rPr>
                      <w:rFonts w:hint="default" w:ascii="Times New Roman" w:hAnsi="Times New Roman" w:eastAsia="宋体" w:cs="Times New Roman"/>
                      <w:color w:val="auto"/>
                      <w:sz w:val="21"/>
                      <w:szCs w:val="21"/>
                      <w:lang w:val="en-US" w:eastAsia="zh-CN"/>
                    </w:rPr>
                    <w:t>筛</w:t>
                  </w:r>
                </w:p>
              </w:tc>
              <w:tc>
                <w:tcPr>
                  <w:tcW w:w="276" w:type="pct"/>
                  <w:vAlign w:val="center"/>
                </w:tcPr>
                <w:p w14:paraId="7F89DA4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49454588">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w:t>
                  </w:r>
                  <w:r>
                    <w:rPr>
                      <w:rFonts w:hint="eastAsia" w:ascii="Times New Roman" w:hAnsi="Times New Roman" w:eastAsia="宋体" w:cs="Times New Roman"/>
                      <w:color w:val="auto"/>
                      <w:lang w:val="en-US" w:eastAsia="zh-CN"/>
                    </w:rPr>
                    <w:t>/1</w:t>
                  </w:r>
                </w:p>
              </w:tc>
              <w:tc>
                <w:tcPr>
                  <w:tcW w:w="201" w:type="pct"/>
                  <w:vAlign w:val="center"/>
                </w:tcPr>
                <w:p w14:paraId="000B50E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3FF6B17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17</w:t>
                  </w:r>
                </w:p>
              </w:tc>
              <w:tc>
                <w:tcPr>
                  <w:tcW w:w="167" w:type="pct"/>
                  <w:vAlign w:val="center"/>
                </w:tcPr>
                <w:p w14:paraId="4C8AA380">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3A12A34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3CF06EFD">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17</w:t>
                  </w:r>
                </w:p>
              </w:tc>
              <w:tc>
                <w:tcPr>
                  <w:tcW w:w="152" w:type="pct"/>
                  <w:vAlign w:val="center"/>
                </w:tcPr>
                <w:p w14:paraId="1611E06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56A17B94">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116</w:t>
                  </w:r>
                </w:p>
              </w:tc>
              <w:tc>
                <w:tcPr>
                  <w:tcW w:w="523" w:type="dxa"/>
                  <w:vAlign w:val="bottom"/>
                </w:tcPr>
                <w:p w14:paraId="0095702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57.7 </w:t>
                  </w:r>
                </w:p>
              </w:tc>
              <w:tc>
                <w:tcPr>
                  <w:tcW w:w="523" w:type="dxa"/>
                  <w:vAlign w:val="bottom"/>
                </w:tcPr>
                <w:p w14:paraId="7458B22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55.4 </w:t>
                  </w:r>
                </w:p>
              </w:tc>
              <w:tc>
                <w:tcPr>
                  <w:tcW w:w="619" w:type="dxa"/>
                  <w:vAlign w:val="center"/>
                </w:tcPr>
                <w:p w14:paraId="57C25A5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70.5</w:t>
                  </w:r>
                </w:p>
              </w:tc>
              <w:tc>
                <w:tcPr>
                  <w:tcW w:w="558" w:type="dxa"/>
                  <w:vAlign w:val="bottom"/>
                </w:tcPr>
                <w:p w14:paraId="279E048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38.7 </w:t>
                  </w:r>
                </w:p>
              </w:tc>
              <w:tc>
                <w:tcPr>
                  <w:tcW w:w="252" w:type="pct"/>
                  <w:vMerge w:val="continue"/>
                  <w:vAlign w:val="center"/>
                </w:tcPr>
                <w:p w14:paraId="1B09BE9C">
                  <w:pPr>
                    <w:jc w:val="center"/>
                    <w:rPr>
                      <w:rFonts w:hint="eastAsia" w:ascii="Times New Roman" w:hAnsi="Times New Roman" w:eastAsia="宋体" w:cs="Times New Roman"/>
                      <w:color w:val="auto"/>
                      <w:lang w:val="en-US" w:eastAsia="zh-CN"/>
                    </w:rPr>
                  </w:pPr>
                </w:p>
              </w:tc>
              <w:tc>
                <w:tcPr>
                  <w:tcW w:w="684" w:type="dxa"/>
                  <w:vAlign w:val="center"/>
                </w:tcPr>
                <w:p w14:paraId="07172F5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10AE08F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45.5</w:t>
                  </w:r>
                </w:p>
              </w:tc>
              <w:tc>
                <w:tcPr>
                  <w:tcW w:w="278" w:type="pct"/>
                  <w:vAlign w:val="center"/>
                </w:tcPr>
                <w:p w14:paraId="5F06092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32FCAF7B">
                  <w:pPr>
                    <w:jc w:val="center"/>
                    <w:rPr>
                      <w:rFonts w:hint="eastAsia" w:ascii="Times New Roman" w:hAnsi="Times New Roman" w:eastAsia="宋体" w:cs="Times New Roman"/>
                      <w:color w:val="auto"/>
                      <w:lang w:val="en-US" w:eastAsia="zh-CN"/>
                    </w:rPr>
                  </w:pPr>
                </w:p>
              </w:tc>
            </w:tr>
            <w:tr w14:paraId="7DAE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2996D39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202" w:type="pct"/>
                  <w:vMerge w:val="continue"/>
                  <w:vAlign w:val="center"/>
                </w:tcPr>
                <w:p w14:paraId="47652696">
                  <w:pPr>
                    <w:jc w:val="center"/>
                    <w:rPr>
                      <w:rFonts w:hint="eastAsia" w:ascii="Times New Roman" w:hAnsi="Times New Roman" w:eastAsia="宋体" w:cs="Times New Roman"/>
                      <w:color w:val="auto"/>
                      <w:lang w:val="en-US" w:eastAsia="zh-CN"/>
                    </w:rPr>
                  </w:pPr>
                </w:p>
              </w:tc>
              <w:tc>
                <w:tcPr>
                  <w:tcW w:w="510" w:type="pct"/>
                  <w:vAlign w:val="center"/>
                </w:tcPr>
                <w:p w14:paraId="5FC69E64">
                  <w:pPr>
                    <w:jc w:val="center"/>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碾米机</w:t>
                  </w:r>
                </w:p>
              </w:tc>
              <w:tc>
                <w:tcPr>
                  <w:tcW w:w="276" w:type="pct"/>
                  <w:vAlign w:val="center"/>
                </w:tcPr>
                <w:p w14:paraId="58B1E76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25FAE2A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5/1</w:t>
                  </w:r>
                </w:p>
              </w:tc>
              <w:tc>
                <w:tcPr>
                  <w:tcW w:w="507" w:type="dxa"/>
                  <w:shd w:val="clear" w:color="auto" w:fill="auto"/>
                  <w:vAlign w:val="center"/>
                </w:tcPr>
                <w:p w14:paraId="61A2CB5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shd w:val="clear" w:color="auto" w:fill="auto"/>
                  <w:vAlign w:val="center"/>
                </w:tcPr>
                <w:p w14:paraId="2C57B76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167" w:type="pct"/>
                  <w:vAlign w:val="center"/>
                </w:tcPr>
                <w:p w14:paraId="1A8E5C14">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4DD597E3">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03AB8C6">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20</w:t>
                  </w:r>
                </w:p>
              </w:tc>
              <w:tc>
                <w:tcPr>
                  <w:tcW w:w="152" w:type="pct"/>
                  <w:vAlign w:val="center"/>
                </w:tcPr>
                <w:p w14:paraId="370AE3A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44DC8FBB">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113</w:t>
                  </w:r>
                </w:p>
              </w:tc>
              <w:tc>
                <w:tcPr>
                  <w:tcW w:w="523" w:type="dxa"/>
                  <w:vAlign w:val="bottom"/>
                </w:tcPr>
                <w:p w14:paraId="5B75B03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51D56FF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59.0 </w:t>
                  </w:r>
                </w:p>
              </w:tc>
              <w:tc>
                <w:tcPr>
                  <w:tcW w:w="619" w:type="dxa"/>
                  <w:vAlign w:val="center"/>
                </w:tcPr>
                <w:p w14:paraId="40E9E8D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3AEB857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43.9 </w:t>
                  </w:r>
                </w:p>
              </w:tc>
              <w:tc>
                <w:tcPr>
                  <w:tcW w:w="252" w:type="pct"/>
                  <w:vMerge w:val="continue"/>
                  <w:vAlign w:val="center"/>
                </w:tcPr>
                <w:p w14:paraId="3AEAC43B">
                  <w:pPr>
                    <w:jc w:val="center"/>
                    <w:rPr>
                      <w:rFonts w:hint="eastAsia" w:ascii="Times New Roman" w:hAnsi="Times New Roman" w:eastAsia="宋体" w:cs="Times New Roman"/>
                      <w:color w:val="auto"/>
                      <w:lang w:val="en-US" w:eastAsia="zh-CN"/>
                    </w:rPr>
                  </w:pPr>
                </w:p>
              </w:tc>
              <w:tc>
                <w:tcPr>
                  <w:tcW w:w="684" w:type="dxa"/>
                  <w:vAlign w:val="center"/>
                </w:tcPr>
                <w:p w14:paraId="1743964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4AD3155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7866D97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1207086C">
                  <w:pPr>
                    <w:jc w:val="center"/>
                    <w:rPr>
                      <w:rFonts w:hint="eastAsia" w:ascii="Times New Roman" w:hAnsi="Times New Roman" w:eastAsia="宋体" w:cs="Times New Roman"/>
                      <w:color w:val="auto"/>
                      <w:lang w:val="en-US" w:eastAsia="zh-CN"/>
                    </w:rPr>
                  </w:pPr>
                </w:p>
              </w:tc>
            </w:tr>
            <w:tr w14:paraId="4E70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7BD4430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202" w:type="pct"/>
                  <w:vMerge w:val="continue"/>
                  <w:vAlign w:val="center"/>
                </w:tcPr>
                <w:p w14:paraId="5FFFF537">
                  <w:pPr>
                    <w:jc w:val="center"/>
                    <w:rPr>
                      <w:rFonts w:hint="eastAsia" w:ascii="Times New Roman" w:hAnsi="Times New Roman" w:eastAsia="宋体" w:cs="Times New Roman"/>
                      <w:color w:val="auto"/>
                      <w:lang w:val="en-US" w:eastAsia="zh-CN"/>
                    </w:rPr>
                  </w:pPr>
                </w:p>
              </w:tc>
              <w:tc>
                <w:tcPr>
                  <w:tcW w:w="510" w:type="pct"/>
                  <w:vAlign w:val="center"/>
                </w:tcPr>
                <w:p w14:paraId="788156B4">
                  <w:pPr>
                    <w:jc w:val="center"/>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碾米机</w:t>
                  </w:r>
                </w:p>
              </w:tc>
              <w:tc>
                <w:tcPr>
                  <w:tcW w:w="276" w:type="pct"/>
                  <w:vAlign w:val="center"/>
                </w:tcPr>
                <w:p w14:paraId="29A1C95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6A568FE5">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5/1</w:t>
                  </w:r>
                </w:p>
              </w:tc>
              <w:tc>
                <w:tcPr>
                  <w:tcW w:w="507" w:type="dxa"/>
                  <w:vAlign w:val="center"/>
                </w:tcPr>
                <w:p w14:paraId="22D1951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54FBD88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22</w:t>
                  </w:r>
                </w:p>
              </w:tc>
              <w:tc>
                <w:tcPr>
                  <w:tcW w:w="167" w:type="pct"/>
                  <w:vAlign w:val="center"/>
                </w:tcPr>
                <w:p w14:paraId="5675C8A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5947577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4F011DE6">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22</w:t>
                  </w:r>
                </w:p>
              </w:tc>
              <w:tc>
                <w:tcPr>
                  <w:tcW w:w="152" w:type="pct"/>
                  <w:vAlign w:val="center"/>
                </w:tcPr>
                <w:p w14:paraId="0447FD70">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269CC80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111</w:t>
                  </w:r>
                </w:p>
              </w:tc>
              <w:tc>
                <w:tcPr>
                  <w:tcW w:w="523" w:type="dxa"/>
                  <w:vAlign w:val="bottom"/>
                </w:tcPr>
                <w:p w14:paraId="49E134F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64AEF8D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58.2 </w:t>
                  </w:r>
                </w:p>
              </w:tc>
              <w:tc>
                <w:tcPr>
                  <w:tcW w:w="619" w:type="dxa"/>
                  <w:vAlign w:val="center"/>
                </w:tcPr>
                <w:p w14:paraId="0E6DF4A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6A4B514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44.1 </w:t>
                  </w:r>
                </w:p>
              </w:tc>
              <w:tc>
                <w:tcPr>
                  <w:tcW w:w="252" w:type="pct"/>
                  <w:vMerge w:val="continue"/>
                  <w:vAlign w:val="center"/>
                </w:tcPr>
                <w:p w14:paraId="67ABC11B">
                  <w:pPr>
                    <w:jc w:val="center"/>
                    <w:rPr>
                      <w:rFonts w:hint="eastAsia" w:ascii="Times New Roman" w:hAnsi="Times New Roman" w:eastAsia="宋体" w:cs="Times New Roman"/>
                      <w:color w:val="auto"/>
                      <w:lang w:val="en-US" w:eastAsia="zh-CN"/>
                    </w:rPr>
                  </w:pPr>
                </w:p>
              </w:tc>
              <w:tc>
                <w:tcPr>
                  <w:tcW w:w="684" w:type="dxa"/>
                  <w:vAlign w:val="center"/>
                </w:tcPr>
                <w:p w14:paraId="3D02955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76D631E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126A4DA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E4F10BA">
                  <w:pPr>
                    <w:jc w:val="center"/>
                    <w:rPr>
                      <w:rFonts w:hint="eastAsia" w:ascii="Times New Roman" w:hAnsi="Times New Roman" w:eastAsia="宋体" w:cs="Times New Roman"/>
                      <w:color w:val="auto"/>
                      <w:lang w:val="en-US" w:eastAsia="zh-CN"/>
                    </w:rPr>
                  </w:pPr>
                </w:p>
              </w:tc>
            </w:tr>
            <w:tr w14:paraId="7CF8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1" w:type="pct"/>
                  <w:shd w:val="clear" w:color="auto" w:fill="auto"/>
                  <w:vAlign w:val="center"/>
                </w:tcPr>
                <w:p w14:paraId="208E1F9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202" w:type="pct"/>
                  <w:vMerge w:val="continue"/>
                  <w:vAlign w:val="center"/>
                </w:tcPr>
                <w:p w14:paraId="36ADFFED">
                  <w:pPr>
                    <w:jc w:val="center"/>
                    <w:rPr>
                      <w:rFonts w:hint="eastAsia" w:ascii="Times New Roman" w:hAnsi="Times New Roman" w:eastAsia="宋体" w:cs="Times New Roman"/>
                      <w:color w:val="auto"/>
                      <w:lang w:val="en-US" w:eastAsia="zh-CN"/>
                    </w:rPr>
                  </w:pPr>
                </w:p>
              </w:tc>
              <w:tc>
                <w:tcPr>
                  <w:tcW w:w="510" w:type="pct"/>
                  <w:vAlign w:val="center"/>
                </w:tcPr>
                <w:p w14:paraId="3DAFC748">
                  <w:pPr>
                    <w:jc w:val="center"/>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碾米机</w:t>
                  </w:r>
                </w:p>
              </w:tc>
              <w:tc>
                <w:tcPr>
                  <w:tcW w:w="276" w:type="pct"/>
                  <w:vAlign w:val="center"/>
                </w:tcPr>
                <w:p w14:paraId="78BEE49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140DD6A4">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5/1</w:t>
                  </w:r>
                </w:p>
              </w:tc>
              <w:tc>
                <w:tcPr>
                  <w:tcW w:w="507" w:type="dxa"/>
                  <w:vAlign w:val="center"/>
                </w:tcPr>
                <w:p w14:paraId="57FFD29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030350A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p>
              </w:tc>
              <w:tc>
                <w:tcPr>
                  <w:tcW w:w="167" w:type="pct"/>
                  <w:vAlign w:val="center"/>
                </w:tcPr>
                <w:p w14:paraId="086CFE7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1CCED92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5E3BD1BA">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24</w:t>
                  </w:r>
                </w:p>
              </w:tc>
              <w:tc>
                <w:tcPr>
                  <w:tcW w:w="152" w:type="pct"/>
                  <w:vAlign w:val="center"/>
                </w:tcPr>
                <w:p w14:paraId="5B3CB62E">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06547D5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109</w:t>
                  </w:r>
                </w:p>
              </w:tc>
              <w:tc>
                <w:tcPr>
                  <w:tcW w:w="523" w:type="dxa"/>
                  <w:vAlign w:val="bottom"/>
                </w:tcPr>
                <w:p w14:paraId="228C58D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4631C54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57.4 </w:t>
                  </w:r>
                </w:p>
              </w:tc>
              <w:tc>
                <w:tcPr>
                  <w:tcW w:w="619" w:type="dxa"/>
                  <w:vAlign w:val="center"/>
                </w:tcPr>
                <w:p w14:paraId="2779748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4E57539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44.3 </w:t>
                  </w:r>
                </w:p>
              </w:tc>
              <w:tc>
                <w:tcPr>
                  <w:tcW w:w="252" w:type="pct"/>
                  <w:vMerge w:val="continue"/>
                  <w:vAlign w:val="center"/>
                </w:tcPr>
                <w:p w14:paraId="5A619499">
                  <w:pPr>
                    <w:jc w:val="center"/>
                    <w:rPr>
                      <w:rFonts w:hint="eastAsia" w:ascii="Times New Roman" w:hAnsi="Times New Roman" w:eastAsia="宋体" w:cs="Times New Roman"/>
                      <w:color w:val="auto"/>
                      <w:lang w:val="en-US" w:eastAsia="zh-CN"/>
                    </w:rPr>
                  </w:pPr>
                </w:p>
              </w:tc>
              <w:tc>
                <w:tcPr>
                  <w:tcW w:w="684" w:type="dxa"/>
                  <w:vAlign w:val="center"/>
                </w:tcPr>
                <w:p w14:paraId="7FCEBFB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6FF58E1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5AEF1A5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AB880E1">
                  <w:pPr>
                    <w:jc w:val="center"/>
                    <w:rPr>
                      <w:rFonts w:hint="eastAsia" w:ascii="Times New Roman" w:hAnsi="Times New Roman" w:eastAsia="宋体" w:cs="Times New Roman"/>
                      <w:color w:val="auto"/>
                      <w:lang w:val="en-US" w:eastAsia="zh-CN"/>
                    </w:rPr>
                  </w:pPr>
                </w:p>
              </w:tc>
            </w:tr>
            <w:tr w14:paraId="17A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053D568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202" w:type="pct"/>
                  <w:vMerge w:val="continue"/>
                  <w:vAlign w:val="center"/>
                </w:tcPr>
                <w:p w14:paraId="39B4CEFB">
                  <w:pPr>
                    <w:jc w:val="center"/>
                    <w:rPr>
                      <w:rFonts w:hint="eastAsia" w:ascii="Times New Roman" w:hAnsi="Times New Roman" w:eastAsia="宋体" w:cs="Times New Roman"/>
                      <w:color w:val="auto"/>
                      <w:lang w:val="en-US" w:eastAsia="zh-CN"/>
                    </w:rPr>
                  </w:pPr>
                </w:p>
              </w:tc>
              <w:tc>
                <w:tcPr>
                  <w:tcW w:w="510" w:type="pct"/>
                  <w:vAlign w:val="center"/>
                </w:tcPr>
                <w:p w14:paraId="4A7024E0">
                  <w:pPr>
                    <w:jc w:val="center"/>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碾米机</w:t>
                  </w:r>
                </w:p>
              </w:tc>
              <w:tc>
                <w:tcPr>
                  <w:tcW w:w="276" w:type="pct"/>
                  <w:vAlign w:val="center"/>
                </w:tcPr>
                <w:p w14:paraId="079B136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0BA46AAD">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r>
                    <w:rPr>
                      <w:rFonts w:hint="eastAsia" w:ascii="Times New Roman" w:hAnsi="Times New Roman" w:eastAsia="宋体" w:cs="Times New Roman"/>
                      <w:color w:val="auto"/>
                      <w:lang w:val="en-US" w:eastAsia="zh-CN"/>
                    </w:rPr>
                    <w:t>5/1</w:t>
                  </w:r>
                </w:p>
              </w:tc>
              <w:tc>
                <w:tcPr>
                  <w:tcW w:w="507" w:type="dxa"/>
                  <w:vAlign w:val="center"/>
                </w:tcPr>
                <w:p w14:paraId="5F0A330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76C4721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26</w:t>
                  </w:r>
                </w:p>
              </w:tc>
              <w:tc>
                <w:tcPr>
                  <w:tcW w:w="167" w:type="pct"/>
                  <w:vAlign w:val="center"/>
                </w:tcPr>
                <w:p w14:paraId="1924F87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481026A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640B484E">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26</w:t>
                  </w:r>
                </w:p>
              </w:tc>
              <w:tc>
                <w:tcPr>
                  <w:tcW w:w="152" w:type="pct"/>
                  <w:vAlign w:val="center"/>
                </w:tcPr>
                <w:p w14:paraId="51F6607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469DF41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107</w:t>
                  </w:r>
                </w:p>
              </w:tc>
              <w:tc>
                <w:tcPr>
                  <w:tcW w:w="523" w:type="dxa"/>
                  <w:vAlign w:val="bottom"/>
                </w:tcPr>
                <w:p w14:paraId="5287935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5F6E480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56.7 </w:t>
                  </w:r>
                </w:p>
              </w:tc>
              <w:tc>
                <w:tcPr>
                  <w:tcW w:w="619" w:type="dxa"/>
                  <w:vAlign w:val="center"/>
                </w:tcPr>
                <w:p w14:paraId="78249AE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37DD958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44.4 </w:t>
                  </w:r>
                </w:p>
              </w:tc>
              <w:tc>
                <w:tcPr>
                  <w:tcW w:w="252" w:type="pct"/>
                  <w:vMerge w:val="continue"/>
                  <w:vAlign w:val="center"/>
                </w:tcPr>
                <w:p w14:paraId="65B2F513">
                  <w:pPr>
                    <w:jc w:val="center"/>
                    <w:rPr>
                      <w:rFonts w:hint="eastAsia" w:ascii="Times New Roman" w:hAnsi="Times New Roman" w:eastAsia="宋体" w:cs="Times New Roman"/>
                      <w:color w:val="auto"/>
                      <w:lang w:val="en-US" w:eastAsia="zh-CN"/>
                    </w:rPr>
                  </w:pPr>
                </w:p>
              </w:tc>
              <w:tc>
                <w:tcPr>
                  <w:tcW w:w="684" w:type="dxa"/>
                  <w:vAlign w:val="center"/>
                </w:tcPr>
                <w:p w14:paraId="04F8469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62D854F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66E6198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7B9B7839">
                  <w:pPr>
                    <w:jc w:val="center"/>
                    <w:rPr>
                      <w:rFonts w:hint="eastAsia" w:ascii="Times New Roman" w:hAnsi="Times New Roman" w:eastAsia="宋体" w:cs="Times New Roman"/>
                      <w:color w:val="auto"/>
                      <w:lang w:val="en-US" w:eastAsia="zh-CN"/>
                    </w:rPr>
                  </w:pPr>
                </w:p>
              </w:tc>
            </w:tr>
            <w:tr w14:paraId="08CE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3814747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202" w:type="pct"/>
                  <w:vMerge w:val="continue"/>
                  <w:vAlign w:val="center"/>
                </w:tcPr>
                <w:p w14:paraId="3DC4A7AD">
                  <w:pPr>
                    <w:jc w:val="center"/>
                    <w:rPr>
                      <w:rFonts w:hint="eastAsia" w:ascii="Times New Roman" w:hAnsi="Times New Roman" w:eastAsia="宋体" w:cs="Times New Roman"/>
                      <w:color w:val="auto"/>
                      <w:lang w:val="en-US" w:eastAsia="zh-CN"/>
                    </w:rPr>
                  </w:pPr>
                </w:p>
              </w:tc>
              <w:tc>
                <w:tcPr>
                  <w:tcW w:w="510" w:type="pct"/>
                  <w:vAlign w:val="center"/>
                </w:tcPr>
                <w:p w14:paraId="3DFDE24F">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白米分级筛</w:t>
                  </w:r>
                </w:p>
              </w:tc>
              <w:tc>
                <w:tcPr>
                  <w:tcW w:w="276" w:type="pct"/>
                  <w:vAlign w:val="center"/>
                </w:tcPr>
                <w:p w14:paraId="6A5A5BB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shd w:val="clear" w:color="auto" w:fill="auto"/>
                  <w:vAlign w:val="center"/>
                </w:tcPr>
                <w:p w14:paraId="7CBAA08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75</w:t>
                  </w:r>
                  <w:r>
                    <w:rPr>
                      <w:rFonts w:hint="eastAsia" w:ascii="Times New Roman" w:hAnsi="Times New Roman" w:eastAsia="宋体" w:cs="Times New Roman"/>
                      <w:color w:val="auto"/>
                      <w:lang w:val="en-US" w:eastAsia="zh-CN"/>
                    </w:rPr>
                    <w:t>/1</w:t>
                  </w:r>
                </w:p>
              </w:tc>
              <w:tc>
                <w:tcPr>
                  <w:tcW w:w="507" w:type="dxa"/>
                  <w:vAlign w:val="center"/>
                </w:tcPr>
                <w:p w14:paraId="371B32C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7BA7411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29</w:t>
                  </w:r>
                </w:p>
              </w:tc>
              <w:tc>
                <w:tcPr>
                  <w:tcW w:w="167" w:type="pct"/>
                  <w:vAlign w:val="center"/>
                </w:tcPr>
                <w:p w14:paraId="23855F49">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1BC63A4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6C1F1DCC">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29</w:t>
                  </w:r>
                </w:p>
              </w:tc>
              <w:tc>
                <w:tcPr>
                  <w:tcW w:w="152" w:type="pct"/>
                  <w:vAlign w:val="center"/>
                </w:tcPr>
                <w:p w14:paraId="3CACE4F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5B45645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104</w:t>
                  </w:r>
                </w:p>
              </w:tc>
              <w:tc>
                <w:tcPr>
                  <w:tcW w:w="523" w:type="dxa"/>
                  <w:vAlign w:val="bottom"/>
                </w:tcPr>
                <w:p w14:paraId="1ED7917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52.7 </w:t>
                  </w:r>
                </w:p>
              </w:tc>
              <w:tc>
                <w:tcPr>
                  <w:tcW w:w="523" w:type="dxa"/>
                  <w:vAlign w:val="bottom"/>
                </w:tcPr>
                <w:p w14:paraId="540D259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45.8 </w:t>
                  </w:r>
                </w:p>
              </w:tc>
              <w:tc>
                <w:tcPr>
                  <w:tcW w:w="619" w:type="dxa"/>
                  <w:vAlign w:val="center"/>
                </w:tcPr>
                <w:p w14:paraId="74F1AA9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65.5</w:t>
                  </w:r>
                </w:p>
              </w:tc>
              <w:tc>
                <w:tcPr>
                  <w:tcW w:w="558" w:type="dxa"/>
                  <w:vAlign w:val="bottom"/>
                </w:tcPr>
                <w:p w14:paraId="32DD0AA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34.7 </w:t>
                  </w:r>
                </w:p>
              </w:tc>
              <w:tc>
                <w:tcPr>
                  <w:tcW w:w="252" w:type="pct"/>
                  <w:vMerge w:val="continue"/>
                  <w:vAlign w:val="center"/>
                </w:tcPr>
                <w:p w14:paraId="2D88CA5C">
                  <w:pPr>
                    <w:jc w:val="center"/>
                    <w:rPr>
                      <w:rFonts w:hint="eastAsia" w:ascii="Times New Roman" w:hAnsi="Times New Roman" w:eastAsia="宋体" w:cs="Times New Roman"/>
                      <w:color w:val="auto"/>
                      <w:lang w:val="en-US" w:eastAsia="zh-CN"/>
                    </w:rPr>
                  </w:pPr>
                </w:p>
              </w:tc>
              <w:tc>
                <w:tcPr>
                  <w:tcW w:w="684" w:type="dxa"/>
                  <w:vAlign w:val="center"/>
                </w:tcPr>
                <w:p w14:paraId="1D0D2D8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7D469F0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40.5</w:t>
                  </w:r>
                </w:p>
              </w:tc>
              <w:tc>
                <w:tcPr>
                  <w:tcW w:w="278" w:type="pct"/>
                  <w:vAlign w:val="center"/>
                </w:tcPr>
                <w:p w14:paraId="73ECE7F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07E1AF90">
                  <w:pPr>
                    <w:jc w:val="center"/>
                    <w:rPr>
                      <w:rFonts w:hint="eastAsia" w:ascii="Times New Roman" w:hAnsi="Times New Roman" w:eastAsia="宋体" w:cs="Times New Roman"/>
                      <w:color w:val="auto"/>
                      <w:lang w:val="en-US" w:eastAsia="zh-CN"/>
                    </w:rPr>
                  </w:pPr>
                </w:p>
              </w:tc>
            </w:tr>
            <w:tr w14:paraId="4837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0E6E7EE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w:t>
                  </w:r>
                </w:p>
              </w:tc>
              <w:tc>
                <w:tcPr>
                  <w:tcW w:w="202" w:type="pct"/>
                  <w:vMerge w:val="continue"/>
                  <w:vAlign w:val="center"/>
                </w:tcPr>
                <w:p w14:paraId="3F8DACEA">
                  <w:pPr>
                    <w:jc w:val="center"/>
                    <w:rPr>
                      <w:rFonts w:hint="eastAsia" w:ascii="Times New Roman" w:hAnsi="Times New Roman" w:eastAsia="宋体" w:cs="Times New Roman"/>
                      <w:color w:val="auto"/>
                      <w:lang w:val="en-US" w:eastAsia="zh-CN"/>
                    </w:rPr>
                  </w:pPr>
                </w:p>
              </w:tc>
              <w:tc>
                <w:tcPr>
                  <w:tcW w:w="510" w:type="pct"/>
                  <w:vAlign w:val="center"/>
                </w:tcPr>
                <w:p w14:paraId="4669435D">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白米分级筛</w:t>
                  </w:r>
                </w:p>
              </w:tc>
              <w:tc>
                <w:tcPr>
                  <w:tcW w:w="276" w:type="pct"/>
                  <w:vAlign w:val="center"/>
                </w:tcPr>
                <w:p w14:paraId="758F186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shd w:val="clear" w:color="auto" w:fill="auto"/>
                  <w:vAlign w:val="center"/>
                </w:tcPr>
                <w:p w14:paraId="546E83A5">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75</w:t>
                  </w:r>
                  <w:r>
                    <w:rPr>
                      <w:rFonts w:hint="eastAsia" w:ascii="Times New Roman" w:hAnsi="Times New Roman" w:eastAsia="宋体" w:cs="Times New Roman"/>
                      <w:color w:val="auto"/>
                      <w:lang w:val="en-US" w:eastAsia="zh-CN"/>
                    </w:rPr>
                    <w:t>/1</w:t>
                  </w:r>
                </w:p>
              </w:tc>
              <w:tc>
                <w:tcPr>
                  <w:tcW w:w="507" w:type="dxa"/>
                  <w:vAlign w:val="center"/>
                </w:tcPr>
                <w:p w14:paraId="0054C0F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532380B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32</w:t>
                  </w:r>
                </w:p>
              </w:tc>
              <w:tc>
                <w:tcPr>
                  <w:tcW w:w="167" w:type="pct"/>
                  <w:vAlign w:val="center"/>
                </w:tcPr>
                <w:p w14:paraId="1137A294">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0232235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23B90321">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32</w:t>
                  </w:r>
                </w:p>
              </w:tc>
              <w:tc>
                <w:tcPr>
                  <w:tcW w:w="152" w:type="pct"/>
                  <w:vAlign w:val="center"/>
                </w:tcPr>
                <w:p w14:paraId="495F6D4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6FD0712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101</w:t>
                  </w:r>
                </w:p>
              </w:tc>
              <w:tc>
                <w:tcPr>
                  <w:tcW w:w="523" w:type="dxa"/>
                  <w:vAlign w:val="bottom"/>
                </w:tcPr>
                <w:p w14:paraId="3AAF7C8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52.7 </w:t>
                  </w:r>
                </w:p>
              </w:tc>
              <w:tc>
                <w:tcPr>
                  <w:tcW w:w="523" w:type="dxa"/>
                  <w:vAlign w:val="bottom"/>
                </w:tcPr>
                <w:p w14:paraId="46ED99E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44.9 </w:t>
                  </w:r>
                </w:p>
              </w:tc>
              <w:tc>
                <w:tcPr>
                  <w:tcW w:w="619" w:type="dxa"/>
                  <w:vAlign w:val="center"/>
                </w:tcPr>
                <w:p w14:paraId="4D6AF49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65.5</w:t>
                  </w:r>
                </w:p>
              </w:tc>
              <w:tc>
                <w:tcPr>
                  <w:tcW w:w="558" w:type="dxa"/>
                  <w:vAlign w:val="bottom"/>
                </w:tcPr>
                <w:p w14:paraId="6E11A8A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34.9 </w:t>
                  </w:r>
                </w:p>
              </w:tc>
              <w:tc>
                <w:tcPr>
                  <w:tcW w:w="252" w:type="pct"/>
                  <w:vMerge w:val="continue"/>
                  <w:vAlign w:val="center"/>
                </w:tcPr>
                <w:p w14:paraId="7E0C77C9">
                  <w:pPr>
                    <w:jc w:val="center"/>
                    <w:rPr>
                      <w:rFonts w:hint="eastAsia" w:ascii="Times New Roman" w:hAnsi="Times New Roman" w:eastAsia="宋体" w:cs="Times New Roman"/>
                      <w:color w:val="auto"/>
                      <w:lang w:val="en-US" w:eastAsia="zh-CN"/>
                    </w:rPr>
                  </w:pPr>
                </w:p>
              </w:tc>
              <w:tc>
                <w:tcPr>
                  <w:tcW w:w="684" w:type="dxa"/>
                  <w:vAlign w:val="center"/>
                </w:tcPr>
                <w:p w14:paraId="1F8EEBF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1B93662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40.5</w:t>
                  </w:r>
                </w:p>
              </w:tc>
              <w:tc>
                <w:tcPr>
                  <w:tcW w:w="278" w:type="pct"/>
                  <w:vAlign w:val="center"/>
                </w:tcPr>
                <w:p w14:paraId="1E5F337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6617447E">
                  <w:pPr>
                    <w:jc w:val="center"/>
                    <w:rPr>
                      <w:rFonts w:hint="eastAsia" w:ascii="Times New Roman" w:hAnsi="Times New Roman" w:eastAsia="宋体" w:cs="Times New Roman"/>
                      <w:color w:val="auto"/>
                      <w:lang w:val="en-US" w:eastAsia="zh-CN"/>
                    </w:rPr>
                  </w:pPr>
                </w:p>
              </w:tc>
            </w:tr>
            <w:tr w14:paraId="239D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1" w:type="pct"/>
                  <w:shd w:val="clear" w:color="auto" w:fill="auto"/>
                  <w:vAlign w:val="center"/>
                </w:tcPr>
                <w:p w14:paraId="23EAA4B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w:t>
                  </w:r>
                </w:p>
              </w:tc>
              <w:tc>
                <w:tcPr>
                  <w:tcW w:w="202" w:type="pct"/>
                  <w:vMerge w:val="continue"/>
                  <w:vAlign w:val="center"/>
                </w:tcPr>
                <w:p w14:paraId="0FE16A72">
                  <w:pPr>
                    <w:jc w:val="center"/>
                    <w:rPr>
                      <w:rFonts w:hint="eastAsia" w:ascii="Times New Roman" w:hAnsi="Times New Roman" w:eastAsia="宋体" w:cs="Times New Roman"/>
                      <w:color w:val="auto"/>
                      <w:lang w:val="en-US" w:eastAsia="zh-CN"/>
                    </w:rPr>
                  </w:pPr>
                </w:p>
              </w:tc>
              <w:tc>
                <w:tcPr>
                  <w:tcW w:w="510" w:type="pct"/>
                  <w:vAlign w:val="center"/>
                </w:tcPr>
                <w:p w14:paraId="540B1954">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色选机</w:t>
                  </w:r>
                </w:p>
              </w:tc>
              <w:tc>
                <w:tcPr>
                  <w:tcW w:w="276" w:type="pct"/>
                  <w:vAlign w:val="center"/>
                </w:tcPr>
                <w:p w14:paraId="67A8C6A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314E421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vAlign w:val="center"/>
                </w:tcPr>
                <w:p w14:paraId="497198B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0B7D310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35</w:t>
                  </w:r>
                </w:p>
              </w:tc>
              <w:tc>
                <w:tcPr>
                  <w:tcW w:w="167" w:type="pct"/>
                  <w:vAlign w:val="center"/>
                </w:tcPr>
                <w:p w14:paraId="334366CD">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0DE1FA9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35242D2C">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35</w:t>
                  </w:r>
                </w:p>
              </w:tc>
              <w:tc>
                <w:tcPr>
                  <w:tcW w:w="152" w:type="pct"/>
                  <w:vAlign w:val="center"/>
                </w:tcPr>
                <w:p w14:paraId="177F87D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2371050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98</w:t>
                  </w:r>
                </w:p>
              </w:tc>
              <w:tc>
                <w:tcPr>
                  <w:tcW w:w="523" w:type="dxa"/>
                  <w:vAlign w:val="bottom"/>
                </w:tcPr>
                <w:p w14:paraId="0FA5B39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596F665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39.1 </w:t>
                  </w:r>
                </w:p>
              </w:tc>
              <w:tc>
                <w:tcPr>
                  <w:tcW w:w="619" w:type="dxa"/>
                  <w:vAlign w:val="center"/>
                </w:tcPr>
                <w:p w14:paraId="49BEF51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36891A0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30.2 </w:t>
                  </w:r>
                </w:p>
              </w:tc>
              <w:tc>
                <w:tcPr>
                  <w:tcW w:w="252" w:type="pct"/>
                  <w:vMerge w:val="continue"/>
                  <w:vAlign w:val="center"/>
                </w:tcPr>
                <w:p w14:paraId="4EA3181D">
                  <w:pPr>
                    <w:jc w:val="center"/>
                    <w:rPr>
                      <w:rFonts w:hint="eastAsia" w:ascii="Times New Roman" w:hAnsi="Times New Roman" w:eastAsia="宋体" w:cs="Times New Roman"/>
                      <w:color w:val="auto"/>
                      <w:lang w:val="en-US" w:eastAsia="zh-CN"/>
                    </w:rPr>
                  </w:pPr>
                </w:p>
              </w:tc>
              <w:tc>
                <w:tcPr>
                  <w:tcW w:w="684" w:type="dxa"/>
                  <w:vAlign w:val="center"/>
                </w:tcPr>
                <w:p w14:paraId="6522A90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6D2CD20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6AE4C9C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25595B09">
                  <w:pPr>
                    <w:jc w:val="center"/>
                    <w:rPr>
                      <w:rFonts w:hint="eastAsia" w:ascii="Times New Roman" w:hAnsi="Times New Roman" w:eastAsia="宋体" w:cs="Times New Roman"/>
                      <w:color w:val="auto"/>
                      <w:lang w:val="en-US" w:eastAsia="zh-CN"/>
                    </w:rPr>
                  </w:pPr>
                </w:p>
              </w:tc>
            </w:tr>
            <w:tr w14:paraId="5A44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135C66D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p>
              </w:tc>
              <w:tc>
                <w:tcPr>
                  <w:tcW w:w="202" w:type="pct"/>
                  <w:vMerge w:val="continue"/>
                  <w:vAlign w:val="center"/>
                </w:tcPr>
                <w:p w14:paraId="5FC7B33F">
                  <w:pPr>
                    <w:jc w:val="center"/>
                    <w:rPr>
                      <w:rFonts w:hint="eastAsia" w:ascii="Times New Roman" w:hAnsi="Times New Roman" w:eastAsia="宋体" w:cs="Times New Roman"/>
                      <w:color w:val="auto"/>
                      <w:lang w:val="en-US" w:eastAsia="zh-CN"/>
                    </w:rPr>
                  </w:pPr>
                </w:p>
              </w:tc>
              <w:tc>
                <w:tcPr>
                  <w:tcW w:w="510" w:type="pct"/>
                  <w:vAlign w:val="center"/>
                </w:tcPr>
                <w:p w14:paraId="4D5F2D4B">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色选机</w:t>
                  </w:r>
                </w:p>
              </w:tc>
              <w:tc>
                <w:tcPr>
                  <w:tcW w:w="276" w:type="pct"/>
                  <w:vAlign w:val="center"/>
                </w:tcPr>
                <w:p w14:paraId="2F7A831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0A41FAA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vAlign w:val="center"/>
                </w:tcPr>
                <w:p w14:paraId="294A02F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4A2B916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37</w:t>
                  </w:r>
                </w:p>
              </w:tc>
              <w:tc>
                <w:tcPr>
                  <w:tcW w:w="167" w:type="pct"/>
                  <w:vAlign w:val="center"/>
                </w:tcPr>
                <w:p w14:paraId="71E5E390">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311CFF0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65C7186">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37</w:t>
                  </w:r>
                </w:p>
              </w:tc>
              <w:tc>
                <w:tcPr>
                  <w:tcW w:w="152" w:type="pct"/>
                  <w:vAlign w:val="center"/>
                </w:tcPr>
                <w:p w14:paraId="3859A87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10495B8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96</w:t>
                  </w:r>
                </w:p>
              </w:tc>
              <w:tc>
                <w:tcPr>
                  <w:tcW w:w="523" w:type="dxa"/>
                  <w:vAlign w:val="bottom"/>
                </w:tcPr>
                <w:p w14:paraId="61D896B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06C6449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38.6 </w:t>
                  </w:r>
                </w:p>
              </w:tc>
              <w:tc>
                <w:tcPr>
                  <w:tcW w:w="619" w:type="dxa"/>
                  <w:vAlign w:val="center"/>
                </w:tcPr>
                <w:p w14:paraId="3685268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3E41624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30.4 </w:t>
                  </w:r>
                </w:p>
              </w:tc>
              <w:tc>
                <w:tcPr>
                  <w:tcW w:w="252" w:type="pct"/>
                  <w:vMerge w:val="continue"/>
                  <w:vAlign w:val="center"/>
                </w:tcPr>
                <w:p w14:paraId="04A9BCC3">
                  <w:pPr>
                    <w:jc w:val="center"/>
                    <w:rPr>
                      <w:rFonts w:hint="eastAsia" w:ascii="Times New Roman" w:hAnsi="Times New Roman" w:eastAsia="宋体" w:cs="Times New Roman"/>
                      <w:color w:val="auto"/>
                      <w:lang w:val="en-US" w:eastAsia="zh-CN"/>
                    </w:rPr>
                  </w:pPr>
                </w:p>
              </w:tc>
              <w:tc>
                <w:tcPr>
                  <w:tcW w:w="684" w:type="dxa"/>
                  <w:vAlign w:val="center"/>
                </w:tcPr>
                <w:p w14:paraId="5A946C5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7908A7F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336A874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14980C0E">
                  <w:pPr>
                    <w:jc w:val="center"/>
                    <w:rPr>
                      <w:rFonts w:hint="eastAsia" w:ascii="Times New Roman" w:hAnsi="Times New Roman" w:eastAsia="宋体" w:cs="Times New Roman"/>
                      <w:color w:val="auto"/>
                      <w:lang w:val="en-US" w:eastAsia="zh-CN"/>
                    </w:rPr>
                  </w:pPr>
                </w:p>
              </w:tc>
            </w:tr>
            <w:tr w14:paraId="2144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2EE8983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p>
              </w:tc>
              <w:tc>
                <w:tcPr>
                  <w:tcW w:w="202" w:type="pct"/>
                  <w:vMerge w:val="continue"/>
                  <w:vAlign w:val="center"/>
                </w:tcPr>
                <w:p w14:paraId="33DA6045">
                  <w:pPr>
                    <w:jc w:val="center"/>
                    <w:rPr>
                      <w:rFonts w:hint="eastAsia" w:ascii="Times New Roman" w:hAnsi="Times New Roman" w:eastAsia="宋体" w:cs="Times New Roman"/>
                      <w:color w:val="auto"/>
                      <w:lang w:val="en-US" w:eastAsia="zh-CN"/>
                    </w:rPr>
                  </w:pPr>
                </w:p>
              </w:tc>
              <w:tc>
                <w:tcPr>
                  <w:tcW w:w="510" w:type="pct"/>
                  <w:vAlign w:val="center"/>
                </w:tcPr>
                <w:p w14:paraId="21429B46">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色选机</w:t>
                  </w:r>
                </w:p>
              </w:tc>
              <w:tc>
                <w:tcPr>
                  <w:tcW w:w="276" w:type="pct"/>
                  <w:vAlign w:val="center"/>
                </w:tcPr>
                <w:p w14:paraId="34EA8D8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2DCF416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vAlign w:val="center"/>
                </w:tcPr>
                <w:p w14:paraId="0F0EDF0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16FCF83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39</w:t>
                  </w:r>
                </w:p>
              </w:tc>
              <w:tc>
                <w:tcPr>
                  <w:tcW w:w="167" w:type="pct"/>
                  <w:vAlign w:val="center"/>
                </w:tcPr>
                <w:p w14:paraId="32B132FF">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7F4F5A5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511870DE">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39</w:t>
                  </w:r>
                </w:p>
              </w:tc>
              <w:tc>
                <w:tcPr>
                  <w:tcW w:w="152" w:type="pct"/>
                  <w:vAlign w:val="center"/>
                </w:tcPr>
                <w:p w14:paraId="1946160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0D535EC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94</w:t>
                  </w:r>
                </w:p>
              </w:tc>
              <w:tc>
                <w:tcPr>
                  <w:tcW w:w="523" w:type="dxa"/>
                  <w:vAlign w:val="bottom"/>
                </w:tcPr>
                <w:p w14:paraId="3902016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3DBDBEB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38.2 </w:t>
                  </w:r>
                </w:p>
              </w:tc>
              <w:tc>
                <w:tcPr>
                  <w:tcW w:w="619" w:type="dxa"/>
                  <w:vAlign w:val="center"/>
                </w:tcPr>
                <w:p w14:paraId="6EBE0E0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04F5E33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30.5 </w:t>
                  </w:r>
                </w:p>
              </w:tc>
              <w:tc>
                <w:tcPr>
                  <w:tcW w:w="252" w:type="pct"/>
                  <w:vMerge w:val="continue"/>
                  <w:vAlign w:val="center"/>
                </w:tcPr>
                <w:p w14:paraId="154BB84A">
                  <w:pPr>
                    <w:jc w:val="center"/>
                    <w:rPr>
                      <w:rFonts w:hint="eastAsia" w:ascii="Times New Roman" w:hAnsi="Times New Roman" w:eastAsia="宋体" w:cs="Times New Roman"/>
                      <w:color w:val="auto"/>
                      <w:lang w:val="en-US" w:eastAsia="zh-CN"/>
                    </w:rPr>
                  </w:pPr>
                </w:p>
              </w:tc>
              <w:tc>
                <w:tcPr>
                  <w:tcW w:w="684" w:type="dxa"/>
                  <w:vAlign w:val="center"/>
                </w:tcPr>
                <w:p w14:paraId="4976946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1E691BB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2F935E8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109303E4">
                  <w:pPr>
                    <w:jc w:val="center"/>
                    <w:rPr>
                      <w:rFonts w:hint="eastAsia" w:ascii="Times New Roman" w:hAnsi="Times New Roman" w:eastAsia="宋体" w:cs="Times New Roman"/>
                      <w:color w:val="auto"/>
                      <w:lang w:val="en-US" w:eastAsia="zh-CN"/>
                    </w:rPr>
                  </w:pPr>
                </w:p>
              </w:tc>
            </w:tr>
            <w:tr w14:paraId="544B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0962C2E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202" w:type="pct"/>
                  <w:vMerge w:val="continue"/>
                  <w:vAlign w:val="center"/>
                </w:tcPr>
                <w:p w14:paraId="4CCC283E">
                  <w:pPr>
                    <w:jc w:val="center"/>
                    <w:rPr>
                      <w:rFonts w:hint="eastAsia" w:ascii="Times New Roman" w:hAnsi="Times New Roman" w:eastAsia="宋体" w:cs="Times New Roman"/>
                      <w:color w:val="auto"/>
                      <w:lang w:val="en-US" w:eastAsia="zh-CN"/>
                    </w:rPr>
                  </w:pPr>
                </w:p>
              </w:tc>
              <w:tc>
                <w:tcPr>
                  <w:tcW w:w="510" w:type="pct"/>
                  <w:vAlign w:val="center"/>
                </w:tcPr>
                <w:p w14:paraId="29071F2D">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色选机</w:t>
                  </w:r>
                </w:p>
              </w:tc>
              <w:tc>
                <w:tcPr>
                  <w:tcW w:w="276" w:type="pct"/>
                  <w:vAlign w:val="center"/>
                </w:tcPr>
                <w:p w14:paraId="24655B4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2D32397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vAlign w:val="center"/>
                </w:tcPr>
                <w:p w14:paraId="025F94A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2C9FB92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41</w:t>
                  </w:r>
                </w:p>
              </w:tc>
              <w:tc>
                <w:tcPr>
                  <w:tcW w:w="167" w:type="pct"/>
                  <w:vAlign w:val="center"/>
                </w:tcPr>
                <w:p w14:paraId="2C710B45">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5DF6A33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6E8B38F">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41</w:t>
                  </w:r>
                </w:p>
              </w:tc>
              <w:tc>
                <w:tcPr>
                  <w:tcW w:w="152" w:type="pct"/>
                  <w:vAlign w:val="center"/>
                </w:tcPr>
                <w:p w14:paraId="0BAE29D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238BAD9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92</w:t>
                  </w:r>
                </w:p>
              </w:tc>
              <w:tc>
                <w:tcPr>
                  <w:tcW w:w="523" w:type="dxa"/>
                  <w:vAlign w:val="bottom"/>
                </w:tcPr>
                <w:p w14:paraId="26741DB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649810D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37.7 </w:t>
                  </w:r>
                </w:p>
              </w:tc>
              <w:tc>
                <w:tcPr>
                  <w:tcW w:w="619" w:type="dxa"/>
                  <w:vAlign w:val="center"/>
                </w:tcPr>
                <w:p w14:paraId="50D4494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2A4F41C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30.7 </w:t>
                  </w:r>
                </w:p>
              </w:tc>
              <w:tc>
                <w:tcPr>
                  <w:tcW w:w="252" w:type="pct"/>
                  <w:vMerge w:val="continue"/>
                  <w:vAlign w:val="center"/>
                </w:tcPr>
                <w:p w14:paraId="2F0A7C87">
                  <w:pPr>
                    <w:jc w:val="center"/>
                    <w:rPr>
                      <w:rFonts w:hint="eastAsia" w:ascii="Times New Roman" w:hAnsi="Times New Roman" w:eastAsia="宋体" w:cs="Times New Roman"/>
                      <w:color w:val="auto"/>
                      <w:lang w:val="en-US" w:eastAsia="zh-CN"/>
                    </w:rPr>
                  </w:pPr>
                </w:p>
              </w:tc>
              <w:tc>
                <w:tcPr>
                  <w:tcW w:w="684" w:type="dxa"/>
                  <w:vAlign w:val="center"/>
                </w:tcPr>
                <w:p w14:paraId="1BCB1D0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361819D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74B363B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80A586D">
                  <w:pPr>
                    <w:jc w:val="center"/>
                    <w:rPr>
                      <w:rFonts w:hint="eastAsia" w:ascii="Times New Roman" w:hAnsi="Times New Roman" w:eastAsia="宋体" w:cs="Times New Roman"/>
                      <w:color w:val="auto"/>
                      <w:lang w:val="en-US" w:eastAsia="zh-CN"/>
                    </w:rPr>
                  </w:pPr>
                </w:p>
              </w:tc>
            </w:tr>
            <w:tr w14:paraId="6DD5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6E111D4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w:t>
                  </w:r>
                </w:p>
              </w:tc>
              <w:tc>
                <w:tcPr>
                  <w:tcW w:w="202" w:type="pct"/>
                  <w:vMerge w:val="continue"/>
                  <w:vAlign w:val="center"/>
                </w:tcPr>
                <w:p w14:paraId="52A1952C">
                  <w:pPr>
                    <w:jc w:val="center"/>
                    <w:rPr>
                      <w:rFonts w:hint="eastAsia" w:ascii="Times New Roman" w:hAnsi="Times New Roman" w:eastAsia="宋体" w:cs="Times New Roman"/>
                      <w:color w:val="auto"/>
                      <w:lang w:val="en-US" w:eastAsia="zh-CN"/>
                    </w:rPr>
                  </w:pPr>
                </w:p>
              </w:tc>
              <w:tc>
                <w:tcPr>
                  <w:tcW w:w="510" w:type="pct"/>
                  <w:vAlign w:val="center"/>
                </w:tcPr>
                <w:p w14:paraId="03DC71C8">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色选机</w:t>
                  </w:r>
                </w:p>
              </w:tc>
              <w:tc>
                <w:tcPr>
                  <w:tcW w:w="276" w:type="pct"/>
                  <w:vAlign w:val="center"/>
                </w:tcPr>
                <w:p w14:paraId="481ED5C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2E13810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vAlign w:val="center"/>
                </w:tcPr>
                <w:p w14:paraId="361DBF0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004A4EE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43</w:t>
                  </w:r>
                </w:p>
              </w:tc>
              <w:tc>
                <w:tcPr>
                  <w:tcW w:w="167" w:type="pct"/>
                  <w:vAlign w:val="center"/>
                </w:tcPr>
                <w:p w14:paraId="3798CB68">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vAlign w:val="center"/>
                </w:tcPr>
                <w:p w14:paraId="6DC713E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5F061145">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43</w:t>
                  </w:r>
                </w:p>
              </w:tc>
              <w:tc>
                <w:tcPr>
                  <w:tcW w:w="152" w:type="pct"/>
                  <w:vAlign w:val="center"/>
                </w:tcPr>
                <w:p w14:paraId="178391D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3B6309E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523" w:type="dxa"/>
                  <w:vAlign w:val="bottom"/>
                </w:tcPr>
                <w:p w14:paraId="058AA2E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5488C3B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37.3 </w:t>
                  </w:r>
                </w:p>
              </w:tc>
              <w:tc>
                <w:tcPr>
                  <w:tcW w:w="619" w:type="dxa"/>
                  <w:vAlign w:val="center"/>
                </w:tcPr>
                <w:p w14:paraId="0E7562D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4AB654AF">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30.9 </w:t>
                  </w:r>
                </w:p>
              </w:tc>
              <w:tc>
                <w:tcPr>
                  <w:tcW w:w="252" w:type="pct"/>
                  <w:vMerge w:val="continue"/>
                  <w:vAlign w:val="center"/>
                </w:tcPr>
                <w:p w14:paraId="7B0EF2F7">
                  <w:pPr>
                    <w:jc w:val="center"/>
                    <w:rPr>
                      <w:rFonts w:hint="eastAsia" w:ascii="Times New Roman" w:hAnsi="Times New Roman" w:eastAsia="宋体" w:cs="Times New Roman"/>
                      <w:color w:val="auto"/>
                      <w:lang w:val="en-US" w:eastAsia="zh-CN"/>
                    </w:rPr>
                  </w:pPr>
                </w:p>
              </w:tc>
              <w:tc>
                <w:tcPr>
                  <w:tcW w:w="684" w:type="dxa"/>
                  <w:vAlign w:val="center"/>
                </w:tcPr>
                <w:p w14:paraId="616AEF0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5546D81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1B66137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6D5D2D6">
                  <w:pPr>
                    <w:jc w:val="center"/>
                    <w:rPr>
                      <w:rFonts w:hint="eastAsia" w:ascii="Times New Roman" w:hAnsi="Times New Roman" w:eastAsia="宋体" w:cs="Times New Roman"/>
                      <w:color w:val="auto"/>
                      <w:lang w:val="en-US" w:eastAsia="zh-CN"/>
                    </w:rPr>
                  </w:pPr>
                </w:p>
              </w:tc>
            </w:tr>
            <w:tr w14:paraId="401C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363DA18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17</w:t>
                  </w:r>
                </w:p>
              </w:tc>
              <w:tc>
                <w:tcPr>
                  <w:tcW w:w="202" w:type="pct"/>
                  <w:vMerge w:val="continue"/>
                  <w:vAlign w:val="center"/>
                </w:tcPr>
                <w:p w14:paraId="04B15347">
                  <w:pPr>
                    <w:jc w:val="center"/>
                    <w:rPr>
                      <w:rFonts w:hint="eastAsia" w:ascii="Times New Roman" w:hAnsi="Times New Roman" w:eastAsia="宋体" w:cs="Times New Roman"/>
                      <w:color w:val="auto"/>
                      <w:lang w:val="en-US" w:eastAsia="zh-CN"/>
                    </w:rPr>
                  </w:pPr>
                </w:p>
              </w:tc>
              <w:tc>
                <w:tcPr>
                  <w:tcW w:w="510" w:type="pct"/>
                  <w:vAlign w:val="center"/>
                </w:tcPr>
                <w:p w14:paraId="7AB27F02">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抛光机</w:t>
                  </w:r>
                </w:p>
              </w:tc>
              <w:tc>
                <w:tcPr>
                  <w:tcW w:w="276" w:type="pct"/>
                  <w:vAlign w:val="center"/>
                </w:tcPr>
                <w:p w14:paraId="78E5319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055A4CCA">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85</w:t>
                  </w:r>
                  <w:r>
                    <w:rPr>
                      <w:rFonts w:hint="eastAsia" w:ascii="Times New Roman" w:hAnsi="Times New Roman" w:eastAsia="宋体" w:cs="Times New Roman"/>
                      <w:color w:val="auto"/>
                      <w:lang w:val="en-US" w:eastAsia="zh-CN"/>
                    </w:rPr>
                    <w:t>/1</w:t>
                  </w:r>
                </w:p>
              </w:tc>
              <w:tc>
                <w:tcPr>
                  <w:tcW w:w="507" w:type="dxa"/>
                  <w:shd w:val="clear" w:color="auto" w:fill="auto"/>
                  <w:vAlign w:val="center"/>
                </w:tcPr>
                <w:p w14:paraId="1E1CE7B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0DD21AD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46</w:t>
                  </w:r>
                </w:p>
              </w:tc>
              <w:tc>
                <w:tcPr>
                  <w:tcW w:w="167" w:type="pct"/>
                  <w:vAlign w:val="center"/>
                </w:tcPr>
                <w:p w14:paraId="1C496CAD">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shd w:val="clear" w:color="auto" w:fill="auto"/>
                  <w:vAlign w:val="center"/>
                </w:tcPr>
                <w:p w14:paraId="1A50E87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7BF3277C">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46</w:t>
                  </w:r>
                </w:p>
              </w:tc>
              <w:tc>
                <w:tcPr>
                  <w:tcW w:w="152" w:type="pct"/>
                  <w:shd w:val="clear" w:color="auto" w:fill="auto"/>
                  <w:vAlign w:val="center"/>
                </w:tcPr>
                <w:p w14:paraId="2235B05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0A83673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87</w:t>
                  </w:r>
                </w:p>
              </w:tc>
              <w:tc>
                <w:tcPr>
                  <w:tcW w:w="523" w:type="dxa"/>
                  <w:vAlign w:val="bottom"/>
                </w:tcPr>
                <w:p w14:paraId="09B0914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6116406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51.7 </w:t>
                  </w:r>
                </w:p>
              </w:tc>
              <w:tc>
                <w:tcPr>
                  <w:tcW w:w="619" w:type="dxa"/>
                  <w:vAlign w:val="center"/>
                </w:tcPr>
                <w:p w14:paraId="2D84D23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21BD89D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46.2 </w:t>
                  </w:r>
                </w:p>
              </w:tc>
              <w:tc>
                <w:tcPr>
                  <w:tcW w:w="252" w:type="pct"/>
                  <w:vMerge w:val="continue"/>
                  <w:vAlign w:val="center"/>
                </w:tcPr>
                <w:p w14:paraId="09BD5EBD">
                  <w:pPr>
                    <w:jc w:val="center"/>
                    <w:rPr>
                      <w:rFonts w:hint="eastAsia" w:ascii="Times New Roman" w:hAnsi="Times New Roman" w:eastAsia="宋体" w:cs="Times New Roman"/>
                      <w:color w:val="auto"/>
                      <w:lang w:val="en-US" w:eastAsia="zh-CN"/>
                    </w:rPr>
                  </w:pPr>
                </w:p>
              </w:tc>
              <w:tc>
                <w:tcPr>
                  <w:tcW w:w="684" w:type="dxa"/>
                  <w:vAlign w:val="center"/>
                </w:tcPr>
                <w:p w14:paraId="014CA73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773429F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0BC865E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36CE04C3">
                  <w:pPr>
                    <w:jc w:val="center"/>
                    <w:rPr>
                      <w:rFonts w:hint="eastAsia" w:ascii="Times New Roman" w:hAnsi="Times New Roman" w:eastAsia="宋体" w:cs="Times New Roman"/>
                      <w:color w:val="auto"/>
                      <w:lang w:val="en-US" w:eastAsia="zh-CN"/>
                    </w:rPr>
                  </w:pPr>
                </w:p>
              </w:tc>
            </w:tr>
            <w:tr w14:paraId="3932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59F95FC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p>
              </w:tc>
              <w:tc>
                <w:tcPr>
                  <w:tcW w:w="202" w:type="pct"/>
                  <w:vMerge w:val="continue"/>
                  <w:vAlign w:val="center"/>
                </w:tcPr>
                <w:p w14:paraId="387E15D9">
                  <w:pPr>
                    <w:jc w:val="center"/>
                    <w:rPr>
                      <w:rFonts w:hint="eastAsia" w:ascii="Times New Roman" w:hAnsi="Times New Roman" w:eastAsia="宋体" w:cs="Times New Roman"/>
                      <w:color w:val="auto"/>
                      <w:lang w:val="en-US" w:eastAsia="zh-CN"/>
                    </w:rPr>
                  </w:pPr>
                </w:p>
              </w:tc>
              <w:tc>
                <w:tcPr>
                  <w:tcW w:w="510" w:type="pct"/>
                  <w:vAlign w:val="center"/>
                </w:tcPr>
                <w:p w14:paraId="215423CE">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抛光机</w:t>
                  </w:r>
                </w:p>
              </w:tc>
              <w:tc>
                <w:tcPr>
                  <w:tcW w:w="276" w:type="pct"/>
                  <w:vAlign w:val="center"/>
                </w:tcPr>
                <w:p w14:paraId="7B35E3E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6FB65C77">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85</w:t>
                  </w:r>
                  <w:r>
                    <w:rPr>
                      <w:rFonts w:hint="eastAsia" w:ascii="Times New Roman" w:hAnsi="Times New Roman" w:eastAsia="宋体" w:cs="Times New Roman"/>
                      <w:color w:val="auto"/>
                      <w:lang w:val="en-US" w:eastAsia="zh-CN"/>
                    </w:rPr>
                    <w:t>/1</w:t>
                  </w:r>
                </w:p>
              </w:tc>
              <w:tc>
                <w:tcPr>
                  <w:tcW w:w="507" w:type="dxa"/>
                  <w:shd w:val="clear" w:color="auto" w:fill="auto"/>
                  <w:vAlign w:val="center"/>
                </w:tcPr>
                <w:p w14:paraId="7F6A8A9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1467E6F3">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49</w:t>
                  </w:r>
                </w:p>
              </w:tc>
              <w:tc>
                <w:tcPr>
                  <w:tcW w:w="167" w:type="pct"/>
                  <w:vAlign w:val="center"/>
                </w:tcPr>
                <w:p w14:paraId="0B4006D2">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shd w:val="clear" w:color="auto" w:fill="auto"/>
                  <w:vAlign w:val="center"/>
                </w:tcPr>
                <w:p w14:paraId="30E1950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1F9F5F5F">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49</w:t>
                  </w:r>
                </w:p>
              </w:tc>
              <w:tc>
                <w:tcPr>
                  <w:tcW w:w="152" w:type="pct"/>
                  <w:shd w:val="clear" w:color="auto" w:fill="auto"/>
                  <w:vAlign w:val="center"/>
                </w:tcPr>
                <w:p w14:paraId="0217276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1DC598D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84</w:t>
                  </w:r>
                </w:p>
              </w:tc>
              <w:tc>
                <w:tcPr>
                  <w:tcW w:w="523" w:type="dxa"/>
                  <w:vAlign w:val="bottom"/>
                </w:tcPr>
                <w:p w14:paraId="212562E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03FD2B9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51.2 </w:t>
                  </w:r>
                </w:p>
              </w:tc>
              <w:tc>
                <w:tcPr>
                  <w:tcW w:w="619" w:type="dxa"/>
                  <w:vAlign w:val="center"/>
                </w:tcPr>
                <w:p w14:paraId="754F84D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76CD927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46.5 </w:t>
                  </w:r>
                </w:p>
              </w:tc>
              <w:tc>
                <w:tcPr>
                  <w:tcW w:w="252" w:type="pct"/>
                  <w:vMerge w:val="continue"/>
                  <w:vAlign w:val="center"/>
                </w:tcPr>
                <w:p w14:paraId="6C1D393F">
                  <w:pPr>
                    <w:jc w:val="center"/>
                    <w:rPr>
                      <w:rFonts w:hint="eastAsia" w:ascii="Times New Roman" w:hAnsi="Times New Roman" w:eastAsia="宋体" w:cs="Times New Roman"/>
                      <w:color w:val="auto"/>
                      <w:lang w:val="en-US" w:eastAsia="zh-CN"/>
                    </w:rPr>
                  </w:pPr>
                </w:p>
              </w:tc>
              <w:tc>
                <w:tcPr>
                  <w:tcW w:w="684" w:type="dxa"/>
                  <w:vAlign w:val="center"/>
                </w:tcPr>
                <w:p w14:paraId="1A249FA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7BCD5FF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47BE020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4E83BFBA">
                  <w:pPr>
                    <w:jc w:val="center"/>
                    <w:rPr>
                      <w:rFonts w:hint="eastAsia" w:ascii="Times New Roman" w:hAnsi="Times New Roman" w:eastAsia="宋体" w:cs="Times New Roman"/>
                      <w:color w:val="auto"/>
                      <w:lang w:val="en-US" w:eastAsia="zh-CN"/>
                    </w:rPr>
                  </w:pPr>
                </w:p>
              </w:tc>
            </w:tr>
            <w:tr w14:paraId="79FD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4706DC6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w:t>
                  </w:r>
                </w:p>
              </w:tc>
              <w:tc>
                <w:tcPr>
                  <w:tcW w:w="202" w:type="pct"/>
                  <w:vMerge w:val="continue"/>
                  <w:vAlign w:val="center"/>
                </w:tcPr>
                <w:p w14:paraId="3B70808B">
                  <w:pPr>
                    <w:jc w:val="center"/>
                    <w:rPr>
                      <w:rFonts w:hint="eastAsia" w:ascii="Times New Roman" w:hAnsi="Times New Roman" w:eastAsia="宋体" w:cs="Times New Roman"/>
                      <w:color w:val="auto"/>
                      <w:lang w:val="en-US" w:eastAsia="zh-CN"/>
                    </w:rPr>
                  </w:pPr>
                </w:p>
              </w:tc>
              <w:tc>
                <w:tcPr>
                  <w:tcW w:w="510" w:type="pct"/>
                  <w:vAlign w:val="center"/>
                </w:tcPr>
                <w:p w14:paraId="32BD1121">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抛光机</w:t>
                  </w:r>
                </w:p>
              </w:tc>
              <w:tc>
                <w:tcPr>
                  <w:tcW w:w="276" w:type="pct"/>
                  <w:vAlign w:val="center"/>
                </w:tcPr>
                <w:p w14:paraId="574B1BB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0B165083">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85</w:t>
                  </w:r>
                  <w:r>
                    <w:rPr>
                      <w:rFonts w:hint="eastAsia" w:ascii="Times New Roman" w:hAnsi="Times New Roman" w:eastAsia="宋体" w:cs="Times New Roman"/>
                      <w:color w:val="auto"/>
                      <w:lang w:val="en-US" w:eastAsia="zh-CN"/>
                    </w:rPr>
                    <w:t>/1</w:t>
                  </w:r>
                </w:p>
              </w:tc>
              <w:tc>
                <w:tcPr>
                  <w:tcW w:w="507" w:type="dxa"/>
                  <w:shd w:val="clear" w:color="auto" w:fill="auto"/>
                  <w:vAlign w:val="center"/>
                </w:tcPr>
                <w:p w14:paraId="1305173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619BFB2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52</w:t>
                  </w:r>
                </w:p>
              </w:tc>
              <w:tc>
                <w:tcPr>
                  <w:tcW w:w="167" w:type="pct"/>
                  <w:vAlign w:val="center"/>
                </w:tcPr>
                <w:p w14:paraId="423299A0">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shd w:val="clear" w:color="auto" w:fill="auto"/>
                  <w:vAlign w:val="center"/>
                </w:tcPr>
                <w:p w14:paraId="0E87591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7512820D">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52</w:t>
                  </w:r>
                </w:p>
              </w:tc>
              <w:tc>
                <w:tcPr>
                  <w:tcW w:w="152" w:type="pct"/>
                  <w:shd w:val="clear" w:color="auto" w:fill="auto"/>
                  <w:vAlign w:val="center"/>
                </w:tcPr>
                <w:p w14:paraId="67C6017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7733CD8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81</w:t>
                  </w:r>
                </w:p>
              </w:tc>
              <w:tc>
                <w:tcPr>
                  <w:tcW w:w="523" w:type="dxa"/>
                  <w:vAlign w:val="bottom"/>
                </w:tcPr>
                <w:p w14:paraId="0AF435A2">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741AAE4A">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50.7 </w:t>
                  </w:r>
                </w:p>
              </w:tc>
              <w:tc>
                <w:tcPr>
                  <w:tcW w:w="619" w:type="dxa"/>
                  <w:vAlign w:val="center"/>
                </w:tcPr>
                <w:p w14:paraId="0D73D43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2FA1BCD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46.8 </w:t>
                  </w:r>
                </w:p>
              </w:tc>
              <w:tc>
                <w:tcPr>
                  <w:tcW w:w="252" w:type="pct"/>
                  <w:vMerge w:val="continue"/>
                  <w:vAlign w:val="center"/>
                </w:tcPr>
                <w:p w14:paraId="63209CFA">
                  <w:pPr>
                    <w:jc w:val="center"/>
                    <w:rPr>
                      <w:rFonts w:hint="eastAsia" w:ascii="Times New Roman" w:hAnsi="Times New Roman" w:eastAsia="宋体" w:cs="Times New Roman"/>
                      <w:color w:val="auto"/>
                      <w:lang w:val="en-US" w:eastAsia="zh-CN"/>
                    </w:rPr>
                  </w:pPr>
                </w:p>
              </w:tc>
              <w:tc>
                <w:tcPr>
                  <w:tcW w:w="684" w:type="dxa"/>
                  <w:vAlign w:val="center"/>
                </w:tcPr>
                <w:p w14:paraId="2C4982B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5E1C343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7DF91C0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7F9C2006">
                  <w:pPr>
                    <w:jc w:val="center"/>
                    <w:rPr>
                      <w:rFonts w:hint="eastAsia" w:ascii="Times New Roman" w:hAnsi="Times New Roman" w:eastAsia="宋体" w:cs="Times New Roman"/>
                      <w:color w:val="auto"/>
                      <w:lang w:val="en-US" w:eastAsia="zh-CN"/>
                    </w:rPr>
                  </w:pPr>
                </w:p>
              </w:tc>
            </w:tr>
            <w:tr w14:paraId="3DC2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4E64FBC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202" w:type="pct"/>
                  <w:vMerge w:val="continue"/>
                  <w:vAlign w:val="center"/>
                </w:tcPr>
                <w:p w14:paraId="0043B304">
                  <w:pPr>
                    <w:jc w:val="center"/>
                    <w:rPr>
                      <w:rFonts w:hint="eastAsia" w:ascii="Times New Roman" w:hAnsi="Times New Roman" w:eastAsia="宋体" w:cs="Times New Roman"/>
                      <w:color w:val="auto"/>
                      <w:lang w:val="en-US" w:eastAsia="zh-CN"/>
                    </w:rPr>
                  </w:pPr>
                </w:p>
              </w:tc>
              <w:tc>
                <w:tcPr>
                  <w:tcW w:w="510" w:type="pct"/>
                  <w:vAlign w:val="center"/>
                </w:tcPr>
                <w:p w14:paraId="44CFDFB7">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sz w:val="21"/>
                      <w:szCs w:val="21"/>
                      <w:shd w:val="clear" w:color="auto" w:fill="auto"/>
                      <w:lang w:val="en-US" w:eastAsia="zh-CN"/>
                    </w:rPr>
                    <w:t>抛光机</w:t>
                  </w:r>
                </w:p>
              </w:tc>
              <w:tc>
                <w:tcPr>
                  <w:tcW w:w="276" w:type="pct"/>
                  <w:vAlign w:val="center"/>
                </w:tcPr>
                <w:p w14:paraId="4511218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294D2B07">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85</w:t>
                  </w:r>
                  <w:r>
                    <w:rPr>
                      <w:rFonts w:hint="eastAsia" w:ascii="Times New Roman" w:hAnsi="Times New Roman" w:eastAsia="宋体" w:cs="Times New Roman"/>
                      <w:color w:val="auto"/>
                      <w:lang w:val="en-US" w:eastAsia="zh-CN"/>
                    </w:rPr>
                    <w:t>/1</w:t>
                  </w:r>
                </w:p>
              </w:tc>
              <w:tc>
                <w:tcPr>
                  <w:tcW w:w="507" w:type="dxa"/>
                  <w:shd w:val="clear" w:color="auto" w:fill="auto"/>
                  <w:vAlign w:val="center"/>
                </w:tcPr>
                <w:p w14:paraId="2591A553">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377FBDD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c>
                <w:tcPr>
                  <w:tcW w:w="167" w:type="pct"/>
                  <w:vAlign w:val="center"/>
                </w:tcPr>
                <w:p w14:paraId="461A1D4B">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shd w:val="clear" w:color="auto" w:fill="auto"/>
                  <w:vAlign w:val="center"/>
                </w:tcPr>
                <w:p w14:paraId="2E9CDD7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28E69381">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55</w:t>
                  </w:r>
                </w:p>
              </w:tc>
              <w:tc>
                <w:tcPr>
                  <w:tcW w:w="152" w:type="pct"/>
                  <w:shd w:val="clear" w:color="auto" w:fill="auto"/>
                  <w:vAlign w:val="center"/>
                </w:tcPr>
                <w:p w14:paraId="012A986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1A3A5FE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78</w:t>
                  </w:r>
                </w:p>
              </w:tc>
              <w:tc>
                <w:tcPr>
                  <w:tcW w:w="523" w:type="dxa"/>
                  <w:vAlign w:val="bottom"/>
                </w:tcPr>
                <w:p w14:paraId="19C8410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62.7 </w:t>
                  </w:r>
                </w:p>
              </w:tc>
              <w:tc>
                <w:tcPr>
                  <w:tcW w:w="523" w:type="dxa"/>
                  <w:vAlign w:val="bottom"/>
                </w:tcPr>
                <w:p w14:paraId="5D12788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50.2 </w:t>
                  </w:r>
                </w:p>
              </w:tc>
              <w:tc>
                <w:tcPr>
                  <w:tcW w:w="619" w:type="dxa"/>
                  <w:vAlign w:val="center"/>
                </w:tcPr>
                <w:p w14:paraId="198C2C5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75.5</w:t>
                  </w:r>
                </w:p>
              </w:tc>
              <w:tc>
                <w:tcPr>
                  <w:tcW w:w="558" w:type="dxa"/>
                  <w:vAlign w:val="bottom"/>
                </w:tcPr>
                <w:p w14:paraId="6CC1730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47.2 </w:t>
                  </w:r>
                </w:p>
              </w:tc>
              <w:tc>
                <w:tcPr>
                  <w:tcW w:w="252" w:type="pct"/>
                  <w:vMerge w:val="continue"/>
                  <w:vAlign w:val="center"/>
                </w:tcPr>
                <w:p w14:paraId="2C7A58D0">
                  <w:pPr>
                    <w:jc w:val="center"/>
                    <w:rPr>
                      <w:rFonts w:hint="eastAsia" w:ascii="Times New Roman" w:hAnsi="Times New Roman" w:eastAsia="宋体" w:cs="Times New Roman"/>
                      <w:color w:val="auto"/>
                      <w:lang w:val="en-US" w:eastAsia="zh-CN"/>
                    </w:rPr>
                  </w:pPr>
                </w:p>
              </w:tc>
              <w:tc>
                <w:tcPr>
                  <w:tcW w:w="684" w:type="dxa"/>
                  <w:vAlign w:val="center"/>
                </w:tcPr>
                <w:p w14:paraId="79D6068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28B0D0B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w:t>
                  </w:r>
                </w:p>
              </w:tc>
              <w:tc>
                <w:tcPr>
                  <w:tcW w:w="278" w:type="pct"/>
                  <w:vAlign w:val="center"/>
                </w:tcPr>
                <w:p w14:paraId="6728333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18FE4770">
                  <w:pPr>
                    <w:jc w:val="center"/>
                    <w:rPr>
                      <w:rFonts w:hint="eastAsia" w:ascii="Times New Roman" w:hAnsi="Times New Roman" w:eastAsia="宋体" w:cs="Times New Roman"/>
                      <w:color w:val="auto"/>
                      <w:lang w:val="en-US" w:eastAsia="zh-CN"/>
                    </w:rPr>
                  </w:pPr>
                </w:p>
              </w:tc>
            </w:tr>
            <w:tr w14:paraId="4C67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 w:type="pct"/>
                  <w:shd w:val="clear" w:color="auto" w:fill="auto"/>
                  <w:vAlign w:val="center"/>
                </w:tcPr>
                <w:p w14:paraId="13D98BE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202" w:type="pct"/>
                  <w:vMerge w:val="continue"/>
                  <w:vAlign w:val="center"/>
                </w:tcPr>
                <w:p w14:paraId="59C4714D">
                  <w:pPr>
                    <w:jc w:val="center"/>
                    <w:rPr>
                      <w:rFonts w:hint="eastAsia" w:ascii="Times New Roman" w:hAnsi="Times New Roman" w:eastAsia="宋体" w:cs="Times New Roman"/>
                      <w:color w:val="auto"/>
                      <w:lang w:val="en-US" w:eastAsia="zh-CN"/>
                    </w:rPr>
                  </w:pPr>
                </w:p>
              </w:tc>
              <w:tc>
                <w:tcPr>
                  <w:tcW w:w="510" w:type="pct"/>
                  <w:vAlign w:val="center"/>
                </w:tcPr>
                <w:p w14:paraId="059D58FB">
                  <w:pPr>
                    <w:jc w:val="center"/>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长度</w:t>
                  </w:r>
                  <w:r>
                    <w:rPr>
                      <w:rFonts w:hint="default" w:ascii="Times New Roman" w:hAnsi="Times New Roman" w:cs="Times New Roman"/>
                      <w:sz w:val="21"/>
                      <w:szCs w:val="21"/>
                      <w:shd w:val="clear" w:color="auto" w:fill="auto"/>
                      <w:lang w:val="en-US" w:eastAsia="zh-CN"/>
                    </w:rPr>
                    <w:t>精选</w:t>
                  </w:r>
                  <w:r>
                    <w:rPr>
                      <w:rFonts w:hint="eastAsia" w:cs="Times New Roman"/>
                      <w:sz w:val="21"/>
                      <w:szCs w:val="21"/>
                      <w:shd w:val="clear" w:color="auto" w:fill="auto"/>
                      <w:lang w:val="en-US" w:eastAsia="zh-CN"/>
                    </w:rPr>
                    <w:t>机</w:t>
                  </w:r>
                </w:p>
              </w:tc>
              <w:tc>
                <w:tcPr>
                  <w:tcW w:w="276" w:type="pct"/>
                  <w:vAlign w:val="center"/>
                </w:tcPr>
                <w:p w14:paraId="6CC1B86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8" w:type="pct"/>
                  <w:vAlign w:val="center"/>
                </w:tcPr>
                <w:p w14:paraId="1835035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70/1</w:t>
                  </w:r>
                </w:p>
              </w:tc>
              <w:tc>
                <w:tcPr>
                  <w:tcW w:w="507" w:type="dxa"/>
                  <w:shd w:val="clear" w:color="auto" w:fill="auto"/>
                  <w:vAlign w:val="center"/>
                </w:tcPr>
                <w:p w14:paraId="6ED3248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90" w:type="pct"/>
                  <w:vAlign w:val="center"/>
                </w:tcPr>
                <w:p w14:paraId="430A45F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58</w:t>
                  </w:r>
                </w:p>
              </w:tc>
              <w:tc>
                <w:tcPr>
                  <w:tcW w:w="167" w:type="pct"/>
                  <w:vAlign w:val="center"/>
                </w:tcPr>
                <w:p w14:paraId="0DFC0DF2">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80" w:type="pct"/>
                  <w:shd w:val="clear" w:color="auto" w:fill="auto"/>
                  <w:vAlign w:val="center"/>
                </w:tcPr>
                <w:p w14:paraId="455F277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76" w:type="pct"/>
                  <w:shd w:val="clear" w:color="auto" w:fill="auto"/>
                  <w:vAlign w:val="center"/>
                </w:tcPr>
                <w:p w14:paraId="70277079">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58</w:t>
                  </w:r>
                </w:p>
              </w:tc>
              <w:tc>
                <w:tcPr>
                  <w:tcW w:w="152" w:type="pct"/>
                  <w:shd w:val="clear" w:color="auto" w:fill="auto"/>
                  <w:vAlign w:val="center"/>
                </w:tcPr>
                <w:p w14:paraId="787C984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36" w:type="pct"/>
                  <w:vAlign w:val="center"/>
                </w:tcPr>
                <w:p w14:paraId="73C99318">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75</w:t>
                  </w:r>
                </w:p>
              </w:tc>
              <w:tc>
                <w:tcPr>
                  <w:tcW w:w="523" w:type="dxa"/>
                  <w:vAlign w:val="bottom"/>
                </w:tcPr>
                <w:p w14:paraId="67064AC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47.7 </w:t>
                  </w:r>
                </w:p>
              </w:tc>
              <w:tc>
                <w:tcPr>
                  <w:tcW w:w="523" w:type="dxa"/>
                  <w:vAlign w:val="bottom"/>
                </w:tcPr>
                <w:p w14:paraId="62777309">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34.7 </w:t>
                  </w:r>
                </w:p>
              </w:tc>
              <w:tc>
                <w:tcPr>
                  <w:tcW w:w="619" w:type="dxa"/>
                  <w:vAlign w:val="center"/>
                </w:tcPr>
                <w:p w14:paraId="4A173B11">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60.5</w:t>
                  </w:r>
                </w:p>
              </w:tc>
              <w:tc>
                <w:tcPr>
                  <w:tcW w:w="558" w:type="dxa"/>
                  <w:vAlign w:val="bottom"/>
                </w:tcPr>
                <w:p w14:paraId="24159D36">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32.5 </w:t>
                  </w:r>
                </w:p>
              </w:tc>
              <w:tc>
                <w:tcPr>
                  <w:tcW w:w="252" w:type="pct"/>
                  <w:vMerge w:val="continue"/>
                  <w:vAlign w:val="center"/>
                </w:tcPr>
                <w:p w14:paraId="1EE0E9C1">
                  <w:pPr>
                    <w:jc w:val="center"/>
                    <w:rPr>
                      <w:rFonts w:hint="eastAsia" w:ascii="Times New Roman" w:hAnsi="Times New Roman" w:eastAsia="宋体" w:cs="Times New Roman"/>
                      <w:color w:val="auto"/>
                      <w:lang w:val="en-US" w:eastAsia="zh-CN"/>
                    </w:rPr>
                  </w:pPr>
                </w:p>
              </w:tc>
              <w:tc>
                <w:tcPr>
                  <w:tcW w:w="684" w:type="dxa"/>
                  <w:vAlign w:val="center"/>
                </w:tcPr>
                <w:p w14:paraId="7A054B1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tc>
              <w:tc>
                <w:tcPr>
                  <w:tcW w:w="667" w:type="dxa"/>
                  <w:vAlign w:val="center"/>
                </w:tcPr>
                <w:p w14:paraId="33C328A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35.5</w:t>
                  </w:r>
                </w:p>
              </w:tc>
              <w:tc>
                <w:tcPr>
                  <w:tcW w:w="278" w:type="pct"/>
                  <w:vAlign w:val="center"/>
                </w:tcPr>
                <w:p w14:paraId="34C97BDD">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5" w:type="pct"/>
                  <w:vMerge w:val="continue"/>
                  <w:vAlign w:val="center"/>
                </w:tcPr>
                <w:p w14:paraId="548F2E43">
                  <w:pPr>
                    <w:jc w:val="center"/>
                    <w:rPr>
                      <w:rFonts w:hint="eastAsia" w:ascii="Times New Roman" w:hAnsi="Times New Roman" w:eastAsia="宋体" w:cs="Times New Roman"/>
                      <w:color w:val="auto"/>
                      <w:lang w:val="en-US" w:eastAsia="zh-CN"/>
                    </w:rPr>
                  </w:pPr>
                </w:p>
              </w:tc>
            </w:tr>
          </w:tbl>
          <w:p w14:paraId="3EA090E5">
            <w:pPr>
              <w:spacing w:line="360" w:lineRule="auto"/>
              <w:jc w:val="both"/>
              <w:rPr>
                <w:color w:val="auto"/>
                <w:sz w:val="24"/>
              </w:rPr>
            </w:pPr>
            <w:r>
              <w:rPr>
                <w:rFonts w:hint="eastAsia" w:ascii="Times New Roman" w:hAnsi="Times New Roman" w:eastAsia="宋体" w:cs="Times New Roman"/>
                <w:color w:val="auto"/>
                <w:sz w:val="21"/>
                <w:szCs w:val="21"/>
                <w:highlight w:val="none"/>
                <w:lang w:val="zh-CN"/>
              </w:rPr>
              <w:t>备注：取厂区西南角为坐标原点，厂界东向为X轴正方向，厂界北向为Y轴正方向。</w:t>
            </w:r>
          </w:p>
          <w:p w14:paraId="2EA8C293">
            <w:pPr>
              <w:spacing w:line="360" w:lineRule="auto"/>
              <w:jc w:val="both"/>
              <w:rPr>
                <w:color w:val="auto"/>
                <w:sz w:val="24"/>
              </w:rPr>
            </w:pPr>
          </w:p>
          <w:p w14:paraId="43D0DF15">
            <w:pPr>
              <w:spacing w:line="360" w:lineRule="auto"/>
              <w:jc w:val="both"/>
              <w:rPr>
                <w:color w:val="auto"/>
                <w:sz w:val="24"/>
              </w:rPr>
            </w:pPr>
          </w:p>
          <w:p w14:paraId="62240EEB">
            <w:pPr>
              <w:spacing w:line="360" w:lineRule="auto"/>
              <w:jc w:val="both"/>
              <w:rPr>
                <w:color w:val="auto"/>
                <w:sz w:val="24"/>
              </w:rPr>
            </w:pPr>
          </w:p>
        </w:tc>
      </w:tr>
    </w:tbl>
    <w:p w14:paraId="654C2D73">
      <w:pPr>
        <w:outlineLvl w:val="0"/>
        <w:rPr>
          <w:rFonts w:eastAsia="黑体"/>
          <w:b/>
          <w:bCs/>
          <w:color w:val="auto"/>
          <w:sz w:val="30"/>
          <w:szCs w:val="24"/>
        </w:rPr>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8704"/>
      </w:tblGrid>
      <w:tr w14:paraId="2A54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dxa"/>
            <w:vAlign w:val="center"/>
          </w:tcPr>
          <w:p w14:paraId="5F2066B6">
            <w:pPr>
              <w:spacing w:line="360" w:lineRule="auto"/>
              <w:jc w:val="center"/>
              <w:rPr>
                <w:rFonts w:eastAsia="黑体"/>
                <w:b/>
                <w:bCs/>
                <w:color w:val="auto"/>
                <w:sz w:val="30"/>
                <w:szCs w:val="24"/>
              </w:rPr>
            </w:pPr>
            <w:r>
              <w:rPr>
                <w:rFonts w:hint="eastAsia"/>
                <w:color w:val="auto"/>
                <w:szCs w:val="18"/>
              </w:rPr>
              <w:t>运营期环境影响和保护措施</w:t>
            </w:r>
          </w:p>
        </w:tc>
        <w:tc>
          <w:tcPr>
            <w:tcW w:w="8704" w:type="dxa"/>
          </w:tcPr>
          <w:p w14:paraId="2AF61DBC">
            <w:pPr>
              <w:spacing w:line="360" w:lineRule="auto"/>
              <w:rPr>
                <w:b/>
                <w:color w:val="auto"/>
                <w:sz w:val="24"/>
                <w:szCs w:val="24"/>
              </w:rPr>
            </w:pPr>
            <w:r>
              <w:rPr>
                <w:rFonts w:hint="eastAsia"/>
                <w:b/>
                <w:color w:val="auto"/>
                <w:sz w:val="24"/>
                <w:szCs w:val="24"/>
              </w:rPr>
              <w:t>3.2预测模式</w:t>
            </w:r>
          </w:p>
          <w:p w14:paraId="4B9C3E0F">
            <w:pPr>
              <w:spacing w:line="360" w:lineRule="auto"/>
              <w:ind w:firstLine="420"/>
              <w:rPr>
                <w:color w:val="auto"/>
                <w:sz w:val="24"/>
                <w:szCs w:val="24"/>
              </w:rPr>
            </w:pPr>
            <w:r>
              <w:rPr>
                <w:color w:val="auto"/>
                <w:sz w:val="24"/>
                <w:szCs w:val="24"/>
              </w:rPr>
              <w:t>选择《环境影响评价技术导则</w:t>
            </w:r>
            <w:r>
              <w:rPr>
                <w:rFonts w:hint="eastAsia"/>
                <w:color w:val="auto"/>
                <w:sz w:val="24"/>
                <w:szCs w:val="24"/>
                <w:lang w:val="en-US" w:eastAsia="zh-CN"/>
              </w:rPr>
              <w:t xml:space="preserve"> </w:t>
            </w:r>
            <w:r>
              <w:rPr>
                <w:color w:val="auto"/>
                <w:sz w:val="24"/>
                <w:szCs w:val="24"/>
              </w:rPr>
              <w:t>声环境》</w:t>
            </w:r>
            <w:r>
              <w:rPr>
                <w:rFonts w:hint="eastAsia"/>
                <w:color w:val="auto"/>
                <w:sz w:val="24"/>
                <w:szCs w:val="24"/>
              </w:rPr>
              <w:t>（</w:t>
            </w:r>
            <w:r>
              <w:rPr>
                <w:color w:val="auto"/>
                <w:sz w:val="24"/>
                <w:szCs w:val="24"/>
              </w:rPr>
              <w:t>HJ 2.4</w:t>
            </w:r>
            <w:r>
              <w:rPr>
                <w:rFonts w:hint="eastAsia"/>
                <w:color w:val="auto"/>
                <w:sz w:val="24"/>
                <w:szCs w:val="24"/>
                <w:lang w:val="en-US" w:eastAsia="zh-CN"/>
              </w:rPr>
              <w:t>-</w:t>
            </w:r>
            <w:r>
              <w:rPr>
                <w:color w:val="auto"/>
                <w:sz w:val="24"/>
                <w:szCs w:val="24"/>
              </w:rPr>
              <w:t>20</w:t>
            </w:r>
            <w:r>
              <w:rPr>
                <w:rFonts w:hint="eastAsia"/>
                <w:color w:val="auto"/>
                <w:sz w:val="24"/>
                <w:szCs w:val="24"/>
              </w:rPr>
              <w:t>21）</w:t>
            </w:r>
            <w:r>
              <w:rPr>
                <w:color w:val="auto"/>
                <w:sz w:val="24"/>
                <w:szCs w:val="24"/>
              </w:rPr>
              <w:t>中推荐的工业噪声预测模式，具体模式如下：</w:t>
            </w:r>
          </w:p>
          <w:p w14:paraId="2306D08F">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①计算某个声源在预测点的倍频带声压级</w:t>
            </w:r>
          </w:p>
          <w:p w14:paraId="70827F6F">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2210435" cy="485775"/>
                  <wp:effectExtent l="0" t="0" r="14605" b="1905"/>
                  <wp:docPr id="3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6"/>
                          <pic:cNvPicPr>
                            <a:picLocks noChangeAspect="1"/>
                          </pic:cNvPicPr>
                        </pic:nvPicPr>
                        <pic:blipFill>
                          <a:blip r:embed="rId10"/>
                          <a:stretch>
                            <a:fillRect/>
                          </a:stretch>
                        </pic:blipFill>
                        <pic:spPr>
                          <a:xfrm>
                            <a:off x="0" y="0"/>
                            <a:ext cx="2210435" cy="485775"/>
                          </a:xfrm>
                          <a:prstGeom prst="rect">
                            <a:avLst/>
                          </a:prstGeom>
                          <a:noFill/>
                          <a:ln>
                            <a:noFill/>
                          </a:ln>
                        </pic:spPr>
                      </pic:pic>
                    </a:graphicData>
                  </a:graphic>
                </wp:inline>
              </w:drawing>
            </w:r>
          </w:p>
          <w:p w14:paraId="588D0DC5">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式中：</w:t>
            </w:r>
          </w:p>
          <w:p w14:paraId="7F777D6B">
            <w:pPr>
              <w:adjustRightInd w:val="0"/>
              <w:snapToGrid w:val="0"/>
              <w:spacing w:line="360" w:lineRule="auto"/>
              <w:ind w:firstLine="420"/>
              <w:textAlignment w:val="baseline"/>
              <w:rPr>
                <w:color w:val="auto"/>
                <w:kern w:val="0"/>
                <w:sz w:val="24"/>
                <w:szCs w:val="24"/>
              </w:rPr>
            </w:pPr>
            <w:r>
              <w:rPr>
                <w:color w:val="auto"/>
                <w:kern w:val="0"/>
                <w:sz w:val="24"/>
                <w:szCs w:val="24"/>
              </w:rPr>
              <w:t>Loct(r)—</w:t>
            </w:r>
            <w:r>
              <w:rPr>
                <w:rFonts w:hint="eastAsia"/>
                <w:color w:val="auto"/>
                <w:kern w:val="0"/>
                <w:sz w:val="24"/>
                <w:szCs w:val="24"/>
              </w:rPr>
              <w:t>点声源在预测点产生的倍频带声压级；</w:t>
            </w:r>
          </w:p>
          <w:p w14:paraId="1F9ACC30">
            <w:pPr>
              <w:adjustRightInd w:val="0"/>
              <w:snapToGrid w:val="0"/>
              <w:spacing w:line="360" w:lineRule="auto"/>
              <w:ind w:firstLine="420"/>
              <w:textAlignment w:val="baseline"/>
              <w:rPr>
                <w:color w:val="auto"/>
                <w:kern w:val="0"/>
                <w:sz w:val="24"/>
                <w:szCs w:val="24"/>
              </w:rPr>
            </w:pPr>
            <w:r>
              <w:rPr>
                <w:color w:val="auto"/>
                <w:kern w:val="0"/>
                <w:sz w:val="24"/>
                <w:szCs w:val="24"/>
              </w:rPr>
              <w:t>Loct(r0)—</w:t>
            </w:r>
            <w:r>
              <w:rPr>
                <w:rFonts w:hint="eastAsia"/>
                <w:color w:val="auto"/>
                <w:kern w:val="0"/>
                <w:sz w:val="24"/>
                <w:szCs w:val="24"/>
              </w:rPr>
              <w:t>参考位置</w:t>
            </w:r>
            <w:r>
              <w:rPr>
                <w:color w:val="auto"/>
                <w:kern w:val="0"/>
                <w:sz w:val="24"/>
                <w:szCs w:val="24"/>
              </w:rPr>
              <w:t>r0</w:t>
            </w:r>
            <w:r>
              <w:rPr>
                <w:rFonts w:hint="eastAsia"/>
                <w:color w:val="auto"/>
                <w:kern w:val="0"/>
                <w:sz w:val="24"/>
                <w:szCs w:val="24"/>
              </w:rPr>
              <w:t>处的倍频带声压级；</w:t>
            </w:r>
          </w:p>
          <w:p w14:paraId="5288DDDC">
            <w:pPr>
              <w:adjustRightInd w:val="0"/>
              <w:snapToGrid w:val="0"/>
              <w:spacing w:line="360" w:lineRule="auto"/>
              <w:ind w:firstLine="420"/>
              <w:textAlignment w:val="baseline"/>
              <w:rPr>
                <w:color w:val="auto"/>
                <w:kern w:val="0"/>
                <w:sz w:val="24"/>
                <w:szCs w:val="24"/>
              </w:rPr>
            </w:pPr>
            <w:r>
              <w:rPr>
                <w:color w:val="auto"/>
                <w:kern w:val="0"/>
                <w:sz w:val="24"/>
                <w:szCs w:val="24"/>
              </w:rPr>
              <w:t>r—</w:t>
            </w:r>
            <w:r>
              <w:rPr>
                <w:rFonts w:hint="eastAsia"/>
                <w:color w:val="auto"/>
                <w:kern w:val="0"/>
                <w:sz w:val="24"/>
                <w:szCs w:val="24"/>
              </w:rPr>
              <w:t>预测点距声源的距离，</w:t>
            </w:r>
            <w:r>
              <w:rPr>
                <w:color w:val="auto"/>
                <w:kern w:val="0"/>
                <w:sz w:val="24"/>
                <w:szCs w:val="24"/>
              </w:rPr>
              <w:t>m</w:t>
            </w:r>
            <w:r>
              <w:rPr>
                <w:rFonts w:hint="eastAsia"/>
                <w:color w:val="auto"/>
                <w:kern w:val="0"/>
                <w:sz w:val="24"/>
                <w:szCs w:val="24"/>
              </w:rPr>
              <w:t>；</w:t>
            </w:r>
          </w:p>
          <w:p w14:paraId="3CCE6056">
            <w:pPr>
              <w:adjustRightInd w:val="0"/>
              <w:snapToGrid w:val="0"/>
              <w:spacing w:line="360" w:lineRule="auto"/>
              <w:ind w:firstLine="420"/>
              <w:textAlignment w:val="baseline"/>
              <w:rPr>
                <w:color w:val="auto"/>
                <w:kern w:val="0"/>
                <w:sz w:val="24"/>
                <w:szCs w:val="24"/>
              </w:rPr>
            </w:pPr>
            <w:r>
              <w:rPr>
                <w:color w:val="auto"/>
                <w:kern w:val="0"/>
                <w:sz w:val="24"/>
                <w:szCs w:val="24"/>
              </w:rPr>
              <w:t>r0—</w:t>
            </w:r>
            <w:r>
              <w:rPr>
                <w:rFonts w:hint="eastAsia"/>
                <w:color w:val="auto"/>
                <w:kern w:val="0"/>
                <w:sz w:val="24"/>
                <w:szCs w:val="24"/>
              </w:rPr>
              <w:t>参考位置距声源的距离，</w:t>
            </w:r>
            <w:r>
              <w:rPr>
                <w:color w:val="auto"/>
                <w:kern w:val="0"/>
                <w:sz w:val="24"/>
                <w:szCs w:val="24"/>
              </w:rPr>
              <w:t>m</w:t>
            </w:r>
            <w:r>
              <w:rPr>
                <w:rFonts w:hint="eastAsia"/>
                <w:color w:val="auto"/>
                <w:kern w:val="0"/>
                <w:sz w:val="24"/>
                <w:szCs w:val="24"/>
              </w:rPr>
              <w:t>；</w:t>
            </w:r>
          </w:p>
          <w:p w14:paraId="3A3ACA0B">
            <w:pPr>
              <w:adjustRightInd w:val="0"/>
              <w:snapToGrid w:val="0"/>
              <w:spacing w:line="360" w:lineRule="auto"/>
              <w:ind w:firstLine="420"/>
              <w:textAlignment w:val="baseline"/>
              <w:rPr>
                <w:color w:val="auto"/>
                <w:kern w:val="0"/>
                <w:sz w:val="24"/>
                <w:szCs w:val="24"/>
              </w:rPr>
            </w:pPr>
            <w:r>
              <w:rPr>
                <w:color w:val="auto"/>
                <w:kern w:val="0"/>
                <w:sz w:val="24"/>
                <w:szCs w:val="24"/>
              </w:rPr>
              <w:t>ΔLoct—</w:t>
            </w:r>
            <w:r>
              <w:rPr>
                <w:rFonts w:hint="eastAsia"/>
                <w:color w:val="auto"/>
                <w:kern w:val="0"/>
                <w:sz w:val="24"/>
                <w:szCs w:val="24"/>
              </w:rPr>
              <w:t>各种因素引起的衰减量（包括声屏障、遮挡物、空气吸收、地面效应等引起的衰减量）。</w:t>
            </w:r>
          </w:p>
          <w:p w14:paraId="3A708E51">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如果已知声源的倍频带声功率级</w:t>
            </w:r>
            <w:r>
              <w:rPr>
                <w:color w:val="auto"/>
                <w:kern w:val="0"/>
                <w:sz w:val="24"/>
                <w:szCs w:val="24"/>
              </w:rPr>
              <w:t>Lw oct</w:t>
            </w:r>
            <w:r>
              <w:rPr>
                <w:rFonts w:hint="eastAsia"/>
                <w:color w:val="auto"/>
                <w:kern w:val="0"/>
                <w:sz w:val="24"/>
                <w:szCs w:val="24"/>
              </w:rPr>
              <w:t>，且声源可看作是位于地面上的，则有：</w:t>
            </w:r>
          </w:p>
          <w:p w14:paraId="2BF21FDF">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800225" cy="238125"/>
                  <wp:effectExtent l="0" t="0" r="13335" b="0"/>
                  <wp:docPr id="3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7"/>
                          <pic:cNvPicPr>
                            <a:picLocks noChangeAspect="1"/>
                          </pic:cNvPicPr>
                        </pic:nvPicPr>
                        <pic:blipFill>
                          <a:blip r:embed="rId11"/>
                          <a:stretch>
                            <a:fillRect/>
                          </a:stretch>
                        </pic:blipFill>
                        <pic:spPr>
                          <a:xfrm>
                            <a:off x="0" y="0"/>
                            <a:ext cx="1800225" cy="238125"/>
                          </a:xfrm>
                          <a:prstGeom prst="rect">
                            <a:avLst/>
                          </a:prstGeom>
                          <a:noFill/>
                          <a:ln>
                            <a:noFill/>
                          </a:ln>
                        </pic:spPr>
                      </pic:pic>
                    </a:graphicData>
                  </a:graphic>
                </wp:inline>
              </w:drawing>
            </w:r>
          </w:p>
          <w:p w14:paraId="39D1303C">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由各倍频带声压级合成计算出该声源产生的声级</w:t>
            </w:r>
            <w:r>
              <w:rPr>
                <w:color w:val="auto"/>
                <w:kern w:val="0"/>
                <w:sz w:val="24"/>
                <w:szCs w:val="24"/>
              </w:rPr>
              <w:t>LA</w:t>
            </w:r>
            <w:r>
              <w:rPr>
                <w:rFonts w:hint="eastAsia"/>
                <w:color w:val="auto"/>
                <w:kern w:val="0"/>
                <w:sz w:val="24"/>
                <w:szCs w:val="24"/>
              </w:rPr>
              <w:t>。</w:t>
            </w:r>
          </w:p>
          <w:p w14:paraId="38DA1C0F">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②计算出某个室内靠近围护结构处的倍频带声压级：</w:t>
            </w:r>
          </w:p>
          <w:p w14:paraId="2CE17997">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781810" cy="485775"/>
                  <wp:effectExtent l="0" t="0" r="1270" b="1905"/>
                  <wp:docPr id="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8"/>
                          <pic:cNvPicPr>
                            <a:picLocks noChangeAspect="1"/>
                          </pic:cNvPicPr>
                        </pic:nvPicPr>
                        <pic:blipFill>
                          <a:blip r:embed="rId12"/>
                          <a:stretch>
                            <a:fillRect/>
                          </a:stretch>
                        </pic:blipFill>
                        <pic:spPr>
                          <a:xfrm>
                            <a:off x="0" y="0"/>
                            <a:ext cx="1781810" cy="485775"/>
                          </a:xfrm>
                          <a:prstGeom prst="rect">
                            <a:avLst/>
                          </a:prstGeom>
                          <a:noFill/>
                          <a:ln>
                            <a:noFill/>
                          </a:ln>
                        </pic:spPr>
                      </pic:pic>
                    </a:graphicData>
                  </a:graphic>
                </wp:inline>
              </w:drawing>
            </w:r>
          </w:p>
          <w:p w14:paraId="2E2DE709">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式中：</w:t>
            </w:r>
            <w:r>
              <w:rPr>
                <w:color w:val="auto"/>
                <w:kern w:val="0"/>
                <w:sz w:val="24"/>
                <w:szCs w:val="24"/>
              </w:rPr>
              <w:t>L</w:t>
            </w:r>
            <w:r>
              <w:rPr>
                <w:color w:val="auto"/>
                <w:kern w:val="0"/>
                <w:sz w:val="24"/>
                <w:szCs w:val="24"/>
                <w:vertAlign w:val="subscript"/>
              </w:rPr>
              <w:t>oct,1</w:t>
            </w:r>
            <w:r>
              <w:rPr>
                <w:rFonts w:hint="eastAsia"/>
                <w:color w:val="auto"/>
                <w:kern w:val="0"/>
                <w:sz w:val="24"/>
                <w:szCs w:val="24"/>
              </w:rPr>
              <w:t>为某个室内声源在靠近围护结构处产生的倍频带声压级，</w:t>
            </w:r>
            <w:r>
              <w:rPr>
                <w:color w:val="auto"/>
                <w:kern w:val="0"/>
                <w:sz w:val="24"/>
                <w:szCs w:val="24"/>
              </w:rPr>
              <w:t>Lw oct</w:t>
            </w:r>
            <w:r>
              <w:rPr>
                <w:rFonts w:hint="eastAsia"/>
                <w:color w:val="auto"/>
                <w:kern w:val="0"/>
                <w:sz w:val="24"/>
                <w:szCs w:val="24"/>
              </w:rPr>
              <w:t>为某个声源的倍频带声功率级，</w:t>
            </w:r>
            <w:r>
              <w:rPr>
                <w:color w:val="auto"/>
                <w:kern w:val="0"/>
                <w:sz w:val="24"/>
                <w:szCs w:val="24"/>
              </w:rPr>
              <w:t>r1</w:t>
            </w:r>
            <w:r>
              <w:rPr>
                <w:rFonts w:hint="eastAsia"/>
                <w:color w:val="auto"/>
                <w:kern w:val="0"/>
                <w:sz w:val="24"/>
                <w:szCs w:val="24"/>
              </w:rPr>
              <w:t>为室内某个声源与靠近围护结构处的距离，</w:t>
            </w:r>
            <w:r>
              <w:rPr>
                <w:color w:val="auto"/>
                <w:kern w:val="0"/>
                <w:sz w:val="24"/>
                <w:szCs w:val="24"/>
              </w:rPr>
              <w:t>R</w:t>
            </w:r>
            <w:r>
              <w:rPr>
                <w:rFonts w:hint="eastAsia"/>
                <w:color w:val="auto"/>
                <w:kern w:val="0"/>
                <w:sz w:val="24"/>
                <w:szCs w:val="24"/>
              </w:rPr>
              <w:t>为房间常数，</w:t>
            </w:r>
            <w:r>
              <w:rPr>
                <w:color w:val="auto"/>
                <w:kern w:val="0"/>
                <w:sz w:val="24"/>
                <w:szCs w:val="24"/>
              </w:rPr>
              <w:t>Q</w:t>
            </w:r>
            <w:r>
              <w:rPr>
                <w:rFonts w:hint="eastAsia"/>
                <w:color w:val="auto"/>
                <w:kern w:val="0"/>
                <w:sz w:val="24"/>
                <w:szCs w:val="24"/>
              </w:rPr>
              <w:t>为方向因子。</w:t>
            </w:r>
          </w:p>
          <w:p w14:paraId="1ED0330A">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fldChar w:fldCharType="begin"/>
            </w:r>
            <w:r>
              <w:rPr>
                <w:rFonts w:hint="eastAsia"/>
                <w:color w:val="auto"/>
                <w:kern w:val="0"/>
                <w:sz w:val="24"/>
                <w:szCs w:val="24"/>
              </w:rPr>
              <w:instrText xml:space="preserve"> = 3 \* GB3 \* MERGEFORMAT </w:instrText>
            </w:r>
            <w:r>
              <w:rPr>
                <w:rFonts w:hint="eastAsia"/>
                <w:color w:val="auto"/>
                <w:kern w:val="0"/>
                <w:sz w:val="24"/>
                <w:szCs w:val="24"/>
              </w:rPr>
              <w:fldChar w:fldCharType="separate"/>
            </w:r>
            <w:r>
              <w:rPr>
                <w:color w:val="auto"/>
                <w:kern w:val="0"/>
                <w:sz w:val="24"/>
                <w:szCs w:val="24"/>
              </w:rPr>
              <w:t>③</w:t>
            </w:r>
            <w:r>
              <w:rPr>
                <w:rFonts w:hint="eastAsia"/>
                <w:color w:val="auto"/>
                <w:kern w:val="0"/>
                <w:sz w:val="24"/>
                <w:szCs w:val="24"/>
              </w:rPr>
              <w:fldChar w:fldCharType="end"/>
            </w:r>
            <w:r>
              <w:rPr>
                <w:rFonts w:hint="eastAsia"/>
                <w:color w:val="auto"/>
                <w:kern w:val="0"/>
                <w:sz w:val="24"/>
                <w:szCs w:val="24"/>
              </w:rPr>
              <w:t>计算出所有室内声源在靠近围护结构处产生的总倍频带声压级：</w:t>
            </w:r>
          </w:p>
          <w:p w14:paraId="040CEB3C">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838325" cy="457200"/>
                  <wp:effectExtent l="0" t="0" r="5715" b="0"/>
                  <wp:docPr id="3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9"/>
                          <pic:cNvPicPr>
                            <a:picLocks noChangeAspect="1"/>
                          </pic:cNvPicPr>
                        </pic:nvPicPr>
                        <pic:blipFill>
                          <a:blip r:embed="rId13"/>
                          <a:stretch>
                            <a:fillRect/>
                          </a:stretch>
                        </pic:blipFill>
                        <pic:spPr>
                          <a:xfrm>
                            <a:off x="0" y="0"/>
                            <a:ext cx="1838325" cy="457200"/>
                          </a:xfrm>
                          <a:prstGeom prst="rect">
                            <a:avLst/>
                          </a:prstGeom>
                          <a:noFill/>
                          <a:ln>
                            <a:noFill/>
                          </a:ln>
                        </pic:spPr>
                      </pic:pic>
                    </a:graphicData>
                  </a:graphic>
                </wp:inline>
              </w:drawing>
            </w:r>
          </w:p>
          <w:p w14:paraId="2C0348A3">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④计算出室外靠近围护结构处的声压级：</w:t>
            </w:r>
          </w:p>
          <w:p w14:paraId="30ED26C2">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952625" cy="238125"/>
                  <wp:effectExtent l="0" t="0" r="13335" b="4445"/>
                  <wp:docPr id="3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20"/>
                          <pic:cNvPicPr>
                            <a:picLocks noChangeAspect="1"/>
                          </pic:cNvPicPr>
                        </pic:nvPicPr>
                        <pic:blipFill>
                          <a:blip r:embed="rId14"/>
                          <a:stretch>
                            <a:fillRect/>
                          </a:stretch>
                        </pic:blipFill>
                        <pic:spPr>
                          <a:xfrm>
                            <a:off x="0" y="0"/>
                            <a:ext cx="1952625" cy="238125"/>
                          </a:xfrm>
                          <a:prstGeom prst="rect">
                            <a:avLst/>
                          </a:prstGeom>
                          <a:noFill/>
                          <a:ln>
                            <a:noFill/>
                          </a:ln>
                        </pic:spPr>
                      </pic:pic>
                    </a:graphicData>
                  </a:graphic>
                </wp:inline>
              </w:drawing>
            </w:r>
          </w:p>
          <w:p w14:paraId="7EC65D87">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将室外声级</w:t>
            </w:r>
            <w:r>
              <w:rPr>
                <w:color w:val="auto"/>
                <w:kern w:val="0"/>
                <w:sz w:val="24"/>
                <w:szCs w:val="24"/>
              </w:rPr>
              <w:t>L</w:t>
            </w:r>
            <w:r>
              <w:rPr>
                <w:color w:val="auto"/>
                <w:kern w:val="0"/>
                <w:sz w:val="24"/>
                <w:szCs w:val="24"/>
                <w:vertAlign w:val="subscript"/>
              </w:rPr>
              <w:t>oct,2</w:t>
            </w:r>
            <w:r>
              <w:rPr>
                <w:color w:val="auto"/>
                <w:kern w:val="0"/>
                <w:sz w:val="24"/>
                <w:szCs w:val="24"/>
              </w:rPr>
              <w:t>(T)</w:t>
            </w:r>
            <w:r>
              <w:rPr>
                <w:rFonts w:hint="eastAsia"/>
                <w:color w:val="auto"/>
                <w:kern w:val="0"/>
                <w:sz w:val="24"/>
                <w:szCs w:val="24"/>
              </w:rPr>
              <w:t>和透声面积换算成等效的室外声源，计算出等效声源第</w:t>
            </w:r>
            <w:r>
              <w:rPr>
                <w:color w:val="auto"/>
                <w:kern w:val="0"/>
                <w:sz w:val="24"/>
                <w:szCs w:val="24"/>
              </w:rPr>
              <w:t>i</w:t>
            </w:r>
            <w:r>
              <w:rPr>
                <w:rFonts w:hint="eastAsia"/>
                <w:color w:val="auto"/>
                <w:kern w:val="0"/>
                <w:sz w:val="24"/>
                <w:szCs w:val="24"/>
              </w:rPr>
              <w:t>个倍频带的声功率级</w:t>
            </w:r>
            <w:r>
              <w:rPr>
                <w:color w:val="auto"/>
                <w:kern w:val="0"/>
                <w:sz w:val="24"/>
                <w:szCs w:val="24"/>
              </w:rPr>
              <w:t>Lw oct</w:t>
            </w:r>
            <w:r>
              <w:rPr>
                <w:rFonts w:hint="eastAsia"/>
                <w:color w:val="auto"/>
                <w:kern w:val="0"/>
                <w:sz w:val="24"/>
                <w:szCs w:val="24"/>
              </w:rPr>
              <w:t>：</w:t>
            </w:r>
          </w:p>
          <w:p w14:paraId="32E6955A">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610360" cy="238125"/>
                  <wp:effectExtent l="0" t="0" r="5080" b="4445"/>
                  <wp:docPr id="4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21"/>
                          <pic:cNvPicPr>
                            <a:picLocks noChangeAspect="1"/>
                          </pic:cNvPicPr>
                        </pic:nvPicPr>
                        <pic:blipFill>
                          <a:blip r:embed="rId15"/>
                          <a:stretch>
                            <a:fillRect/>
                          </a:stretch>
                        </pic:blipFill>
                        <pic:spPr>
                          <a:xfrm>
                            <a:off x="0" y="0"/>
                            <a:ext cx="1610360" cy="238125"/>
                          </a:xfrm>
                          <a:prstGeom prst="rect">
                            <a:avLst/>
                          </a:prstGeom>
                          <a:noFill/>
                          <a:ln>
                            <a:noFill/>
                          </a:ln>
                        </pic:spPr>
                      </pic:pic>
                    </a:graphicData>
                  </a:graphic>
                </wp:inline>
              </w:drawing>
            </w:r>
          </w:p>
          <w:p w14:paraId="1BF314F3">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式中：</w:t>
            </w:r>
            <w:r>
              <w:rPr>
                <w:color w:val="auto"/>
                <w:kern w:val="0"/>
                <w:sz w:val="24"/>
                <w:szCs w:val="24"/>
              </w:rPr>
              <w:t>S—</w:t>
            </w:r>
            <w:r>
              <w:rPr>
                <w:rFonts w:hint="eastAsia"/>
                <w:color w:val="auto"/>
                <w:kern w:val="0"/>
                <w:sz w:val="24"/>
                <w:szCs w:val="24"/>
              </w:rPr>
              <w:t>透声面积，</w:t>
            </w:r>
            <w:r>
              <w:rPr>
                <w:color w:val="auto"/>
                <w:kern w:val="0"/>
                <w:sz w:val="24"/>
                <w:szCs w:val="24"/>
              </w:rPr>
              <w:t>m</w:t>
            </w:r>
            <w:r>
              <w:rPr>
                <w:color w:val="auto"/>
                <w:kern w:val="0"/>
                <w:sz w:val="24"/>
                <w:szCs w:val="24"/>
                <w:vertAlign w:val="superscript"/>
              </w:rPr>
              <w:t>2</w:t>
            </w:r>
            <w:r>
              <w:rPr>
                <w:rFonts w:hint="eastAsia"/>
                <w:color w:val="auto"/>
                <w:kern w:val="0"/>
                <w:sz w:val="24"/>
                <w:szCs w:val="24"/>
              </w:rPr>
              <w:t>。</w:t>
            </w:r>
          </w:p>
          <w:p w14:paraId="59718E05">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⑤等效室外声源的位置为围护结构的位置，其倍频带声功率级为</w:t>
            </w:r>
            <w:r>
              <w:rPr>
                <w:color w:val="auto"/>
                <w:kern w:val="0"/>
                <w:sz w:val="24"/>
                <w:szCs w:val="24"/>
              </w:rPr>
              <w:t>Lw oct</w:t>
            </w:r>
            <w:r>
              <w:rPr>
                <w:rFonts w:hint="eastAsia"/>
                <w:color w:val="auto"/>
                <w:kern w:val="0"/>
                <w:sz w:val="24"/>
                <w:szCs w:val="24"/>
              </w:rPr>
              <w:t>，由此按室外声源方法计算等效室外声源在预测点产生的声级。</w:t>
            </w:r>
          </w:p>
          <w:p w14:paraId="447482CC">
            <w:pPr>
              <w:adjustRightInd w:val="0"/>
              <w:snapToGrid w:val="0"/>
              <w:spacing w:line="360" w:lineRule="auto"/>
              <w:ind w:firstLine="420"/>
              <w:textAlignment w:val="baseline"/>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2</w:t>
            </w:r>
            <w:r>
              <w:rPr>
                <w:rFonts w:hint="eastAsia"/>
                <w:color w:val="auto"/>
                <w:kern w:val="0"/>
                <w:sz w:val="24"/>
                <w:szCs w:val="24"/>
                <w:lang w:eastAsia="zh-CN"/>
              </w:rPr>
              <w:t>）</w:t>
            </w:r>
            <w:r>
              <w:rPr>
                <w:rFonts w:hint="eastAsia"/>
                <w:color w:val="auto"/>
                <w:kern w:val="0"/>
                <w:sz w:val="24"/>
                <w:szCs w:val="24"/>
              </w:rPr>
              <w:t>指正性校正</w:t>
            </w:r>
          </w:p>
          <w:p w14:paraId="1000B766">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指正性校正（</w:t>
            </w:r>
            <w:r>
              <w:rPr>
                <w:color w:val="auto"/>
                <w:kern w:val="0"/>
                <w:sz w:val="24"/>
                <w:szCs w:val="24"/>
              </w:rPr>
              <w:t>Dc</w:t>
            </w:r>
            <w:r>
              <w:rPr>
                <w:rFonts w:hint="eastAsia"/>
                <w:color w:val="auto"/>
                <w:kern w:val="0"/>
                <w:sz w:val="24"/>
                <w:szCs w:val="24"/>
              </w:rPr>
              <w:t>）描述点声源的等效连续声压级与产生声功率级（</w:t>
            </w:r>
            <w:r>
              <w:rPr>
                <w:color w:val="auto"/>
                <w:kern w:val="0"/>
                <w:sz w:val="24"/>
                <w:szCs w:val="24"/>
              </w:rPr>
              <w:t>Lw</w:t>
            </w:r>
            <w:r>
              <w:rPr>
                <w:rFonts w:hint="eastAsia"/>
                <w:color w:val="auto"/>
                <w:kern w:val="0"/>
                <w:sz w:val="24"/>
                <w:szCs w:val="24"/>
              </w:rPr>
              <w:t>）的全向点声源在规定方向的偏差程度；指向性校正等于点声源的指向性指数</w:t>
            </w:r>
            <w:r>
              <w:rPr>
                <w:color w:val="auto"/>
                <w:kern w:val="0"/>
                <w:sz w:val="24"/>
                <w:szCs w:val="24"/>
              </w:rPr>
              <w:t>DI</w:t>
            </w:r>
            <w:r>
              <w:rPr>
                <w:rFonts w:hint="eastAsia"/>
                <w:color w:val="auto"/>
                <w:kern w:val="0"/>
                <w:sz w:val="24"/>
                <w:szCs w:val="24"/>
              </w:rPr>
              <w:t>加上计到小于</w:t>
            </w:r>
            <w:r>
              <w:rPr>
                <w:color w:val="auto"/>
                <w:kern w:val="0"/>
                <w:sz w:val="24"/>
                <w:szCs w:val="24"/>
              </w:rPr>
              <w:t>4π</w:t>
            </w:r>
            <w:r>
              <w:rPr>
                <w:rFonts w:hint="eastAsia"/>
                <w:color w:val="auto"/>
                <w:kern w:val="0"/>
                <w:sz w:val="24"/>
                <w:szCs w:val="24"/>
              </w:rPr>
              <w:t>球面度（</w:t>
            </w:r>
            <w:r>
              <w:rPr>
                <w:color w:val="auto"/>
                <w:kern w:val="0"/>
                <w:sz w:val="24"/>
                <w:szCs w:val="24"/>
              </w:rPr>
              <w:t>sr</w:t>
            </w:r>
            <w:r>
              <w:rPr>
                <w:rFonts w:hint="eastAsia"/>
                <w:color w:val="auto"/>
                <w:kern w:val="0"/>
                <w:sz w:val="24"/>
                <w:szCs w:val="24"/>
              </w:rPr>
              <w:t>）立体角内的声传播指数</w:t>
            </w:r>
            <w:r>
              <w:rPr>
                <w:color w:val="auto"/>
                <w:kern w:val="0"/>
                <w:sz w:val="24"/>
                <w:szCs w:val="24"/>
              </w:rPr>
              <w:object>
                <v:shape id="_x0000_i1025" o:spt="75" type="#_x0000_t75" style="height:14.4pt;width:14.4pt;" o:ole="t" filled="f" o:preferrelative="t"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color w:val="auto"/>
                <w:kern w:val="0"/>
                <w:sz w:val="24"/>
                <w:szCs w:val="24"/>
              </w:rPr>
              <w:t>；对辐射到自由空间的全向点声源，</w:t>
            </w:r>
            <w:r>
              <w:rPr>
                <w:color w:val="auto"/>
                <w:kern w:val="0"/>
                <w:sz w:val="24"/>
                <w:szCs w:val="24"/>
              </w:rPr>
              <w:t>Dc=0dB</w:t>
            </w:r>
            <w:r>
              <w:rPr>
                <w:rFonts w:hint="eastAsia"/>
                <w:color w:val="auto"/>
                <w:kern w:val="0"/>
                <w:sz w:val="24"/>
                <w:szCs w:val="24"/>
              </w:rPr>
              <w:t>。</w:t>
            </w:r>
          </w:p>
          <w:p w14:paraId="6047896E">
            <w:pPr>
              <w:adjustRightInd w:val="0"/>
              <w:snapToGrid w:val="0"/>
              <w:spacing w:line="360" w:lineRule="auto"/>
              <w:ind w:firstLine="420"/>
              <w:textAlignment w:val="baseline"/>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3</w:t>
            </w:r>
            <w:r>
              <w:rPr>
                <w:rFonts w:hint="eastAsia"/>
                <w:color w:val="auto"/>
                <w:kern w:val="0"/>
                <w:sz w:val="24"/>
                <w:szCs w:val="24"/>
                <w:lang w:eastAsia="zh-CN"/>
              </w:rPr>
              <w:t>）</w:t>
            </w:r>
            <w:r>
              <w:rPr>
                <w:rFonts w:hint="eastAsia"/>
                <w:color w:val="auto"/>
                <w:kern w:val="0"/>
                <w:sz w:val="24"/>
                <w:szCs w:val="24"/>
              </w:rPr>
              <w:t>几何发散衰减（</w:t>
            </w:r>
            <w:r>
              <w:rPr>
                <w:color w:val="auto"/>
                <w:kern w:val="0"/>
                <w:sz w:val="24"/>
                <w:szCs w:val="24"/>
              </w:rPr>
              <w:t>Adiv</w:t>
            </w:r>
            <w:r>
              <w:rPr>
                <w:rFonts w:hint="eastAsia"/>
                <w:color w:val="auto"/>
                <w:kern w:val="0"/>
                <w:sz w:val="24"/>
                <w:szCs w:val="24"/>
              </w:rPr>
              <w:t>）</w:t>
            </w:r>
          </w:p>
          <w:p w14:paraId="331CDC3A">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①无指向性点声源几何发散衰减</w:t>
            </w:r>
          </w:p>
          <w:p w14:paraId="5F987E38">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无指向性点声源几何发散衰减的基本公式是：</w:t>
            </w:r>
          </w:p>
          <w:p w14:paraId="0EB1BADF">
            <w:pPr>
              <w:adjustRightInd w:val="0"/>
              <w:snapToGrid w:val="0"/>
              <w:spacing w:line="360" w:lineRule="auto"/>
              <w:ind w:firstLine="420"/>
              <w:jc w:val="center"/>
              <w:textAlignment w:val="baseline"/>
              <w:rPr>
                <w:color w:val="auto"/>
                <w:kern w:val="0"/>
                <w:sz w:val="24"/>
                <w:szCs w:val="24"/>
              </w:rPr>
            </w:pPr>
            <w:r>
              <w:rPr>
                <w:color w:val="auto"/>
                <w:kern w:val="0"/>
                <w:sz w:val="24"/>
                <w:szCs w:val="24"/>
              </w:rPr>
              <w:object>
                <v:shape id="_x0000_i1026" o:spt="75" type="#_x0000_t75" style="height:21.6pt;width:136.8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color w:val="auto"/>
                <w:kern w:val="0"/>
                <w:sz w:val="24"/>
                <w:szCs w:val="24"/>
              </w:rPr>
              <w:t xml:space="preserve">                       （</w:t>
            </w:r>
            <w:r>
              <w:rPr>
                <w:color w:val="auto"/>
                <w:kern w:val="0"/>
                <w:sz w:val="24"/>
                <w:szCs w:val="24"/>
              </w:rPr>
              <w:t>a</w:t>
            </w:r>
            <w:r>
              <w:rPr>
                <w:rFonts w:hint="eastAsia"/>
                <w:color w:val="auto"/>
                <w:kern w:val="0"/>
                <w:sz w:val="24"/>
                <w:szCs w:val="24"/>
              </w:rPr>
              <w:t>）</w:t>
            </w:r>
          </w:p>
          <w:p w14:paraId="6DC27C9E">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公式（</w:t>
            </w:r>
            <w:r>
              <w:rPr>
                <w:color w:val="auto"/>
                <w:kern w:val="0"/>
                <w:sz w:val="24"/>
                <w:szCs w:val="24"/>
              </w:rPr>
              <w:t>a</w:t>
            </w:r>
            <w:r>
              <w:rPr>
                <w:rFonts w:hint="eastAsia"/>
                <w:color w:val="auto"/>
                <w:kern w:val="0"/>
                <w:sz w:val="24"/>
                <w:szCs w:val="24"/>
              </w:rPr>
              <w:t>）中第二项表示了点声源的几何发散衰减：</w:t>
            </w:r>
          </w:p>
          <w:p w14:paraId="71C284C1">
            <w:pPr>
              <w:adjustRightInd w:val="0"/>
              <w:snapToGrid w:val="0"/>
              <w:spacing w:line="360" w:lineRule="auto"/>
              <w:ind w:firstLine="420"/>
              <w:jc w:val="center"/>
              <w:textAlignment w:val="baseline"/>
              <w:rPr>
                <w:color w:val="auto"/>
                <w:kern w:val="0"/>
                <w:sz w:val="24"/>
                <w:szCs w:val="24"/>
              </w:rPr>
            </w:pPr>
            <w:r>
              <w:rPr>
                <w:color w:val="auto"/>
                <w:kern w:val="0"/>
                <w:sz w:val="24"/>
                <w:szCs w:val="24"/>
              </w:rPr>
              <w:object>
                <v:shape id="_x0000_i1027" o:spt="75" type="#_x0000_t75" style="height:20.25pt;width:122.55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color w:val="auto"/>
                <w:kern w:val="0"/>
                <w:sz w:val="24"/>
                <w:szCs w:val="24"/>
              </w:rPr>
              <w:t xml:space="preserve">                          （</w:t>
            </w:r>
            <w:r>
              <w:rPr>
                <w:color w:val="auto"/>
                <w:kern w:val="0"/>
                <w:sz w:val="24"/>
                <w:szCs w:val="24"/>
              </w:rPr>
              <w:t>b</w:t>
            </w:r>
            <w:r>
              <w:rPr>
                <w:rFonts w:hint="eastAsia"/>
                <w:color w:val="auto"/>
                <w:kern w:val="0"/>
                <w:sz w:val="24"/>
                <w:szCs w:val="24"/>
              </w:rPr>
              <w:t>）</w:t>
            </w:r>
          </w:p>
          <w:p w14:paraId="460A4285">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如果已知点声源的倍频带声功率级</w:t>
            </w:r>
            <w:r>
              <w:rPr>
                <w:color w:val="auto"/>
                <w:kern w:val="0"/>
                <w:sz w:val="24"/>
                <w:szCs w:val="24"/>
              </w:rPr>
              <w:t>Lw</w:t>
            </w:r>
            <w:r>
              <w:rPr>
                <w:rFonts w:hint="eastAsia"/>
                <w:color w:val="auto"/>
                <w:kern w:val="0"/>
                <w:sz w:val="24"/>
                <w:szCs w:val="24"/>
              </w:rPr>
              <w:t>或</w:t>
            </w:r>
            <w:r>
              <w:rPr>
                <w:color w:val="auto"/>
                <w:kern w:val="0"/>
                <w:sz w:val="24"/>
                <w:szCs w:val="24"/>
              </w:rPr>
              <w:t>A</w:t>
            </w:r>
            <w:r>
              <w:rPr>
                <w:rFonts w:hint="eastAsia"/>
                <w:color w:val="auto"/>
                <w:kern w:val="0"/>
                <w:sz w:val="24"/>
                <w:szCs w:val="24"/>
              </w:rPr>
              <w:t>声功率级（</w:t>
            </w:r>
            <w:r>
              <w:rPr>
                <w:color w:val="auto"/>
                <w:kern w:val="0"/>
                <w:sz w:val="24"/>
                <w:szCs w:val="24"/>
              </w:rPr>
              <w:t>LAW</w:t>
            </w:r>
            <w:r>
              <w:rPr>
                <w:rFonts w:hint="eastAsia"/>
                <w:color w:val="auto"/>
                <w:kern w:val="0"/>
                <w:sz w:val="24"/>
                <w:szCs w:val="24"/>
              </w:rPr>
              <w:t>），且声源处于自由声场，则公式（</w:t>
            </w:r>
            <w:r>
              <w:rPr>
                <w:color w:val="auto"/>
                <w:kern w:val="0"/>
                <w:sz w:val="24"/>
                <w:szCs w:val="24"/>
              </w:rPr>
              <w:t>a</w:t>
            </w:r>
            <w:r>
              <w:rPr>
                <w:rFonts w:hint="eastAsia"/>
                <w:color w:val="auto"/>
                <w:kern w:val="0"/>
                <w:sz w:val="24"/>
                <w:szCs w:val="24"/>
              </w:rPr>
              <w:t>）等效为公式（</w:t>
            </w:r>
            <w:r>
              <w:rPr>
                <w:color w:val="auto"/>
                <w:kern w:val="0"/>
                <w:sz w:val="24"/>
                <w:szCs w:val="24"/>
              </w:rPr>
              <w:t>c</w:t>
            </w:r>
            <w:r>
              <w:rPr>
                <w:rFonts w:hint="eastAsia"/>
                <w:color w:val="auto"/>
                <w:kern w:val="0"/>
                <w:sz w:val="24"/>
                <w:szCs w:val="24"/>
              </w:rPr>
              <w:t>）或（</w:t>
            </w:r>
            <w:r>
              <w:rPr>
                <w:color w:val="auto"/>
                <w:kern w:val="0"/>
                <w:sz w:val="24"/>
                <w:szCs w:val="24"/>
              </w:rPr>
              <w:t>d</w:t>
            </w:r>
            <w:r>
              <w:rPr>
                <w:rFonts w:hint="eastAsia"/>
                <w:color w:val="auto"/>
                <w:kern w:val="0"/>
                <w:sz w:val="24"/>
                <w:szCs w:val="24"/>
              </w:rPr>
              <w:t>）：</w:t>
            </w:r>
          </w:p>
          <w:p w14:paraId="20984C89">
            <w:pPr>
              <w:adjustRightInd w:val="0"/>
              <w:snapToGrid w:val="0"/>
              <w:spacing w:line="360" w:lineRule="auto"/>
              <w:ind w:firstLine="420"/>
              <w:jc w:val="center"/>
              <w:textAlignment w:val="baseline"/>
              <w:rPr>
                <w:color w:val="auto"/>
                <w:kern w:val="0"/>
                <w:sz w:val="24"/>
                <w:szCs w:val="24"/>
              </w:rPr>
            </w:pPr>
            <w:r>
              <w:rPr>
                <w:color w:val="auto"/>
                <w:kern w:val="0"/>
                <w:sz w:val="24"/>
                <w:szCs w:val="24"/>
              </w:rPr>
              <w:object>
                <v:shape id="_x0000_i1028" o:spt="75" type="#_x0000_t75" style="height:21.6pt;width:129.6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color w:val="auto"/>
                <w:kern w:val="0"/>
                <w:sz w:val="24"/>
                <w:szCs w:val="24"/>
              </w:rPr>
              <w:t xml:space="preserve">                         （</w:t>
            </w:r>
            <w:r>
              <w:rPr>
                <w:color w:val="auto"/>
                <w:kern w:val="0"/>
                <w:sz w:val="24"/>
                <w:szCs w:val="24"/>
              </w:rPr>
              <w:t>c</w:t>
            </w:r>
            <w:r>
              <w:rPr>
                <w:rFonts w:hint="eastAsia"/>
                <w:color w:val="auto"/>
                <w:kern w:val="0"/>
                <w:sz w:val="24"/>
                <w:szCs w:val="24"/>
              </w:rPr>
              <w:t>）</w:t>
            </w:r>
          </w:p>
          <w:p w14:paraId="44E423C4">
            <w:pPr>
              <w:adjustRightInd w:val="0"/>
              <w:snapToGrid w:val="0"/>
              <w:spacing w:line="360" w:lineRule="auto"/>
              <w:ind w:firstLine="420"/>
              <w:jc w:val="center"/>
              <w:textAlignment w:val="baseline"/>
              <w:rPr>
                <w:color w:val="auto"/>
                <w:kern w:val="0"/>
                <w:sz w:val="24"/>
                <w:szCs w:val="24"/>
              </w:rPr>
            </w:pPr>
            <w:r>
              <w:rPr>
                <w:color w:val="auto"/>
                <w:kern w:val="0"/>
                <w:sz w:val="24"/>
                <w:szCs w:val="24"/>
              </w:rPr>
              <w:object>
                <v:shape id="_x0000_i1029" o:spt="75" type="#_x0000_t75" style="height:21.6pt;width:136.85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color w:val="auto"/>
                <w:kern w:val="0"/>
                <w:sz w:val="24"/>
                <w:szCs w:val="24"/>
              </w:rPr>
              <w:t xml:space="preserve">                        （</w:t>
            </w:r>
            <w:r>
              <w:rPr>
                <w:color w:val="auto"/>
                <w:kern w:val="0"/>
                <w:sz w:val="24"/>
                <w:szCs w:val="24"/>
              </w:rPr>
              <w:t>d</w:t>
            </w:r>
            <w:r>
              <w:rPr>
                <w:rFonts w:hint="eastAsia"/>
                <w:color w:val="auto"/>
                <w:kern w:val="0"/>
                <w:sz w:val="24"/>
                <w:szCs w:val="24"/>
              </w:rPr>
              <w:t>）</w:t>
            </w:r>
          </w:p>
          <w:p w14:paraId="6744AB00">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如果声源处于半自由声场，则公式（</w:t>
            </w:r>
            <w:r>
              <w:rPr>
                <w:color w:val="auto"/>
                <w:kern w:val="0"/>
                <w:sz w:val="24"/>
                <w:szCs w:val="24"/>
              </w:rPr>
              <w:t>a</w:t>
            </w:r>
            <w:r>
              <w:rPr>
                <w:rFonts w:hint="eastAsia"/>
                <w:color w:val="auto"/>
                <w:kern w:val="0"/>
                <w:sz w:val="24"/>
                <w:szCs w:val="24"/>
              </w:rPr>
              <w:t>）等效为公式（</w:t>
            </w:r>
            <w:r>
              <w:rPr>
                <w:color w:val="auto"/>
                <w:kern w:val="0"/>
                <w:sz w:val="24"/>
                <w:szCs w:val="24"/>
              </w:rPr>
              <w:t>e</w:t>
            </w:r>
            <w:r>
              <w:rPr>
                <w:rFonts w:hint="eastAsia"/>
                <w:color w:val="auto"/>
                <w:kern w:val="0"/>
                <w:sz w:val="24"/>
                <w:szCs w:val="24"/>
              </w:rPr>
              <w:t>）或（</w:t>
            </w:r>
            <w:r>
              <w:rPr>
                <w:color w:val="auto"/>
                <w:kern w:val="0"/>
                <w:sz w:val="24"/>
                <w:szCs w:val="24"/>
              </w:rPr>
              <w:t>f</w:t>
            </w:r>
            <w:r>
              <w:rPr>
                <w:rFonts w:hint="eastAsia"/>
                <w:color w:val="auto"/>
                <w:kern w:val="0"/>
                <w:sz w:val="24"/>
                <w:szCs w:val="24"/>
              </w:rPr>
              <w:t>）：</w:t>
            </w:r>
          </w:p>
          <w:p w14:paraId="1A794146">
            <w:pPr>
              <w:adjustRightInd w:val="0"/>
              <w:snapToGrid w:val="0"/>
              <w:spacing w:line="360" w:lineRule="auto"/>
              <w:ind w:firstLine="420"/>
              <w:jc w:val="center"/>
              <w:textAlignment w:val="baseline"/>
              <w:rPr>
                <w:color w:val="auto"/>
                <w:kern w:val="0"/>
                <w:sz w:val="24"/>
                <w:szCs w:val="24"/>
              </w:rPr>
            </w:pPr>
            <w:r>
              <w:rPr>
                <w:color w:val="auto"/>
                <w:kern w:val="0"/>
                <w:sz w:val="24"/>
                <w:szCs w:val="24"/>
              </w:rPr>
              <w:object>
                <v:shape id="_x0000_i1030" o:spt="75" type="#_x0000_t75" style="height:21.6pt;width:122.45pt;" o:ole="t" filled="f" o:preferrelative="t" stroked="f" coordsize="21600,21600">
                  <v:path/>
                  <v:fill on="f" focussize="0,0"/>
                  <v:stroke on="f"/>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color w:val="auto"/>
                <w:kern w:val="0"/>
                <w:sz w:val="24"/>
                <w:szCs w:val="24"/>
              </w:rPr>
              <w:t xml:space="preserve">                         （</w:t>
            </w:r>
            <w:r>
              <w:rPr>
                <w:color w:val="auto"/>
                <w:kern w:val="0"/>
                <w:sz w:val="24"/>
                <w:szCs w:val="24"/>
              </w:rPr>
              <w:t>e</w:t>
            </w:r>
            <w:r>
              <w:rPr>
                <w:rFonts w:hint="eastAsia"/>
                <w:color w:val="auto"/>
                <w:kern w:val="0"/>
                <w:sz w:val="24"/>
                <w:szCs w:val="24"/>
              </w:rPr>
              <w:t>）</w:t>
            </w:r>
          </w:p>
          <w:p w14:paraId="666290C7">
            <w:pPr>
              <w:adjustRightInd w:val="0"/>
              <w:snapToGrid w:val="0"/>
              <w:spacing w:line="360" w:lineRule="auto"/>
              <w:ind w:firstLine="420"/>
              <w:jc w:val="center"/>
              <w:textAlignment w:val="baseline"/>
              <w:rPr>
                <w:rFonts w:hint="eastAsia"/>
                <w:color w:val="auto"/>
                <w:kern w:val="0"/>
                <w:sz w:val="24"/>
                <w:szCs w:val="24"/>
                <w:lang w:eastAsia="zh-CN"/>
              </w:rPr>
            </w:pPr>
            <w:r>
              <w:rPr>
                <w:color w:val="auto"/>
                <w:kern w:val="0"/>
                <w:sz w:val="24"/>
                <w:szCs w:val="24"/>
              </w:rPr>
              <w:object>
                <v:shape id="_x0000_i1031" o:spt="75" type="#_x0000_t75" style="height:21.6pt;width:129.6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color w:val="auto"/>
                <w:kern w:val="0"/>
                <w:sz w:val="24"/>
                <w:szCs w:val="24"/>
              </w:rPr>
              <w:t xml:space="preserve">                        （</w:t>
            </w:r>
            <w:r>
              <w:rPr>
                <w:color w:val="auto"/>
                <w:kern w:val="0"/>
                <w:sz w:val="24"/>
                <w:szCs w:val="24"/>
              </w:rPr>
              <w:t>f</w:t>
            </w:r>
            <w:r>
              <w:rPr>
                <w:rFonts w:hint="eastAsia"/>
                <w:color w:val="auto"/>
                <w:kern w:val="0"/>
                <w:sz w:val="24"/>
                <w:szCs w:val="24"/>
              </w:rPr>
              <w:t>）</w:t>
            </w:r>
          </w:p>
          <w:p w14:paraId="312F98A5">
            <w:pPr>
              <w:adjustRightInd w:val="0"/>
              <w:snapToGrid w:val="0"/>
              <w:spacing w:line="360" w:lineRule="auto"/>
              <w:ind w:firstLine="420"/>
              <w:textAlignment w:val="baseline"/>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4</w:t>
            </w:r>
            <w:r>
              <w:rPr>
                <w:rFonts w:hint="eastAsia"/>
                <w:color w:val="auto"/>
                <w:kern w:val="0"/>
                <w:sz w:val="24"/>
                <w:szCs w:val="24"/>
                <w:lang w:eastAsia="zh-CN"/>
              </w:rPr>
              <w:t>）</w:t>
            </w:r>
            <w:r>
              <w:rPr>
                <w:rFonts w:hint="eastAsia"/>
                <w:color w:val="auto"/>
                <w:kern w:val="0"/>
                <w:sz w:val="24"/>
                <w:szCs w:val="24"/>
              </w:rPr>
              <w:t>面声源的几何发散衰减</w:t>
            </w:r>
          </w:p>
          <w:p w14:paraId="01E10C33">
            <w:pPr>
              <w:adjustRightInd w:val="0"/>
              <w:snapToGrid w:val="0"/>
              <w:spacing w:line="360" w:lineRule="auto"/>
              <w:ind w:firstLine="420"/>
              <w:textAlignment w:val="baseline"/>
              <w:rPr>
                <w:color w:val="auto"/>
                <w:kern w:val="0"/>
                <w:sz w:val="24"/>
                <w:szCs w:val="24"/>
              </w:rPr>
            </w:pPr>
            <w:r>
              <w:rPr>
                <w:color w:val="auto"/>
                <w:kern w:val="0"/>
                <w:sz w:val="24"/>
                <w:szCs w:val="24"/>
              </w:rPr>
              <w:t>噪声由室内传播到室外时，建筑物墙面相当于一个面声源。面声源衰减规律如下：当预测点和面声源中心距离r处于以下条件时，可按下述方法近似计算：r&lt;a/π时，几乎不衰减</w:t>
            </w:r>
            <w:r>
              <w:rPr>
                <w:rFonts w:hint="eastAsia"/>
                <w:color w:val="auto"/>
                <w:kern w:val="0"/>
                <w:sz w:val="24"/>
                <w:szCs w:val="24"/>
                <w:lang w:eastAsia="zh-CN"/>
              </w:rPr>
              <w:t>（</w:t>
            </w:r>
            <w:r>
              <w:rPr>
                <w:color w:val="auto"/>
                <w:kern w:val="0"/>
                <w:sz w:val="24"/>
                <w:szCs w:val="24"/>
              </w:rPr>
              <w:t>Adiv≈0</w:t>
            </w:r>
            <w:r>
              <w:rPr>
                <w:rFonts w:hint="eastAsia"/>
                <w:color w:val="auto"/>
                <w:kern w:val="0"/>
                <w:sz w:val="24"/>
                <w:szCs w:val="24"/>
                <w:lang w:eastAsia="zh-CN"/>
              </w:rPr>
              <w:t>）</w:t>
            </w:r>
            <w:r>
              <w:rPr>
                <w:color w:val="auto"/>
                <w:kern w:val="0"/>
                <w:sz w:val="24"/>
                <w:szCs w:val="24"/>
              </w:rPr>
              <w:t>；当a/π&lt;r&lt;b/π，距离加倍衰减3dB左右，类似线声源衰减特性</w:t>
            </w:r>
            <w:r>
              <w:rPr>
                <w:rFonts w:hint="eastAsia"/>
                <w:color w:val="auto"/>
                <w:kern w:val="0"/>
                <w:sz w:val="24"/>
                <w:szCs w:val="24"/>
                <w:lang w:eastAsia="zh-CN"/>
              </w:rPr>
              <w:t>（</w:t>
            </w:r>
            <w:r>
              <w:rPr>
                <w:color w:val="auto"/>
                <w:kern w:val="0"/>
                <w:sz w:val="24"/>
                <w:szCs w:val="24"/>
              </w:rPr>
              <w:t>Adiv≈10lg</w:t>
            </w:r>
            <w:r>
              <w:rPr>
                <w:rFonts w:hint="eastAsia"/>
                <w:color w:val="auto"/>
                <w:kern w:val="0"/>
                <w:sz w:val="24"/>
                <w:szCs w:val="24"/>
                <w:lang w:eastAsia="zh-CN"/>
              </w:rPr>
              <w:t>（</w:t>
            </w:r>
            <w:r>
              <w:rPr>
                <w:color w:val="auto"/>
                <w:kern w:val="0"/>
                <w:sz w:val="24"/>
                <w:szCs w:val="24"/>
              </w:rPr>
              <w:t>r/r</w:t>
            </w:r>
            <w:r>
              <w:rPr>
                <w:color w:val="auto"/>
                <w:kern w:val="0"/>
                <w:sz w:val="24"/>
                <w:szCs w:val="24"/>
                <w:vertAlign w:val="subscript"/>
              </w:rPr>
              <w:t>0</w:t>
            </w:r>
            <w:r>
              <w:rPr>
                <w:rFonts w:hint="eastAsia"/>
                <w:color w:val="auto"/>
                <w:kern w:val="0"/>
                <w:sz w:val="24"/>
                <w:szCs w:val="24"/>
                <w:lang w:eastAsia="zh-CN"/>
              </w:rPr>
              <w:t>））</w:t>
            </w:r>
            <w:r>
              <w:rPr>
                <w:color w:val="auto"/>
                <w:kern w:val="0"/>
                <w:sz w:val="24"/>
                <w:szCs w:val="24"/>
              </w:rPr>
              <w:t>；当r&gt;b/π时，距离加倍衰减趋近于6dB，类似点声源衰减特性</w:t>
            </w:r>
            <w:r>
              <w:rPr>
                <w:rFonts w:hint="eastAsia"/>
                <w:color w:val="auto"/>
                <w:kern w:val="0"/>
                <w:sz w:val="24"/>
                <w:szCs w:val="24"/>
                <w:lang w:eastAsia="zh-CN"/>
              </w:rPr>
              <w:t>（</w:t>
            </w:r>
            <w:r>
              <w:rPr>
                <w:color w:val="auto"/>
                <w:kern w:val="0"/>
                <w:sz w:val="24"/>
                <w:szCs w:val="24"/>
              </w:rPr>
              <w:t>Adiv≈20lg</w:t>
            </w:r>
            <w:r>
              <w:rPr>
                <w:rFonts w:hint="eastAsia"/>
                <w:color w:val="auto"/>
                <w:kern w:val="0"/>
                <w:sz w:val="24"/>
                <w:szCs w:val="24"/>
                <w:lang w:eastAsia="zh-CN"/>
              </w:rPr>
              <w:t>（</w:t>
            </w:r>
            <w:r>
              <w:rPr>
                <w:color w:val="auto"/>
                <w:kern w:val="0"/>
                <w:sz w:val="24"/>
                <w:szCs w:val="24"/>
              </w:rPr>
              <w:t>r/r</w:t>
            </w:r>
            <w:r>
              <w:rPr>
                <w:color w:val="auto"/>
                <w:kern w:val="0"/>
                <w:sz w:val="24"/>
                <w:szCs w:val="24"/>
                <w:vertAlign w:val="subscript"/>
              </w:rPr>
              <w:t>0</w:t>
            </w:r>
            <w:r>
              <w:rPr>
                <w:rFonts w:hint="eastAsia"/>
                <w:color w:val="auto"/>
                <w:kern w:val="0"/>
                <w:sz w:val="24"/>
                <w:szCs w:val="24"/>
                <w:lang w:eastAsia="zh-CN"/>
              </w:rPr>
              <w:t>））</w:t>
            </w:r>
            <w:r>
              <w:rPr>
                <w:color w:val="auto"/>
                <w:kern w:val="0"/>
                <w:sz w:val="24"/>
                <w:szCs w:val="24"/>
              </w:rPr>
              <w:t>。其中面声源的b&gt;a。图中虚线为实际衰减量。</w:t>
            </w:r>
          </w:p>
          <w:p w14:paraId="37A6C87B">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3652520" cy="2700020"/>
                  <wp:effectExtent l="0" t="0" r="5080" b="12700"/>
                  <wp:docPr id="4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9"/>
                          <pic:cNvPicPr>
                            <a:picLocks noChangeAspect="1"/>
                          </pic:cNvPicPr>
                        </pic:nvPicPr>
                        <pic:blipFill>
                          <a:blip r:embed="rId30"/>
                          <a:stretch>
                            <a:fillRect/>
                          </a:stretch>
                        </pic:blipFill>
                        <pic:spPr>
                          <a:xfrm>
                            <a:off x="0" y="0"/>
                            <a:ext cx="3652520" cy="2700020"/>
                          </a:xfrm>
                          <a:prstGeom prst="rect">
                            <a:avLst/>
                          </a:prstGeom>
                          <a:noFill/>
                          <a:ln>
                            <a:noFill/>
                          </a:ln>
                        </pic:spPr>
                      </pic:pic>
                    </a:graphicData>
                  </a:graphic>
                </wp:inline>
              </w:drawing>
            </w:r>
          </w:p>
          <w:p w14:paraId="5B1F2510">
            <w:pPr>
              <w:adjustRightInd w:val="0"/>
              <w:snapToGrid w:val="0"/>
              <w:spacing w:line="360" w:lineRule="auto"/>
              <w:ind w:firstLine="420"/>
              <w:jc w:val="center"/>
              <w:textAlignment w:val="baseline"/>
              <w:rPr>
                <w:color w:val="auto"/>
                <w:kern w:val="0"/>
                <w:sz w:val="21"/>
                <w:szCs w:val="21"/>
              </w:rPr>
            </w:pPr>
            <w:r>
              <w:rPr>
                <w:b/>
                <w:bCs/>
                <w:color w:val="auto"/>
                <w:kern w:val="0"/>
                <w:sz w:val="21"/>
                <w:szCs w:val="21"/>
              </w:rPr>
              <w:t>图</w:t>
            </w:r>
            <w:r>
              <w:rPr>
                <w:rFonts w:hint="eastAsia"/>
                <w:b/>
                <w:bCs/>
                <w:color w:val="auto"/>
                <w:kern w:val="0"/>
                <w:sz w:val="21"/>
                <w:szCs w:val="21"/>
                <w:lang w:val="en-US" w:eastAsia="zh-CN"/>
              </w:rPr>
              <w:t>4</w:t>
            </w:r>
            <w:r>
              <w:rPr>
                <w:rFonts w:hint="eastAsia"/>
                <w:b/>
                <w:bCs/>
                <w:color w:val="auto"/>
                <w:kern w:val="0"/>
                <w:sz w:val="21"/>
                <w:szCs w:val="21"/>
                <w:lang w:eastAsia="zh-CN"/>
              </w:rPr>
              <w:t>-</w:t>
            </w:r>
            <w:r>
              <w:rPr>
                <w:rFonts w:hint="eastAsia"/>
                <w:b/>
                <w:bCs/>
                <w:color w:val="auto"/>
                <w:kern w:val="0"/>
                <w:sz w:val="21"/>
                <w:szCs w:val="21"/>
                <w:lang w:val="en-US" w:eastAsia="zh-CN"/>
              </w:rPr>
              <w:t>1</w:t>
            </w:r>
            <w:r>
              <w:rPr>
                <w:b/>
                <w:bCs/>
                <w:color w:val="auto"/>
                <w:kern w:val="0"/>
                <w:sz w:val="21"/>
                <w:szCs w:val="21"/>
              </w:rPr>
              <w:t xml:space="preserve"> 长方形面声源中心轴线上的衰减特性</w:t>
            </w:r>
          </w:p>
          <w:p w14:paraId="345FE74C">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①</w:t>
            </w:r>
            <w:r>
              <w:rPr>
                <w:color w:val="auto"/>
                <w:kern w:val="0"/>
                <w:sz w:val="24"/>
                <w:szCs w:val="24"/>
              </w:rPr>
              <w:t xml:space="preserve"> 当r&lt;a/π时</w:t>
            </w:r>
          </w:p>
          <w:p w14:paraId="12D62610">
            <w:pPr>
              <w:adjustRightInd w:val="0"/>
              <w:snapToGrid w:val="0"/>
              <w:spacing w:line="360" w:lineRule="auto"/>
              <w:ind w:firstLine="420"/>
              <w:textAlignment w:val="baseline"/>
              <w:rPr>
                <w:color w:val="auto"/>
                <w:kern w:val="0"/>
                <w:sz w:val="24"/>
                <w:szCs w:val="24"/>
              </w:rPr>
            </w:pPr>
            <w:r>
              <w:rPr>
                <w:color w:val="auto"/>
                <w:kern w:val="0"/>
                <w:sz w:val="24"/>
                <w:szCs w:val="24"/>
              </w:rPr>
              <w:t>声压级几乎不衰减，r处的声压级按下式计算：</w:t>
            </w:r>
          </w:p>
          <w:p w14:paraId="79C9D43A">
            <w:pPr>
              <w:adjustRightInd w:val="0"/>
              <w:snapToGrid w:val="0"/>
              <w:spacing w:line="360" w:lineRule="auto"/>
              <w:ind w:firstLine="420"/>
              <w:textAlignment w:val="baseline"/>
              <w:rPr>
                <w:rFonts w:hint="eastAsia"/>
                <w:color w:val="auto"/>
                <w:kern w:val="0"/>
                <w:sz w:val="24"/>
                <w:szCs w:val="24"/>
                <w:lang w:eastAsia="zh-CN"/>
              </w:rPr>
            </w:pPr>
            <w:r>
              <w:rPr>
                <w:color w:val="auto"/>
                <w:kern w:val="0"/>
                <w:sz w:val="24"/>
                <w:szCs w:val="24"/>
              </w:rPr>
              <w:t>LA</w:t>
            </w:r>
            <w:r>
              <w:rPr>
                <w:rFonts w:hint="eastAsia"/>
                <w:color w:val="auto"/>
                <w:kern w:val="0"/>
                <w:sz w:val="24"/>
                <w:szCs w:val="24"/>
                <w:lang w:eastAsia="zh-CN"/>
              </w:rPr>
              <w:t>（</w:t>
            </w:r>
            <w:r>
              <w:rPr>
                <w:color w:val="auto"/>
                <w:kern w:val="0"/>
                <w:sz w:val="24"/>
                <w:szCs w:val="24"/>
              </w:rPr>
              <w:t>r</w:t>
            </w:r>
            <w:r>
              <w:rPr>
                <w:rFonts w:hint="eastAsia"/>
                <w:color w:val="auto"/>
                <w:kern w:val="0"/>
                <w:sz w:val="24"/>
                <w:szCs w:val="24"/>
                <w:lang w:eastAsia="zh-CN"/>
              </w:rPr>
              <w:t>）</w:t>
            </w:r>
            <w:r>
              <w:rPr>
                <w:color w:val="auto"/>
                <w:kern w:val="0"/>
                <w:sz w:val="24"/>
                <w:szCs w:val="24"/>
              </w:rPr>
              <w:t>= LA</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p>
          <w:p w14:paraId="03BB3995">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②</w:t>
            </w:r>
            <w:r>
              <w:rPr>
                <w:color w:val="auto"/>
                <w:kern w:val="0"/>
                <w:sz w:val="24"/>
                <w:szCs w:val="24"/>
              </w:rPr>
              <w:t xml:space="preserve"> 当a/π&lt;r&lt;b/π时</w:t>
            </w:r>
          </w:p>
          <w:p w14:paraId="5A0A66A7">
            <w:pPr>
              <w:adjustRightInd w:val="0"/>
              <w:snapToGrid w:val="0"/>
              <w:spacing w:line="360" w:lineRule="auto"/>
              <w:ind w:firstLine="420"/>
              <w:textAlignment w:val="baseline"/>
              <w:rPr>
                <w:color w:val="auto"/>
                <w:kern w:val="0"/>
                <w:sz w:val="24"/>
                <w:szCs w:val="24"/>
              </w:rPr>
            </w:pPr>
            <w:r>
              <w:rPr>
                <w:color w:val="auto"/>
                <w:kern w:val="0"/>
                <w:sz w:val="24"/>
                <w:szCs w:val="24"/>
              </w:rPr>
              <w:t>声压级随着距离加倍衰减3dB左右，类似线声源衰减特性，r处的声压级按下式计算：</w:t>
            </w:r>
          </w:p>
          <w:p w14:paraId="3F6F43C1">
            <w:pPr>
              <w:adjustRightInd w:val="0"/>
              <w:snapToGrid w:val="0"/>
              <w:spacing w:line="360" w:lineRule="auto"/>
              <w:ind w:firstLine="420"/>
              <w:jc w:val="center"/>
              <w:textAlignment w:val="baseline"/>
              <w:rPr>
                <w:rFonts w:hint="eastAsia"/>
                <w:color w:val="auto"/>
                <w:kern w:val="0"/>
                <w:sz w:val="24"/>
                <w:szCs w:val="24"/>
                <w:lang w:eastAsia="zh-CN"/>
              </w:rPr>
            </w:pPr>
            <w:r>
              <w:rPr>
                <w:color w:val="auto"/>
                <w:kern w:val="0"/>
                <w:sz w:val="24"/>
                <w:szCs w:val="24"/>
              </w:rPr>
              <w:t>LA</w:t>
            </w:r>
            <w:r>
              <w:rPr>
                <w:rFonts w:hint="eastAsia"/>
                <w:color w:val="auto"/>
                <w:kern w:val="0"/>
                <w:sz w:val="24"/>
                <w:szCs w:val="24"/>
                <w:lang w:eastAsia="zh-CN"/>
              </w:rPr>
              <w:t>（</w:t>
            </w:r>
            <w:r>
              <w:rPr>
                <w:color w:val="auto"/>
                <w:kern w:val="0"/>
                <w:sz w:val="24"/>
                <w:szCs w:val="24"/>
              </w:rPr>
              <w:t>r</w:t>
            </w:r>
            <w:r>
              <w:rPr>
                <w:rFonts w:hint="eastAsia"/>
                <w:color w:val="auto"/>
                <w:kern w:val="0"/>
                <w:sz w:val="24"/>
                <w:szCs w:val="24"/>
                <w:lang w:eastAsia="zh-CN"/>
              </w:rPr>
              <w:t>）</w:t>
            </w:r>
            <w:r>
              <w:rPr>
                <w:color w:val="auto"/>
                <w:kern w:val="0"/>
                <w:sz w:val="24"/>
                <w:szCs w:val="24"/>
              </w:rPr>
              <w:t>= LA</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r>
              <w:rPr>
                <w:color w:val="auto"/>
                <w:kern w:val="0"/>
                <w:sz w:val="24"/>
                <w:szCs w:val="24"/>
              </w:rPr>
              <w:t>-10lg</w:t>
            </w:r>
            <w:r>
              <w:rPr>
                <w:rFonts w:hint="eastAsia"/>
                <w:color w:val="auto"/>
                <w:kern w:val="0"/>
                <w:sz w:val="24"/>
                <w:szCs w:val="24"/>
                <w:lang w:eastAsia="zh-CN"/>
              </w:rPr>
              <w:t>（（</w:t>
            </w:r>
            <w:r>
              <w:rPr>
                <w:color w:val="auto"/>
                <w:kern w:val="0"/>
                <w:sz w:val="24"/>
                <w:szCs w:val="24"/>
              </w:rPr>
              <w:t>r-a/π</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p>
          <w:p w14:paraId="3798C3E5">
            <w:pPr>
              <w:adjustRightInd w:val="0"/>
              <w:snapToGrid w:val="0"/>
              <w:spacing w:line="360" w:lineRule="auto"/>
              <w:ind w:firstLine="420"/>
              <w:textAlignment w:val="baseline"/>
              <w:rPr>
                <w:color w:val="auto"/>
                <w:kern w:val="0"/>
                <w:sz w:val="24"/>
                <w:szCs w:val="24"/>
              </w:rPr>
            </w:pPr>
            <w:r>
              <w:rPr>
                <w:rFonts w:hint="eastAsia"/>
                <w:color w:val="auto"/>
                <w:kern w:val="0"/>
                <w:sz w:val="24"/>
                <w:szCs w:val="24"/>
              </w:rPr>
              <w:t>③</w:t>
            </w:r>
            <w:r>
              <w:rPr>
                <w:color w:val="auto"/>
                <w:kern w:val="0"/>
                <w:sz w:val="24"/>
                <w:szCs w:val="24"/>
              </w:rPr>
              <w:t>当r&gt;b/π时</w:t>
            </w:r>
          </w:p>
          <w:p w14:paraId="74572C7A">
            <w:pPr>
              <w:adjustRightInd w:val="0"/>
              <w:snapToGrid w:val="0"/>
              <w:spacing w:line="360" w:lineRule="auto"/>
              <w:ind w:firstLine="420"/>
              <w:textAlignment w:val="baseline"/>
              <w:rPr>
                <w:color w:val="auto"/>
                <w:kern w:val="0"/>
                <w:sz w:val="24"/>
                <w:szCs w:val="24"/>
              </w:rPr>
            </w:pPr>
            <w:r>
              <w:rPr>
                <w:color w:val="auto"/>
                <w:kern w:val="0"/>
                <w:sz w:val="24"/>
                <w:szCs w:val="24"/>
              </w:rPr>
              <w:t>声压级随着距离加倍衰减趋近于6dB，类似点声源衰减特性，r处的声压级按下式计算：</w:t>
            </w:r>
          </w:p>
          <w:p w14:paraId="33AFD233">
            <w:pPr>
              <w:adjustRightInd w:val="0"/>
              <w:snapToGrid w:val="0"/>
              <w:spacing w:line="360" w:lineRule="auto"/>
              <w:ind w:firstLine="420"/>
              <w:jc w:val="center"/>
              <w:textAlignment w:val="baseline"/>
              <w:rPr>
                <w:rFonts w:hint="eastAsia"/>
                <w:color w:val="auto"/>
                <w:kern w:val="0"/>
                <w:sz w:val="24"/>
                <w:szCs w:val="24"/>
                <w:lang w:eastAsia="zh-CN"/>
              </w:rPr>
            </w:pPr>
            <w:r>
              <w:rPr>
                <w:color w:val="auto"/>
                <w:kern w:val="0"/>
                <w:sz w:val="24"/>
                <w:szCs w:val="24"/>
              </w:rPr>
              <w:t>LA</w:t>
            </w:r>
            <w:r>
              <w:rPr>
                <w:rFonts w:hint="eastAsia"/>
                <w:color w:val="auto"/>
                <w:kern w:val="0"/>
                <w:sz w:val="24"/>
                <w:szCs w:val="24"/>
                <w:lang w:eastAsia="zh-CN"/>
              </w:rPr>
              <w:t>（</w:t>
            </w:r>
            <w:r>
              <w:rPr>
                <w:color w:val="auto"/>
                <w:kern w:val="0"/>
                <w:sz w:val="24"/>
                <w:szCs w:val="24"/>
              </w:rPr>
              <w:t>r</w:t>
            </w:r>
            <w:r>
              <w:rPr>
                <w:rFonts w:hint="eastAsia"/>
                <w:color w:val="auto"/>
                <w:kern w:val="0"/>
                <w:sz w:val="24"/>
                <w:szCs w:val="24"/>
                <w:lang w:eastAsia="zh-CN"/>
              </w:rPr>
              <w:t>）</w:t>
            </w:r>
            <w:r>
              <w:rPr>
                <w:color w:val="auto"/>
                <w:kern w:val="0"/>
                <w:sz w:val="24"/>
                <w:szCs w:val="24"/>
              </w:rPr>
              <w:t>= LA</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r>
              <w:rPr>
                <w:color w:val="auto"/>
                <w:kern w:val="0"/>
                <w:sz w:val="24"/>
                <w:szCs w:val="24"/>
              </w:rPr>
              <w:t>-20lg</w:t>
            </w:r>
            <w:r>
              <w:rPr>
                <w:rFonts w:hint="eastAsia"/>
                <w:color w:val="auto"/>
                <w:kern w:val="0"/>
                <w:sz w:val="24"/>
                <w:szCs w:val="24"/>
                <w:lang w:eastAsia="zh-CN"/>
              </w:rPr>
              <w:t>（（</w:t>
            </w:r>
            <w:r>
              <w:rPr>
                <w:color w:val="auto"/>
                <w:kern w:val="0"/>
                <w:sz w:val="24"/>
                <w:szCs w:val="24"/>
              </w:rPr>
              <w:t>r-b/π</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p>
          <w:p w14:paraId="7C7520E7">
            <w:pPr>
              <w:adjustRightInd w:val="0"/>
              <w:snapToGrid w:val="0"/>
              <w:spacing w:line="360" w:lineRule="auto"/>
              <w:ind w:firstLine="420"/>
              <w:textAlignment w:val="baseline"/>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5</w:t>
            </w:r>
            <w:r>
              <w:rPr>
                <w:rFonts w:hint="eastAsia"/>
                <w:color w:val="auto"/>
                <w:kern w:val="0"/>
                <w:sz w:val="24"/>
                <w:szCs w:val="24"/>
                <w:lang w:eastAsia="zh-CN"/>
              </w:rPr>
              <w:t>）</w:t>
            </w:r>
            <w:r>
              <w:rPr>
                <w:color w:val="auto"/>
                <w:kern w:val="0"/>
                <w:sz w:val="24"/>
                <w:szCs w:val="24"/>
              </w:rPr>
              <w:t>室外声源预测模式</w:t>
            </w:r>
          </w:p>
          <w:p w14:paraId="3E118784">
            <w:pPr>
              <w:adjustRightInd w:val="0"/>
              <w:snapToGrid w:val="0"/>
              <w:spacing w:line="360" w:lineRule="auto"/>
              <w:ind w:firstLine="420"/>
              <w:textAlignment w:val="baseline"/>
              <w:rPr>
                <w:color w:val="auto"/>
                <w:kern w:val="0"/>
                <w:sz w:val="24"/>
                <w:szCs w:val="24"/>
              </w:rPr>
            </w:pPr>
            <w:r>
              <w:rPr>
                <w:color w:val="auto"/>
                <w:kern w:val="0"/>
                <w:sz w:val="24"/>
                <w:szCs w:val="24"/>
              </w:rPr>
              <w:t>户外传播声级衰减计算模式按下面公式进行计算。</w:t>
            </w:r>
          </w:p>
          <w:p w14:paraId="74F21FD5">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1647825" cy="228600"/>
                  <wp:effectExtent l="0" t="0" r="0" b="0"/>
                  <wp:docPr id="4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30"/>
                          <pic:cNvPicPr>
                            <a:picLocks noChangeAspect="1"/>
                          </pic:cNvPicPr>
                        </pic:nvPicPr>
                        <pic:blipFill>
                          <a:blip r:embed="rId31"/>
                          <a:stretch>
                            <a:fillRect/>
                          </a:stretch>
                        </pic:blipFill>
                        <pic:spPr>
                          <a:xfrm>
                            <a:off x="0" y="0"/>
                            <a:ext cx="1647825" cy="228600"/>
                          </a:xfrm>
                          <a:prstGeom prst="rect">
                            <a:avLst/>
                          </a:prstGeom>
                          <a:noFill/>
                          <a:ln>
                            <a:noFill/>
                          </a:ln>
                        </pic:spPr>
                      </pic:pic>
                    </a:graphicData>
                  </a:graphic>
                </wp:inline>
              </w:drawing>
            </w:r>
          </w:p>
          <w:p w14:paraId="1070A5B0">
            <w:pPr>
              <w:adjustRightInd w:val="0"/>
              <w:snapToGrid w:val="0"/>
              <w:spacing w:line="360" w:lineRule="auto"/>
              <w:ind w:firstLine="420"/>
              <w:textAlignment w:val="baseline"/>
              <w:rPr>
                <w:color w:val="auto"/>
                <w:kern w:val="0"/>
                <w:sz w:val="24"/>
                <w:szCs w:val="24"/>
              </w:rPr>
            </w:pPr>
            <w:r>
              <w:rPr>
                <w:color w:val="auto"/>
                <w:kern w:val="0"/>
                <w:sz w:val="24"/>
                <w:szCs w:val="24"/>
              </w:rPr>
              <w:t>式中：LA</w:t>
            </w:r>
            <w:r>
              <w:rPr>
                <w:rFonts w:hint="eastAsia"/>
                <w:color w:val="auto"/>
                <w:kern w:val="0"/>
                <w:sz w:val="24"/>
                <w:szCs w:val="24"/>
                <w:lang w:eastAsia="zh-CN"/>
              </w:rPr>
              <w:t>（</w:t>
            </w:r>
            <w:r>
              <w:rPr>
                <w:color w:val="auto"/>
                <w:kern w:val="0"/>
                <w:sz w:val="24"/>
                <w:szCs w:val="24"/>
              </w:rPr>
              <w:t>r</w:t>
            </w:r>
            <w:r>
              <w:rPr>
                <w:color w:val="auto"/>
                <w:kern w:val="0"/>
                <w:sz w:val="24"/>
                <w:szCs w:val="24"/>
                <w:vertAlign w:val="subscript"/>
              </w:rPr>
              <w:t>0</w:t>
            </w:r>
            <w:r>
              <w:rPr>
                <w:rFonts w:hint="eastAsia"/>
                <w:color w:val="auto"/>
                <w:kern w:val="0"/>
                <w:sz w:val="24"/>
                <w:szCs w:val="24"/>
                <w:lang w:eastAsia="zh-CN"/>
              </w:rPr>
              <w:t>）</w:t>
            </w:r>
            <w:r>
              <w:rPr>
                <w:color w:val="auto"/>
                <w:kern w:val="0"/>
                <w:sz w:val="24"/>
                <w:szCs w:val="24"/>
              </w:rPr>
              <w:t>——参考点A声压级；</w:t>
            </w:r>
          </w:p>
          <w:p w14:paraId="5E1AD64F">
            <w:pPr>
              <w:adjustRightInd w:val="0"/>
              <w:snapToGrid w:val="0"/>
              <w:spacing w:line="360" w:lineRule="auto"/>
              <w:ind w:firstLine="420"/>
              <w:textAlignment w:val="baseline"/>
              <w:rPr>
                <w:color w:val="auto"/>
                <w:kern w:val="0"/>
                <w:sz w:val="24"/>
                <w:szCs w:val="24"/>
              </w:rPr>
            </w:pPr>
            <w:r>
              <w:rPr>
                <w:color w:val="auto"/>
                <w:kern w:val="0"/>
                <w:sz w:val="24"/>
                <w:szCs w:val="24"/>
              </w:rPr>
              <w:t>r——预测点距离，m；</w:t>
            </w:r>
          </w:p>
          <w:p w14:paraId="1E940328">
            <w:pPr>
              <w:adjustRightInd w:val="0"/>
              <w:snapToGrid w:val="0"/>
              <w:spacing w:line="360" w:lineRule="auto"/>
              <w:ind w:firstLine="420"/>
              <w:textAlignment w:val="baseline"/>
              <w:rPr>
                <w:rFonts w:hint="eastAsia"/>
                <w:color w:val="auto"/>
                <w:kern w:val="0"/>
                <w:sz w:val="24"/>
                <w:szCs w:val="24"/>
                <w:lang w:eastAsia="zh-CN"/>
              </w:rPr>
            </w:pPr>
            <w:r>
              <w:rPr>
                <w:color w:val="auto"/>
                <w:kern w:val="0"/>
                <w:sz w:val="24"/>
                <w:szCs w:val="24"/>
              </w:rPr>
              <w:t>r</w:t>
            </w:r>
            <w:r>
              <w:rPr>
                <w:color w:val="auto"/>
                <w:kern w:val="0"/>
                <w:sz w:val="24"/>
                <w:szCs w:val="24"/>
                <w:vertAlign w:val="subscript"/>
              </w:rPr>
              <w:t>0</w:t>
            </w:r>
            <w:r>
              <w:rPr>
                <w:color w:val="auto"/>
                <w:kern w:val="0"/>
                <w:sz w:val="24"/>
                <w:szCs w:val="24"/>
              </w:rPr>
              <w:t>——参考点距离，m；</w:t>
            </w:r>
          </w:p>
          <w:p w14:paraId="6994AFD8">
            <w:pPr>
              <w:adjustRightInd w:val="0"/>
              <w:snapToGrid w:val="0"/>
              <w:spacing w:line="360" w:lineRule="auto"/>
              <w:ind w:firstLine="420"/>
              <w:textAlignment w:val="baseline"/>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6</w:t>
            </w:r>
            <w:r>
              <w:rPr>
                <w:rFonts w:hint="eastAsia"/>
                <w:color w:val="auto"/>
                <w:kern w:val="0"/>
                <w:sz w:val="24"/>
                <w:szCs w:val="24"/>
                <w:lang w:eastAsia="zh-CN"/>
              </w:rPr>
              <w:t>）</w:t>
            </w:r>
            <w:r>
              <w:rPr>
                <w:color w:val="auto"/>
                <w:kern w:val="0"/>
                <w:sz w:val="24"/>
                <w:szCs w:val="24"/>
              </w:rPr>
              <w:t>预测点的等效声级贡献值</w:t>
            </w:r>
          </w:p>
          <w:p w14:paraId="72F5568B">
            <w:pPr>
              <w:adjustRightInd w:val="0"/>
              <w:snapToGrid w:val="0"/>
              <w:spacing w:line="360" w:lineRule="auto"/>
              <w:ind w:firstLine="420"/>
              <w:textAlignment w:val="baseline"/>
              <w:rPr>
                <w:color w:val="auto"/>
                <w:kern w:val="0"/>
                <w:sz w:val="24"/>
                <w:szCs w:val="24"/>
              </w:rPr>
            </w:pPr>
            <w:r>
              <w:rPr>
                <w:color w:val="auto"/>
                <w:kern w:val="0"/>
                <w:sz w:val="24"/>
                <w:szCs w:val="24"/>
              </w:rPr>
              <w:t>第i个室外声源在预测点产生的A声级为L</w:t>
            </w:r>
            <w:r>
              <w:rPr>
                <w:color w:val="auto"/>
                <w:kern w:val="0"/>
                <w:sz w:val="24"/>
                <w:szCs w:val="24"/>
                <w:vertAlign w:val="subscript"/>
              </w:rPr>
              <w:t>Ai</w:t>
            </w:r>
            <w:r>
              <w:rPr>
                <w:color w:val="auto"/>
                <w:kern w:val="0"/>
                <w:sz w:val="24"/>
                <w:szCs w:val="24"/>
              </w:rPr>
              <w:t>，在T时间内该声源工作时间为ti；第j个等效室外声源在预测点产生的 A声级为L</w:t>
            </w:r>
            <w:r>
              <w:rPr>
                <w:color w:val="auto"/>
                <w:kern w:val="0"/>
                <w:sz w:val="24"/>
                <w:szCs w:val="24"/>
                <w:vertAlign w:val="subscript"/>
              </w:rPr>
              <w:t>Aj</w:t>
            </w:r>
            <w:r>
              <w:rPr>
                <w:color w:val="auto"/>
                <w:kern w:val="0"/>
                <w:sz w:val="24"/>
                <w:szCs w:val="24"/>
              </w:rPr>
              <w:t>，拟建工程声源对预测点产生的贡献值</w:t>
            </w:r>
            <w:r>
              <w:rPr>
                <w:rFonts w:hint="eastAsia"/>
                <w:color w:val="auto"/>
                <w:kern w:val="0"/>
                <w:sz w:val="24"/>
                <w:szCs w:val="24"/>
                <w:lang w:eastAsia="zh-CN"/>
              </w:rPr>
              <w:t>（</w:t>
            </w:r>
            <w:r>
              <w:rPr>
                <w:color w:val="auto"/>
                <w:kern w:val="0"/>
                <w:sz w:val="24"/>
                <w:szCs w:val="24"/>
              </w:rPr>
              <w:t>L</w:t>
            </w:r>
            <w:r>
              <w:rPr>
                <w:color w:val="auto"/>
                <w:kern w:val="0"/>
                <w:sz w:val="24"/>
                <w:szCs w:val="24"/>
                <w:vertAlign w:val="subscript"/>
              </w:rPr>
              <w:t>eqg</w:t>
            </w:r>
            <w:r>
              <w:rPr>
                <w:rFonts w:hint="eastAsia"/>
                <w:color w:val="auto"/>
                <w:kern w:val="0"/>
                <w:sz w:val="24"/>
                <w:szCs w:val="24"/>
                <w:lang w:eastAsia="zh-CN"/>
              </w:rPr>
              <w:t>）</w:t>
            </w:r>
            <w:r>
              <w:rPr>
                <w:color w:val="auto"/>
                <w:kern w:val="0"/>
                <w:sz w:val="24"/>
                <w:szCs w:val="24"/>
              </w:rPr>
              <w:t>为：</w:t>
            </w:r>
          </w:p>
          <w:p w14:paraId="4977700D">
            <w:pPr>
              <w:adjustRightInd w:val="0"/>
              <w:snapToGrid w:val="0"/>
              <w:spacing w:line="360" w:lineRule="auto"/>
              <w:ind w:firstLine="420"/>
              <w:jc w:val="center"/>
              <w:textAlignment w:val="baseline"/>
              <w:rPr>
                <w:color w:val="auto"/>
                <w:kern w:val="0"/>
                <w:sz w:val="24"/>
                <w:szCs w:val="24"/>
              </w:rPr>
            </w:pPr>
            <w:r>
              <w:rPr>
                <w:color w:val="auto"/>
                <w:kern w:val="0"/>
                <w:sz w:val="24"/>
                <w:szCs w:val="24"/>
              </w:rPr>
              <w:drawing>
                <wp:inline distT="0" distB="0" distL="114300" distR="114300">
                  <wp:extent cx="2781300" cy="542925"/>
                  <wp:effectExtent l="0" t="0" r="7620" b="5715"/>
                  <wp:docPr id="4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31"/>
                          <pic:cNvPicPr>
                            <a:picLocks noChangeAspect="1"/>
                          </pic:cNvPicPr>
                        </pic:nvPicPr>
                        <pic:blipFill>
                          <a:blip r:embed="rId32"/>
                          <a:stretch>
                            <a:fillRect/>
                          </a:stretch>
                        </pic:blipFill>
                        <pic:spPr>
                          <a:xfrm>
                            <a:off x="0" y="0"/>
                            <a:ext cx="2781300" cy="542925"/>
                          </a:xfrm>
                          <a:prstGeom prst="rect">
                            <a:avLst/>
                          </a:prstGeom>
                          <a:noFill/>
                          <a:ln>
                            <a:noFill/>
                          </a:ln>
                        </pic:spPr>
                      </pic:pic>
                    </a:graphicData>
                  </a:graphic>
                </wp:inline>
              </w:drawing>
            </w:r>
          </w:p>
          <w:p w14:paraId="2434D252">
            <w:pPr>
              <w:adjustRightInd w:val="0"/>
              <w:snapToGrid w:val="0"/>
              <w:spacing w:line="360" w:lineRule="auto"/>
              <w:ind w:firstLine="420"/>
              <w:textAlignment w:val="baseline"/>
              <w:rPr>
                <w:color w:val="auto"/>
                <w:kern w:val="0"/>
                <w:sz w:val="24"/>
                <w:szCs w:val="24"/>
              </w:rPr>
            </w:pPr>
            <w:r>
              <w:rPr>
                <w:color w:val="auto"/>
                <w:kern w:val="0"/>
                <w:sz w:val="24"/>
                <w:szCs w:val="24"/>
              </w:rPr>
              <w:t>式中：L</w:t>
            </w:r>
            <w:r>
              <w:rPr>
                <w:color w:val="auto"/>
                <w:kern w:val="0"/>
                <w:sz w:val="24"/>
                <w:szCs w:val="24"/>
                <w:vertAlign w:val="subscript"/>
              </w:rPr>
              <w:t>eqg</w:t>
            </w:r>
            <w:r>
              <w:rPr>
                <w:color w:val="auto"/>
                <w:kern w:val="0"/>
                <w:sz w:val="24"/>
                <w:szCs w:val="24"/>
              </w:rPr>
              <w:t xml:space="preserve"> ——建设项目声源在预测点的等效声级贡献值，dB</w:t>
            </w:r>
            <w:r>
              <w:rPr>
                <w:rFonts w:hint="eastAsia"/>
                <w:color w:val="auto"/>
                <w:kern w:val="0"/>
                <w:sz w:val="24"/>
                <w:szCs w:val="24"/>
                <w:lang w:eastAsia="zh-CN"/>
              </w:rPr>
              <w:t>（</w:t>
            </w:r>
            <w:r>
              <w:rPr>
                <w:color w:val="auto"/>
                <w:kern w:val="0"/>
                <w:sz w:val="24"/>
                <w:szCs w:val="24"/>
              </w:rPr>
              <w:t>A</w:t>
            </w:r>
            <w:r>
              <w:rPr>
                <w:rFonts w:hint="eastAsia"/>
                <w:color w:val="auto"/>
                <w:kern w:val="0"/>
                <w:sz w:val="24"/>
                <w:szCs w:val="24"/>
                <w:lang w:eastAsia="zh-CN"/>
              </w:rPr>
              <w:t>）</w:t>
            </w:r>
            <w:r>
              <w:rPr>
                <w:color w:val="auto"/>
                <w:kern w:val="0"/>
                <w:sz w:val="24"/>
                <w:szCs w:val="24"/>
              </w:rPr>
              <w:t>；</w:t>
            </w:r>
          </w:p>
          <w:p w14:paraId="04B17F0B">
            <w:pPr>
              <w:adjustRightInd w:val="0"/>
              <w:snapToGrid w:val="0"/>
              <w:spacing w:line="360" w:lineRule="auto"/>
              <w:ind w:firstLine="420"/>
              <w:textAlignment w:val="baseline"/>
              <w:rPr>
                <w:color w:val="auto"/>
                <w:kern w:val="0"/>
                <w:sz w:val="24"/>
                <w:szCs w:val="24"/>
              </w:rPr>
            </w:pPr>
            <w:r>
              <w:rPr>
                <w:color w:val="auto"/>
                <w:kern w:val="0"/>
                <w:sz w:val="24"/>
                <w:szCs w:val="24"/>
              </w:rPr>
              <w:t>L</w:t>
            </w:r>
            <w:r>
              <w:rPr>
                <w:color w:val="auto"/>
                <w:kern w:val="0"/>
                <w:sz w:val="24"/>
                <w:szCs w:val="24"/>
                <w:vertAlign w:val="subscript"/>
              </w:rPr>
              <w:t>Ai</w:t>
            </w:r>
            <w:r>
              <w:rPr>
                <w:color w:val="auto"/>
                <w:kern w:val="0"/>
                <w:sz w:val="24"/>
                <w:szCs w:val="24"/>
              </w:rPr>
              <w:t xml:space="preserve"> ——i声源在预测点产生的A声级，dB</w:t>
            </w:r>
            <w:r>
              <w:rPr>
                <w:rFonts w:hint="eastAsia"/>
                <w:color w:val="auto"/>
                <w:kern w:val="0"/>
                <w:sz w:val="24"/>
                <w:szCs w:val="24"/>
                <w:lang w:eastAsia="zh-CN"/>
              </w:rPr>
              <w:t>（</w:t>
            </w:r>
            <w:r>
              <w:rPr>
                <w:color w:val="auto"/>
                <w:kern w:val="0"/>
                <w:sz w:val="24"/>
                <w:szCs w:val="24"/>
              </w:rPr>
              <w:t>A</w:t>
            </w:r>
            <w:r>
              <w:rPr>
                <w:rFonts w:hint="eastAsia"/>
                <w:color w:val="auto"/>
                <w:kern w:val="0"/>
                <w:sz w:val="24"/>
                <w:szCs w:val="24"/>
                <w:lang w:eastAsia="zh-CN"/>
              </w:rPr>
              <w:t>）</w:t>
            </w:r>
            <w:r>
              <w:rPr>
                <w:color w:val="auto"/>
                <w:kern w:val="0"/>
                <w:sz w:val="24"/>
                <w:szCs w:val="24"/>
              </w:rPr>
              <w:t>；</w:t>
            </w:r>
          </w:p>
          <w:p w14:paraId="39FC92DC">
            <w:pPr>
              <w:adjustRightInd w:val="0"/>
              <w:snapToGrid w:val="0"/>
              <w:spacing w:line="360" w:lineRule="auto"/>
              <w:ind w:firstLine="420"/>
              <w:textAlignment w:val="baseline"/>
              <w:rPr>
                <w:color w:val="auto"/>
                <w:kern w:val="0"/>
                <w:sz w:val="24"/>
                <w:szCs w:val="24"/>
              </w:rPr>
            </w:pPr>
            <w:r>
              <w:rPr>
                <w:color w:val="auto"/>
                <w:kern w:val="0"/>
                <w:sz w:val="24"/>
                <w:szCs w:val="24"/>
              </w:rPr>
              <w:t>ti——i声源在T时间段内的运行时间，s；</w:t>
            </w:r>
          </w:p>
          <w:p w14:paraId="1292E854">
            <w:pPr>
              <w:adjustRightInd w:val="0"/>
              <w:snapToGrid w:val="0"/>
              <w:spacing w:line="360" w:lineRule="auto"/>
              <w:ind w:firstLine="420"/>
              <w:textAlignment w:val="baseline"/>
              <w:rPr>
                <w:color w:val="auto"/>
                <w:kern w:val="0"/>
                <w:sz w:val="24"/>
                <w:szCs w:val="24"/>
              </w:rPr>
            </w:pPr>
            <w:r>
              <w:rPr>
                <w:color w:val="auto"/>
                <w:kern w:val="0"/>
                <w:sz w:val="24"/>
                <w:szCs w:val="24"/>
              </w:rPr>
              <w:t xml:space="preserve">tj ——j声源在T时间段内的运行时间，s； </w:t>
            </w:r>
          </w:p>
          <w:p w14:paraId="5E0F0C90">
            <w:pPr>
              <w:adjustRightInd w:val="0"/>
              <w:snapToGrid w:val="0"/>
              <w:spacing w:line="360" w:lineRule="auto"/>
              <w:ind w:firstLine="420"/>
              <w:textAlignment w:val="baseline"/>
              <w:rPr>
                <w:color w:val="auto"/>
                <w:kern w:val="0"/>
                <w:sz w:val="24"/>
                <w:szCs w:val="24"/>
              </w:rPr>
            </w:pPr>
            <w:r>
              <w:rPr>
                <w:color w:val="auto"/>
                <w:kern w:val="0"/>
                <w:sz w:val="24"/>
                <w:szCs w:val="24"/>
              </w:rPr>
              <w:t xml:space="preserve">T ——用于计算等效声级的时间，s； </w:t>
            </w:r>
          </w:p>
          <w:p w14:paraId="72B71DB9">
            <w:pPr>
              <w:adjustRightInd w:val="0"/>
              <w:snapToGrid w:val="0"/>
              <w:spacing w:line="360" w:lineRule="auto"/>
              <w:ind w:firstLine="420"/>
              <w:textAlignment w:val="baseline"/>
              <w:rPr>
                <w:color w:val="auto"/>
                <w:kern w:val="0"/>
                <w:sz w:val="24"/>
                <w:szCs w:val="24"/>
              </w:rPr>
            </w:pPr>
            <w:r>
              <w:rPr>
                <w:color w:val="auto"/>
                <w:kern w:val="0"/>
                <w:sz w:val="24"/>
                <w:szCs w:val="24"/>
              </w:rPr>
              <w:t xml:space="preserve">N ——室外声源个数； </w:t>
            </w:r>
          </w:p>
          <w:p w14:paraId="13D614E5">
            <w:pPr>
              <w:pStyle w:val="257"/>
              <w:keepNext w:val="0"/>
              <w:keepLines w:val="0"/>
              <w:suppressLineNumbers w:val="0"/>
              <w:bidi w:val="0"/>
              <w:spacing w:before="0" w:beforeAutospacing="0" w:after="0" w:afterAutospacing="0" w:line="360" w:lineRule="auto"/>
              <w:ind w:left="0" w:right="0"/>
              <w:rPr>
                <w:rFonts w:hint="default"/>
                <w:color w:val="auto"/>
                <w:sz w:val="24"/>
                <w:szCs w:val="24"/>
                <w:highlight w:val="none"/>
              </w:rPr>
            </w:pPr>
            <w:r>
              <w:rPr>
                <w:color w:val="auto"/>
                <w:kern w:val="0"/>
                <w:sz w:val="24"/>
                <w:szCs w:val="24"/>
              </w:rPr>
              <w:t>M ——等效室外声源个数。</w:t>
            </w:r>
          </w:p>
          <w:p w14:paraId="2D45C008">
            <w:pPr>
              <w:spacing w:line="360" w:lineRule="auto"/>
              <w:ind w:firstLine="480" w:firstLineChars="200"/>
              <w:rPr>
                <w:color w:val="auto"/>
                <w:sz w:val="24"/>
                <w:szCs w:val="24"/>
              </w:rPr>
            </w:pPr>
            <w:r>
              <w:rPr>
                <w:rFonts w:hint="eastAsia"/>
                <w:color w:val="auto"/>
                <w:sz w:val="24"/>
                <w:szCs w:val="24"/>
              </w:rPr>
              <w:t>建设项目各厂界噪声预测结果详见表4-</w:t>
            </w:r>
            <w:r>
              <w:rPr>
                <w:rFonts w:hint="eastAsia"/>
                <w:color w:val="auto"/>
                <w:sz w:val="24"/>
                <w:szCs w:val="24"/>
                <w:lang w:val="en-US" w:eastAsia="zh-CN"/>
              </w:rPr>
              <w:t>8</w:t>
            </w:r>
            <w:r>
              <w:rPr>
                <w:rFonts w:hint="eastAsia"/>
                <w:color w:val="auto"/>
                <w:sz w:val="24"/>
                <w:szCs w:val="24"/>
              </w:rPr>
              <w:t>。</w:t>
            </w:r>
          </w:p>
          <w:p w14:paraId="5F6A734E">
            <w:pPr>
              <w:pStyle w:val="25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default" w:ascii="Times New Roman" w:hAnsi="Times New Roman" w:eastAsia="宋体" w:cs="Times New Roman"/>
                <w:b/>
                <w:bCs w:val="0"/>
                <w:color w:val="auto"/>
                <w:kern w:val="2"/>
                <w:sz w:val="21"/>
                <w:szCs w:val="24"/>
                <w:highlight w:val="none"/>
                <w:lang w:val="en-US" w:eastAsia="zh-CN" w:bidi="ar-SA"/>
              </w:rPr>
            </w:pPr>
            <w:r>
              <w:rPr>
                <w:rFonts w:hint="default" w:ascii="Times New Roman" w:hAnsi="Times New Roman" w:eastAsia="宋体" w:cs="Times New Roman"/>
                <w:b/>
                <w:bCs w:val="0"/>
                <w:color w:val="auto"/>
                <w:kern w:val="2"/>
                <w:sz w:val="21"/>
                <w:szCs w:val="24"/>
                <w:highlight w:val="none"/>
                <w:lang w:val="en-US" w:eastAsia="zh-CN" w:bidi="ar-SA"/>
              </w:rPr>
              <w:t>表</w:t>
            </w:r>
            <w:r>
              <w:rPr>
                <w:rFonts w:hint="eastAsia" w:ascii="Times New Roman" w:hAnsi="Times New Roman" w:eastAsia="宋体" w:cs="Times New Roman"/>
                <w:b/>
                <w:bCs w:val="0"/>
                <w:color w:val="auto"/>
                <w:kern w:val="2"/>
                <w:sz w:val="21"/>
                <w:szCs w:val="24"/>
                <w:highlight w:val="none"/>
                <w:lang w:val="en-US" w:eastAsia="zh-CN" w:bidi="ar-SA"/>
              </w:rPr>
              <w:t>4</w:t>
            </w:r>
            <w:r>
              <w:rPr>
                <w:rFonts w:hint="eastAsia" w:eastAsia="宋体" w:cs="Times New Roman"/>
                <w:b/>
                <w:bCs w:val="0"/>
                <w:color w:val="auto"/>
                <w:kern w:val="2"/>
                <w:sz w:val="21"/>
                <w:szCs w:val="24"/>
                <w:highlight w:val="none"/>
                <w:lang w:val="en-US" w:eastAsia="zh-CN" w:bidi="ar-SA"/>
              </w:rPr>
              <w:t>-</w:t>
            </w:r>
            <w:r>
              <w:rPr>
                <w:rFonts w:hint="eastAsia" w:cs="Times New Roman"/>
                <w:b/>
                <w:bCs w:val="0"/>
                <w:color w:val="auto"/>
                <w:kern w:val="2"/>
                <w:sz w:val="21"/>
                <w:szCs w:val="24"/>
                <w:highlight w:val="none"/>
                <w:lang w:val="en-US" w:eastAsia="zh-CN" w:bidi="ar-SA"/>
              </w:rPr>
              <w:t>8</w:t>
            </w:r>
            <w:r>
              <w:rPr>
                <w:rFonts w:hint="eastAsia" w:ascii="Times New Roman" w:hAnsi="Times New Roman" w:eastAsia="宋体" w:cs="Times New Roman"/>
                <w:b/>
                <w:bCs w:val="0"/>
                <w:color w:val="auto"/>
                <w:kern w:val="2"/>
                <w:sz w:val="21"/>
                <w:szCs w:val="24"/>
                <w:highlight w:val="none"/>
                <w:lang w:val="en-US" w:eastAsia="zh-CN" w:bidi="ar-SA"/>
              </w:rPr>
              <w:t xml:space="preserve"> </w:t>
            </w:r>
            <w:r>
              <w:rPr>
                <w:rFonts w:hint="default" w:ascii="Times New Roman" w:hAnsi="Times New Roman" w:eastAsia="宋体" w:cs="Times New Roman"/>
                <w:b/>
                <w:bCs w:val="0"/>
                <w:color w:val="auto"/>
                <w:kern w:val="2"/>
                <w:sz w:val="21"/>
                <w:szCs w:val="24"/>
                <w:highlight w:val="none"/>
                <w:lang w:val="en-US" w:eastAsia="zh-CN" w:bidi="ar-SA"/>
              </w:rPr>
              <w:t>项目环境噪声</w:t>
            </w:r>
            <w:r>
              <w:rPr>
                <w:rFonts w:hint="eastAsia" w:eastAsia="宋体" w:cs="Times New Roman"/>
                <w:b/>
                <w:bCs w:val="0"/>
                <w:color w:val="auto"/>
                <w:kern w:val="2"/>
                <w:sz w:val="21"/>
                <w:szCs w:val="24"/>
                <w:highlight w:val="none"/>
                <w:lang w:val="en-US" w:eastAsia="zh-CN" w:bidi="ar-SA"/>
              </w:rPr>
              <w:t>贡献值</w:t>
            </w:r>
            <w:r>
              <w:rPr>
                <w:rFonts w:hint="default" w:ascii="Times New Roman" w:hAnsi="Times New Roman" w:eastAsia="宋体" w:cs="Times New Roman"/>
                <w:b/>
                <w:bCs w:val="0"/>
                <w:color w:val="auto"/>
                <w:kern w:val="2"/>
                <w:sz w:val="21"/>
                <w:szCs w:val="24"/>
                <w:highlight w:val="none"/>
                <w:lang w:val="en-US" w:eastAsia="zh-CN" w:bidi="ar-SA"/>
              </w:rPr>
              <w:t>预测结果一览表</w:t>
            </w:r>
            <w:r>
              <w:rPr>
                <w:rFonts w:hint="eastAsia" w:ascii="Times New Roman" w:hAnsi="Times New Roman" w:eastAsia="宋体" w:cs="Times New Roman"/>
                <w:b/>
                <w:bCs w:val="0"/>
                <w:color w:val="auto"/>
                <w:kern w:val="2"/>
                <w:sz w:val="21"/>
                <w:szCs w:val="24"/>
                <w:highlight w:val="none"/>
                <w:lang w:val="en-US" w:eastAsia="zh-CN" w:bidi="ar-SA"/>
              </w:rPr>
              <w:t xml:space="preserve"> </w:t>
            </w:r>
            <w:r>
              <w:rPr>
                <w:rFonts w:hint="default" w:ascii="Times New Roman" w:hAnsi="Times New Roman" w:eastAsia="宋体" w:cs="Times New Roman"/>
                <w:b/>
                <w:bCs w:val="0"/>
                <w:color w:val="auto"/>
                <w:kern w:val="2"/>
                <w:sz w:val="21"/>
                <w:szCs w:val="24"/>
                <w:highlight w:val="none"/>
                <w:lang w:val="en-US" w:eastAsia="zh-CN" w:bidi="ar-SA"/>
              </w:rPr>
              <w:t>单位：dB（A）</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436"/>
              <w:gridCol w:w="1436"/>
              <w:gridCol w:w="1436"/>
              <w:gridCol w:w="1436"/>
              <w:gridCol w:w="1258"/>
            </w:tblGrid>
            <w:tr w14:paraId="74F1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6" w:type="dxa"/>
                  <w:noWrap w:val="0"/>
                  <w:vAlign w:val="center"/>
                </w:tcPr>
                <w:p w14:paraId="1103292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预测点</w:t>
                  </w:r>
                </w:p>
              </w:tc>
              <w:tc>
                <w:tcPr>
                  <w:tcW w:w="1436" w:type="dxa"/>
                  <w:noWrap w:val="0"/>
                  <w:vAlign w:val="center"/>
                </w:tcPr>
                <w:p w14:paraId="5CAFFCB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lang w:val="en-US" w:eastAsia="zh-CN"/>
                    </w:rPr>
                    <w:t>昼间</w:t>
                  </w:r>
                </w:p>
              </w:tc>
              <w:tc>
                <w:tcPr>
                  <w:tcW w:w="1436" w:type="dxa"/>
                  <w:noWrap w:val="0"/>
                  <w:vAlign w:val="center"/>
                </w:tcPr>
                <w:p w14:paraId="669EDBB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标准值</w:t>
                  </w:r>
                </w:p>
              </w:tc>
              <w:tc>
                <w:tcPr>
                  <w:tcW w:w="1436" w:type="dxa"/>
                  <w:noWrap w:val="0"/>
                  <w:vAlign w:val="center"/>
                </w:tcPr>
                <w:p w14:paraId="32CDF06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436" w:type="dxa"/>
                  <w:noWrap w:val="0"/>
                  <w:vAlign w:val="center"/>
                </w:tcPr>
                <w:p w14:paraId="00D5087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p>
              </w:tc>
              <w:tc>
                <w:tcPr>
                  <w:tcW w:w="1258" w:type="dxa"/>
                  <w:noWrap w:val="0"/>
                  <w:vAlign w:val="center"/>
                </w:tcPr>
                <w:p w14:paraId="3314236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达标情况</w:t>
                  </w:r>
                </w:p>
              </w:tc>
            </w:tr>
            <w:tr w14:paraId="690C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6" w:type="dxa"/>
                  <w:noWrap w:val="0"/>
                  <w:vAlign w:val="center"/>
                </w:tcPr>
                <w:p w14:paraId="450A902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东厂界</w:t>
                  </w:r>
                </w:p>
              </w:tc>
              <w:tc>
                <w:tcPr>
                  <w:tcW w:w="1436" w:type="dxa"/>
                  <w:noWrap w:val="0"/>
                  <w:vAlign w:val="center"/>
                </w:tcPr>
                <w:p w14:paraId="70C193D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47.7</w:t>
                  </w:r>
                </w:p>
              </w:tc>
              <w:tc>
                <w:tcPr>
                  <w:tcW w:w="1436" w:type="dxa"/>
                  <w:noWrap w:val="0"/>
                  <w:vAlign w:val="center"/>
                </w:tcPr>
                <w:p w14:paraId="2C0E4D8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1436" w:type="dxa"/>
                  <w:noWrap w:val="0"/>
                  <w:vAlign w:val="center"/>
                </w:tcPr>
                <w:p w14:paraId="7E1D30EB">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1436" w:type="dxa"/>
                  <w:noWrap w:val="0"/>
                  <w:vAlign w:val="center"/>
                </w:tcPr>
                <w:p w14:paraId="4B7CEC2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258" w:type="dxa"/>
                  <w:noWrap w:val="0"/>
                  <w:vAlign w:val="center"/>
                </w:tcPr>
                <w:p w14:paraId="01644E6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达标</w:t>
                  </w:r>
                </w:p>
              </w:tc>
            </w:tr>
            <w:tr w14:paraId="6968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6" w:type="dxa"/>
                  <w:noWrap w:val="0"/>
                  <w:vAlign w:val="center"/>
                </w:tcPr>
                <w:p w14:paraId="4668A6F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南厂界</w:t>
                  </w:r>
                </w:p>
              </w:tc>
              <w:tc>
                <w:tcPr>
                  <w:tcW w:w="1436" w:type="dxa"/>
                  <w:noWrap w:val="0"/>
                  <w:vAlign w:val="center"/>
                </w:tcPr>
                <w:p w14:paraId="298F478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43</w:t>
                  </w:r>
                </w:p>
              </w:tc>
              <w:tc>
                <w:tcPr>
                  <w:tcW w:w="1436" w:type="dxa"/>
                  <w:noWrap w:val="0"/>
                  <w:vAlign w:val="center"/>
                </w:tcPr>
                <w:p w14:paraId="57BAC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1436" w:type="dxa"/>
                  <w:noWrap w:val="0"/>
                  <w:vAlign w:val="center"/>
                </w:tcPr>
                <w:p w14:paraId="5CB421E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1436" w:type="dxa"/>
                  <w:noWrap w:val="0"/>
                  <w:vAlign w:val="center"/>
                </w:tcPr>
                <w:p w14:paraId="6ADF1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258" w:type="dxa"/>
                  <w:noWrap w:val="0"/>
                  <w:vAlign w:val="center"/>
                </w:tcPr>
                <w:p w14:paraId="76B8A3D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达标</w:t>
                  </w:r>
                </w:p>
              </w:tc>
            </w:tr>
            <w:tr w14:paraId="17DF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6" w:type="dxa"/>
                  <w:noWrap w:val="0"/>
                  <w:vAlign w:val="center"/>
                </w:tcPr>
                <w:p w14:paraId="651477C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西厂界</w:t>
                  </w:r>
                </w:p>
              </w:tc>
              <w:tc>
                <w:tcPr>
                  <w:tcW w:w="1436" w:type="dxa"/>
                  <w:noWrap w:val="0"/>
                  <w:vAlign w:val="center"/>
                </w:tcPr>
                <w:p w14:paraId="5E7BC38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56.4</w:t>
                  </w:r>
                </w:p>
              </w:tc>
              <w:tc>
                <w:tcPr>
                  <w:tcW w:w="1436" w:type="dxa"/>
                  <w:noWrap w:val="0"/>
                  <w:vAlign w:val="center"/>
                </w:tcPr>
                <w:p w14:paraId="05964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1436" w:type="dxa"/>
                  <w:noWrap w:val="0"/>
                  <w:vAlign w:val="center"/>
                </w:tcPr>
                <w:p w14:paraId="21F94A7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1436" w:type="dxa"/>
                  <w:noWrap w:val="0"/>
                  <w:vAlign w:val="center"/>
                </w:tcPr>
                <w:p w14:paraId="135FC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258" w:type="dxa"/>
                  <w:noWrap w:val="0"/>
                  <w:vAlign w:val="center"/>
                </w:tcPr>
                <w:p w14:paraId="421BB70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达标</w:t>
                  </w:r>
                </w:p>
              </w:tc>
            </w:tr>
            <w:tr w14:paraId="2743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6" w:type="dxa"/>
                  <w:noWrap w:val="0"/>
                  <w:vAlign w:val="center"/>
                </w:tcPr>
                <w:p w14:paraId="6917B02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北厂界</w:t>
                  </w:r>
                </w:p>
              </w:tc>
              <w:tc>
                <w:tcPr>
                  <w:tcW w:w="1436" w:type="dxa"/>
                  <w:noWrap w:val="0"/>
                  <w:vAlign w:val="center"/>
                </w:tcPr>
                <w:p w14:paraId="6E9D3E7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30.3</w:t>
                  </w:r>
                </w:p>
              </w:tc>
              <w:tc>
                <w:tcPr>
                  <w:tcW w:w="1436" w:type="dxa"/>
                  <w:noWrap w:val="0"/>
                  <w:vAlign w:val="center"/>
                </w:tcPr>
                <w:p w14:paraId="174FED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1436" w:type="dxa"/>
                  <w:noWrap w:val="0"/>
                  <w:vAlign w:val="center"/>
                </w:tcPr>
                <w:p w14:paraId="3595EB4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c>
                <w:tcPr>
                  <w:tcW w:w="1436" w:type="dxa"/>
                  <w:noWrap w:val="0"/>
                  <w:vAlign w:val="center"/>
                </w:tcPr>
                <w:p w14:paraId="1BCDA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258" w:type="dxa"/>
                  <w:noWrap w:val="0"/>
                  <w:vAlign w:val="center"/>
                </w:tcPr>
                <w:p w14:paraId="01C5269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达标</w:t>
                  </w:r>
                </w:p>
              </w:tc>
            </w:tr>
          </w:tbl>
          <w:p w14:paraId="15CE0B87">
            <w:pPr>
              <w:spacing w:line="360" w:lineRule="auto"/>
              <w:ind w:firstLine="480" w:firstLineChars="200"/>
              <w:rPr>
                <w:bCs/>
                <w:color w:val="auto"/>
                <w:sz w:val="24"/>
                <w:szCs w:val="24"/>
              </w:rPr>
            </w:pPr>
            <w:r>
              <w:rPr>
                <w:color w:val="auto"/>
                <w:sz w:val="24"/>
              </w:rPr>
              <w:t>由上表可知，本项目运营后，厂内各种设备所产生的噪声在采取相应的措施后，厂界噪声贡献值较小，经预测厂界噪声</w:t>
            </w:r>
            <w:r>
              <w:rPr>
                <w:rFonts w:hint="eastAsia"/>
                <w:color w:val="auto"/>
                <w:sz w:val="24"/>
              </w:rPr>
              <w:t>贡献值</w:t>
            </w:r>
            <w:r>
              <w:rPr>
                <w:color w:val="auto"/>
                <w:sz w:val="24"/>
              </w:rPr>
              <w:t>能达到《工业企业厂界环境噪声排放标准》（GB12348-2008）</w:t>
            </w:r>
            <w:r>
              <w:rPr>
                <w:rFonts w:hint="eastAsia"/>
                <w:color w:val="auto"/>
                <w:sz w:val="24"/>
                <w:lang w:val="en-US" w:eastAsia="zh-CN"/>
              </w:rPr>
              <w:t>2</w:t>
            </w:r>
            <w:r>
              <w:rPr>
                <w:color w:val="auto"/>
                <w:sz w:val="24"/>
              </w:rPr>
              <w:t>类区标准。</w:t>
            </w:r>
          </w:p>
          <w:p w14:paraId="3CAAADAC">
            <w:pPr>
              <w:spacing w:line="360" w:lineRule="auto"/>
              <w:ind w:firstLine="480" w:firstLineChars="200"/>
              <w:rPr>
                <w:color w:val="auto"/>
                <w:sz w:val="24"/>
              </w:rPr>
            </w:pPr>
            <w:r>
              <w:rPr>
                <w:color w:val="auto"/>
                <w:sz w:val="24"/>
              </w:rPr>
              <w:t>综上所述，建设项目噪声排放对周围环境影响较小，噪声防治措施可行。企业必须重视设备噪声治理、减振工程的设计及施工质量，确保达标，不得影响周边环境。</w:t>
            </w:r>
          </w:p>
          <w:p w14:paraId="1DA2A7F5">
            <w:pPr>
              <w:spacing w:line="360" w:lineRule="auto"/>
              <w:rPr>
                <w:rFonts w:hint="eastAsia"/>
                <w:b/>
                <w:color w:val="auto"/>
                <w:sz w:val="24"/>
                <w:szCs w:val="24"/>
              </w:rPr>
            </w:pPr>
          </w:p>
          <w:p w14:paraId="229CE0C0">
            <w:pPr>
              <w:spacing w:line="360" w:lineRule="auto"/>
              <w:rPr>
                <w:rFonts w:hint="eastAsia"/>
                <w:b/>
                <w:color w:val="auto"/>
                <w:sz w:val="24"/>
                <w:szCs w:val="24"/>
              </w:rPr>
            </w:pPr>
          </w:p>
          <w:p w14:paraId="71C13B77">
            <w:pPr>
              <w:spacing w:line="360" w:lineRule="auto"/>
              <w:rPr>
                <w:b/>
                <w:color w:val="auto"/>
                <w:sz w:val="24"/>
                <w:szCs w:val="24"/>
              </w:rPr>
            </w:pPr>
            <w:r>
              <w:rPr>
                <w:rFonts w:hint="eastAsia"/>
                <w:b/>
                <w:color w:val="auto"/>
                <w:sz w:val="24"/>
                <w:szCs w:val="24"/>
              </w:rPr>
              <w:t>3.</w:t>
            </w:r>
            <w:r>
              <w:rPr>
                <w:rFonts w:hint="eastAsia"/>
                <w:b/>
                <w:color w:val="auto"/>
                <w:sz w:val="24"/>
                <w:szCs w:val="24"/>
                <w:lang w:val="en-US" w:eastAsia="zh-CN"/>
              </w:rPr>
              <w:t>3</w:t>
            </w:r>
            <w:r>
              <w:rPr>
                <w:rFonts w:hint="eastAsia"/>
                <w:b/>
                <w:color w:val="auto"/>
                <w:sz w:val="24"/>
                <w:szCs w:val="24"/>
              </w:rPr>
              <w:t>噪声污染源监测计划</w:t>
            </w:r>
          </w:p>
          <w:p w14:paraId="1B3A5DB3">
            <w:pPr>
              <w:spacing w:line="360" w:lineRule="auto"/>
              <w:ind w:firstLine="480" w:firstLineChars="200"/>
              <w:rPr>
                <w:rFonts w:hint="eastAsia"/>
                <w:color w:val="auto"/>
                <w:sz w:val="24"/>
              </w:rPr>
            </w:pPr>
            <w:r>
              <w:rPr>
                <w:rFonts w:hint="default" w:ascii="Times New Roman" w:hAnsi="Times New Roman" w:cs="Times New Roman"/>
                <w:color w:val="auto"/>
                <w:sz w:val="24"/>
                <w:szCs w:val="24"/>
                <w:lang w:val="en-US" w:eastAsia="zh-CN"/>
              </w:rPr>
              <w:t>参照《排污单位自行监测技术指南 农副食品加工业》（HJ986-2018）</w:t>
            </w:r>
            <w:r>
              <w:rPr>
                <w:rFonts w:hint="default" w:ascii="Times New Roman" w:hAnsi="Times New Roman" w:cs="Times New Roman"/>
                <w:color w:val="auto"/>
                <w:sz w:val="24"/>
                <w:szCs w:val="24"/>
              </w:rPr>
              <w:t>，</w:t>
            </w:r>
            <w:r>
              <w:rPr>
                <w:rFonts w:hint="eastAsia"/>
                <w:color w:val="auto"/>
                <w:sz w:val="24"/>
              </w:rPr>
              <w:t>建设项目噪声污染源监测计划详见表4-</w:t>
            </w:r>
            <w:r>
              <w:rPr>
                <w:rFonts w:hint="eastAsia"/>
                <w:color w:val="auto"/>
                <w:sz w:val="24"/>
                <w:lang w:val="en-US" w:eastAsia="zh-CN"/>
              </w:rPr>
              <w:t>9</w:t>
            </w:r>
            <w:r>
              <w:rPr>
                <w:rFonts w:hint="eastAsia"/>
                <w:color w:val="auto"/>
                <w:sz w:val="24"/>
              </w:rPr>
              <w:t>。</w:t>
            </w:r>
          </w:p>
          <w:p w14:paraId="1D4BA5FC">
            <w:pPr>
              <w:spacing w:line="360" w:lineRule="auto"/>
              <w:ind w:firstLine="422" w:firstLineChars="200"/>
              <w:jc w:val="center"/>
              <w:rPr>
                <w:b/>
                <w:color w:val="auto"/>
                <w:szCs w:val="21"/>
              </w:rPr>
            </w:pPr>
            <w:r>
              <w:rPr>
                <w:rFonts w:hint="eastAsia"/>
                <w:b/>
                <w:color w:val="auto"/>
                <w:szCs w:val="21"/>
              </w:rPr>
              <w:t>表4-</w:t>
            </w:r>
            <w:r>
              <w:rPr>
                <w:rFonts w:hint="eastAsia"/>
                <w:b/>
                <w:color w:val="auto"/>
                <w:szCs w:val="21"/>
                <w:lang w:val="en-US" w:eastAsia="zh-CN"/>
              </w:rPr>
              <w:t>9</w:t>
            </w:r>
            <w:r>
              <w:rPr>
                <w:rFonts w:hint="eastAsia"/>
                <w:b/>
                <w:color w:val="auto"/>
                <w:szCs w:val="21"/>
              </w:rPr>
              <w:t xml:space="preserve">  建设项目噪声污染源监测计划一览表</w:t>
            </w:r>
          </w:p>
          <w:tbl>
            <w:tblPr>
              <w:tblStyle w:val="46"/>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548"/>
              <w:gridCol w:w="1851"/>
              <w:gridCol w:w="3470"/>
            </w:tblGrid>
            <w:tr w14:paraId="575D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3" w:type="dxa"/>
                  <w:vAlign w:val="center"/>
                </w:tcPr>
                <w:p w14:paraId="7D0C05A4">
                  <w:pPr>
                    <w:jc w:val="center"/>
                    <w:rPr>
                      <w:b/>
                      <w:color w:val="auto"/>
                      <w:szCs w:val="21"/>
                    </w:rPr>
                  </w:pPr>
                  <w:r>
                    <w:rPr>
                      <w:rFonts w:hint="eastAsia"/>
                      <w:b/>
                      <w:color w:val="auto"/>
                      <w:szCs w:val="21"/>
                    </w:rPr>
                    <w:t>监测点位</w:t>
                  </w:r>
                </w:p>
              </w:tc>
              <w:tc>
                <w:tcPr>
                  <w:tcW w:w="1548" w:type="dxa"/>
                  <w:vAlign w:val="center"/>
                </w:tcPr>
                <w:p w14:paraId="61668DC8">
                  <w:pPr>
                    <w:jc w:val="center"/>
                    <w:rPr>
                      <w:b/>
                      <w:color w:val="auto"/>
                      <w:szCs w:val="21"/>
                    </w:rPr>
                  </w:pPr>
                  <w:r>
                    <w:rPr>
                      <w:rFonts w:hint="eastAsia"/>
                      <w:b/>
                      <w:color w:val="auto"/>
                      <w:szCs w:val="21"/>
                    </w:rPr>
                    <w:t>监测因子</w:t>
                  </w:r>
                </w:p>
              </w:tc>
              <w:tc>
                <w:tcPr>
                  <w:tcW w:w="1851" w:type="dxa"/>
                  <w:vAlign w:val="center"/>
                </w:tcPr>
                <w:p w14:paraId="006C54E0">
                  <w:pPr>
                    <w:jc w:val="center"/>
                    <w:rPr>
                      <w:b/>
                      <w:color w:val="auto"/>
                      <w:szCs w:val="21"/>
                    </w:rPr>
                  </w:pPr>
                  <w:r>
                    <w:rPr>
                      <w:rFonts w:hint="eastAsia"/>
                      <w:b/>
                      <w:color w:val="auto"/>
                      <w:szCs w:val="21"/>
                    </w:rPr>
                    <w:t>监测频次</w:t>
                  </w:r>
                </w:p>
              </w:tc>
              <w:tc>
                <w:tcPr>
                  <w:tcW w:w="3470" w:type="dxa"/>
                  <w:vAlign w:val="center"/>
                </w:tcPr>
                <w:p w14:paraId="13A7FC5D">
                  <w:pPr>
                    <w:spacing w:line="320" w:lineRule="exact"/>
                    <w:jc w:val="center"/>
                    <w:rPr>
                      <w:b/>
                      <w:color w:val="auto"/>
                      <w:szCs w:val="21"/>
                    </w:rPr>
                  </w:pPr>
                  <w:r>
                    <w:rPr>
                      <w:rFonts w:hint="default" w:ascii="Times New Roman" w:hAnsi="Times New Roman" w:cs="Times New Roman"/>
                      <w:b/>
                      <w:bCs/>
                      <w:color w:val="auto"/>
                    </w:rPr>
                    <w:t>执行标准</w:t>
                  </w:r>
                </w:p>
              </w:tc>
            </w:tr>
            <w:tr w14:paraId="6637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3" w:type="dxa"/>
                  <w:vAlign w:val="center"/>
                </w:tcPr>
                <w:p w14:paraId="346DC27C">
                  <w:pPr>
                    <w:jc w:val="center"/>
                    <w:rPr>
                      <w:color w:val="auto"/>
                      <w:szCs w:val="21"/>
                    </w:rPr>
                  </w:pPr>
                  <w:r>
                    <w:rPr>
                      <w:rFonts w:hint="eastAsia"/>
                      <w:color w:val="auto"/>
                      <w:szCs w:val="21"/>
                    </w:rPr>
                    <w:t>厂界四周</w:t>
                  </w:r>
                </w:p>
              </w:tc>
              <w:tc>
                <w:tcPr>
                  <w:tcW w:w="1548" w:type="dxa"/>
                  <w:vAlign w:val="center"/>
                </w:tcPr>
                <w:p w14:paraId="44F70B6A">
                  <w:pPr>
                    <w:snapToGrid w:val="0"/>
                    <w:jc w:val="center"/>
                    <w:rPr>
                      <w:color w:val="auto"/>
                      <w:szCs w:val="21"/>
                    </w:rPr>
                  </w:pPr>
                  <w:r>
                    <w:rPr>
                      <w:rFonts w:hint="eastAsia"/>
                      <w:color w:val="auto"/>
                      <w:szCs w:val="21"/>
                    </w:rPr>
                    <w:t>Leq</w:t>
                  </w:r>
                  <w:r>
                    <w:rPr>
                      <w:rFonts w:hint="eastAsia"/>
                      <w:color w:val="auto"/>
                      <w:szCs w:val="21"/>
                      <w:lang w:eastAsia="zh-CN"/>
                    </w:rPr>
                    <w:t>(</w:t>
                  </w:r>
                  <w:r>
                    <w:rPr>
                      <w:rFonts w:hint="eastAsia"/>
                      <w:color w:val="auto"/>
                      <w:szCs w:val="21"/>
                    </w:rPr>
                    <w:t>A</w:t>
                  </w:r>
                  <w:r>
                    <w:rPr>
                      <w:rFonts w:hint="eastAsia"/>
                      <w:color w:val="auto"/>
                      <w:szCs w:val="21"/>
                      <w:lang w:eastAsia="zh-CN"/>
                    </w:rPr>
                    <w:t>)</w:t>
                  </w:r>
                </w:p>
              </w:tc>
              <w:tc>
                <w:tcPr>
                  <w:tcW w:w="1851" w:type="dxa"/>
                  <w:vAlign w:val="center"/>
                </w:tcPr>
                <w:p w14:paraId="2C5AC673">
                  <w:pPr>
                    <w:jc w:val="center"/>
                    <w:rPr>
                      <w:color w:val="auto"/>
                      <w:szCs w:val="21"/>
                    </w:rPr>
                  </w:pPr>
                  <w:r>
                    <w:rPr>
                      <w:rFonts w:hint="eastAsia"/>
                      <w:color w:val="auto"/>
                      <w:szCs w:val="21"/>
                    </w:rPr>
                    <w:t>1次/季度</w:t>
                  </w:r>
                </w:p>
              </w:tc>
              <w:tc>
                <w:tcPr>
                  <w:tcW w:w="3470" w:type="dxa"/>
                  <w:vAlign w:val="center"/>
                </w:tcPr>
                <w:p w14:paraId="669C2CAE">
                  <w:pPr>
                    <w:spacing w:line="320" w:lineRule="exact"/>
                    <w:jc w:val="center"/>
                    <w:rPr>
                      <w:color w:val="auto"/>
                      <w:szCs w:val="21"/>
                    </w:rPr>
                  </w:pPr>
                  <w:r>
                    <w:rPr>
                      <w:rFonts w:hint="default" w:ascii="Times New Roman" w:hAnsi="Times New Roman" w:cs="Times New Roman"/>
                      <w:color w:val="auto"/>
                    </w:rPr>
                    <w:t>《工业企业厂界环境噪声排放标准》（GB12348-2008）</w:t>
                  </w:r>
                  <w:r>
                    <w:rPr>
                      <w:rFonts w:hint="eastAsia" w:ascii="Times New Roman" w:hAnsi="Times New Roman" w:cs="Times New Roman"/>
                      <w:color w:val="auto"/>
                      <w:lang w:val="en-US" w:eastAsia="zh-CN"/>
                    </w:rPr>
                    <w:t>2</w:t>
                  </w:r>
                  <w:r>
                    <w:rPr>
                      <w:rFonts w:hint="default" w:ascii="Times New Roman" w:hAnsi="Times New Roman" w:cs="Times New Roman"/>
                      <w:color w:val="auto"/>
                    </w:rPr>
                    <w:t>类标准要求</w:t>
                  </w:r>
                </w:p>
              </w:tc>
            </w:tr>
          </w:tbl>
          <w:p w14:paraId="0737E36F">
            <w:pPr>
              <w:spacing w:line="360" w:lineRule="auto"/>
              <w:rPr>
                <w:b/>
                <w:color w:val="auto"/>
                <w:sz w:val="24"/>
                <w:szCs w:val="24"/>
              </w:rPr>
            </w:pPr>
            <w:r>
              <w:rPr>
                <w:rFonts w:hint="eastAsia"/>
                <w:b/>
                <w:color w:val="auto"/>
                <w:sz w:val="24"/>
                <w:szCs w:val="24"/>
              </w:rPr>
              <w:t>4、固体废物环境影响及保护措施</w:t>
            </w:r>
          </w:p>
          <w:p w14:paraId="03FA8C93">
            <w:pPr>
              <w:autoSpaceDE w:val="0"/>
              <w:autoSpaceDN w:val="0"/>
              <w:adjustRightInd w:val="0"/>
              <w:snapToGrid w:val="0"/>
              <w:spacing w:line="360" w:lineRule="auto"/>
              <w:jc w:val="left"/>
              <w:rPr>
                <w:rFonts w:hint="eastAsia" w:ascii="Times New Roman" w:hAnsi="宋体" w:eastAsia="宋体"/>
                <w:b/>
                <w:bCs/>
                <w:color w:val="auto"/>
                <w:sz w:val="24"/>
                <w:lang w:eastAsia="zh-CN"/>
              </w:rPr>
            </w:pPr>
            <w:r>
              <w:rPr>
                <w:rFonts w:hint="eastAsia" w:hAnsi="宋体"/>
                <w:b/>
                <w:bCs/>
                <w:color w:val="auto"/>
                <w:sz w:val="24"/>
                <w:lang w:val="en-US" w:eastAsia="zh-CN"/>
              </w:rPr>
              <w:t>4.1、</w:t>
            </w:r>
            <w:r>
              <w:rPr>
                <w:rFonts w:hint="eastAsia" w:hAnsi="宋体"/>
                <w:b/>
                <w:bCs/>
                <w:color w:val="auto"/>
                <w:sz w:val="24"/>
                <w:lang w:eastAsia="zh-CN"/>
              </w:rPr>
              <w:t>固体废物的产生情况</w:t>
            </w:r>
          </w:p>
          <w:p w14:paraId="1FD3CFBA">
            <w:pPr>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ascii="Times New Roman" w:hAnsi="宋体"/>
                <w:color w:val="auto"/>
                <w:sz w:val="24"/>
              </w:rPr>
              <w:t>本项目产生的固体废物主要</w:t>
            </w:r>
            <w:r>
              <w:rPr>
                <w:rFonts w:hint="eastAsia" w:hAnsi="宋体"/>
                <w:color w:val="auto"/>
                <w:sz w:val="24"/>
                <w:lang w:eastAsia="zh-CN"/>
              </w:rPr>
              <w:t>为</w:t>
            </w:r>
            <w:r>
              <w:rPr>
                <w:rFonts w:hint="eastAsia" w:hAnsi="宋体"/>
                <w:color w:val="auto"/>
                <w:sz w:val="24"/>
                <w:lang w:val="en-US" w:eastAsia="zh-CN"/>
              </w:rPr>
              <w:t>清理筛</w:t>
            </w:r>
            <w:r>
              <w:rPr>
                <w:rFonts w:ascii="Times New Roman" w:hAnsi="宋体"/>
                <w:color w:val="auto"/>
                <w:sz w:val="24"/>
              </w:rPr>
              <w:t>和</w:t>
            </w:r>
            <w:r>
              <w:rPr>
                <w:rFonts w:hint="eastAsia" w:hAnsi="宋体"/>
                <w:color w:val="auto"/>
                <w:sz w:val="24"/>
                <w:lang w:eastAsia="zh-CN"/>
              </w:rPr>
              <w:t>去石机在清理去石</w:t>
            </w:r>
            <w:r>
              <w:rPr>
                <w:rFonts w:ascii="Times New Roman" w:hAnsi="宋体"/>
                <w:color w:val="auto"/>
                <w:sz w:val="24"/>
              </w:rPr>
              <w:t>过程中产生的砂石杂质</w:t>
            </w:r>
            <w:r>
              <w:rPr>
                <w:rFonts w:hint="eastAsia" w:hAnsi="宋体"/>
                <w:color w:val="auto"/>
                <w:sz w:val="24"/>
                <w:lang w:eastAsia="zh-CN"/>
              </w:rPr>
              <w:t>、</w:t>
            </w:r>
            <w:r>
              <w:rPr>
                <w:rFonts w:ascii="Times New Roman" w:hAnsi="宋体"/>
                <w:color w:val="auto"/>
                <w:sz w:val="24"/>
              </w:rPr>
              <w:t>除尘器收集粉尘</w:t>
            </w:r>
            <w:r>
              <w:rPr>
                <w:rFonts w:hint="eastAsia" w:hAnsi="宋体"/>
                <w:color w:val="auto"/>
                <w:sz w:val="24"/>
                <w:lang w:eastAsia="zh-CN"/>
              </w:rPr>
              <w:t>、</w:t>
            </w:r>
            <w:r>
              <w:rPr>
                <w:rFonts w:hint="eastAsia" w:hAnsi="宋体"/>
                <w:color w:val="auto"/>
                <w:sz w:val="24"/>
                <w:lang w:val="en-US" w:eastAsia="zh-CN"/>
              </w:rPr>
              <w:t>废包装袋</w:t>
            </w:r>
            <w:r>
              <w:rPr>
                <w:rFonts w:hint="default" w:ascii="Times New Roman" w:hAnsi="Times New Roman" w:eastAsia="宋体" w:cs="Times New Roman"/>
                <w:b w:val="0"/>
                <w:bCs w:val="0"/>
                <w:color w:val="auto"/>
                <w:sz w:val="24"/>
                <w:szCs w:val="24"/>
              </w:rPr>
              <w:t>以及职工日常生活过程产生的生活垃圾。</w:t>
            </w:r>
          </w:p>
          <w:p w14:paraId="20D3A695">
            <w:pPr>
              <w:snapToGrid w:val="0"/>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）一般固废</w:t>
            </w:r>
          </w:p>
          <w:p w14:paraId="38EE03D7">
            <w:pPr>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①砂石杂质：根据企业</w:t>
            </w:r>
            <w:r>
              <w:rPr>
                <w:rFonts w:hint="eastAsia" w:ascii="Times New Roman" w:hAnsi="Times New Roman" w:cs="Times New Roman"/>
                <w:b w:val="0"/>
                <w:bCs w:val="0"/>
                <w:color w:val="auto"/>
                <w:sz w:val="24"/>
                <w:szCs w:val="24"/>
                <w:lang w:val="en-US" w:eastAsia="zh-CN"/>
              </w:rPr>
              <w:t>提供资料</w:t>
            </w:r>
            <w:r>
              <w:rPr>
                <w:rFonts w:hint="default" w:ascii="Times New Roman" w:hAnsi="Times New Roman" w:eastAsia="宋体" w:cs="Times New Roman"/>
                <w:b w:val="0"/>
                <w:bCs w:val="0"/>
                <w:color w:val="auto"/>
                <w:sz w:val="24"/>
                <w:szCs w:val="24"/>
              </w:rPr>
              <w:t>，砂石、杂质等颗粒物的产生量约为原料稻谷量的0.0</w:t>
            </w:r>
            <w:r>
              <w:rPr>
                <w:rFonts w:hint="eastAsia" w:cs="Times New Roman"/>
                <w:b w:val="0"/>
                <w:bCs w:val="0"/>
                <w:color w:val="auto"/>
                <w:sz w:val="24"/>
                <w:szCs w:val="24"/>
                <w:lang w:val="en-US" w:eastAsia="zh-CN"/>
              </w:rPr>
              <w:t>05</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本项目</w:t>
            </w:r>
            <w:r>
              <w:rPr>
                <w:rFonts w:hint="default" w:ascii="Times New Roman" w:hAnsi="Times New Roman" w:eastAsia="宋体" w:cs="Times New Roman"/>
                <w:b w:val="0"/>
                <w:bCs w:val="0"/>
                <w:color w:val="auto"/>
                <w:sz w:val="24"/>
                <w:szCs w:val="24"/>
              </w:rPr>
              <w:t>稻谷</w:t>
            </w:r>
            <w:r>
              <w:rPr>
                <w:rFonts w:hint="eastAsia" w:ascii="Times New Roman" w:hAnsi="Times New Roman" w:eastAsia="宋体" w:cs="Times New Roman"/>
                <w:b w:val="0"/>
                <w:bCs w:val="0"/>
                <w:color w:val="auto"/>
                <w:sz w:val="24"/>
                <w:szCs w:val="24"/>
                <w:lang w:val="en-US" w:eastAsia="zh-CN"/>
              </w:rPr>
              <w:t>用量为19247.03t/a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则项目砂石杂质产生量为</w:t>
            </w:r>
            <w:r>
              <w:rPr>
                <w:rFonts w:hint="default" w:ascii="Times New Roman" w:hAnsi="Times New Roman" w:eastAsia="宋体" w:cs="Times New Roman"/>
                <w:b w:val="0"/>
                <w:bCs w:val="0"/>
                <w:color w:val="auto"/>
                <w:sz w:val="24"/>
                <w:szCs w:val="24"/>
                <w:lang w:val="en-US" w:eastAsia="zh-CN"/>
              </w:rPr>
              <w:t>0.96</w:t>
            </w:r>
            <w:r>
              <w:rPr>
                <w:rFonts w:hint="default" w:ascii="Times New Roman" w:hAnsi="Times New Roman" w:eastAsia="宋体" w:cs="Times New Roman"/>
                <w:b w:val="0"/>
                <w:bCs w:val="0"/>
                <w:color w:val="auto"/>
                <w:sz w:val="24"/>
                <w:szCs w:val="24"/>
              </w:rPr>
              <w:t>t/a，由</w:t>
            </w:r>
            <w:r>
              <w:rPr>
                <w:rFonts w:hint="eastAsia" w:ascii="Times New Roman" w:hAnsi="Times New Roman" w:cs="Times New Roman"/>
                <w:b w:val="0"/>
                <w:bCs w:val="0"/>
                <w:color w:val="auto"/>
                <w:sz w:val="24"/>
                <w:szCs w:val="24"/>
                <w:lang w:val="en-US" w:eastAsia="zh-CN"/>
              </w:rPr>
              <w:t>环卫部门清运。</w:t>
            </w:r>
          </w:p>
          <w:p w14:paraId="32827532">
            <w:pPr>
              <w:snapToGrid w:val="0"/>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②除尘器收集粉尘：</w:t>
            </w:r>
            <w:r>
              <w:rPr>
                <w:rFonts w:hint="eastAsia" w:cs="Times New Roman"/>
                <w:b w:val="0"/>
                <w:bCs w:val="0"/>
                <w:color w:val="auto"/>
                <w:sz w:val="24"/>
                <w:szCs w:val="24"/>
                <w:lang w:val="en-US" w:eastAsia="zh-CN"/>
              </w:rPr>
              <w:t>根据物料平衡表，</w:t>
            </w:r>
            <w:r>
              <w:rPr>
                <w:rFonts w:hint="default" w:ascii="Times New Roman" w:hAnsi="Times New Roman" w:eastAsia="宋体" w:cs="Times New Roman"/>
                <w:b w:val="0"/>
                <w:bCs w:val="0"/>
                <w:color w:val="auto"/>
                <w:sz w:val="24"/>
                <w:szCs w:val="24"/>
              </w:rPr>
              <w:t>项目除尘器收集粉尘量为</w:t>
            </w:r>
            <w:r>
              <w:rPr>
                <w:rFonts w:hint="eastAsia" w:cs="Times New Roman"/>
                <w:b w:val="0"/>
                <w:bCs w:val="0"/>
                <w:color w:val="auto"/>
                <w:sz w:val="24"/>
                <w:szCs w:val="24"/>
                <w:lang w:val="en-US" w:eastAsia="zh-CN"/>
              </w:rPr>
              <w:t>5.4374</w:t>
            </w:r>
            <w:r>
              <w:rPr>
                <w:rFonts w:hint="default" w:ascii="Times New Roman" w:hAnsi="Times New Roman" w:eastAsia="宋体" w:cs="Times New Roman"/>
                <w:b w:val="0"/>
                <w:bCs w:val="0"/>
                <w:color w:val="auto"/>
                <w:sz w:val="24"/>
                <w:szCs w:val="24"/>
              </w:rPr>
              <w:t>t/a，除尘器收集粉尘</w:t>
            </w:r>
            <w:r>
              <w:rPr>
                <w:rFonts w:hint="eastAsia" w:ascii="Times New Roman" w:hAnsi="Times New Roman" w:eastAsia="宋体" w:cs="Times New Roman"/>
                <w:b w:val="0"/>
                <w:bCs w:val="0"/>
                <w:color w:val="auto"/>
                <w:sz w:val="24"/>
                <w:szCs w:val="24"/>
                <w:lang w:val="en-US" w:eastAsia="zh-CN"/>
              </w:rPr>
              <w:t>包装后直接</w:t>
            </w:r>
            <w:r>
              <w:rPr>
                <w:rFonts w:hint="default" w:ascii="Times New Roman" w:hAnsi="Times New Roman" w:eastAsia="宋体" w:cs="Times New Roman"/>
                <w:b w:val="0"/>
                <w:bCs w:val="0"/>
                <w:color w:val="auto"/>
                <w:sz w:val="24"/>
                <w:szCs w:val="24"/>
              </w:rPr>
              <w:t>外售</w:t>
            </w:r>
            <w:r>
              <w:rPr>
                <w:rFonts w:hint="eastAsia" w:ascii="Times New Roman" w:hAnsi="Times New Roman" w:cs="Times New Roman"/>
                <w:b w:val="0"/>
                <w:bCs w:val="0"/>
                <w:color w:val="auto"/>
                <w:sz w:val="24"/>
                <w:szCs w:val="24"/>
                <w:lang w:eastAsia="zh-CN"/>
              </w:rPr>
              <w:t>。</w:t>
            </w:r>
          </w:p>
          <w:p w14:paraId="1987803C">
            <w:pPr>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③废包装袋：项目运行过程中会产生一定的废弃包装袋，预计产生量约为</w:t>
            </w:r>
            <w:r>
              <w:rPr>
                <w:rFonts w:hint="eastAsia" w:ascii="Times New Roman" w:hAnsi="Times New Roman" w:cs="Times New Roman"/>
                <w:b w:val="0"/>
                <w:bCs w:val="0"/>
                <w:color w:val="auto"/>
                <w:sz w:val="24"/>
                <w:szCs w:val="24"/>
                <w:lang w:val="en-US" w:eastAsia="zh-CN"/>
              </w:rPr>
              <w:t>0.05</w:t>
            </w:r>
            <w:r>
              <w:rPr>
                <w:rFonts w:hint="default" w:ascii="Times New Roman" w:hAnsi="Times New Roman" w:eastAsia="宋体" w:cs="Times New Roman"/>
                <w:b w:val="0"/>
                <w:bCs w:val="0"/>
                <w:color w:val="auto"/>
                <w:sz w:val="24"/>
                <w:szCs w:val="24"/>
              </w:rPr>
              <w:t>t/a，</w:t>
            </w:r>
            <w:r>
              <w:rPr>
                <w:rFonts w:hint="default" w:ascii="Times New Roman" w:hAnsi="Times New Roman" w:cs="Times New Roman"/>
                <w:b w:val="0"/>
                <w:bCs w:val="0"/>
                <w:color w:val="auto"/>
                <w:sz w:val="24"/>
                <w:szCs w:val="24"/>
                <w:lang w:eastAsia="zh-CN"/>
              </w:rPr>
              <w:t>由</w:t>
            </w:r>
            <w:r>
              <w:rPr>
                <w:rFonts w:hint="default" w:ascii="Times New Roman" w:hAnsi="Times New Roman" w:eastAsia="宋体" w:cs="Times New Roman"/>
                <w:b w:val="0"/>
                <w:bCs w:val="0"/>
                <w:color w:val="auto"/>
                <w:sz w:val="24"/>
                <w:szCs w:val="24"/>
              </w:rPr>
              <w:t>物资回收公司回收利用。</w:t>
            </w:r>
          </w:p>
          <w:p w14:paraId="700713AA">
            <w:pPr>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w:t>
            </w:r>
            <w:r>
              <w:rPr>
                <w:rFonts w:hint="eastAsia" w:ascii="Times New Roman" w:hAnsi="Times New Roman" w:cs="Times New Roman"/>
                <w:color w:val="auto"/>
                <w:kern w:val="0"/>
                <w:sz w:val="24"/>
                <w:lang w:val="en-US" w:eastAsia="zh-CN"/>
              </w:rPr>
              <w:t>2</w:t>
            </w:r>
            <w:r>
              <w:rPr>
                <w:rFonts w:hint="default" w:ascii="Times New Roman" w:hAnsi="Times New Roman" w:eastAsia="宋体" w:cs="Times New Roman"/>
                <w:color w:val="auto"/>
                <w:kern w:val="0"/>
                <w:sz w:val="24"/>
                <w:lang w:val="en-US" w:eastAsia="zh-CN"/>
              </w:rPr>
              <w:t>）生活垃圾</w:t>
            </w:r>
          </w:p>
          <w:p w14:paraId="3BC55930">
            <w:pPr>
              <w:snapToGrid w:val="0"/>
              <w:spacing w:line="360" w:lineRule="auto"/>
              <w:ind w:firstLine="480" w:firstLineChars="200"/>
              <w:rPr>
                <w:rFonts w:hint="eastAsia" w:ascii="Times New Roman" w:hAnsi="宋体"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本项目劳动定员1</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人，生活垃圾产</w:t>
            </w:r>
            <w:r>
              <w:rPr>
                <w:rFonts w:hint="default" w:ascii="Times New Roman" w:hAnsi="宋体" w:eastAsia="宋体" w:cs="Times New Roman"/>
                <w:color w:val="auto"/>
                <w:sz w:val="24"/>
                <w:lang w:val="en-US" w:eastAsia="zh-CN"/>
              </w:rPr>
              <w:t>生系数按</w:t>
            </w:r>
            <w:r>
              <w:rPr>
                <w:rFonts w:hint="eastAsia" w:ascii="Times New Roman" w:hAnsi="宋体" w:eastAsia="宋体" w:cs="Times New Roman"/>
                <w:color w:val="auto"/>
                <w:sz w:val="24"/>
                <w:lang w:val="en-US" w:eastAsia="zh-CN"/>
              </w:rPr>
              <w:t>0.5</w:t>
            </w:r>
            <w:r>
              <w:rPr>
                <w:rFonts w:hint="default" w:ascii="Times New Roman" w:hAnsi="宋体" w:eastAsia="宋体" w:cs="Times New Roman"/>
                <w:color w:val="auto"/>
                <w:sz w:val="24"/>
                <w:lang w:val="en-US" w:eastAsia="zh-CN"/>
              </w:rPr>
              <w:t>kg/（人·d）计，年工作日</w:t>
            </w:r>
            <w:r>
              <w:rPr>
                <w:rFonts w:hint="eastAsia" w:ascii="Times New Roman" w:hAnsi="宋体" w:eastAsia="宋体" w:cs="Times New Roman"/>
                <w:color w:val="auto"/>
                <w:sz w:val="24"/>
                <w:lang w:val="en-US" w:eastAsia="zh-CN"/>
              </w:rPr>
              <w:t>300</w:t>
            </w:r>
            <w:r>
              <w:rPr>
                <w:rFonts w:hint="default" w:ascii="Times New Roman" w:hAnsi="宋体" w:eastAsia="宋体" w:cs="Times New Roman"/>
                <w:color w:val="auto"/>
                <w:sz w:val="24"/>
                <w:lang w:val="en-US" w:eastAsia="zh-CN"/>
              </w:rPr>
              <w:t>天，生活垃圾产生量为</w:t>
            </w:r>
            <w:r>
              <w:rPr>
                <w:rFonts w:hint="eastAsia" w:hAnsi="宋体" w:cs="Times New Roman"/>
                <w:color w:val="auto"/>
                <w:sz w:val="24"/>
                <w:lang w:val="en-US" w:eastAsia="zh-CN"/>
              </w:rPr>
              <w:t>2.25</w:t>
            </w:r>
            <w:r>
              <w:rPr>
                <w:rFonts w:hint="default" w:ascii="Times New Roman" w:hAnsi="宋体" w:eastAsia="宋体" w:cs="Times New Roman"/>
                <w:color w:val="auto"/>
                <w:sz w:val="24"/>
                <w:lang w:val="en-US" w:eastAsia="zh-CN"/>
              </w:rPr>
              <w:t>t/a。</w:t>
            </w:r>
            <w:r>
              <w:rPr>
                <w:rFonts w:hint="eastAsia" w:ascii="Times New Roman" w:hAnsi="宋体" w:eastAsia="宋体" w:cs="Times New Roman"/>
                <w:color w:val="auto"/>
                <w:sz w:val="24"/>
                <w:lang w:val="en-US" w:eastAsia="zh-CN"/>
              </w:rPr>
              <w:t>厂区内统一收集后委托环卫部门清运。</w:t>
            </w:r>
          </w:p>
          <w:p w14:paraId="39B30017">
            <w:pPr>
              <w:snapToGrid w:val="0"/>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eastAsia="zh-CN"/>
              </w:rPr>
              <w:t>）危险废物</w:t>
            </w:r>
          </w:p>
          <w:p w14:paraId="0FDD4284">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 1 \* GB3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fldChar w:fldCharType="end"/>
            </w:r>
            <w:r>
              <w:rPr>
                <w:rFonts w:hint="default" w:ascii="Times New Roman" w:hAnsi="Times New Roman" w:eastAsia="宋体" w:cs="Times New Roman"/>
                <w:b w:val="0"/>
                <w:bCs w:val="0"/>
                <w:color w:val="auto"/>
                <w:sz w:val="24"/>
                <w:szCs w:val="24"/>
                <w:lang w:val="en-US" w:eastAsia="zh-CN"/>
              </w:rPr>
              <w:t>废润滑油：</w:t>
            </w:r>
            <w:r>
              <w:rPr>
                <w:rFonts w:hint="default" w:ascii="Times New Roman" w:hAnsi="Times New Roman" w:eastAsia="宋体" w:cs="Times New Roman"/>
                <w:b w:val="0"/>
                <w:bCs w:val="0"/>
                <w:color w:val="auto"/>
                <w:sz w:val="24"/>
                <w:szCs w:val="24"/>
              </w:rPr>
              <w:t>本项目在设备维修过程中</w:t>
            </w:r>
            <w:r>
              <w:rPr>
                <w:rFonts w:hint="eastAsia" w:ascii="Times New Roman" w:hAnsi="Times New Roman" w:cs="Times New Roman"/>
                <w:b w:val="0"/>
                <w:bCs w:val="0"/>
                <w:color w:val="auto"/>
                <w:sz w:val="24"/>
                <w:szCs w:val="24"/>
                <w:lang w:val="en-US" w:eastAsia="zh-CN"/>
              </w:rPr>
              <w:t>会产生废</w:t>
            </w:r>
            <w:r>
              <w:rPr>
                <w:rFonts w:hint="default" w:ascii="Times New Roman" w:hAnsi="Times New Roman" w:eastAsia="宋体" w:cs="Times New Roman"/>
                <w:b w:val="0"/>
                <w:bCs w:val="0"/>
                <w:color w:val="auto"/>
                <w:sz w:val="24"/>
                <w:szCs w:val="24"/>
                <w:lang w:eastAsia="zh-CN"/>
              </w:rPr>
              <w:t>润滑油</w:t>
            </w:r>
            <w:r>
              <w:rPr>
                <w:rFonts w:hint="default" w:ascii="Times New Roman" w:hAnsi="Times New Roman" w:eastAsia="宋体" w:cs="Times New Roman"/>
                <w:b w:val="0"/>
                <w:bCs w:val="0"/>
                <w:color w:val="auto"/>
                <w:sz w:val="24"/>
                <w:szCs w:val="24"/>
              </w:rPr>
              <w:t>，废</w:t>
            </w:r>
            <w:r>
              <w:rPr>
                <w:rFonts w:hint="default" w:ascii="Times New Roman" w:hAnsi="Times New Roman" w:eastAsia="宋体" w:cs="Times New Roman"/>
                <w:b w:val="0"/>
                <w:bCs w:val="0"/>
                <w:color w:val="auto"/>
                <w:sz w:val="24"/>
                <w:szCs w:val="24"/>
                <w:lang w:eastAsia="zh-CN"/>
              </w:rPr>
              <w:t>润滑油</w:t>
            </w:r>
            <w:r>
              <w:rPr>
                <w:rFonts w:hint="eastAsia" w:ascii="Times New Roman" w:hAnsi="Times New Roman" w:cs="Times New Roman"/>
                <w:b w:val="0"/>
                <w:bCs w:val="0"/>
                <w:color w:val="auto"/>
                <w:sz w:val="24"/>
                <w:szCs w:val="24"/>
                <w:lang w:val="en-US" w:eastAsia="zh-CN"/>
              </w:rPr>
              <w:t>产生量</w:t>
            </w:r>
            <w:r>
              <w:rPr>
                <w:rFonts w:hint="default" w:ascii="Times New Roman" w:hAnsi="Times New Roman" w:eastAsia="宋体" w:cs="Times New Roman"/>
                <w:b w:val="0"/>
                <w:bCs w:val="0"/>
                <w:color w:val="auto"/>
                <w:sz w:val="24"/>
                <w:szCs w:val="24"/>
              </w:rPr>
              <w:t>为</w:t>
            </w:r>
            <w:r>
              <w:rPr>
                <w:rFonts w:hint="default" w:ascii="Times New Roman" w:hAnsi="Times New Roman" w:eastAsia="TimesNewRomanPSMT" w:cs="Times New Roman"/>
                <w:b w:val="0"/>
                <w:bCs w:val="0"/>
                <w:color w:val="auto"/>
                <w:sz w:val="24"/>
                <w:szCs w:val="24"/>
              </w:rPr>
              <w:t>0.0</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TimesNewRomanPSMT" w:cs="Times New Roman"/>
                <w:b w:val="0"/>
                <w:bCs w:val="0"/>
                <w:color w:val="auto"/>
                <w:sz w:val="24"/>
                <w:szCs w:val="24"/>
              </w:rPr>
              <w:t>t/a</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 w:val="0"/>
                <w:bCs w:val="0"/>
                <w:color w:val="auto"/>
                <w:sz w:val="24"/>
                <w:szCs w:val="24"/>
              </w:rPr>
              <w:t>根据《国家危险废物名录》（</w:t>
            </w:r>
            <w:r>
              <w:rPr>
                <w:rFonts w:hint="default" w:ascii="Times New Roman" w:hAnsi="Times New Roman" w:eastAsia="TimesNewRomanPSMT" w:cs="Times New Roman"/>
                <w:b w:val="0"/>
                <w:bCs w:val="0"/>
                <w:color w:val="auto"/>
                <w:sz w:val="24"/>
                <w:szCs w:val="24"/>
              </w:rPr>
              <w:t>2025</w:t>
            </w:r>
            <w:r>
              <w:rPr>
                <w:rFonts w:hint="default" w:ascii="Times New Roman" w:hAnsi="Times New Roman" w:eastAsia="宋体" w:cs="Times New Roman"/>
                <w:b w:val="0"/>
                <w:bCs w:val="0"/>
                <w:color w:val="auto"/>
                <w:sz w:val="24"/>
                <w:szCs w:val="24"/>
              </w:rPr>
              <w:t>版）中废</w:t>
            </w:r>
            <w:r>
              <w:rPr>
                <w:rFonts w:hint="default" w:ascii="Times New Roman" w:hAnsi="Times New Roman" w:eastAsia="宋体" w:cs="Times New Roman"/>
                <w:b w:val="0"/>
                <w:bCs w:val="0"/>
                <w:color w:val="auto"/>
                <w:sz w:val="24"/>
                <w:szCs w:val="24"/>
                <w:lang w:eastAsia="zh-CN"/>
              </w:rPr>
              <w:t>润滑</w:t>
            </w:r>
            <w:r>
              <w:rPr>
                <w:rFonts w:hint="default" w:ascii="Times New Roman" w:hAnsi="Times New Roman" w:eastAsia="宋体" w:cs="Times New Roman"/>
                <w:b w:val="0"/>
                <w:bCs w:val="0"/>
                <w:color w:val="auto"/>
                <w:sz w:val="24"/>
                <w:szCs w:val="24"/>
              </w:rPr>
              <w:t>油属于</w:t>
            </w:r>
            <w:r>
              <w:rPr>
                <w:rFonts w:hint="eastAsia" w:ascii="Times New Roman" w:hAnsi="Times New Roman" w:cs="Times New Roman"/>
                <w:b w:val="0"/>
                <w:bCs w:val="0"/>
                <w:color w:val="auto"/>
                <w:sz w:val="24"/>
                <w:szCs w:val="24"/>
                <w:lang w:eastAsia="zh-CN"/>
              </w:rPr>
              <w:t>“</w:t>
            </w:r>
            <w:r>
              <w:rPr>
                <w:rFonts w:hint="default" w:ascii="Times New Roman" w:hAnsi="Times New Roman" w:eastAsia="TimesNewRomanPSMT" w:cs="Times New Roman"/>
                <w:b w:val="0"/>
                <w:bCs w:val="0"/>
                <w:color w:val="auto"/>
                <w:sz w:val="24"/>
                <w:szCs w:val="24"/>
              </w:rPr>
              <w:t xml:space="preserve">HW08 </w:t>
            </w:r>
            <w:r>
              <w:rPr>
                <w:rFonts w:hint="default" w:ascii="Times New Roman" w:hAnsi="Times New Roman" w:eastAsia="宋体" w:cs="Times New Roman"/>
                <w:b w:val="0"/>
                <w:bCs w:val="0"/>
                <w:color w:val="auto"/>
                <w:sz w:val="24"/>
                <w:szCs w:val="24"/>
              </w:rPr>
              <w:t>废矿物油与含矿物油废物</w:t>
            </w:r>
            <w:r>
              <w:rPr>
                <w:rFonts w:hint="eastAsia"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中的</w:t>
            </w:r>
            <w:r>
              <w:rPr>
                <w:rFonts w:hint="default" w:ascii="Times New Roman" w:hAnsi="Times New Roman" w:eastAsia="TimesNewRomanPSMT" w:cs="Times New Roman"/>
                <w:b w:val="0"/>
                <w:bCs w:val="0"/>
                <w:color w:val="auto"/>
                <w:sz w:val="24"/>
                <w:szCs w:val="24"/>
              </w:rPr>
              <w:t>“900-2</w:t>
            </w:r>
            <w:r>
              <w:rPr>
                <w:rFonts w:hint="default" w:ascii="Times New Roman" w:hAnsi="Times New Roman" w:eastAsia="宋体" w:cs="Times New Roman"/>
                <w:b w:val="0"/>
                <w:bCs w:val="0"/>
                <w:color w:val="auto"/>
                <w:sz w:val="24"/>
                <w:szCs w:val="24"/>
                <w:lang w:val="en-US" w:eastAsia="zh-CN"/>
              </w:rPr>
              <w:t>17</w:t>
            </w:r>
            <w:r>
              <w:rPr>
                <w:rFonts w:hint="default" w:ascii="Times New Roman" w:hAnsi="Times New Roman" w:eastAsia="TimesNewRomanPSMT" w:cs="Times New Roman"/>
                <w:b w:val="0"/>
                <w:bCs w:val="0"/>
                <w:color w:val="auto"/>
                <w:sz w:val="24"/>
                <w:szCs w:val="24"/>
              </w:rPr>
              <w:t xml:space="preserve">-08 </w:t>
            </w:r>
            <w:r>
              <w:rPr>
                <w:rFonts w:hint="default" w:ascii="Times New Roman" w:hAnsi="Times New Roman" w:eastAsia="宋体" w:cs="Times New Roman"/>
                <w:b w:val="0"/>
                <w:bCs w:val="0"/>
                <w:color w:val="auto"/>
                <w:sz w:val="24"/>
                <w:szCs w:val="24"/>
                <w:lang w:eastAsia="zh-CN"/>
              </w:rPr>
              <w:t>使用工业齿轮油进行机械设备润滑过程中产生的废润滑油</w:t>
            </w:r>
            <w:r>
              <w:rPr>
                <w:rFonts w:hint="default" w:ascii="Times New Roman" w:hAnsi="Times New Roman" w:eastAsia="TimesNewRomanPSMT" w:cs="Times New Roman"/>
                <w:b w:val="0"/>
                <w:bCs w:val="0"/>
                <w:color w:val="auto"/>
                <w:sz w:val="24"/>
                <w:szCs w:val="24"/>
              </w:rPr>
              <w:t>”</w:t>
            </w:r>
            <w:r>
              <w:rPr>
                <w:rFonts w:hint="default" w:ascii="Times New Roman" w:hAnsi="Times New Roman" w:eastAsia="宋体" w:cs="Times New Roman"/>
                <w:b w:val="0"/>
                <w:bCs w:val="0"/>
                <w:color w:val="auto"/>
                <w:sz w:val="24"/>
                <w:szCs w:val="24"/>
              </w:rPr>
              <w:t>，应交由具有相关危险废物处置资质的单位定期清运。</w:t>
            </w:r>
          </w:p>
          <w:p w14:paraId="11D6C805">
            <w:pPr>
              <w:pStyle w:val="30"/>
              <w:spacing w:line="360" w:lineRule="auto"/>
              <w:ind w:firstLine="480" w:firstLineChars="200"/>
              <w:rPr>
                <w:rFonts w:hint="default"/>
                <w:color w:val="auto"/>
                <w:lang w:val="en-US" w:eastAsia="zh-CN"/>
              </w:rPr>
            </w:pPr>
            <w:r>
              <w:rPr>
                <w:rFonts w:hint="default" w:ascii="Times New Roman" w:hAnsi="Times New Roman" w:eastAsia="宋体" w:cs="Times New Roman"/>
                <w:b w:val="0"/>
                <w:bCs w:val="0"/>
                <w:color w:val="auto"/>
                <w:sz w:val="24"/>
                <w:szCs w:val="24"/>
              </w:rPr>
              <w:t>②</w:t>
            </w:r>
            <w:r>
              <w:rPr>
                <w:rFonts w:hint="default" w:ascii="Times New Roman" w:hAnsi="Times New Roman" w:cs="Times New Roman"/>
                <w:color w:val="auto"/>
                <w:sz w:val="24"/>
                <w:lang w:val="en-US" w:eastAsia="zh-CN"/>
              </w:rPr>
              <w:t>含油废抹布、废手套</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 w:val="0"/>
                <w:bCs w:val="0"/>
                <w:color w:val="auto"/>
                <w:sz w:val="24"/>
                <w:szCs w:val="24"/>
              </w:rPr>
              <w:t>本项目设备维护过程中使用抹布擦拭溢出的废</w:t>
            </w:r>
            <w:r>
              <w:rPr>
                <w:rFonts w:hint="default" w:ascii="Times New Roman" w:hAnsi="Times New Roman" w:eastAsia="宋体" w:cs="Times New Roman"/>
                <w:b w:val="0"/>
                <w:bCs w:val="0"/>
                <w:color w:val="auto"/>
                <w:sz w:val="24"/>
                <w:szCs w:val="24"/>
                <w:lang w:eastAsia="zh-CN"/>
              </w:rPr>
              <w:t>润滑油</w:t>
            </w:r>
            <w:r>
              <w:rPr>
                <w:rFonts w:hint="default" w:ascii="Times New Roman" w:hAnsi="Times New Roman" w:eastAsia="宋体" w:cs="Times New Roman"/>
                <w:b w:val="0"/>
                <w:bCs w:val="0"/>
                <w:color w:val="auto"/>
                <w:sz w:val="24"/>
                <w:szCs w:val="24"/>
              </w:rPr>
              <w:t>，产生含油抹布</w:t>
            </w:r>
            <w:r>
              <w:rPr>
                <w:rFonts w:hint="default" w:ascii="Times New Roman" w:hAnsi="Times New Roman" w:eastAsia="宋体" w:cs="Times New Roman"/>
                <w:b w:val="0"/>
                <w:bCs w:val="0"/>
                <w:color w:val="auto"/>
                <w:sz w:val="24"/>
                <w:szCs w:val="24"/>
                <w:lang w:eastAsia="zh-CN"/>
              </w:rPr>
              <w:t>及手套</w:t>
            </w:r>
            <w:r>
              <w:rPr>
                <w:rFonts w:hint="default" w:ascii="Times New Roman" w:hAnsi="Times New Roman" w:eastAsia="宋体" w:cs="Times New Roman"/>
                <w:b w:val="0"/>
                <w:bCs w:val="0"/>
                <w:color w:val="auto"/>
                <w:sz w:val="24"/>
                <w:szCs w:val="24"/>
              </w:rPr>
              <w:t xml:space="preserve"> </w:t>
            </w:r>
            <w:r>
              <w:rPr>
                <w:rFonts w:hint="default" w:ascii="Times New Roman" w:hAnsi="Times New Roman" w:eastAsia="TimesNewRomanPSMT" w:cs="Times New Roman"/>
                <w:b w:val="0"/>
                <w:bCs w:val="0"/>
                <w:color w:val="auto"/>
                <w:sz w:val="24"/>
                <w:szCs w:val="24"/>
              </w:rPr>
              <w:t>0.0</w:t>
            </w:r>
            <w:r>
              <w:rPr>
                <w:rFonts w:hint="default" w:ascii="Times New Roman" w:hAnsi="Times New Roman" w:eastAsia="宋体" w:cs="Times New Roman"/>
                <w:b w:val="0"/>
                <w:bCs w:val="0"/>
                <w:color w:val="auto"/>
                <w:sz w:val="24"/>
                <w:szCs w:val="24"/>
                <w:lang w:val="en-US" w:eastAsia="zh-CN"/>
              </w:rPr>
              <w:t>0</w:t>
            </w:r>
            <w:r>
              <w:rPr>
                <w:rFonts w:hint="default" w:ascii="Times New Roman" w:hAnsi="Times New Roman" w:eastAsia="TimesNewRomanPSMT" w:cs="Times New Roman"/>
                <w:b w:val="0"/>
                <w:bCs w:val="0"/>
                <w:color w:val="auto"/>
                <w:sz w:val="24"/>
                <w:szCs w:val="24"/>
              </w:rPr>
              <w:t>1t/a</w:t>
            </w:r>
            <w:r>
              <w:rPr>
                <w:rFonts w:hint="default" w:ascii="Times New Roman" w:hAnsi="Times New Roman" w:eastAsia="宋体" w:cs="Times New Roman"/>
                <w:b w:val="0"/>
                <w:bCs w:val="0"/>
                <w:color w:val="auto"/>
                <w:sz w:val="24"/>
                <w:szCs w:val="24"/>
              </w:rPr>
              <w:t>。含油废抹布</w:t>
            </w:r>
            <w:r>
              <w:rPr>
                <w:rFonts w:hint="default" w:ascii="Times New Roman" w:hAnsi="Times New Roman" w:eastAsia="宋体" w:cs="Times New Roman"/>
                <w:b w:val="0"/>
                <w:bCs w:val="0"/>
                <w:color w:val="auto"/>
                <w:sz w:val="24"/>
                <w:szCs w:val="24"/>
                <w:lang w:eastAsia="zh-CN"/>
              </w:rPr>
              <w:t>、废手套</w:t>
            </w:r>
            <w:r>
              <w:rPr>
                <w:rFonts w:hint="default" w:ascii="Times New Roman" w:hAnsi="Times New Roman" w:eastAsia="宋体" w:cs="Times New Roman"/>
                <w:b w:val="0"/>
                <w:bCs w:val="0"/>
                <w:color w:val="auto"/>
                <w:sz w:val="24"/>
                <w:szCs w:val="24"/>
              </w:rPr>
              <w:t>属于《国家危险废物名录》（</w:t>
            </w:r>
            <w:r>
              <w:rPr>
                <w:rFonts w:hint="default" w:ascii="Times New Roman" w:hAnsi="Times New Roman" w:eastAsia="TimesNewRomanPSMT" w:cs="Times New Roman"/>
                <w:b w:val="0"/>
                <w:bCs w:val="0"/>
                <w:color w:val="auto"/>
                <w:sz w:val="24"/>
                <w:szCs w:val="24"/>
              </w:rPr>
              <w:t>2025</w:t>
            </w:r>
            <w:r>
              <w:rPr>
                <w:rFonts w:hint="default" w:ascii="Times New Roman" w:hAnsi="Times New Roman" w:eastAsia="宋体" w:cs="Times New Roman"/>
                <w:b w:val="0"/>
                <w:bCs w:val="0"/>
                <w:color w:val="auto"/>
                <w:sz w:val="24"/>
                <w:szCs w:val="24"/>
              </w:rPr>
              <w:t xml:space="preserve">版）中 </w:t>
            </w:r>
            <w:r>
              <w:rPr>
                <w:rFonts w:hint="default" w:ascii="Times New Roman" w:hAnsi="Times New Roman" w:eastAsia="TimesNewRomanPSMT" w:cs="Times New Roman"/>
                <w:b w:val="0"/>
                <w:bCs w:val="0"/>
                <w:color w:val="auto"/>
                <w:sz w:val="24"/>
                <w:szCs w:val="24"/>
              </w:rPr>
              <w:t>HW49</w:t>
            </w:r>
            <w:r>
              <w:rPr>
                <w:rFonts w:hint="default" w:ascii="Times New Roman" w:hAnsi="Times New Roman" w:eastAsia="宋体" w:cs="Times New Roman"/>
                <w:b w:val="0"/>
                <w:bCs w:val="0"/>
                <w:color w:val="auto"/>
                <w:sz w:val="24"/>
                <w:szCs w:val="24"/>
              </w:rPr>
              <w:t>其他废物类危险废物，代码为</w:t>
            </w:r>
            <w:r>
              <w:rPr>
                <w:rFonts w:hint="default" w:ascii="Times New Roman" w:hAnsi="Times New Roman" w:eastAsia="TimesNewRomanPSMT" w:cs="Times New Roman"/>
                <w:b w:val="0"/>
                <w:bCs w:val="0"/>
                <w:color w:val="auto"/>
                <w:sz w:val="24"/>
                <w:szCs w:val="24"/>
              </w:rPr>
              <w:t>900-041-49</w:t>
            </w:r>
            <w:r>
              <w:rPr>
                <w:rFonts w:hint="default" w:ascii="Times New Roman" w:hAnsi="Times New Roman" w:eastAsia="宋体" w:cs="Times New Roman"/>
                <w:b w:val="0"/>
                <w:bCs w:val="0"/>
                <w:color w:val="auto"/>
                <w:sz w:val="24"/>
                <w:szCs w:val="24"/>
              </w:rPr>
              <w:t>。建设单位须将该部分危险废物收集起来，定期交由有危险废物经营许可证的单位回收处置。</w:t>
            </w:r>
          </w:p>
          <w:p w14:paraId="06412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10</w:t>
            </w:r>
            <w:r>
              <w:rPr>
                <w:rFonts w:hint="default" w:ascii="Times New Roman" w:hAnsi="Times New Roman" w:cs="Times New Roman"/>
                <w:b/>
                <w:color w:val="auto"/>
                <w:szCs w:val="21"/>
              </w:rPr>
              <w:t xml:space="preserve">  建设项目</w:t>
            </w:r>
            <w:r>
              <w:rPr>
                <w:rFonts w:hint="eastAsia" w:ascii="Times New Roman" w:hAnsi="Times New Roman" w:cs="Times New Roman"/>
                <w:b/>
                <w:color w:val="auto"/>
                <w:szCs w:val="21"/>
                <w:lang w:val="en-US" w:eastAsia="zh-CN"/>
              </w:rPr>
              <w:t>固体废物</w:t>
            </w:r>
            <w:r>
              <w:rPr>
                <w:rFonts w:hint="eastAsia" w:cs="Times New Roman"/>
                <w:b/>
                <w:color w:val="auto"/>
                <w:szCs w:val="21"/>
                <w:lang w:val="en-US" w:eastAsia="zh-CN"/>
              </w:rPr>
              <w:t>产生情况</w:t>
            </w:r>
            <w:r>
              <w:rPr>
                <w:rFonts w:hint="default" w:ascii="Times New Roman" w:hAnsi="Times New Roman" w:cs="Times New Roman"/>
                <w:b/>
                <w:color w:val="auto"/>
                <w:szCs w:val="21"/>
              </w:rPr>
              <w:t>表</w:t>
            </w:r>
          </w:p>
          <w:tbl>
            <w:tblPr>
              <w:tblStyle w:val="46"/>
              <w:tblW w:w="84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80"/>
              <w:gridCol w:w="636"/>
              <w:gridCol w:w="816"/>
              <w:gridCol w:w="345"/>
              <w:gridCol w:w="854"/>
              <w:gridCol w:w="814"/>
              <w:gridCol w:w="2384"/>
              <w:gridCol w:w="814"/>
            </w:tblGrid>
            <w:tr w14:paraId="6854C8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80" w:type="dxa"/>
                  <w:tcBorders>
                    <w:left w:val="single" w:color="auto" w:sz="4" w:space="0"/>
                  </w:tcBorders>
                  <w:vAlign w:val="center"/>
                </w:tcPr>
                <w:p w14:paraId="1AF2A9DA">
                  <w:pPr>
                    <w:pStyle w:val="173"/>
                    <w:spacing w:line="310" w:lineRule="exact"/>
                    <w:ind w:left="-105" w:leftChars="-50" w:right="-105" w:rightChars="-50"/>
                    <w:rPr>
                      <w:b/>
                      <w:color w:val="auto"/>
                      <w:sz w:val="21"/>
                    </w:rPr>
                  </w:pPr>
                  <w:r>
                    <w:rPr>
                      <w:b/>
                      <w:color w:val="auto"/>
                      <w:sz w:val="21"/>
                    </w:rPr>
                    <w:t>序号</w:t>
                  </w:r>
                </w:p>
              </w:tc>
              <w:tc>
                <w:tcPr>
                  <w:tcW w:w="1080" w:type="dxa"/>
                  <w:vAlign w:val="center"/>
                </w:tcPr>
                <w:p w14:paraId="3D6A0CC2">
                  <w:pPr>
                    <w:pStyle w:val="173"/>
                    <w:spacing w:line="310" w:lineRule="exact"/>
                    <w:ind w:left="-105" w:leftChars="-50" w:right="-105" w:rightChars="-50"/>
                    <w:rPr>
                      <w:b/>
                      <w:color w:val="auto"/>
                      <w:sz w:val="21"/>
                    </w:rPr>
                  </w:pPr>
                  <w:r>
                    <w:rPr>
                      <w:b/>
                      <w:color w:val="auto"/>
                      <w:sz w:val="21"/>
                    </w:rPr>
                    <w:t>污染物名称</w:t>
                  </w:r>
                </w:p>
              </w:tc>
              <w:tc>
                <w:tcPr>
                  <w:tcW w:w="636" w:type="dxa"/>
                  <w:vAlign w:val="center"/>
                </w:tcPr>
                <w:p w14:paraId="11F5E112">
                  <w:pPr>
                    <w:pStyle w:val="173"/>
                    <w:spacing w:line="310" w:lineRule="exact"/>
                    <w:ind w:left="-105" w:leftChars="-50" w:right="-105" w:rightChars="-50"/>
                    <w:rPr>
                      <w:b/>
                      <w:color w:val="auto"/>
                      <w:sz w:val="21"/>
                    </w:rPr>
                  </w:pPr>
                  <w:r>
                    <w:rPr>
                      <w:b/>
                      <w:color w:val="auto"/>
                      <w:sz w:val="21"/>
                    </w:rPr>
                    <w:t>类别</w:t>
                  </w:r>
                </w:p>
              </w:tc>
              <w:tc>
                <w:tcPr>
                  <w:tcW w:w="816" w:type="dxa"/>
                  <w:vAlign w:val="center"/>
                </w:tcPr>
                <w:p w14:paraId="2E941DD8">
                  <w:pPr>
                    <w:pStyle w:val="173"/>
                    <w:spacing w:line="310" w:lineRule="exact"/>
                    <w:ind w:left="-105" w:leftChars="-50" w:right="-105" w:rightChars="-50"/>
                    <w:rPr>
                      <w:b/>
                      <w:color w:val="auto"/>
                      <w:sz w:val="21"/>
                    </w:rPr>
                  </w:pPr>
                  <w:r>
                    <w:rPr>
                      <w:b/>
                      <w:color w:val="auto"/>
                      <w:sz w:val="21"/>
                    </w:rPr>
                    <w:t>来源</w:t>
                  </w:r>
                </w:p>
              </w:tc>
              <w:tc>
                <w:tcPr>
                  <w:tcW w:w="345" w:type="dxa"/>
                  <w:vAlign w:val="center"/>
                </w:tcPr>
                <w:p w14:paraId="3DBFF8D2">
                  <w:pPr>
                    <w:pStyle w:val="173"/>
                    <w:spacing w:line="310" w:lineRule="exact"/>
                    <w:ind w:left="-105" w:leftChars="-50" w:right="-105" w:rightChars="-50"/>
                    <w:rPr>
                      <w:b/>
                      <w:color w:val="auto"/>
                      <w:sz w:val="21"/>
                    </w:rPr>
                  </w:pPr>
                  <w:r>
                    <w:rPr>
                      <w:b/>
                      <w:color w:val="auto"/>
                      <w:sz w:val="21"/>
                    </w:rPr>
                    <w:t>状态</w:t>
                  </w:r>
                </w:p>
              </w:tc>
              <w:tc>
                <w:tcPr>
                  <w:tcW w:w="854" w:type="dxa"/>
                  <w:vAlign w:val="center"/>
                </w:tcPr>
                <w:p w14:paraId="67476639">
                  <w:pPr>
                    <w:pStyle w:val="173"/>
                    <w:spacing w:line="310" w:lineRule="exact"/>
                    <w:ind w:left="-105" w:leftChars="-50" w:right="-105" w:rightChars="-50"/>
                    <w:rPr>
                      <w:b/>
                      <w:color w:val="auto"/>
                      <w:sz w:val="21"/>
                    </w:rPr>
                  </w:pPr>
                  <w:r>
                    <w:rPr>
                      <w:b/>
                      <w:color w:val="auto"/>
                      <w:sz w:val="21"/>
                    </w:rPr>
                    <w:t>存放地点</w:t>
                  </w:r>
                </w:p>
              </w:tc>
              <w:tc>
                <w:tcPr>
                  <w:tcW w:w="814" w:type="dxa"/>
                  <w:vAlign w:val="center"/>
                </w:tcPr>
                <w:p w14:paraId="09465155">
                  <w:pPr>
                    <w:pStyle w:val="173"/>
                    <w:spacing w:line="310" w:lineRule="exact"/>
                    <w:ind w:left="-105" w:leftChars="-50" w:right="-105" w:rightChars="-50"/>
                    <w:rPr>
                      <w:b/>
                      <w:color w:val="auto"/>
                      <w:sz w:val="21"/>
                    </w:rPr>
                  </w:pPr>
                  <w:r>
                    <w:rPr>
                      <w:b/>
                      <w:color w:val="auto"/>
                      <w:sz w:val="21"/>
                    </w:rPr>
                    <w:t>产生量</w:t>
                  </w:r>
                  <w:r>
                    <w:rPr>
                      <w:rFonts w:hint="eastAsia"/>
                      <w:b/>
                      <w:color w:val="auto"/>
                      <w:szCs w:val="21"/>
                    </w:rPr>
                    <w:t>（t/a）</w:t>
                  </w:r>
                </w:p>
              </w:tc>
              <w:tc>
                <w:tcPr>
                  <w:tcW w:w="2384" w:type="dxa"/>
                  <w:vAlign w:val="center"/>
                </w:tcPr>
                <w:p w14:paraId="35E57AEE">
                  <w:pPr>
                    <w:pStyle w:val="173"/>
                    <w:spacing w:line="310" w:lineRule="exact"/>
                    <w:ind w:left="-105" w:leftChars="-50" w:right="-105" w:rightChars="-50"/>
                    <w:rPr>
                      <w:b/>
                      <w:color w:val="auto"/>
                      <w:sz w:val="21"/>
                    </w:rPr>
                  </w:pPr>
                  <w:r>
                    <w:rPr>
                      <w:b/>
                      <w:color w:val="auto"/>
                      <w:sz w:val="21"/>
                    </w:rPr>
                    <w:t>处置方式</w:t>
                  </w:r>
                </w:p>
              </w:tc>
              <w:tc>
                <w:tcPr>
                  <w:tcW w:w="814" w:type="dxa"/>
                  <w:tcBorders>
                    <w:right w:val="single" w:color="auto" w:sz="4" w:space="0"/>
                  </w:tcBorders>
                  <w:vAlign w:val="center"/>
                </w:tcPr>
                <w:p w14:paraId="154AAA9E">
                  <w:pPr>
                    <w:pStyle w:val="173"/>
                    <w:spacing w:line="310" w:lineRule="exact"/>
                    <w:ind w:left="-105" w:leftChars="-50" w:right="-105" w:rightChars="-50"/>
                    <w:rPr>
                      <w:b/>
                      <w:color w:val="auto"/>
                      <w:sz w:val="21"/>
                    </w:rPr>
                  </w:pPr>
                  <w:r>
                    <w:rPr>
                      <w:b/>
                      <w:color w:val="auto"/>
                      <w:sz w:val="21"/>
                    </w:rPr>
                    <w:t>排放量</w:t>
                  </w:r>
                  <w:r>
                    <w:rPr>
                      <w:rFonts w:hint="eastAsia"/>
                      <w:b/>
                      <w:color w:val="auto"/>
                      <w:szCs w:val="21"/>
                    </w:rPr>
                    <w:t>（t/a）</w:t>
                  </w:r>
                </w:p>
              </w:tc>
            </w:tr>
            <w:tr w14:paraId="1BD0E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80" w:type="dxa"/>
                  <w:tcBorders>
                    <w:left w:val="single" w:color="auto" w:sz="4" w:space="0"/>
                  </w:tcBorders>
                  <w:vAlign w:val="center"/>
                </w:tcPr>
                <w:p w14:paraId="71092867">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1</w:t>
                  </w:r>
                </w:p>
              </w:tc>
              <w:tc>
                <w:tcPr>
                  <w:tcW w:w="1080" w:type="dxa"/>
                  <w:vAlign w:val="center"/>
                </w:tcPr>
                <w:p w14:paraId="57BC76E9">
                  <w:pPr>
                    <w:spacing w:line="310" w:lineRule="exact"/>
                    <w:ind w:left="-63" w:leftChars="-30" w:right="-63" w:rightChars="-30"/>
                    <w:jc w:val="center"/>
                    <w:rPr>
                      <w:rFonts w:ascii="Times New Roman" w:hAnsi="Times New Roman"/>
                      <w:color w:val="auto"/>
                      <w:szCs w:val="21"/>
                    </w:rPr>
                  </w:pPr>
                  <w:r>
                    <w:rPr>
                      <w:rFonts w:ascii="Times New Roman" w:hAnsi="Times New Roman"/>
                      <w:color w:val="auto"/>
                      <w:szCs w:val="21"/>
                    </w:rPr>
                    <w:t>砂石杂质</w:t>
                  </w:r>
                </w:p>
              </w:tc>
              <w:tc>
                <w:tcPr>
                  <w:tcW w:w="636" w:type="dxa"/>
                  <w:vMerge w:val="restart"/>
                  <w:vAlign w:val="center"/>
                </w:tcPr>
                <w:p w14:paraId="554F6AE0">
                  <w:pPr>
                    <w:spacing w:line="310" w:lineRule="exact"/>
                    <w:ind w:left="-63" w:leftChars="-30" w:right="-63" w:rightChars="-30"/>
                    <w:jc w:val="center"/>
                    <w:rPr>
                      <w:rFonts w:hint="eastAsia" w:ascii="Times New Roman" w:hAnsi="Times New Roman" w:eastAsia="宋体"/>
                      <w:color w:val="auto"/>
                      <w:szCs w:val="21"/>
                      <w:lang w:eastAsia="zh-CN"/>
                    </w:rPr>
                  </w:pPr>
                  <w:r>
                    <w:rPr>
                      <w:rFonts w:hint="eastAsia"/>
                      <w:color w:val="auto"/>
                      <w:szCs w:val="21"/>
                      <w:lang w:eastAsia="zh-CN"/>
                    </w:rPr>
                    <w:t>一般固废</w:t>
                  </w:r>
                </w:p>
              </w:tc>
              <w:tc>
                <w:tcPr>
                  <w:tcW w:w="816" w:type="dxa"/>
                  <w:vAlign w:val="center"/>
                </w:tcPr>
                <w:p w14:paraId="581EF0DB">
                  <w:pPr>
                    <w:pStyle w:val="173"/>
                    <w:spacing w:line="310" w:lineRule="exact"/>
                    <w:ind w:left="-105" w:leftChars="-50" w:right="-105" w:rightChars="-50"/>
                    <w:rPr>
                      <w:color w:val="auto"/>
                      <w:sz w:val="21"/>
                    </w:rPr>
                  </w:pPr>
                  <w:r>
                    <w:rPr>
                      <w:rFonts w:hint="eastAsia"/>
                      <w:color w:val="auto"/>
                      <w:sz w:val="21"/>
                      <w:lang w:eastAsia="zh-CN"/>
                    </w:rPr>
                    <w:t>清理、</w:t>
                  </w:r>
                  <w:r>
                    <w:rPr>
                      <w:color w:val="auto"/>
                      <w:sz w:val="21"/>
                    </w:rPr>
                    <w:t>去石</w:t>
                  </w:r>
                </w:p>
              </w:tc>
              <w:tc>
                <w:tcPr>
                  <w:tcW w:w="345" w:type="dxa"/>
                  <w:vAlign w:val="center"/>
                </w:tcPr>
                <w:p w14:paraId="12CC4FDE">
                  <w:pPr>
                    <w:pStyle w:val="173"/>
                    <w:spacing w:line="310" w:lineRule="exact"/>
                    <w:ind w:left="-105" w:leftChars="-50" w:right="-105" w:rightChars="-50"/>
                    <w:rPr>
                      <w:color w:val="auto"/>
                      <w:sz w:val="21"/>
                    </w:rPr>
                  </w:pPr>
                  <w:r>
                    <w:rPr>
                      <w:color w:val="auto"/>
                      <w:sz w:val="21"/>
                    </w:rPr>
                    <w:t>固态</w:t>
                  </w:r>
                </w:p>
              </w:tc>
              <w:tc>
                <w:tcPr>
                  <w:tcW w:w="854" w:type="dxa"/>
                  <w:vMerge w:val="restart"/>
                  <w:vAlign w:val="center"/>
                </w:tcPr>
                <w:p w14:paraId="3B8AF394">
                  <w:pPr>
                    <w:pStyle w:val="173"/>
                    <w:spacing w:line="310" w:lineRule="exact"/>
                    <w:ind w:left="-105" w:leftChars="-50" w:right="-105" w:rightChars="-50"/>
                    <w:rPr>
                      <w:rFonts w:hint="default" w:eastAsia="宋体"/>
                      <w:color w:val="auto"/>
                      <w:sz w:val="21"/>
                      <w:lang w:val="en-US" w:eastAsia="zh-CN"/>
                    </w:rPr>
                  </w:pPr>
                  <w:r>
                    <w:rPr>
                      <w:rFonts w:hint="eastAsia"/>
                      <w:color w:val="auto"/>
                      <w:sz w:val="21"/>
                      <w:lang w:val="en-US" w:eastAsia="zh-CN"/>
                    </w:rPr>
                    <w:t>一般固废堆场</w:t>
                  </w:r>
                </w:p>
              </w:tc>
              <w:tc>
                <w:tcPr>
                  <w:tcW w:w="814" w:type="dxa"/>
                  <w:vAlign w:val="center"/>
                </w:tcPr>
                <w:p w14:paraId="3B8E383F">
                  <w:pPr>
                    <w:pStyle w:val="173"/>
                    <w:spacing w:line="310" w:lineRule="exact"/>
                    <w:ind w:left="-105" w:leftChars="-50" w:right="-105" w:rightChars="-50"/>
                    <w:rPr>
                      <w:rFonts w:hint="default" w:eastAsia="宋体"/>
                      <w:color w:val="auto"/>
                      <w:sz w:val="21"/>
                      <w:szCs w:val="21"/>
                      <w:lang w:val="en-US" w:eastAsia="zh-CN"/>
                    </w:rPr>
                  </w:pPr>
                  <w:r>
                    <w:rPr>
                      <w:rFonts w:hint="eastAsia"/>
                      <w:color w:val="auto"/>
                      <w:sz w:val="21"/>
                      <w:szCs w:val="21"/>
                      <w:lang w:val="en-US" w:eastAsia="zh-CN"/>
                    </w:rPr>
                    <w:t>0.96</w:t>
                  </w:r>
                </w:p>
              </w:tc>
              <w:tc>
                <w:tcPr>
                  <w:tcW w:w="2384" w:type="dxa"/>
                  <w:vAlign w:val="center"/>
                </w:tcPr>
                <w:p w14:paraId="6660A5A0">
                  <w:pPr>
                    <w:pStyle w:val="173"/>
                    <w:spacing w:line="310" w:lineRule="exact"/>
                    <w:ind w:left="-105" w:leftChars="-50" w:right="-105" w:rightChars="-50"/>
                    <w:rPr>
                      <w:rFonts w:hint="eastAsia" w:eastAsia="宋体"/>
                      <w:bCs/>
                      <w:color w:val="auto"/>
                      <w:sz w:val="21"/>
                      <w:lang w:val="en-US" w:eastAsia="zh-CN"/>
                    </w:rPr>
                  </w:pPr>
                  <w:r>
                    <w:rPr>
                      <w:color w:val="auto"/>
                      <w:sz w:val="21"/>
                    </w:rPr>
                    <w:t>委托</w:t>
                  </w:r>
                  <w:r>
                    <w:rPr>
                      <w:bCs/>
                      <w:color w:val="auto"/>
                      <w:sz w:val="21"/>
                    </w:rPr>
                    <w:t>环卫部门</w:t>
                  </w:r>
                  <w:r>
                    <w:rPr>
                      <w:rFonts w:hint="eastAsia"/>
                      <w:bCs/>
                      <w:color w:val="auto"/>
                      <w:sz w:val="21"/>
                      <w:lang w:val="en-US" w:eastAsia="zh-CN"/>
                    </w:rPr>
                    <w:t>清运</w:t>
                  </w:r>
                </w:p>
              </w:tc>
              <w:tc>
                <w:tcPr>
                  <w:tcW w:w="814" w:type="dxa"/>
                  <w:tcBorders>
                    <w:right w:val="single" w:color="auto" w:sz="4" w:space="0"/>
                  </w:tcBorders>
                  <w:vAlign w:val="center"/>
                </w:tcPr>
                <w:p w14:paraId="4C378B55">
                  <w:pPr>
                    <w:pStyle w:val="173"/>
                    <w:spacing w:line="310" w:lineRule="exact"/>
                    <w:ind w:left="-105" w:leftChars="-50" w:right="-105" w:rightChars="-50"/>
                    <w:rPr>
                      <w:color w:val="auto"/>
                      <w:sz w:val="21"/>
                    </w:rPr>
                  </w:pPr>
                  <w:r>
                    <w:rPr>
                      <w:color w:val="auto"/>
                      <w:sz w:val="21"/>
                    </w:rPr>
                    <w:t>0</w:t>
                  </w:r>
                </w:p>
              </w:tc>
            </w:tr>
            <w:tr w14:paraId="7282F7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80" w:type="dxa"/>
                  <w:tcBorders>
                    <w:left w:val="single" w:color="auto" w:sz="4" w:space="0"/>
                  </w:tcBorders>
                  <w:vAlign w:val="center"/>
                </w:tcPr>
                <w:p w14:paraId="2219C555">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2</w:t>
                  </w:r>
                </w:p>
              </w:tc>
              <w:tc>
                <w:tcPr>
                  <w:tcW w:w="1080" w:type="dxa"/>
                  <w:vAlign w:val="center"/>
                </w:tcPr>
                <w:p w14:paraId="491C46E3">
                  <w:pPr>
                    <w:spacing w:line="310" w:lineRule="exact"/>
                    <w:ind w:left="-63" w:leftChars="-30" w:right="-63" w:rightChars="-30"/>
                    <w:jc w:val="center"/>
                    <w:rPr>
                      <w:rFonts w:ascii="Times New Roman" w:hAnsi="Times New Roman"/>
                      <w:color w:val="auto"/>
                      <w:szCs w:val="21"/>
                    </w:rPr>
                  </w:pPr>
                  <w:r>
                    <w:rPr>
                      <w:rFonts w:hint="eastAsia" w:ascii="Times New Roman" w:hAnsi="Times New Roman"/>
                      <w:color w:val="auto"/>
                      <w:szCs w:val="21"/>
                    </w:rPr>
                    <w:t>除尘器收集粉尘</w:t>
                  </w:r>
                </w:p>
              </w:tc>
              <w:tc>
                <w:tcPr>
                  <w:tcW w:w="636" w:type="dxa"/>
                  <w:vMerge w:val="continue"/>
                  <w:vAlign w:val="center"/>
                </w:tcPr>
                <w:p w14:paraId="1EEFE975">
                  <w:pPr>
                    <w:spacing w:line="310" w:lineRule="exact"/>
                    <w:ind w:left="-63" w:leftChars="-30" w:right="-63" w:rightChars="-30"/>
                    <w:jc w:val="center"/>
                    <w:rPr>
                      <w:rFonts w:ascii="Times New Roman" w:hAnsi="Times New Roman"/>
                      <w:color w:val="auto"/>
                      <w:szCs w:val="21"/>
                    </w:rPr>
                  </w:pPr>
                </w:p>
              </w:tc>
              <w:tc>
                <w:tcPr>
                  <w:tcW w:w="816" w:type="dxa"/>
                  <w:vAlign w:val="center"/>
                </w:tcPr>
                <w:p w14:paraId="017DB5E1">
                  <w:pPr>
                    <w:pStyle w:val="173"/>
                    <w:spacing w:line="310" w:lineRule="exact"/>
                    <w:ind w:left="-105" w:leftChars="-50" w:right="-105" w:rightChars="-50"/>
                    <w:rPr>
                      <w:color w:val="auto"/>
                      <w:sz w:val="21"/>
                    </w:rPr>
                  </w:pPr>
                  <w:r>
                    <w:rPr>
                      <w:rFonts w:hint="eastAsia"/>
                      <w:color w:val="auto"/>
                      <w:sz w:val="21"/>
                    </w:rPr>
                    <w:t>废气处理装置</w:t>
                  </w:r>
                </w:p>
              </w:tc>
              <w:tc>
                <w:tcPr>
                  <w:tcW w:w="345" w:type="dxa"/>
                  <w:vAlign w:val="center"/>
                </w:tcPr>
                <w:p w14:paraId="06FE9983">
                  <w:pPr>
                    <w:pStyle w:val="173"/>
                    <w:spacing w:line="310" w:lineRule="exact"/>
                    <w:ind w:left="-105" w:leftChars="-50" w:right="-105" w:rightChars="-50"/>
                    <w:rPr>
                      <w:color w:val="auto"/>
                      <w:sz w:val="21"/>
                    </w:rPr>
                  </w:pPr>
                  <w:r>
                    <w:rPr>
                      <w:color w:val="auto"/>
                      <w:sz w:val="21"/>
                    </w:rPr>
                    <w:t>固态</w:t>
                  </w:r>
                </w:p>
              </w:tc>
              <w:tc>
                <w:tcPr>
                  <w:tcW w:w="854" w:type="dxa"/>
                  <w:vMerge w:val="continue"/>
                  <w:vAlign w:val="center"/>
                </w:tcPr>
                <w:p w14:paraId="6AEBA755">
                  <w:pPr>
                    <w:pStyle w:val="173"/>
                    <w:spacing w:line="310" w:lineRule="exact"/>
                    <w:ind w:left="-105" w:leftChars="-50" w:right="-105" w:rightChars="-50"/>
                    <w:rPr>
                      <w:color w:val="auto"/>
                      <w:sz w:val="21"/>
                    </w:rPr>
                  </w:pPr>
                </w:p>
              </w:tc>
              <w:tc>
                <w:tcPr>
                  <w:tcW w:w="814" w:type="dxa"/>
                  <w:vAlign w:val="center"/>
                </w:tcPr>
                <w:p w14:paraId="2461AA3D">
                  <w:pPr>
                    <w:pStyle w:val="173"/>
                    <w:spacing w:line="310" w:lineRule="exact"/>
                    <w:ind w:left="-105" w:leftChars="-50" w:right="-105" w:rightChars="-50"/>
                    <w:rPr>
                      <w:rFonts w:hint="default" w:eastAsia="宋体"/>
                      <w:color w:val="auto"/>
                      <w:sz w:val="21"/>
                      <w:szCs w:val="21"/>
                      <w:lang w:val="en-US" w:eastAsia="zh-CN"/>
                    </w:rPr>
                  </w:pPr>
                  <w:r>
                    <w:rPr>
                      <w:rFonts w:hint="default" w:eastAsia="宋体"/>
                      <w:color w:val="auto"/>
                      <w:sz w:val="21"/>
                      <w:szCs w:val="21"/>
                      <w:lang w:val="en-US" w:eastAsia="zh-CN"/>
                    </w:rPr>
                    <w:t>5.4374</w:t>
                  </w:r>
                </w:p>
              </w:tc>
              <w:tc>
                <w:tcPr>
                  <w:tcW w:w="2384" w:type="dxa"/>
                  <w:vAlign w:val="center"/>
                </w:tcPr>
                <w:p w14:paraId="7AF56CBB">
                  <w:pPr>
                    <w:pStyle w:val="173"/>
                    <w:spacing w:line="310" w:lineRule="exact"/>
                    <w:ind w:left="-105" w:leftChars="-50" w:right="-105" w:rightChars="-50"/>
                    <w:rPr>
                      <w:color w:val="auto"/>
                      <w:sz w:val="21"/>
                    </w:rPr>
                  </w:pPr>
                  <w:r>
                    <w:rPr>
                      <w:rFonts w:hint="eastAsia"/>
                      <w:color w:val="auto"/>
                      <w:sz w:val="21"/>
                    </w:rPr>
                    <w:t>外售综合利用</w:t>
                  </w:r>
                </w:p>
              </w:tc>
              <w:tc>
                <w:tcPr>
                  <w:tcW w:w="814" w:type="dxa"/>
                  <w:tcBorders>
                    <w:right w:val="single" w:color="auto" w:sz="4" w:space="0"/>
                  </w:tcBorders>
                  <w:vAlign w:val="center"/>
                </w:tcPr>
                <w:p w14:paraId="4EC46C48">
                  <w:pPr>
                    <w:pStyle w:val="173"/>
                    <w:spacing w:line="310" w:lineRule="exact"/>
                    <w:ind w:left="-105" w:leftChars="-50" w:right="-105" w:rightChars="-50"/>
                    <w:rPr>
                      <w:color w:val="auto"/>
                      <w:sz w:val="21"/>
                    </w:rPr>
                  </w:pPr>
                  <w:r>
                    <w:rPr>
                      <w:color w:val="auto"/>
                      <w:sz w:val="21"/>
                    </w:rPr>
                    <w:t>0</w:t>
                  </w:r>
                </w:p>
              </w:tc>
            </w:tr>
            <w:tr w14:paraId="248C22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80" w:type="dxa"/>
                  <w:tcBorders>
                    <w:left w:val="single" w:color="auto" w:sz="4" w:space="0"/>
                  </w:tcBorders>
                  <w:shd w:val="clear" w:color="auto" w:fill="auto"/>
                  <w:vAlign w:val="center"/>
                </w:tcPr>
                <w:p w14:paraId="5C630E07">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3</w:t>
                  </w:r>
                </w:p>
              </w:tc>
              <w:tc>
                <w:tcPr>
                  <w:tcW w:w="1080" w:type="dxa"/>
                  <w:vAlign w:val="center"/>
                </w:tcPr>
                <w:p w14:paraId="37AE338C">
                  <w:pPr>
                    <w:spacing w:line="310" w:lineRule="exact"/>
                    <w:ind w:left="-63" w:leftChars="-30" w:right="-63" w:rightChars="-30"/>
                    <w:jc w:val="center"/>
                    <w:rPr>
                      <w:rFonts w:ascii="Times New Roman" w:hAnsi="Times New Roman"/>
                      <w:color w:val="auto"/>
                      <w:szCs w:val="21"/>
                    </w:rPr>
                  </w:pPr>
                  <w:r>
                    <w:rPr>
                      <w:rFonts w:hint="eastAsia" w:ascii="Times New Roman" w:hAnsi="Times New Roman"/>
                      <w:color w:val="auto"/>
                      <w:szCs w:val="21"/>
                    </w:rPr>
                    <w:t>废包装袋</w:t>
                  </w:r>
                </w:p>
              </w:tc>
              <w:tc>
                <w:tcPr>
                  <w:tcW w:w="636" w:type="dxa"/>
                  <w:vMerge w:val="continue"/>
                  <w:vAlign w:val="center"/>
                </w:tcPr>
                <w:p w14:paraId="06ADB78F">
                  <w:pPr>
                    <w:spacing w:line="310" w:lineRule="exact"/>
                    <w:ind w:left="-63" w:leftChars="-30" w:right="-63" w:rightChars="-30"/>
                    <w:jc w:val="center"/>
                    <w:rPr>
                      <w:rFonts w:ascii="Times New Roman" w:hAnsi="Times New Roman"/>
                      <w:color w:val="auto"/>
                      <w:szCs w:val="21"/>
                    </w:rPr>
                  </w:pPr>
                </w:p>
              </w:tc>
              <w:tc>
                <w:tcPr>
                  <w:tcW w:w="816" w:type="dxa"/>
                  <w:vAlign w:val="center"/>
                </w:tcPr>
                <w:p w14:paraId="292B7818">
                  <w:pPr>
                    <w:pStyle w:val="173"/>
                    <w:spacing w:line="310" w:lineRule="exact"/>
                    <w:ind w:left="-105" w:leftChars="-50" w:right="-105" w:rightChars="-50"/>
                    <w:rPr>
                      <w:color w:val="auto"/>
                      <w:sz w:val="21"/>
                    </w:rPr>
                  </w:pPr>
                  <w:r>
                    <w:rPr>
                      <w:rFonts w:hint="eastAsia"/>
                      <w:color w:val="auto"/>
                      <w:sz w:val="21"/>
                    </w:rPr>
                    <w:t>产品包装</w:t>
                  </w:r>
                </w:p>
              </w:tc>
              <w:tc>
                <w:tcPr>
                  <w:tcW w:w="345" w:type="dxa"/>
                  <w:vAlign w:val="center"/>
                </w:tcPr>
                <w:p w14:paraId="7FC35366">
                  <w:pPr>
                    <w:pStyle w:val="173"/>
                    <w:spacing w:line="310" w:lineRule="exact"/>
                    <w:ind w:left="-105" w:leftChars="-50" w:right="-105" w:rightChars="-50"/>
                    <w:rPr>
                      <w:color w:val="auto"/>
                      <w:sz w:val="21"/>
                    </w:rPr>
                  </w:pPr>
                  <w:r>
                    <w:rPr>
                      <w:rFonts w:hint="eastAsia"/>
                      <w:color w:val="auto"/>
                      <w:sz w:val="21"/>
                    </w:rPr>
                    <w:t>固态</w:t>
                  </w:r>
                </w:p>
              </w:tc>
              <w:tc>
                <w:tcPr>
                  <w:tcW w:w="854" w:type="dxa"/>
                  <w:vMerge w:val="continue"/>
                  <w:vAlign w:val="center"/>
                </w:tcPr>
                <w:p w14:paraId="5EAEEA00">
                  <w:pPr>
                    <w:pStyle w:val="173"/>
                    <w:spacing w:line="310" w:lineRule="exact"/>
                    <w:ind w:left="-105" w:leftChars="-50" w:right="-105" w:rightChars="-50"/>
                    <w:rPr>
                      <w:color w:val="auto"/>
                      <w:sz w:val="21"/>
                    </w:rPr>
                  </w:pPr>
                </w:p>
              </w:tc>
              <w:tc>
                <w:tcPr>
                  <w:tcW w:w="814" w:type="dxa"/>
                  <w:vAlign w:val="center"/>
                </w:tcPr>
                <w:p w14:paraId="6ECDC9AB">
                  <w:pPr>
                    <w:pStyle w:val="173"/>
                    <w:spacing w:line="310" w:lineRule="exact"/>
                    <w:ind w:left="-105" w:leftChars="-50" w:right="-105" w:rightChars="-50"/>
                    <w:rPr>
                      <w:rFonts w:hint="default" w:eastAsia="宋体"/>
                      <w:color w:val="auto"/>
                      <w:sz w:val="21"/>
                      <w:szCs w:val="21"/>
                      <w:lang w:val="en-US" w:eastAsia="zh-CN"/>
                    </w:rPr>
                  </w:pPr>
                  <w:r>
                    <w:rPr>
                      <w:rFonts w:hint="eastAsia"/>
                      <w:color w:val="auto"/>
                      <w:sz w:val="21"/>
                      <w:szCs w:val="21"/>
                      <w:lang w:val="en-US" w:eastAsia="zh-CN"/>
                    </w:rPr>
                    <w:t>0.05</w:t>
                  </w:r>
                </w:p>
              </w:tc>
              <w:tc>
                <w:tcPr>
                  <w:tcW w:w="2384" w:type="dxa"/>
                  <w:vAlign w:val="center"/>
                </w:tcPr>
                <w:p w14:paraId="6D0B61D9">
                  <w:pPr>
                    <w:pStyle w:val="173"/>
                    <w:spacing w:line="310" w:lineRule="exact"/>
                    <w:ind w:left="-105" w:leftChars="-50" w:right="-105" w:rightChars="-50"/>
                    <w:rPr>
                      <w:bCs/>
                      <w:color w:val="auto"/>
                      <w:sz w:val="21"/>
                    </w:rPr>
                  </w:pPr>
                  <w:r>
                    <w:rPr>
                      <w:rFonts w:hint="eastAsia"/>
                      <w:bCs/>
                      <w:color w:val="auto"/>
                      <w:sz w:val="21"/>
                    </w:rPr>
                    <w:t>物资回收公司回收综合利用</w:t>
                  </w:r>
                </w:p>
              </w:tc>
              <w:tc>
                <w:tcPr>
                  <w:tcW w:w="814" w:type="dxa"/>
                  <w:tcBorders>
                    <w:right w:val="single" w:color="auto" w:sz="4" w:space="0"/>
                  </w:tcBorders>
                  <w:vAlign w:val="center"/>
                </w:tcPr>
                <w:p w14:paraId="663E01BA">
                  <w:pPr>
                    <w:pStyle w:val="173"/>
                    <w:spacing w:line="310" w:lineRule="exact"/>
                    <w:ind w:left="-105" w:leftChars="-50" w:right="-105" w:rightChars="-50"/>
                    <w:rPr>
                      <w:color w:val="auto"/>
                      <w:sz w:val="21"/>
                    </w:rPr>
                  </w:pPr>
                  <w:r>
                    <w:rPr>
                      <w:rFonts w:hint="eastAsia"/>
                      <w:color w:val="auto"/>
                      <w:sz w:val="21"/>
                    </w:rPr>
                    <w:t>0</w:t>
                  </w:r>
                </w:p>
              </w:tc>
            </w:tr>
            <w:tr w14:paraId="6D0001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80" w:type="dxa"/>
                  <w:tcBorders>
                    <w:left w:val="single" w:color="auto" w:sz="4" w:space="0"/>
                  </w:tcBorders>
                  <w:shd w:val="clear" w:color="auto" w:fill="auto"/>
                  <w:vAlign w:val="center"/>
                </w:tcPr>
                <w:p w14:paraId="754CBF6C">
                  <w:pPr>
                    <w:pStyle w:val="173"/>
                    <w:spacing w:line="310" w:lineRule="exact"/>
                    <w:ind w:left="-105" w:leftChars="-50" w:right="-105" w:rightChars="-50"/>
                    <w:rPr>
                      <w:rFonts w:hint="default" w:eastAsia="宋体"/>
                      <w:color w:val="auto"/>
                      <w:sz w:val="21"/>
                      <w:lang w:val="en-US" w:eastAsia="zh-CN"/>
                    </w:rPr>
                  </w:pPr>
                  <w:r>
                    <w:rPr>
                      <w:rFonts w:hint="eastAsia"/>
                      <w:color w:val="auto"/>
                      <w:sz w:val="21"/>
                      <w:lang w:val="en-US" w:eastAsia="zh-CN"/>
                    </w:rPr>
                    <w:t>4</w:t>
                  </w:r>
                </w:p>
              </w:tc>
              <w:tc>
                <w:tcPr>
                  <w:tcW w:w="1080" w:type="dxa"/>
                  <w:shd w:val="clear" w:color="auto" w:fill="auto"/>
                  <w:vAlign w:val="center"/>
                </w:tcPr>
                <w:p w14:paraId="5F54104F">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生活垃圾</w:t>
                  </w:r>
                </w:p>
              </w:tc>
              <w:tc>
                <w:tcPr>
                  <w:tcW w:w="636" w:type="dxa"/>
                  <w:shd w:val="clear" w:color="auto" w:fill="auto"/>
                  <w:vAlign w:val="center"/>
                </w:tcPr>
                <w:p w14:paraId="7903BD10">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rFonts w:hint="eastAsia"/>
                      <w:color w:val="auto"/>
                      <w:sz w:val="21"/>
                      <w:szCs w:val="21"/>
                      <w:highlight w:val="none"/>
                      <w:lang w:val="en-US" w:eastAsia="zh-CN"/>
                    </w:rPr>
                    <w:t>生活垃圾</w:t>
                  </w:r>
                </w:p>
              </w:tc>
              <w:tc>
                <w:tcPr>
                  <w:tcW w:w="816" w:type="dxa"/>
                  <w:shd w:val="clear" w:color="auto" w:fill="auto"/>
                  <w:vAlign w:val="center"/>
                </w:tcPr>
                <w:p w14:paraId="085AC8F1">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办公生活</w:t>
                  </w:r>
                </w:p>
              </w:tc>
              <w:tc>
                <w:tcPr>
                  <w:tcW w:w="345" w:type="dxa"/>
                  <w:shd w:val="clear" w:color="auto" w:fill="auto"/>
                  <w:vAlign w:val="center"/>
                </w:tcPr>
                <w:p w14:paraId="0B997BEB">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固态</w:t>
                  </w:r>
                </w:p>
              </w:tc>
              <w:tc>
                <w:tcPr>
                  <w:tcW w:w="854" w:type="dxa"/>
                  <w:shd w:val="clear" w:color="auto" w:fill="auto"/>
                  <w:vAlign w:val="center"/>
                </w:tcPr>
                <w:p w14:paraId="656029C2">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垃圾桶</w:t>
                  </w:r>
                </w:p>
              </w:tc>
              <w:tc>
                <w:tcPr>
                  <w:tcW w:w="814" w:type="dxa"/>
                  <w:tcBorders>
                    <w:top w:val="single" w:color="auto" w:sz="6" w:space="0"/>
                    <w:bottom w:val="single" w:color="auto" w:sz="6" w:space="0"/>
                  </w:tcBorders>
                  <w:shd w:val="clear" w:color="auto" w:fill="auto"/>
                  <w:vAlign w:val="center"/>
                </w:tcPr>
                <w:p w14:paraId="1C103D74">
                  <w:pPr>
                    <w:pStyle w:val="173"/>
                    <w:spacing w:line="310" w:lineRule="exact"/>
                    <w:ind w:left="-105" w:leftChars="-50" w:right="-105" w:rightChars="-5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2.25</w:t>
                  </w:r>
                </w:p>
              </w:tc>
              <w:tc>
                <w:tcPr>
                  <w:tcW w:w="2384" w:type="dxa"/>
                  <w:tcBorders>
                    <w:top w:val="single" w:color="auto" w:sz="6" w:space="0"/>
                    <w:bottom w:val="single" w:color="auto" w:sz="6" w:space="0"/>
                  </w:tcBorders>
                  <w:shd w:val="clear" w:color="auto" w:fill="auto"/>
                  <w:vAlign w:val="center"/>
                </w:tcPr>
                <w:p w14:paraId="48A1809C">
                  <w:pPr>
                    <w:pStyle w:val="173"/>
                    <w:spacing w:line="310" w:lineRule="exact"/>
                    <w:ind w:left="-105" w:leftChars="-50" w:right="-105" w:rightChars="-50"/>
                    <w:rPr>
                      <w:rFonts w:ascii="Times New Roman" w:hAnsi="Times New Roman" w:eastAsia="宋体" w:cs="Times New Roman"/>
                      <w:color w:val="auto"/>
                      <w:kern w:val="0"/>
                      <w:sz w:val="21"/>
                      <w:szCs w:val="21"/>
                      <w:lang w:val="en-US" w:eastAsia="zh-CN" w:bidi="ar-SA"/>
                    </w:rPr>
                  </w:pPr>
                  <w:r>
                    <w:rPr>
                      <w:color w:val="auto"/>
                      <w:sz w:val="21"/>
                    </w:rPr>
                    <w:t>委托环卫部门清运</w:t>
                  </w:r>
                </w:p>
              </w:tc>
              <w:tc>
                <w:tcPr>
                  <w:tcW w:w="814" w:type="dxa"/>
                  <w:tcBorders>
                    <w:top w:val="single" w:color="auto" w:sz="6" w:space="0"/>
                    <w:bottom w:val="single" w:color="auto" w:sz="6" w:space="0"/>
                    <w:right w:val="single" w:color="auto" w:sz="4" w:space="0"/>
                  </w:tcBorders>
                  <w:vAlign w:val="center"/>
                </w:tcPr>
                <w:p w14:paraId="24A98EE9">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0</w:t>
                  </w:r>
                </w:p>
              </w:tc>
            </w:tr>
            <w:tr w14:paraId="4D7EC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80" w:type="dxa"/>
                  <w:tcBorders>
                    <w:left w:val="single" w:color="auto" w:sz="4" w:space="0"/>
                  </w:tcBorders>
                  <w:shd w:val="clear" w:color="auto" w:fill="auto"/>
                  <w:vAlign w:val="center"/>
                </w:tcPr>
                <w:p w14:paraId="45849A83">
                  <w:pPr>
                    <w:pStyle w:val="173"/>
                    <w:spacing w:line="310" w:lineRule="exact"/>
                    <w:ind w:left="-105" w:leftChars="-50" w:right="-105" w:rightChars="-50"/>
                    <w:rPr>
                      <w:rFonts w:hint="default"/>
                      <w:color w:val="auto"/>
                      <w:sz w:val="21"/>
                      <w:lang w:val="en-US" w:eastAsia="zh-CN"/>
                    </w:rPr>
                  </w:pPr>
                  <w:r>
                    <w:rPr>
                      <w:rFonts w:hint="eastAsia"/>
                      <w:color w:val="auto"/>
                      <w:sz w:val="21"/>
                      <w:lang w:val="en-US" w:eastAsia="zh-CN"/>
                    </w:rPr>
                    <w:t>5</w:t>
                  </w:r>
                </w:p>
              </w:tc>
              <w:tc>
                <w:tcPr>
                  <w:tcW w:w="1080" w:type="dxa"/>
                  <w:shd w:val="clear" w:color="auto" w:fill="auto"/>
                  <w:vAlign w:val="center"/>
                </w:tcPr>
                <w:p w14:paraId="79DE2ECE">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废润滑油</w:t>
                  </w:r>
                </w:p>
              </w:tc>
              <w:tc>
                <w:tcPr>
                  <w:tcW w:w="636" w:type="dxa"/>
                  <w:vMerge w:val="restart"/>
                  <w:shd w:val="clear" w:color="auto" w:fill="auto"/>
                  <w:vAlign w:val="center"/>
                </w:tcPr>
                <w:p w14:paraId="687E0C5C">
                  <w:pPr>
                    <w:pStyle w:val="173"/>
                    <w:spacing w:line="310" w:lineRule="exact"/>
                    <w:ind w:left="-105" w:leftChars="-50" w:right="-105" w:rightChars="-50"/>
                    <w:rPr>
                      <w:rFonts w:hint="default"/>
                      <w:color w:val="auto"/>
                      <w:sz w:val="21"/>
                      <w:szCs w:val="21"/>
                      <w:highlight w:val="none"/>
                      <w:lang w:val="en-US" w:eastAsia="zh-CN"/>
                    </w:rPr>
                  </w:pPr>
                  <w:r>
                    <w:rPr>
                      <w:rFonts w:hint="eastAsia"/>
                      <w:color w:val="auto"/>
                      <w:sz w:val="21"/>
                      <w:szCs w:val="21"/>
                      <w:highlight w:val="none"/>
                      <w:lang w:val="en-US" w:eastAsia="zh-CN"/>
                    </w:rPr>
                    <w:t>危险废物</w:t>
                  </w:r>
                </w:p>
              </w:tc>
              <w:tc>
                <w:tcPr>
                  <w:tcW w:w="816" w:type="dxa"/>
                  <w:shd w:val="clear" w:color="auto" w:fill="auto"/>
                  <w:vAlign w:val="center"/>
                </w:tcPr>
                <w:p w14:paraId="5A23A08A">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机械维修</w:t>
                  </w:r>
                </w:p>
              </w:tc>
              <w:tc>
                <w:tcPr>
                  <w:tcW w:w="345" w:type="dxa"/>
                  <w:shd w:val="clear" w:color="auto" w:fill="auto"/>
                  <w:vAlign w:val="center"/>
                </w:tcPr>
                <w:p w14:paraId="25BF61EA">
                  <w:pPr>
                    <w:pStyle w:val="173"/>
                    <w:spacing w:line="310" w:lineRule="exact"/>
                    <w:ind w:left="-105" w:leftChars="-50" w:right="-105" w:rightChars="-50"/>
                    <w:rPr>
                      <w:rFonts w:hint="eastAsia" w:eastAsia="宋体"/>
                      <w:color w:val="auto"/>
                      <w:sz w:val="21"/>
                      <w:lang w:val="en-US" w:eastAsia="zh-CN"/>
                    </w:rPr>
                  </w:pPr>
                  <w:r>
                    <w:rPr>
                      <w:rFonts w:hint="eastAsia"/>
                      <w:color w:val="auto"/>
                      <w:sz w:val="21"/>
                      <w:lang w:val="en-US" w:eastAsia="zh-CN"/>
                    </w:rPr>
                    <w:t>液态</w:t>
                  </w:r>
                </w:p>
              </w:tc>
              <w:tc>
                <w:tcPr>
                  <w:tcW w:w="854" w:type="dxa"/>
                  <w:vMerge w:val="restart"/>
                  <w:shd w:val="clear" w:color="auto" w:fill="auto"/>
                  <w:vAlign w:val="center"/>
                </w:tcPr>
                <w:p w14:paraId="5D3582D9">
                  <w:pPr>
                    <w:pStyle w:val="173"/>
                    <w:spacing w:line="310" w:lineRule="exact"/>
                    <w:ind w:left="-105" w:leftChars="-50" w:right="-105" w:rightChars="-50"/>
                    <w:rPr>
                      <w:rFonts w:hint="default" w:eastAsia="宋体"/>
                      <w:color w:val="auto"/>
                      <w:sz w:val="21"/>
                      <w:lang w:val="en-US" w:eastAsia="zh-CN"/>
                    </w:rPr>
                  </w:pPr>
                  <w:r>
                    <w:rPr>
                      <w:rFonts w:hint="eastAsia"/>
                      <w:color w:val="auto"/>
                      <w:sz w:val="21"/>
                      <w:lang w:val="en-US" w:eastAsia="zh-CN"/>
                    </w:rPr>
                    <w:t>危险废物</w:t>
                  </w:r>
                </w:p>
              </w:tc>
              <w:tc>
                <w:tcPr>
                  <w:tcW w:w="814" w:type="dxa"/>
                  <w:tcBorders>
                    <w:top w:val="single" w:color="auto" w:sz="6" w:space="0"/>
                    <w:bottom w:val="single" w:color="auto" w:sz="6" w:space="0"/>
                  </w:tcBorders>
                  <w:shd w:val="clear" w:color="auto" w:fill="auto"/>
                  <w:vAlign w:val="center"/>
                </w:tcPr>
                <w:p w14:paraId="7A1BAD42">
                  <w:pPr>
                    <w:pStyle w:val="173"/>
                    <w:spacing w:line="310" w:lineRule="exact"/>
                    <w:ind w:left="-105" w:leftChars="-50" w:right="-105" w:rightChars="-5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0.03</w:t>
                  </w:r>
                </w:p>
              </w:tc>
              <w:tc>
                <w:tcPr>
                  <w:tcW w:w="2384" w:type="dxa"/>
                  <w:vMerge w:val="restart"/>
                  <w:tcBorders>
                    <w:top w:val="single" w:color="auto" w:sz="6" w:space="0"/>
                  </w:tcBorders>
                  <w:shd w:val="clear" w:color="auto" w:fill="auto"/>
                  <w:vAlign w:val="center"/>
                </w:tcPr>
                <w:p w14:paraId="7CE4630B">
                  <w:pPr>
                    <w:pStyle w:val="173"/>
                    <w:spacing w:line="310" w:lineRule="exact"/>
                    <w:ind w:left="-105" w:leftChars="-50" w:right="-105" w:rightChars="-50"/>
                    <w:rPr>
                      <w:rFonts w:hint="default" w:eastAsia="宋体"/>
                      <w:color w:val="auto"/>
                      <w:sz w:val="21"/>
                      <w:lang w:val="en-US" w:eastAsia="zh-CN"/>
                    </w:rPr>
                  </w:pPr>
                  <w:r>
                    <w:rPr>
                      <w:rFonts w:hint="eastAsia"/>
                      <w:color w:val="auto"/>
                      <w:sz w:val="21"/>
                      <w:lang w:val="en-US" w:eastAsia="zh-CN"/>
                    </w:rPr>
                    <w:t>委托有资质单位规范化处置</w:t>
                  </w:r>
                </w:p>
              </w:tc>
              <w:tc>
                <w:tcPr>
                  <w:tcW w:w="814" w:type="dxa"/>
                  <w:tcBorders>
                    <w:top w:val="single" w:color="auto" w:sz="6" w:space="0"/>
                    <w:bottom w:val="single" w:color="auto" w:sz="6" w:space="0"/>
                    <w:right w:val="single" w:color="auto" w:sz="4" w:space="0"/>
                  </w:tcBorders>
                  <w:vAlign w:val="center"/>
                </w:tcPr>
                <w:p w14:paraId="4CC287FB">
                  <w:pPr>
                    <w:pStyle w:val="173"/>
                    <w:spacing w:line="310" w:lineRule="exact"/>
                    <w:ind w:left="-105" w:leftChars="-50" w:right="-105" w:rightChars="-50"/>
                    <w:rPr>
                      <w:rFonts w:hint="default"/>
                      <w:color w:val="auto"/>
                      <w:sz w:val="21"/>
                      <w:lang w:val="en-US" w:eastAsia="zh-CN"/>
                    </w:rPr>
                  </w:pPr>
                  <w:r>
                    <w:rPr>
                      <w:rFonts w:hint="eastAsia"/>
                      <w:color w:val="auto"/>
                      <w:sz w:val="21"/>
                      <w:lang w:val="en-US" w:eastAsia="zh-CN"/>
                    </w:rPr>
                    <w:t>0</w:t>
                  </w:r>
                </w:p>
              </w:tc>
            </w:tr>
            <w:tr w14:paraId="0F5A83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80" w:type="dxa"/>
                  <w:tcBorders>
                    <w:left w:val="single" w:color="auto" w:sz="4" w:space="0"/>
                  </w:tcBorders>
                  <w:shd w:val="clear" w:color="auto" w:fill="auto"/>
                  <w:vAlign w:val="center"/>
                </w:tcPr>
                <w:p w14:paraId="4FDDB1D5">
                  <w:pPr>
                    <w:pStyle w:val="173"/>
                    <w:spacing w:line="310" w:lineRule="exact"/>
                    <w:ind w:left="-105" w:leftChars="-50" w:right="-105" w:rightChars="-50"/>
                    <w:rPr>
                      <w:rFonts w:hint="default"/>
                      <w:color w:val="auto"/>
                      <w:sz w:val="21"/>
                      <w:lang w:val="en-US" w:eastAsia="zh-CN"/>
                    </w:rPr>
                  </w:pPr>
                  <w:r>
                    <w:rPr>
                      <w:rFonts w:hint="eastAsia"/>
                      <w:color w:val="auto"/>
                      <w:sz w:val="21"/>
                      <w:lang w:val="en-US" w:eastAsia="zh-CN"/>
                    </w:rPr>
                    <w:t>6</w:t>
                  </w:r>
                </w:p>
              </w:tc>
              <w:tc>
                <w:tcPr>
                  <w:tcW w:w="1080" w:type="dxa"/>
                  <w:shd w:val="clear" w:color="auto" w:fill="auto"/>
                  <w:vAlign w:val="center"/>
                </w:tcPr>
                <w:p w14:paraId="6A89C141">
                  <w:pPr>
                    <w:pStyle w:val="173"/>
                    <w:spacing w:line="310" w:lineRule="exact"/>
                    <w:ind w:left="-105" w:leftChars="-50" w:right="-105" w:rightChars="-50"/>
                    <w:rPr>
                      <w:color w:val="auto"/>
                      <w:sz w:val="21"/>
                    </w:rPr>
                  </w:pPr>
                  <w:r>
                    <w:rPr>
                      <w:rFonts w:hint="eastAsia"/>
                      <w:color w:val="auto"/>
                      <w:sz w:val="21"/>
                    </w:rPr>
                    <w:t>含油废抹布、废手套</w:t>
                  </w:r>
                </w:p>
              </w:tc>
              <w:tc>
                <w:tcPr>
                  <w:tcW w:w="636" w:type="dxa"/>
                  <w:vMerge w:val="continue"/>
                  <w:shd w:val="clear" w:color="auto" w:fill="auto"/>
                  <w:vAlign w:val="center"/>
                </w:tcPr>
                <w:p w14:paraId="2DDF4BE3">
                  <w:pPr>
                    <w:pStyle w:val="173"/>
                    <w:spacing w:line="310" w:lineRule="exact"/>
                    <w:ind w:left="-105" w:leftChars="-50" w:right="-105" w:rightChars="-50"/>
                    <w:rPr>
                      <w:rFonts w:hint="eastAsia"/>
                      <w:color w:val="auto"/>
                      <w:sz w:val="21"/>
                      <w:szCs w:val="21"/>
                      <w:highlight w:val="none"/>
                      <w:lang w:val="en-US" w:eastAsia="zh-CN"/>
                    </w:rPr>
                  </w:pPr>
                </w:p>
              </w:tc>
              <w:tc>
                <w:tcPr>
                  <w:tcW w:w="816" w:type="dxa"/>
                  <w:shd w:val="clear" w:color="auto" w:fill="auto"/>
                  <w:vAlign w:val="center"/>
                </w:tcPr>
                <w:p w14:paraId="60305655">
                  <w:pPr>
                    <w:pStyle w:val="173"/>
                    <w:spacing w:line="310" w:lineRule="exact"/>
                    <w:ind w:left="-105" w:leftChars="-50" w:right="-105" w:rightChars="-50"/>
                    <w:rPr>
                      <w:color w:val="auto"/>
                      <w:sz w:val="21"/>
                    </w:rPr>
                  </w:pPr>
                  <w:r>
                    <w:rPr>
                      <w:rFonts w:hint="eastAsia"/>
                      <w:color w:val="auto"/>
                      <w:sz w:val="21"/>
                      <w:lang w:val="en-US" w:eastAsia="zh-CN"/>
                    </w:rPr>
                    <w:t>机械维修</w:t>
                  </w:r>
                </w:p>
              </w:tc>
              <w:tc>
                <w:tcPr>
                  <w:tcW w:w="345" w:type="dxa"/>
                  <w:shd w:val="clear" w:color="auto" w:fill="auto"/>
                  <w:vAlign w:val="center"/>
                </w:tcPr>
                <w:p w14:paraId="2F183D0E">
                  <w:pPr>
                    <w:pStyle w:val="173"/>
                    <w:spacing w:line="310" w:lineRule="exact"/>
                    <w:ind w:left="-105" w:leftChars="-50" w:right="-105" w:rightChars="-50"/>
                    <w:rPr>
                      <w:rFonts w:hint="default" w:eastAsia="宋体"/>
                      <w:color w:val="auto"/>
                      <w:sz w:val="21"/>
                      <w:lang w:val="en-US" w:eastAsia="zh-CN"/>
                    </w:rPr>
                  </w:pPr>
                  <w:r>
                    <w:rPr>
                      <w:rFonts w:hint="eastAsia"/>
                      <w:color w:val="auto"/>
                      <w:sz w:val="21"/>
                      <w:lang w:val="en-US" w:eastAsia="zh-CN"/>
                    </w:rPr>
                    <w:t>固态</w:t>
                  </w:r>
                </w:p>
              </w:tc>
              <w:tc>
                <w:tcPr>
                  <w:tcW w:w="854" w:type="dxa"/>
                  <w:vMerge w:val="continue"/>
                  <w:shd w:val="clear" w:color="auto" w:fill="auto"/>
                  <w:vAlign w:val="center"/>
                </w:tcPr>
                <w:p w14:paraId="3BA07C61">
                  <w:pPr>
                    <w:pStyle w:val="173"/>
                    <w:spacing w:line="310" w:lineRule="exact"/>
                    <w:ind w:left="-105" w:leftChars="-50" w:right="-105" w:rightChars="-50"/>
                    <w:rPr>
                      <w:color w:val="auto"/>
                      <w:sz w:val="21"/>
                    </w:rPr>
                  </w:pPr>
                </w:p>
              </w:tc>
              <w:tc>
                <w:tcPr>
                  <w:tcW w:w="814" w:type="dxa"/>
                  <w:tcBorders>
                    <w:top w:val="single" w:color="auto" w:sz="6" w:space="0"/>
                  </w:tcBorders>
                  <w:shd w:val="clear" w:color="auto" w:fill="auto"/>
                  <w:vAlign w:val="center"/>
                </w:tcPr>
                <w:p w14:paraId="7FC466C3">
                  <w:pPr>
                    <w:pStyle w:val="173"/>
                    <w:spacing w:line="310" w:lineRule="exact"/>
                    <w:ind w:left="-105" w:leftChars="-50" w:right="-105" w:rightChars="-5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0.001</w:t>
                  </w:r>
                </w:p>
              </w:tc>
              <w:tc>
                <w:tcPr>
                  <w:tcW w:w="2384" w:type="dxa"/>
                  <w:vMerge w:val="continue"/>
                  <w:shd w:val="clear" w:color="auto" w:fill="auto"/>
                  <w:vAlign w:val="center"/>
                </w:tcPr>
                <w:p w14:paraId="6EA4E56F">
                  <w:pPr>
                    <w:pStyle w:val="173"/>
                    <w:spacing w:line="310" w:lineRule="exact"/>
                    <w:ind w:left="-105" w:leftChars="-50" w:right="-105" w:rightChars="-50"/>
                    <w:rPr>
                      <w:color w:val="auto"/>
                      <w:sz w:val="21"/>
                    </w:rPr>
                  </w:pPr>
                </w:p>
              </w:tc>
              <w:tc>
                <w:tcPr>
                  <w:tcW w:w="814" w:type="dxa"/>
                  <w:tcBorders>
                    <w:top w:val="single" w:color="auto" w:sz="6" w:space="0"/>
                    <w:right w:val="single" w:color="auto" w:sz="4" w:space="0"/>
                  </w:tcBorders>
                  <w:vAlign w:val="center"/>
                </w:tcPr>
                <w:p w14:paraId="1D80A217">
                  <w:pPr>
                    <w:pStyle w:val="173"/>
                    <w:spacing w:line="310" w:lineRule="exact"/>
                    <w:ind w:left="-105" w:leftChars="-50" w:right="-105" w:rightChars="-50"/>
                    <w:rPr>
                      <w:rFonts w:hint="default"/>
                      <w:color w:val="auto"/>
                      <w:sz w:val="21"/>
                      <w:lang w:val="en-US" w:eastAsia="zh-CN"/>
                    </w:rPr>
                  </w:pPr>
                  <w:r>
                    <w:rPr>
                      <w:rFonts w:hint="eastAsia"/>
                      <w:color w:val="auto"/>
                      <w:sz w:val="21"/>
                      <w:lang w:val="en-US" w:eastAsia="zh-CN"/>
                    </w:rPr>
                    <w:t>0</w:t>
                  </w:r>
                </w:p>
              </w:tc>
            </w:tr>
          </w:tbl>
          <w:p w14:paraId="673A1D08">
            <w:pPr>
              <w:autoSpaceDE w:val="0"/>
              <w:autoSpaceDN w:val="0"/>
              <w:adjustRightInd w:val="0"/>
              <w:snapToGrid w:val="0"/>
              <w:spacing w:line="360" w:lineRule="auto"/>
              <w:jc w:val="left"/>
              <w:rPr>
                <w:rFonts w:ascii="宋体" w:hAnsi="宋体" w:eastAsia="宋体" w:cs="宋体"/>
                <w:b/>
                <w:bCs/>
                <w:color w:val="auto"/>
                <w:sz w:val="24"/>
                <w:szCs w:val="24"/>
              </w:rPr>
            </w:pPr>
            <w:r>
              <w:rPr>
                <w:rFonts w:hint="eastAsia" w:hAnsi="宋体"/>
                <w:b/>
                <w:bCs/>
                <w:color w:val="auto"/>
                <w:sz w:val="24"/>
                <w:lang w:val="en-US" w:eastAsia="zh-CN"/>
              </w:rPr>
              <w:t>4.2、</w:t>
            </w:r>
            <w:r>
              <w:rPr>
                <w:rFonts w:hint="eastAsia" w:hAnsi="宋体"/>
                <w:b/>
                <w:bCs/>
                <w:color w:val="auto"/>
                <w:sz w:val="24"/>
                <w:lang w:eastAsia="zh-CN"/>
              </w:rPr>
              <w:t>固体废物的</w:t>
            </w:r>
            <w:r>
              <w:rPr>
                <w:rFonts w:ascii="宋体" w:hAnsi="宋体" w:eastAsia="宋体" w:cs="宋体"/>
                <w:b/>
                <w:bCs/>
                <w:color w:val="auto"/>
                <w:sz w:val="24"/>
                <w:szCs w:val="24"/>
              </w:rPr>
              <w:t>贮存和处置情况</w:t>
            </w:r>
          </w:p>
          <w:p w14:paraId="52907032">
            <w:pPr>
              <w:autoSpaceDE w:val="0"/>
              <w:autoSpaceDN w:val="0"/>
              <w:adjustRightInd w:val="0"/>
              <w:snapToGrid w:val="0"/>
              <w:spacing w:line="360" w:lineRule="auto"/>
              <w:ind w:firstLine="480" w:firstLineChars="200"/>
              <w:jc w:val="left"/>
              <w:rPr>
                <w:rFonts w:hint="eastAsia" w:ascii="Times New Roman" w:hAnsi="宋体" w:eastAsia="宋体"/>
                <w:color w:val="auto"/>
                <w:sz w:val="24"/>
                <w:lang w:eastAsia="zh-CN"/>
              </w:rPr>
            </w:pPr>
            <w:r>
              <w:rPr>
                <w:rFonts w:hint="eastAsia" w:hAnsi="宋体"/>
                <w:color w:val="auto"/>
                <w:sz w:val="24"/>
                <w:lang w:eastAsia="zh-CN"/>
              </w:rPr>
              <w:t>（</w:t>
            </w:r>
            <w:r>
              <w:rPr>
                <w:rFonts w:hint="eastAsia" w:hAnsi="宋体"/>
                <w:color w:val="auto"/>
                <w:sz w:val="24"/>
                <w:lang w:val="en-US" w:eastAsia="zh-CN"/>
              </w:rPr>
              <w:t>1</w:t>
            </w:r>
            <w:r>
              <w:rPr>
                <w:rFonts w:hint="eastAsia" w:hAnsi="宋体"/>
                <w:color w:val="auto"/>
                <w:sz w:val="24"/>
                <w:lang w:eastAsia="zh-CN"/>
              </w:rPr>
              <w:t>）一般固废</w:t>
            </w:r>
          </w:p>
          <w:p w14:paraId="37FAC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本项目的产生一般工业固废为</w:t>
            </w:r>
            <w:r>
              <w:rPr>
                <w:rFonts w:hint="eastAsia" w:hAnsi="宋体"/>
                <w:color w:val="auto"/>
                <w:sz w:val="24"/>
                <w:lang w:val="en-US" w:eastAsia="zh-CN"/>
              </w:rPr>
              <w:t>清理筛</w:t>
            </w:r>
            <w:r>
              <w:rPr>
                <w:rFonts w:ascii="Times New Roman" w:hAnsi="宋体"/>
                <w:color w:val="auto"/>
                <w:sz w:val="24"/>
              </w:rPr>
              <w:t>和</w:t>
            </w:r>
            <w:r>
              <w:rPr>
                <w:rFonts w:hint="eastAsia" w:hAnsi="宋体"/>
                <w:color w:val="auto"/>
                <w:sz w:val="24"/>
                <w:lang w:eastAsia="zh-CN"/>
              </w:rPr>
              <w:t>去石机在清理去石</w:t>
            </w:r>
            <w:r>
              <w:rPr>
                <w:rFonts w:ascii="Times New Roman" w:hAnsi="宋体"/>
                <w:color w:val="auto"/>
                <w:sz w:val="24"/>
              </w:rPr>
              <w:t>过程中产生的砂石及灰尘杂质</w:t>
            </w:r>
            <w:r>
              <w:rPr>
                <w:rFonts w:hint="eastAsia" w:hAnsi="宋体"/>
                <w:color w:val="auto"/>
                <w:sz w:val="24"/>
                <w:lang w:eastAsia="zh-CN"/>
              </w:rPr>
              <w:t>、</w:t>
            </w:r>
            <w:r>
              <w:rPr>
                <w:rFonts w:hint="eastAsia" w:ascii="Times New Roman" w:hAnsi="宋体"/>
                <w:color w:val="auto"/>
                <w:sz w:val="24"/>
              </w:rPr>
              <w:t>各工序</w:t>
            </w:r>
            <w:r>
              <w:rPr>
                <w:rFonts w:ascii="Times New Roman" w:hAnsi="宋体"/>
                <w:color w:val="auto"/>
                <w:sz w:val="24"/>
              </w:rPr>
              <w:t>除尘器收集的粉尘</w:t>
            </w:r>
            <w:r>
              <w:rPr>
                <w:rFonts w:hint="eastAsia" w:hAnsi="宋体"/>
                <w:color w:val="auto"/>
                <w:sz w:val="24"/>
                <w:lang w:eastAsia="zh-CN"/>
              </w:rPr>
              <w:t>、</w:t>
            </w:r>
            <w:r>
              <w:rPr>
                <w:rFonts w:hint="eastAsia" w:hAnsi="宋体"/>
                <w:color w:val="auto"/>
                <w:sz w:val="24"/>
                <w:lang w:val="en-US" w:eastAsia="zh-CN"/>
              </w:rPr>
              <w:t>废包装袋</w:t>
            </w:r>
            <w:r>
              <w:rPr>
                <w:rFonts w:hint="eastAsia"/>
                <w:color w:val="auto"/>
                <w:sz w:val="24"/>
                <w:szCs w:val="24"/>
                <w:highlight w:val="none"/>
                <w:lang w:val="en-US" w:eastAsia="zh-CN"/>
              </w:rPr>
              <w:t>。</w:t>
            </w:r>
          </w:p>
          <w:p w14:paraId="52C78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一般工业固废临时堆放场应按照《中华人民共和国固体废物污染环境防治法》要求进行管理，固废临时贮存场应满足如下要求：</w:t>
            </w:r>
          </w:p>
          <w:p w14:paraId="61F11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①临时堆放场应选在防渗性能好的地基上天然基础层地表距地下水位的距离不得小于1.5m。临时堆放场四周应建有围墙，防止固废流失以及造成粉尘污染。</w:t>
            </w:r>
          </w:p>
          <w:p w14:paraId="5661F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②临时堆放场应建有防雨淋、防渗透措施。本项目一般固废暂存间位于</w:t>
            </w:r>
            <w:r>
              <w:rPr>
                <w:rFonts w:hint="eastAsia" w:ascii="Times New Roman" w:hAnsi="Times New Roman" w:eastAsia="宋体" w:cs="Times New Roman"/>
                <w:color w:val="auto"/>
                <w:sz w:val="24"/>
                <w:szCs w:val="24"/>
                <w:highlight w:val="none"/>
                <w:lang w:val="en-US" w:eastAsia="zh-CN"/>
              </w:rPr>
              <w:t>厂房西北</w:t>
            </w:r>
            <w:r>
              <w:rPr>
                <w:rFonts w:hint="eastAsia" w:cs="Times New Roman"/>
                <w:color w:val="auto"/>
                <w:sz w:val="24"/>
                <w:szCs w:val="24"/>
                <w:highlight w:val="none"/>
                <w:lang w:val="en-US" w:eastAsia="zh-CN"/>
              </w:rPr>
              <w:t>角</w:t>
            </w:r>
            <w:r>
              <w:rPr>
                <w:rFonts w:hint="default" w:ascii="Times New Roman" w:hAnsi="Times New Roman" w:eastAsia="宋体" w:cs="Times New Roman"/>
                <w:color w:val="auto"/>
                <w:sz w:val="24"/>
                <w:szCs w:val="24"/>
                <w:highlight w:val="none"/>
                <w:lang w:val="en-US" w:eastAsia="zh-CN"/>
              </w:rPr>
              <w:t>，建筑面积</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eastAsia"/>
                <w:color w:val="auto"/>
                <w:sz w:val="24"/>
                <w:szCs w:val="24"/>
                <w:highlight w:val="none"/>
                <w:lang w:val="en-US" w:eastAsia="zh-CN"/>
              </w:rPr>
              <w:t>地面进行硬化，可以满足防雨淋、防渗透要求。</w:t>
            </w:r>
          </w:p>
          <w:p w14:paraId="55D46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③为了便于管理，临时堆放场应《环境保护图形标识—固体废物贮存（处置）场》（按GB15562.2-1995）设置环境保护图形标志。</w:t>
            </w:r>
          </w:p>
          <w:p w14:paraId="74F0CA4D">
            <w:pPr>
              <w:tabs>
                <w:tab w:val="left" w:pos="426"/>
              </w:tabs>
              <w:spacing w:line="360" w:lineRule="auto"/>
              <w:ind w:firstLine="435"/>
              <w:rPr>
                <w:rFonts w:hint="default" w:eastAsia="宋体"/>
                <w:color w:val="auto"/>
                <w:sz w:val="24"/>
                <w:szCs w:val="24"/>
                <w:lang w:val="en-US" w:eastAsia="zh-CN"/>
              </w:rPr>
            </w:pPr>
            <w:r>
              <w:rPr>
                <w:rFonts w:hint="eastAsia"/>
                <w:color w:val="auto"/>
                <w:sz w:val="24"/>
                <w:szCs w:val="24"/>
                <w:highlight w:val="none"/>
                <w:lang w:val="en-US" w:eastAsia="zh-CN"/>
              </w:rPr>
              <w:t>企业在生产过程中，应加强现有一般固废暂存间的管理，定点收集堆存，并及时处理，不会对环境造成不利影响</w:t>
            </w:r>
            <w:r>
              <w:rPr>
                <w:rFonts w:hint="eastAsia" w:ascii="Times New Roman" w:hAnsi="宋体" w:eastAsia="宋体" w:cs="Times New Roman"/>
                <w:color w:val="auto"/>
                <w:sz w:val="24"/>
                <w:szCs w:val="24"/>
                <w:lang w:val="en-US" w:eastAsia="zh-CN"/>
              </w:rPr>
              <w:t>。</w:t>
            </w:r>
          </w:p>
          <w:p w14:paraId="7398FD5B">
            <w:pPr>
              <w:tabs>
                <w:tab w:val="left" w:pos="426"/>
              </w:tabs>
              <w:spacing w:line="360" w:lineRule="auto"/>
              <w:ind w:firstLine="435"/>
              <w:rPr>
                <w:rFonts w:hint="default"/>
                <w:color w:val="auto"/>
                <w:sz w:val="24"/>
                <w:szCs w:val="24"/>
                <w:lang w:val="en-US"/>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）生活垃圾</w:t>
            </w:r>
          </w:p>
          <w:p w14:paraId="22AB1987">
            <w:pPr>
              <w:tabs>
                <w:tab w:val="left" w:pos="426"/>
              </w:tabs>
              <w:spacing w:line="360" w:lineRule="auto"/>
              <w:ind w:firstLine="435"/>
              <w:rPr>
                <w:rFonts w:hint="eastAsia"/>
                <w:color w:val="auto"/>
                <w:sz w:val="24"/>
                <w:szCs w:val="24"/>
              </w:rPr>
            </w:pPr>
            <w:bookmarkStart w:id="14" w:name="_Toc3330"/>
            <w:bookmarkStart w:id="15" w:name="_Toc31191"/>
            <w:r>
              <w:rPr>
                <w:rFonts w:hint="eastAsia"/>
                <w:color w:val="auto"/>
                <w:sz w:val="24"/>
                <w:szCs w:val="24"/>
              </w:rPr>
              <w:t>本项目在厂内设置生活垃圾暂存点，每日委托环卫部门清运，生活垃圾暂存设施可满足项目需求。</w:t>
            </w:r>
            <w:bookmarkEnd w:id="14"/>
            <w:bookmarkEnd w:id="15"/>
          </w:p>
          <w:p w14:paraId="3D03CA3A">
            <w:pPr>
              <w:keepNext/>
              <w:keepLines/>
              <w:spacing w:line="360" w:lineRule="auto"/>
              <w:ind w:firstLine="480" w:firstLineChars="200"/>
              <w:rPr>
                <w:bCs/>
                <w:color w:val="auto"/>
                <w:sz w:val="24"/>
                <w:szCs w:val="32"/>
              </w:rPr>
            </w:pPr>
            <w:r>
              <w:rPr>
                <w:rFonts w:hint="eastAsia" w:hAnsi="宋体"/>
                <w:color w:val="auto"/>
                <w:sz w:val="24"/>
                <w:lang w:eastAsia="zh-CN"/>
              </w:rPr>
              <w:t>（</w:t>
            </w:r>
            <w:r>
              <w:rPr>
                <w:rFonts w:hint="eastAsia" w:hAnsi="宋体"/>
                <w:color w:val="auto"/>
                <w:sz w:val="24"/>
                <w:lang w:val="en-US" w:eastAsia="zh-CN"/>
              </w:rPr>
              <w:t>3</w:t>
            </w:r>
            <w:r>
              <w:rPr>
                <w:rFonts w:hint="eastAsia" w:hAnsi="宋体"/>
                <w:color w:val="auto"/>
                <w:sz w:val="24"/>
                <w:lang w:eastAsia="zh-CN"/>
              </w:rPr>
              <w:t>）</w:t>
            </w:r>
            <w:r>
              <w:rPr>
                <w:bCs/>
                <w:color w:val="auto"/>
                <w:sz w:val="24"/>
                <w:szCs w:val="32"/>
              </w:rPr>
              <w:t>危险废物</w:t>
            </w:r>
          </w:p>
          <w:p w14:paraId="6144CE8C">
            <w:pPr>
              <w:tabs>
                <w:tab w:val="left" w:pos="426"/>
              </w:tabs>
              <w:spacing w:line="360" w:lineRule="auto"/>
              <w:ind w:firstLine="480" w:firstLineChars="200"/>
              <w:rPr>
                <w:color w:val="auto"/>
                <w:sz w:val="24"/>
                <w:szCs w:val="24"/>
              </w:rPr>
            </w:pPr>
            <w:r>
              <w:rPr>
                <w:color w:val="auto"/>
                <w:sz w:val="24"/>
                <w:szCs w:val="24"/>
              </w:rPr>
              <w:t>本项目危废暂存间基本情况详见表4-</w:t>
            </w:r>
            <w:r>
              <w:rPr>
                <w:rFonts w:hint="eastAsia"/>
                <w:color w:val="auto"/>
                <w:sz w:val="24"/>
                <w:szCs w:val="24"/>
              </w:rPr>
              <w:t>1</w:t>
            </w:r>
            <w:r>
              <w:rPr>
                <w:rFonts w:hint="eastAsia"/>
                <w:color w:val="auto"/>
                <w:sz w:val="24"/>
                <w:szCs w:val="24"/>
                <w:lang w:val="en-US" w:eastAsia="zh-CN"/>
              </w:rPr>
              <w:t>1</w:t>
            </w:r>
            <w:r>
              <w:rPr>
                <w:color w:val="auto"/>
                <w:sz w:val="24"/>
                <w:szCs w:val="24"/>
              </w:rPr>
              <w:t>。</w:t>
            </w:r>
          </w:p>
          <w:p w14:paraId="761F53A0">
            <w:pPr>
              <w:tabs>
                <w:tab w:val="left" w:pos="426"/>
              </w:tabs>
              <w:spacing w:line="360" w:lineRule="auto"/>
              <w:ind w:firstLine="435"/>
              <w:jc w:val="center"/>
              <w:rPr>
                <w:b/>
                <w:color w:val="auto"/>
                <w:szCs w:val="24"/>
              </w:rPr>
            </w:pPr>
            <w:r>
              <w:rPr>
                <w:b/>
                <w:color w:val="auto"/>
                <w:szCs w:val="24"/>
              </w:rPr>
              <w:t>表4-</w:t>
            </w:r>
            <w:r>
              <w:rPr>
                <w:rFonts w:hint="eastAsia"/>
                <w:b/>
                <w:color w:val="auto"/>
                <w:szCs w:val="24"/>
              </w:rPr>
              <w:t>1</w:t>
            </w:r>
            <w:r>
              <w:rPr>
                <w:rFonts w:hint="eastAsia"/>
                <w:b/>
                <w:color w:val="auto"/>
                <w:szCs w:val="24"/>
                <w:lang w:val="en-US" w:eastAsia="zh-CN"/>
              </w:rPr>
              <w:t>1</w:t>
            </w:r>
            <w:r>
              <w:rPr>
                <w:rFonts w:hint="eastAsia"/>
                <w:b/>
                <w:color w:val="auto"/>
                <w:szCs w:val="24"/>
              </w:rPr>
              <w:t xml:space="preserve"> </w:t>
            </w:r>
            <w:r>
              <w:rPr>
                <w:b/>
                <w:color w:val="auto"/>
                <w:szCs w:val="24"/>
              </w:rPr>
              <w:t>建设项目危废暂存间基本情况一览表</w:t>
            </w:r>
          </w:p>
          <w:tbl>
            <w:tblPr>
              <w:tblStyle w:val="46"/>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60"/>
              <w:gridCol w:w="935"/>
              <w:gridCol w:w="1538"/>
              <w:gridCol w:w="711"/>
              <w:gridCol w:w="975"/>
              <w:gridCol w:w="676"/>
              <w:gridCol w:w="932"/>
              <w:gridCol w:w="716"/>
            </w:tblGrid>
            <w:tr w14:paraId="63EC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Align w:val="center"/>
                </w:tcPr>
                <w:p w14:paraId="0B82AB8D">
                  <w:pPr>
                    <w:tabs>
                      <w:tab w:val="left" w:pos="426"/>
                    </w:tabs>
                    <w:spacing w:line="240" w:lineRule="auto"/>
                    <w:jc w:val="center"/>
                    <w:rPr>
                      <w:b/>
                      <w:color w:val="auto"/>
                      <w:szCs w:val="24"/>
                    </w:rPr>
                  </w:pPr>
                  <w:r>
                    <w:rPr>
                      <w:rFonts w:hAnsi="宋体"/>
                      <w:b/>
                      <w:color w:val="auto"/>
                      <w:szCs w:val="24"/>
                    </w:rPr>
                    <w:t>贮存场所名称</w:t>
                  </w:r>
                </w:p>
              </w:tc>
              <w:tc>
                <w:tcPr>
                  <w:tcW w:w="1160" w:type="dxa"/>
                  <w:vAlign w:val="center"/>
                </w:tcPr>
                <w:p w14:paraId="2B7956C0">
                  <w:pPr>
                    <w:tabs>
                      <w:tab w:val="left" w:pos="426"/>
                    </w:tabs>
                    <w:spacing w:line="240" w:lineRule="auto"/>
                    <w:jc w:val="center"/>
                    <w:rPr>
                      <w:rFonts w:hAnsi="宋体"/>
                      <w:b/>
                      <w:color w:val="auto"/>
                      <w:szCs w:val="24"/>
                    </w:rPr>
                  </w:pPr>
                  <w:r>
                    <w:rPr>
                      <w:rFonts w:hAnsi="宋体"/>
                      <w:b/>
                      <w:color w:val="auto"/>
                      <w:szCs w:val="24"/>
                    </w:rPr>
                    <w:t>危险废物</w:t>
                  </w:r>
                </w:p>
                <w:p w14:paraId="437CBB6B">
                  <w:pPr>
                    <w:tabs>
                      <w:tab w:val="left" w:pos="426"/>
                    </w:tabs>
                    <w:spacing w:line="240" w:lineRule="auto"/>
                    <w:jc w:val="center"/>
                    <w:rPr>
                      <w:b/>
                      <w:color w:val="auto"/>
                      <w:szCs w:val="24"/>
                    </w:rPr>
                  </w:pPr>
                  <w:r>
                    <w:rPr>
                      <w:rFonts w:hAnsi="宋体"/>
                      <w:b/>
                      <w:color w:val="auto"/>
                      <w:szCs w:val="24"/>
                    </w:rPr>
                    <w:t>名称</w:t>
                  </w:r>
                </w:p>
              </w:tc>
              <w:tc>
                <w:tcPr>
                  <w:tcW w:w="935" w:type="dxa"/>
                  <w:vAlign w:val="center"/>
                </w:tcPr>
                <w:p w14:paraId="711337C4">
                  <w:pPr>
                    <w:tabs>
                      <w:tab w:val="left" w:pos="426"/>
                    </w:tabs>
                    <w:spacing w:line="240" w:lineRule="auto"/>
                    <w:jc w:val="center"/>
                    <w:rPr>
                      <w:b/>
                      <w:color w:val="auto"/>
                      <w:szCs w:val="24"/>
                    </w:rPr>
                  </w:pPr>
                  <w:r>
                    <w:rPr>
                      <w:rFonts w:hAnsi="宋体"/>
                      <w:b/>
                      <w:color w:val="auto"/>
                      <w:szCs w:val="24"/>
                    </w:rPr>
                    <w:t>危险废物类别</w:t>
                  </w:r>
                </w:p>
              </w:tc>
              <w:tc>
                <w:tcPr>
                  <w:tcW w:w="1538" w:type="dxa"/>
                  <w:vAlign w:val="center"/>
                </w:tcPr>
                <w:p w14:paraId="130C09FC">
                  <w:pPr>
                    <w:tabs>
                      <w:tab w:val="left" w:pos="426"/>
                    </w:tabs>
                    <w:spacing w:line="240" w:lineRule="auto"/>
                    <w:jc w:val="center"/>
                    <w:rPr>
                      <w:rFonts w:hAnsi="宋体"/>
                      <w:b/>
                      <w:color w:val="auto"/>
                      <w:szCs w:val="24"/>
                    </w:rPr>
                  </w:pPr>
                  <w:r>
                    <w:rPr>
                      <w:rFonts w:hAnsi="宋体"/>
                      <w:b/>
                      <w:color w:val="auto"/>
                      <w:szCs w:val="24"/>
                    </w:rPr>
                    <w:t>危险废物</w:t>
                  </w:r>
                </w:p>
                <w:p w14:paraId="2CDD506A">
                  <w:pPr>
                    <w:tabs>
                      <w:tab w:val="left" w:pos="426"/>
                    </w:tabs>
                    <w:spacing w:line="240" w:lineRule="auto"/>
                    <w:jc w:val="center"/>
                    <w:rPr>
                      <w:b/>
                      <w:color w:val="auto"/>
                      <w:szCs w:val="24"/>
                    </w:rPr>
                  </w:pPr>
                  <w:r>
                    <w:rPr>
                      <w:rFonts w:hAnsi="宋体"/>
                      <w:b/>
                      <w:color w:val="auto"/>
                      <w:szCs w:val="24"/>
                    </w:rPr>
                    <w:t>代码</w:t>
                  </w:r>
                </w:p>
              </w:tc>
              <w:tc>
                <w:tcPr>
                  <w:tcW w:w="711" w:type="dxa"/>
                  <w:vAlign w:val="center"/>
                </w:tcPr>
                <w:p w14:paraId="2982CCE3">
                  <w:pPr>
                    <w:tabs>
                      <w:tab w:val="left" w:pos="426"/>
                    </w:tabs>
                    <w:spacing w:line="240" w:lineRule="auto"/>
                    <w:jc w:val="center"/>
                    <w:rPr>
                      <w:b/>
                      <w:color w:val="auto"/>
                      <w:szCs w:val="24"/>
                    </w:rPr>
                  </w:pPr>
                  <w:r>
                    <w:rPr>
                      <w:rFonts w:hAnsi="宋体"/>
                      <w:b/>
                      <w:color w:val="auto"/>
                      <w:szCs w:val="24"/>
                    </w:rPr>
                    <w:t>位置</w:t>
                  </w:r>
                </w:p>
              </w:tc>
              <w:tc>
                <w:tcPr>
                  <w:tcW w:w="975" w:type="dxa"/>
                  <w:vAlign w:val="center"/>
                </w:tcPr>
                <w:p w14:paraId="79DBE53E">
                  <w:pPr>
                    <w:tabs>
                      <w:tab w:val="left" w:pos="426"/>
                    </w:tabs>
                    <w:spacing w:line="240" w:lineRule="auto"/>
                    <w:jc w:val="center"/>
                    <w:rPr>
                      <w:b/>
                      <w:color w:val="auto"/>
                      <w:szCs w:val="24"/>
                    </w:rPr>
                  </w:pPr>
                  <w:r>
                    <w:rPr>
                      <w:rFonts w:hAnsi="宋体"/>
                      <w:b/>
                      <w:color w:val="auto"/>
                      <w:szCs w:val="24"/>
                    </w:rPr>
                    <w:t>占地面积（</w:t>
                  </w:r>
                  <w:r>
                    <w:rPr>
                      <w:b/>
                      <w:color w:val="auto"/>
                      <w:szCs w:val="24"/>
                    </w:rPr>
                    <w:t>m</w:t>
                  </w:r>
                  <w:r>
                    <w:rPr>
                      <w:b/>
                      <w:color w:val="auto"/>
                      <w:szCs w:val="24"/>
                      <w:vertAlign w:val="superscript"/>
                    </w:rPr>
                    <w:t>2</w:t>
                  </w:r>
                  <w:r>
                    <w:rPr>
                      <w:b/>
                      <w:color w:val="auto"/>
                      <w:szCs w:val="24"/>
                    </w:rPr>
                    <w:t>）</w:t>
                  </w:r>
                </w:p>
              </w:tc>
              <w:tc>
                <w:tcPr>
                  <w:tcW w:w="676" w:type="dxa"/>
                  <w:vAlign w:val="center"/>
                </w:tcPr>
                <w:p w14:paraId="07C7FE99">
                  <w:pPr>
                    <w:tabs>
                      <w:tab w:val="left" w:pos="426"/>
                    </w:tabs>
                    <w:spacing w:line="240" w:lineRule="auto"/>
                    <w:jc w:val="center"/>
                    <w:rPr>
                      <w:b/>
                      <w:color w:val="auto"/>
                      <w:szCs w:val="24"/>
                    </w:rPr>
                  </w:pPr>
                  <w:r>
                    <w:rPr>
                      <w:rFonts w:hAnsi="宋体"/>
                      <w:b/>
                      <w:color w:val="auto"/>
                      <w:szCs w:val="24"/>
                    </w:rPr>
                    <w:t>贮存方式</w:t>
                  </w:r>
                </w:p>
              </w:tc>
              <w:tc>
                <w:tcPr>
                  <w:tcW w:w="932" w:type="dxa"/>
                  <w:vAlign w:val="center"/>
                </w:tcPr>
                <w:p w14:paraId="3C1EBA85">
                  <w:pPr>
                    <w:tabs>
                      <w:tab w:val="left" w:pos="426"/>
                    </w:tabs>
                    <w:spacing w:line="240" w:lineRule="auto"/>
                    <w:jc w:val="center"/>
                    <w:rPr>
                      <w:b/>
                      <w:color w:val="auto"/>
                      <w:szCs w:val="24"/>
                    </w:rPr>
                  </w:pPr>
                  <w:r>
                    <w:rPr>
                      <w:rFonts w:hint="eastAsia" w:hAnsi="宋体"/>
                      <w:b/>
                      <w:color w:val="auto"/>
                      <w:szCs w:val="24"/>
                    </w:rPr>
                    <w:t>最大</w:t>
                  </w:r>
                  <w:r>
                    <w:rPr>
                      <w:rFonts w:hAnsi="宋体"/>
                      <w:b/>
                      <w:color w:val="auto"/>
                      <w:szCs w:val="24"/>
                    </w:rPr>
                    <w:t>贮存能力</w:t>
                  </w:r>
                  <w:r>
                    <w:rPr>
                      <w:rFonts w:hint="eastAsia" w:hAnsi="宋体"/>
                      <w:b/>
                      <w:color w:val="auto"/>
                      <w:szCs w:val="24"/>
                    </w:rPr>
                    <w:t>（t）</w:t>
                  </w:r>
                </w:p>
              </w:tc>
              <w:tc>
                <w:tcPr>
                  <w:tcW w:w="716" w:type="dxa"/>
                  <w:vAlign w:val="center"/>
                </w:tcPr>
                <w:p w14:paraId="7AC5807C">
                  <w:pPr>
                    <w:tabs>
                      <w:tab w:val="left" w:pos="426"/>
                    </w:tabs>
                    <w:spacing w:line="240" w:lineRule="auto"/>
                    <w:jc w:val="center"/>
                    <w:rPr>
                      <w:rFonts w:hAnsi="宋体"/>
                      <w:b/>
                      <w:color w:val="auto"/>
                      <w:szCs w:val="24"/>
                    </w:rPr>
                  </w:pPr>
                  <w:r>
                    <w:rPr>
                      <w:rFonts w:hAnsi="宋体"/>
                      <w:b/>
                      <w:color w:val="auto"/>
                      <w:szCs w:val="24"/>
                    </w:rPr>
                    <w:t>贮存</w:t>
                  </w:r>
                </w:p>
                <w:p w14:paraId="5CBCCC96">
                  <w:pPr>
                    <w:tabs>
                      <w:tab w:val="left" w:pos="426"/>
                    </w:tabs>
                    <w:spacing w:line="240" w:lineRule="auto"/>
                    <w:jc w:val="center"/>
                    <w:rPr>
                      <w:b/>
                      <w:color w:val="auto"/>
                      <w:szCs w:val="24"/>
                    </w:rPr>
                  </w:pPr>
                  <w:r>
                    <w:rPr>
                      <w:rFonts w:hAnsi="宋体"/>
                      <w:b/>
                      <w:color w:val="auto"/>
                      <w:szCs w:val="24"/>
                    </w:rPr>
                    <w:t>周期</w:t>
                  </w:r>
                </w:p>
              </w:tc>
            </w:tr>
            <w:tr w14:paraId="420E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restart"/>
                  <w:vAlign w:val="center"/>
                </w:tcPr>
                <w:p w14:paraId="1BA70103">
                  <w:pPr>
                    <w:tabs>
                      <w:tab w:val="left" w:pos="426"/>
                    </w:tabs>
                    <w:spacing w:line="240" w:lineRule="auto"/>
                    <w:jc w:val="center"/>
                    <w:rPr>
                      <w:color w:val="auto"/>
                      <w:szCs w:val="24"/>
                    </w:rPr>
                  </w:pPr>
                  <w:r>
                    <w:rPr>
                      <w:rFonts w:hAnsi="宋体"/>
                      <w:color w:val="auto"/>
                      <w:szCs w:val="24"/>
                    </w:rPr>
                    <w:t>危废暂存间</w:t>
                  </w:r>
                </w:p>
              </w:tc>
              <w:tc>
                <w:tcPr>
                  <w:tcW w:w="1160" w:type="dxa"/>
                  <w:vAlign w:val="center"/>
                </w:tcPr>
                <w:p w14:paraId="52A449B3">
                  <w:pPr>
                    <w:spacing w:line="240" w:lineRule="auto"/>
                    <w:jc w:val="center"/>
                    <w:rPr>
                      <w:color w:val="auto"/>
                      <w:szCs w:val="21"/>
                    </w:rPr>
                  </w:pPr>
                  <w:r>
                    <w:rPr>
                      <w:rFonts w:hint="eastAsia"/>
                      <w:color w:val="auto"/>
                      <w:szCs w:val="21"/>
                    </w:rPr>
                    <w:t>废润滑油</w:t>
                  </w:r>
                </w:p>
              </w:tc>
              <w:tc>
                <w:tcPr>
                  <w:tcW w:w="935" w:type="dxa"/>
                  <w:vAlign w:val="center"/>
                </w:tcPr>
                <w:p w14:paraId="6434478C">
                  <w:pPr>
                    <w:tabs>
                      <w:tab w:val="left" w:pos="426"/>
                    </w:tabs>
                    <w:spacing w:line="240" w:lineRule="auto"/>
                    <w:jc w:val="center"/>
                    <w:rPr>
                      <w:color w:val="auto"/>
                      <w:kern w:val="0"/>
                      <w:szCs w:val="21"/>
                    </w:rPr>
                  </w:pPr>
                  <w:r>
                    <w:rPr>
                      <w:rFonts w:hint="eastAsia"/>
                      <w:color w:val="auto"/>
                      <w:kern w:val="0"/>
                      <w:szCs w:val="21"/>
                    </w:rPr>
                    <w:t>HW08</w:t>
                  </w:r>
                </w:p>
              </w:tc>
              <w:tc>
                <w:tcPr>
                  <w:tcW w:w="1538" w:type="dxa"/>
                  <w:vAlign w:val="center"/>
                </w:tcPr>
                <w:p w14:paraId="6EFE8B3D">
                  <w:pPr>
                    <w:spacing w:line="240" w:lineRule="auto"/>
                    <w:jc w:val="center"/>
                    <w:rPr>
                      <w:color w:val="auto"/>
                      <w:kern w:val="0"/>
                      <w:szCs w:val="21"/>
                    </w:rPr>
                  </w:pPr>
                  <w:r>
                    <w:rPr>
                      <w:color w:val="auto"/>
                      <w:szCs w:val="21"/>
                    </w:rPr>
                    <w:t>900-</w:t>
                  </w:r>
                  <w:r>
                    <w:rPr>
                      <w:rFonts w:hint="eastAsia"/>
                      <w:color w:val="auto"/>
                      <w:szCs w:val="21"/>
                    </w:rPr>
                    <w:t>2</w:t>
                  </w:r>
                  <w:r>
                    <w:rPr>
                      <w:color w:val="auto"/>
                      <w:szCs w:val="21"/>
                    </w:rPr>
                    <w:t>17-08</w:t>
                  </w:r>
                </w:p>
              </w:tc>
              <w:tc>
                <w:tcPr>
                  <w:tcW w:w="711" w:type="dxa"/>
                  <w:vMerge w:val="restart"/>
                  <w:vAlign w:val="center"/>
                </w:tcPr>
                <w:p w14:paraId="6AA9D0C1">
                  <w:pPr>
                    <w:tabs>
                      <w:tab w:val="left" w:pos="426"/>
                    </w:tabs>
                    <w:spacing w:line="240" w:lineRule="auto"/>
                    <w:jc w:val="center"/>
                    <w:rPr>
                      <w:rFonts w:hint="eastAsia" w:eastAsia="宋体"/>
                      <w:color w:val="auto"/>
                      <w:szCs w:val="24"/>
                      <w:lang w:eastAsia="zh-CN"/>
                    </w:rPr>
                  </w:pPr>
                  <w:r>
                    <w:rPr>
                      <w:rFonts w:hint="eastAsia" w:hAnsi="宋体"/>
                      <w:color w:val="auto"/>
                      <w:szCs w:val="24"/>
                      <w:lang w:val="en-US" w:eastAsia="zh-CN"/>
                    </w:rPr>
                    <w:t>厂房内北</w:t>
                  </w:r>
                  <w:r>
                    <w:rPr>
                      <w:rFonts w:hint="eastAsia" w:hAnsi="宋体"/>
                      <w:color w:val="auto"/>
                      <w:szCs w:val="24"/>
                      <w:lang w:eastAsia="zh-CN"/>
                    </w:rPr>
                    <w:t>侧</w:t>
                  </w:r>
                </w:p>
              </w:tc>
              <w:tc>
                <w:tcPr>
                  <w:tcW w:w="975" w:type="dxa"/>
                  <w:vMerge w:val="restart"/>
                  <w:vAlign w:val="center"/>
                </w:tcPr>
                <w:p w14:paraId="1E788C22">
                  <w:pPr>
                    <w:tabs>
                      <w:tab w:val="left" w:pos="426"/>
                    </w:tabs>
                    <w:spacing w:line="240" w:lineRule="auto"/>
                    <w:jc w:val="center"/>
                    <w:rPr>
                      <w:rFonts w:hint="eastAsia" w:eastAsia="宋体"/>
                      <w:color w:val="auto"/>
                      <w:szCs w:val="24"/>
                      <w:lang w:eastAsia="zh-CN"/>
                    </w:rPr>
                  </w:pPr>
                  <w:r>
                    <w:rPr>
                      <w:rFonts w:hint="eastAsia"/>
                      <w:color w:val="auto"/>
                      <w:szCs w:val="24"/>
                      <w:lang w:val="en-US" w:eastAsia="zh-CN"/>
                    </w:rPr>
                    <w:t>3</w:t>
                  </w:r>
                </w:p>
              </w:tc>
              <w:tc>
                <w:tcPr>
                  <w:tcW w:w="676" w:type="dxa"/>
                  <w:vAlign w:val="center"/>
                </w:tcPr>
                <w:p w14:paraId="776B46BE">
                  <w:pPr>
                    <w:tabs>
                      <w:tab w:val="left" w:pos="426"/>
                    </w:tabs>
                    <w:spacing w:line="240" w:lineRule="auto"/>
                    <w:jc w:val="center"/>
                    <w:rPr>
                      <w:color w:val="auto"/>
                      <w:szCs w:val="24"/>
                    </w:rPr>
                  </w:pPr>
                  <w:r>
                    <w:rPr>
                      <w:rFonts w:hint="eastAsia"/>
                      <w:color w:val="auto"/>
                      <w:szCs w:val="24"/>
                    </w:rPr>
                    <w:t>桶装</w:t>
                  </w:r>
                </w:p>
              </w:tc>
              <w:tc>
                <w:tcPr>
                  <w:tcW w:w="932" w:type="dxa"/>
                  <w:vAlign w:val="center"/>
                </w:tcPr>
                <w:p w14:paraId="227C425A">
                  <w:pPr>
                    <w:tabs>
                      <w:tab w:val="left" w:pos="426"/>
                    </w:tabs>
                    <w:spacing w:line="240" w:lineRule="auto"/>
                    <w:jc w:val="center"/>
                    <w:rPr>
                      <w:color w:val="auto"/>
                      <w:szCs w:val="24"/>
                    </w:rPr>
                  </w:pPr>
                  <w:r>
                    <w:rPr>
                      <w:rFonts w:hint="eastAsia"/>
                      <w:color w:val="auto"/>
                      <w:szCs w:val="24"/>
                    </w:rPr>
                    <w:t>0</w:t>
                  </w:r>
                  <w:r>
                    <w:rPr>
                      <w:color w:val="auto"/>
                      <w:szCs w:val="24"/>
                    </w:rPr>
                    <w:t>.</w:t>
                  </w:r>
                  <w:r>
                    <w:rPr>
                      <w:rFonts w:hint="eastAsia"/>
                      <w:color w:val="auto"/>
                      <w:szCs w:val="24"/>
                    </w:rPr>
                    <w:t>1</w:t>
                  </w:r>
                </w:p>
              </w:tc>
              <w:tc>
                <w:tcPr>
                  <w:tcW w:w="716" w:type="dxa"/>
                  <w:vMerge w:val="restart"/>
                  <w:vAlign w:val="center"/>
                </w:tcPr>
                <w:p w14:paraId="3389EE91">
                  <w:pPr>
                    <w:tabs>
                      <w:tab w:val="left" w:pos="426"/>
                    </w:tabs>
                    <w:spacing w:line="240" w:lineRule="auto"/>
                    <w:jc w:val="center"/>
                    <w:rPr>
                      <w:rFonts w:hint="eastAsia" w:eastAsia="宋体"/>
                      <w:color w:val="auto"/>
                      <w:szCs w:val="24"/>
                      <w:lang w:eastAsia="zh-CN"/>
                    </w:rPr>
                  </w:pPr>
                  <w:r>
                    <w:rPr>
                      <w:rFonts w:hint="eastAsia"/>
                      <w:color w:val="auto"/>
                      <w:szCs w:val="24"/>
                      <w:lang w:val="en-US" w:eastAsia="zh-CN"/>
                    </w:rPr>
                    <w:t>1年</w:t>
                  </w:r>
                </w:p>
              </w:tc>
            </w:tr>
            <w:tr w14:paraId="7960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14:paraId="6025F592">
                  <w:pPr>
                    <w:tabs>
                      <w:tab w:val="left" w:pos="426"/>
                    </w:tabs>
                    <w:spacing w:line="240" w:lineRule="auto"/>
                    <w:jc w:val="center"/>
                    <w:rPr>
                      <w:rFonts w:hAnsi="宋体"/>
                      <w:color w:val="auto"/>
                      <w:szCs w:val="24"/>
                    </w:rPr>
                  </w:pPr>
                </w:p>
              </w:tc>
              <w:tc>
                <w:tcPr>
                  <w:tcW w:w="1160" w:type="dxa"/>
                  <w:vAlign w:val="center"/>
                </w:tcPr>
                <w:p w14:paraId="2FF05B30">
                  <w:pPr>
                    <w:spacing w:line="240" w:lineRule="auto"/>
                    <w:jc w:val="center"/>
                    <w:rPr>
                      <w:color w:val="auto"/>
                      <w:szCs w:val="21"/>
                    </w:rPr>
                  </w:pPr>
                  <w:r>
                    <w:rPr>
                      <w:rFonts w:hint="eastAsia"/>
                      <w:color w:val="auto"/>
                      <w:spacing w:val="-4"/>
                      <w:szCs w:val="21"/>
                    </w:rPr>
                    <w:t>含油抹布、废手套</w:t>
                  </w:r>
                </w:p>
              </w:tc>
              <w:tc>
                <w:tcPr>
                  <w:tcW w:w="935" w:type="dxa"/>
                  <w:vAlign w:val="center"/>
                </w:tcPr>
                <w:p w14:paraId="12F6E7D9">
                  <w:pPr>
                    <w:tabs>
                      <w:tab w:val="left" w:pos="426"/>
                    </w:tabs>
                    <w:spacing w:line="240" w:lineRule="auto"/>
                    <w:jc w:val="center"/>
                    <w:rPr>
                      <w:color w:val="auto"/>
                      <w:szCs w:val="21"/>
                    </w:rPr>
                  </w:pPr>
                  <w:r>
                    <w:rPr>
                      <w:color w:val="auto"/>
                      <w:szCs w:val="21"/>
                    </w:rPr>
                    <w:t>HW49</w:t>
                  </w:r>
                </w:p>
              </w:tc>
              <w:tc>
                <w:tcPr>
                  <w:tcW w:w="1538" w:type="dxa"/>
                  <w:vAlign w:val="center"/>
                </w:tcPr>
                <w:p w14:paraId="02C06980">
                  <w:pPr>
                    <w:spacing w:line="240" w:lineRule="auto"/>
                    <w:jc w:val="center"/>
                    <w:rPr>
                      <w:color w:val="auto"/>
                      <w:szCs w:val="21"/>
                    </w:rPr>
                  </w:pPr>
                  <w:r>
                    <w:rPr>
                      <w:rFonts w:hint="eastAsia"/>
                      <w:color w:val="auto"/>
                      <w:szCs w:val="21"/>
                    </w:rPr>
                    <w:t>9</w:t>
                  </w:r>
                  <w:r>
                    <w:rPr>
                      <w:color w:val="auto"/>
                      <w:szCs w:val="21"/>
                    </w:rPr>
                    <w:t>00-041-49</w:t>
                  </w:r>
                </w:p>
              </w:tc>
              <w:tc>
                <w:tcPr>
                  <w:tcW w:w="711" w:type="dxa"/>
                  <w:vMerge w:val="continue"/>
                  <w:vAlign w:val="center"/>
                </w:tcPr>
                <w:p w14:paraId="2A650A27">
                  <w:pPr>
                    <w:tabs>
                      <w:tab w:val="left" w:pos="426"/>
                    </w:tabs>
                    <w:spacing w:line="240" w:lineRule="auto"/>
                    <w:jc w:val="center"/>
                    <w:rPr>
                      <w:rFonts w:hAnsi="宋体"/>
                      <w:color w:val="auto"/>
                      <w:szCs w:val="24"/>
                    </w:rPr>
                  </w:pPr>
                </w:p>
              </w:tc>
              <w:tc>
                <w:tcPr>
                  <w:tcW w:w="975" w:type="dxa"/>
                  <w:vMerge w:val="continue"/>
                  <w:vAlign w:val="center"/>
                </w:tcPr>
                <w:p w14:paraId="6B668E1A">
                  <w:pPr>
                    <w:tabs>
                      <w:tab w:val="left" w:pos="426"/>
                    </w:tabs>
                    <w:spacing w:line="240" w:lineRule="auto"/>
                    <w:jc w:val="center"/>
                    <w:rPr>
                      <w:color w:val="auto"/>
                      <w:szCs w:val="24"/>
                    </w:rPr>
                  </w:pPr>
                </w:p>
              </w:tc>
              <w:tc>
                <w:tcPr>
                  <w:tcW w:w="676" w:type="dxa"/>
                  <w:vAlign w:val="center"/>
                </w:tcPr>
                <w:p w14:paraId="6FDB9709">
                  <w:pPr>
                    <w:tabs>
                      <w:tab w:val="left" w:pos="426"/>
                    </w:tabs>
                    <w:spacing w:line="240" w:lineRule="auto"/>
                    <w:jc w:val="center"/>
                    <w:rPr>
                      <w:color w:val="auto"/>
                      <w:szCs w:val="24"/>
                    </w:rPr>
                  </w:pPr>
                  <w:r>
                    <w:rPr>
                      <w:rFonts w:hint="eastAsia"/>
                      <w:color w:val="auto"/>
                      <w:szCs w:val="24"/>
                    </w:rPr>
                    <w:t>袋装</w:t>
                  </w:r>
                </w:p>
              </w:tc>
              <w:tc>
                <w:tcPr>
                  <w:tcW w:w="932" w:type="dxa"/>
                  <w:vAlign w:val="center"/>
                </w:tcPr>
                <w:p w14:paraId="516C2859">
                  <w:pPr>
                    <w:tabs>
                      <w:tab w:val="left" w:pos="426"/>
                    </w:tabs>
                    <w:spacing w:line="240" w:lineRule="auto"/>
                    <w:jc w:val="center"/>
                    <w:rPr>
                      <w:color w:val="auto"/>
                      <w:szCs w:val="24"/>
                    </w:rPr>
                  </w:pPr>
                  <w:r>
                    <w:rPr>
                      <w:rFonts w:hint="eastAsia"/>
                      <w:color w:val="auto"/>
                      <w:szCs w:val="24"/>
                    </w:rPr>
                    <w:t>0</w:t>
                  </w:r>
                  <w:r>
                    <w:rPr>
                      <w:color w:val="auto"/>
                      <w:szCs w:val="24"/>
                    </w:rPr>
                    <w:t>.</w:t>
                  </w:r>
                  <w:r>
                    <w:rPr>
                      <w:rFonts w:hint="eastAsia"/>
                      <w:color w:val="auto"/>
                      <w:szCs w:val="24"/>
                    </w:rPr>
                    <w:t>1</w:t>
                  </w:r>
                </w:p>
              </w:tc>
              <w:tc>
                <w:tcPr>
                  <w:tcW w:w="716" w:type="dxa"/>
                  <w:vMerge w:val="continue"/>
                  <w:vAlign w:val="center"/>
                </w:tcPr>
                <w:p w14:paraId="19626FF2">
                  <w:pPr>
                    <w:tabs>
                      <w:tab w:val="left" w:pos="426"/>
                    </w:tabs>
                    <w:spacing w:line="240" w:lineRule="auto"/>
                    <w:jc w:val="center"/>
                    <w:rPr>
                      <w:color w:val="auto"/>
                      <w:szCs w:val="24"/>
                    </w:rPr>
                  </w:pPr>
                </w:p>
              </w:tc>
            </w:tr>
          </w:tbl>
          <w:p w14:paraId="34AFE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1）危险废物的储存</w:t>
            </w:r>
          </w:p>
          <w:p w14:paraId="04E29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本项目危废暂存于危废暂存间，委托有资质单位处理。危废暂存间严格执行临时废物贮存设施应符合《危险废物贮存污染控制标准》（GB18597-2023）中的相关要求。具体如下：</w:t>
            </w:r>
          </w:p>
          <w:p w14:paraId="528BB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14:paraId="79B9E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②贮存设施应根据危险废物的类别、数量、形态、物理化学性质和污染防治等要求设置必要的贮存分区，避免不相容的危险废物接触、混合。 </w:t>
            </w:r>
          </w:p>
          <w:p w14:paraId="500FA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③贮存设施或贮存分区内地面、墙面裙脚、堵截泄漏的围堰、接触危险废物的隔板和墙体等应采用坚固的材料建造，表面无裂缝。</w:t>
            </w:r>
          </w:p>
          <w:p w14:paraId="2AEAA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cm/s），或至少2mm厚高密度聚乙烯膜等人工防渗材料（渗透系数不大于10</w:t>
            </w:r>
            <w:r>
              <w:rPr>
                <w:rFonts w:hint="eastAsia"/>
                <w:color w:val="auto"/>
                <w:sz w:val="24"/>
                <w:szCs w:val="24"/>
                <w:highlight w:val="none"/>
                <w:vertAlign w:val="superscript"/>
                <w:lang w:val="en-US" w:eastAsia="zh-CN"/>
              </w:rPr>
              <w:t>-10</w:t>
            </w:r>
            <w:r>
              <w:rPr>
                <w:rFonts w:hint="eastAsia"/>
                <w:color w:val="auto"/>
                <w:sz w:val="24"/>
                <w:szCs w:val="24"/>
                <w:highlight w:val="none"/>
                <w:lang w:val="en-US" w:eastAsia="zh-CN"/>
              </w:rPr>
              <w:t>cm/s），或其他防渗性能等效的材料。</w:t>
            </w:r>
          </w:p>
          <w:p w14:paraId="27900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49122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⑥贮存设施应采取技术和管理措施防止无关人员进入。</w:t>
            </w:r>
          </w:p>
          <w:p w14:paraId="3CD66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本项目危废暂存间位于厂房内北侧角，占地面积3m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p>
          <w:p w14:paraId="1B0C1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2）危险废物的运输</w:t>
            </w:r>
          </w:p>
          <w:p w14:paraId="45127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产生的危险废物应由危废单位负责运输，并配备受过专业培训的工作人员，司机和押运人员须携带上岗证、准运证，并持有危险废物转移联单。运输均采用专用车辆，运输工具表面按标准设立危险废物标识，不得超载，有发生撞车、翻车等事故的应急措施。按照物料的不同危险特性，采用适当的装运措施，运输危险废物的车辆应严格遵守危险品交通运输法律法规的要求，在可能情况下绕过城市主要街道、居住区、疗养区、饮用水源保护区、自然保护区等。一般情况下，在运输途中不会产生物料的散落或泄漏，不会对沿途环境造成不利影响。</w:t>
            </w:r>
          </w:p>
          <w:p w14:paraId="28C98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在进行危废贮存、处理和运输的过程中，需要严格落实《危险废物污染防治技术政策》，危废暂存间建设满足《危险废物贮存污染控制标准》（GB18597-2023）的要求，危险废物的转运应由有资质单位承担，危险废物运输过程中应严格执行《危险废物收集贮存运输技术规范》（HJ2025-2012）和《危险废物转移联单管理办法》。</w:t>
            </w:r>
          </w:p>
          <w:p w14:paraId="1956C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3）危险废物的去向</w:t>
            </w:r>
          </w:p>
          <w:p w14:paraId="4EE54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危废暂存在危废暂存间，委托有资质单位定期处理。</w:t>
            </w:r>
          </w:p>
          <w:p w14:paraId="42AA9681">
            <w:pPr>
              <w:tabs>
                <w:tab w:val="left" w:pos="426"/>
              </w:tabs>
              <w:spacing w:line="360" w:lineRule="auto"/>
              <w:ind w:firstLine="435"/>
              <w:rPr>
                <w:rFonts w:hint="eastAsia"/>
                <w:color w:val="auto"/>
                <w:sz w:val="24"/>
                <w:szCs w:val="24"/>
              </w:rPr>
            </w:pPr>
            <w:r>
              <w:rPr>
                <w:rFonts w:hint="eastAsia"/>
                <w:color w:val="auto"/>
                <w:sz w:val="24"/>
                <w:szCs w:val="24"/>
                <w:highlight w:val="none"/>
                <w:lang w:val="en-US" w:eastAsia="zh-CN"/>
              </w:rPr>
              <w:t>综上所述，在落实上述危险废物管理要求后，本项目各类危废从收集、转运、运输、处理处置环节均可以得到有效的控制，能够确保妥善处置，对周边环境影响较小。</w:t>
            </w:r>
          </w:p>
          <w:p w14:paraId="5D9CDCFC">
            <w:pPr>
              <w:tabs>
                <w:tab w:val="left" w:pos="426"/>
              </w:tabs>
              <w:spacing w:line="360" w:lineRule="auto"/>
              <w:rPr>
                <w:b/>
                <w:bCs/>
                <w:color w:val="auto"/>
                <w:sz w:val="24"/>
                <w:szCs w:val="24"/>
              </w:rPr>
            </w:pPr>
            <w:r>
              <w:rPr>
                <w:rFonts w:hint="eastAsia"/>
                <w:b/>
                <w:bCs/>
                <w:color w:val="auto"/>
                <w:sz w:val="24"/>
                <w:szCs w:val="24"/>
              </w:rPr>
              <w:t>5、地下水、土壤环境影响及保护措施</w:t>
            </w:r>
          </w:p>
          <w:p w14:paraId="78F02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highlight w:val="none"/>
              </w:rPr>
            </w:pPr>
            <w:r>
              <w:rPr>
                <w:rFonts w:hint="eastAsia"/>
                <w:color w:val="auto"/>
                <w:sz w:val="24"/>
                <w:szCs w:val="24"/>
                <w:highlight w:val="none"/>
              </w:rPr>
              <w:t>一般防渗区的防渗性能要求等效黏土防渗层Mb≥1.5m，渗透系数K≤10</w:t>
            </w:r>
            <w:r>
              <w:rPr>
                <w:rFonts w:hint="eastAsia"/>
                <w:color w:val="auto"/>
                <w:sz w:val="24"/>
                <w:szCs w:val="24"/>
                <w:highlight w:val="none"/>
                <w:vertAlign w:val="superscript"/>
              </w:rPr>
              <w:t>-7</w:t>
            </w:r>
            <w:r>
              <w:rPr>
                <w:rFonts w:hint="eastAsia"/>
                <w:color w:val="auto"/>
                <w:sz w:val="24"/>
                <w:szCs w:val="24"/>
                <w:highlight w:val="none"/>
              </w:rPr>
              <w:t>cm/s；重点防腐防渗区的防渗性能要求等效黏土防渗层Mb≥6m，渗透系数K≤10</w:t>
            </w:r>
            <w:r>
              <w:rPr>
                <w:rFonts w:hint="eastAsia"/>
                <w:color w:val="auto"/>
                <w:sz w:val="24"/>
                <w:szCs w:val="24"/>
                <w:highlight w:val="none"/>
                <w:vertAlign w:val="superscript"/>
              </w:rPr>
              <w:t>-10</w:t>
            </w:r>
            <w:r>
              <w:rPr>
                <w:rFonts w:hint="eastAsia"/>
                <w:color w:val="auto"/>
                <w:sz w:val="24"/>
                <w:szCs w:val="24"/>
                <w:highlight w:val="none"/>
              </w:rPr>
              <w:t>cm/s；除重点防渗区和一般防渗区以外的区域为简单防渗区，采取一般地面硬化。</w:t>
            </w:r>
            <w:r>
              <w:rPr>
                <w:rFonts w:hint="eastAsia"/>
                <w:color w:val="auto"/>
                <w:sz w:val="24"/>
                <w:szCs w:val="24"/>
                <w:highlight w:val="none"/>
                <w:lang w:val="en-US" w:eastAsia="zh-CN"/>
              </w:rPr>
              <w:t>本项目不涉及重点防渗区，</w:t>
            </w:r>
            <w:r>
              <w:rPr>
                <w:rFonts w:hint="eastAsia"/>
                <w:color w:val="auto"/>
                <w:sz w:val="24"/>
                <w:szCs w:val="24"/>
                <w:highlight w:val="none"/>
              </w:rPr>
              <w:t>项目防腐、防渗等防止地下水、土壤污染预防措施见下表。</w:t>
            </w:r>
          </w:p>
          <w:p w14:paraId="38027A3A">
            <w:pPr>
              <w:pStyle w:val="254"/>
              <w:bidi w:val="0"/>
              <w:rPr>
                <w:color w:val="auto"/>
                <w:highlight w:val="none"/>
              </w:rPr>
            </w:pPr>
          </w:p>
          <w:p w14:paraId="0C99CDA9">
            <w:pPr>
              <w:pStyle w:val="254"/>
              <w:bidi w:val="0"/>
              <w:rPr>
                <w:color w:val="auto"/>
                <w:highlight w:val="none"/>
              </w:rPr>
            </w:pPr>
          </w:p>
          <w:p w14:paraId="1365C365">
            <w:pPr>
              <w:pStyle w:val="254"/>
              <w:bidi w:val="0"/>
              <w:rPr>
                <w:color w:val="auto"/>
                <w:highlight w:val="none"/>
              </w:rPr>
            </w:pPr>
          </w:p>
          <w:p w14:paraId="680E126C">
            <w:pPr>
              <w:pStyle w:val="254"/>
              <w:bidi w:val="0"/>
              <w:rPr>
                <w:color w:val="auto"/>
                <w:highlight w:val="none"/>
              </w:rPr>
            </w:pPr>
          </w:p>
          <w:p w14:paraId="236EE521">
            <w:pPr>
              <w:pStyle w:val="254"/>
              <w:bidi w:val="0"/>
              <w:rPr>
                <w:color w:val="auto"/>
                <w:highlight w:val="none"/>
              </w:rPr>
            </w:pPr>
          </w:p>
          <w:p w14:paraId="0BE9D029">
            <w:pPr>
              <w:pStyle w:val="254"/>
              <w:bidi w:val="0"/>
              <w:rPr>
                <w:color w:val="auto"/>
                <w:highlight w:val="none"/>
              </w:rPr>
            </w:pPr>
          </w:p>
          <w:p w14:paraId="5DC6DC73">
            <w:pPr>
              <w:pStyle w:val="254"/>
              <w:bidi w:val="0"/>
              <w:rPr>
                <w:color w:val="auto"/>
                <w:highlight w:val="none"/>
              </w:rPr>
            </w:pPr>
          </w:p>
          <w:p w14:paraId="5B45494B">
            <w:pPr>
              <w:pStyle w:val="254"/>
              <w:bidi w:val="0"/>
              <w:rPr>
                <w:rFonts w:hint="default"/>
                <w:color w:val="auto"/>
                <w:highlight w:val="none"/>
                <w:lang w:val="en-US" w:eastAsia="zh-CN"/>
              </w:rPr>
            </w:pPr>
            <w:r>
              <w:rPr>
                <w:color w:val="auto"/>
                <w:highlight w:val="none"/>
              </w:rPr>
              <w:t>表</w:t>
            </w:r>
            <w:r>
              <w:rPr>
                <w:rFonts w:hint="eastAsia"/>
                <w:color w:val="auto"/>
                <w:highlight w:val="none"/>
                <w:lang w:val="en-US" w:eastAsia="zh-CN"/>
              </w:rPr>
              <w:t>4-12  本项目分区防渗处理措施</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937"/>
              <w:gridCol w:w="5136"/>
            </w:tblGrid>
            <w:tr w14:paraId="410A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7" w:type="pct"/>
                  <w:noWrap w:val="0"/>
                  <w:vAlign w:val="center"/>
                </w:tcPr>
                <w:p w14:paraId="1587BC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防渗级别</w:t>
                  </w:r>
                </w:p>
              </w:tc>
              <w:tc>
                <w:tcPr>
                  <w:tcW w:w="1142" w:type="pct"/>
                  <w:noWrap w:val="0"/>
                  <w:vAlign w:val="center"/>
                </w:tcPr>
                <w:p w14:paraId="3C53D0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构筑物名称</w:t>
                  </w:r>
                </w:p>
              </w:tc>
              <w:tc>
                <w:tcPr>
                  <w:tcW w:w="3030" w:type="pct"/>
                  <w:noWrap w:val="0"/>
                  <w:vAlign w:val="center"/>
                </w:tcPr>
                <w:p w14:paraId="4AF79D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防渗技术要求</w:t>
                  </w:r>
                </w:p>
              </w:tc>
            </w:tr>
            <w:tr w14:paraId="7A97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7" w:type="pct"/>
                  <w:noWrap w:val="0"/>
                  <w:vAlign w:val="center"/>
                </w:tcPr>
                <w:p w14:paraId="71CA0D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重点防渗区</w:t>
                  </w:r>
                </w:p>
              </w:tc>
              <w:tc>
                <w:tcPr>
                  <w:tcW w:w="1142" w:type="pct"/>
                  <w:noWrap w:val="0"/>
                  <w:vAlign w:val="center"/>
                </w:tcPr>
                <w:p w14:paraId="415FAE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危废暂存间</w:t>
                  </w:r>
                </w:p>
              </w:tc>
              <w:tc>
                <w:tcPr>
                  <w:tcW w:w="3030" w:type="pct"/>
                  <w:noWrap w:val="0"/>
                  <w:vAlign w:val="center"/>
                </w:tcPr>
                <w:p w14:paraId="60B32E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rPr>
                    <w:t>等效黏土防渗层Mb≥6m，渗透系</w:t>
                  </w:r>
                  <w:r>
                    <w:rPr>
                      <w:rFonts w:hint="default" w:ascii="Times New Roman" w:hAnsi="Times New Roman" w:cs="Times New Roman"/>
                      <w:color w:val="auto"/>
                      <w:sz w:val="21"/>
                      <w:szCs w:val="21"/>
                      <w:highlight w:val="none"/>
                    </w:rPr>
                    <w:t>数K≤10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w:t>
                  </w:r>
                  <w:r>
                    <w:rPr>
                      <w:rFonts w:hint="default" w:ascii="Times New Roman" w:hAnsi="Times New Roman" w:cs="Times New Roman"/>
                      <w:color w:val="auto"/>
                      <w:sz w:val="21"/>
                      <w:szCs w:val="21"/>
                    </w:rPr>
                    <w:t>或参照</w:t>
                  </w:r>
                  <w:r>
                    <w:rPr>
                      <w:rFonts w:hint="eastAsia"/>
                      <w:color w:val="auto"/>
                    </w:rPr>
                    <w:t>《危险废物贮存污染控制标准》（GB 18597-2023）要求执行</w:t>
                  </w:r>
                </w:p>
              </w:tc>
            </w:tr>
            <w:tr w14:paraId="5B56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7" w:type="pct"/>
                  <w:shd w:val="clear" w:color="auto" w:fill="auto"/>
                  <w:noWrap w:val="0"/>
                  <w:vAlign w:val="center"/>
                </w:tcPr>
                <w:p w14:paraId="0E26DC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bidi="ar-SA"/>
                    </w:rPr>
                  </w:pPr>
                  <w:r>
                    <w:rPr>
                      <w:rFonts w:hint="eastAsia"/>
                      <w:color w:val="auto"/>
                      <w:highlight w:val="none"/>
                      <w:vertAlign w:val="baseline"/>
                      <w:lang w:val="en-US" w:eastAsia="zh-CN"/>
                    </w:rPr>
                    <w:t>一般防渗区</w:t>
                  </w:r>
                </w:p>
              </w:tc>
              <w:tc>
                <w:tcPr>
                  <w:tcW w:w="1142" w:type="pct"/>
                  <w:shd w:val="clear" w:color="auto" w:fill="auto"/>
                  <w:noWrap w:val="0"/>
                  <w:vAlign w:val="center"/>
                </w:tcPr>
                <w:p w14:paraId="588966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bidi="ar-SA"/>
                    </w:rPr>
                  </w:pPr>
                  <w:r>
                    <w:rPr>
                      <w:rFonts w:hint="eastAsia"/>
                      <w:color w:val="auto"/>
                      <w:highlight w:val="none"/>
                      <w:vertAlign w:val="baseline"/>
                      <w:lang w:val="en-US" w:eastAsia="zh-CN"/>
                    </w:rPr>
                    <w:t>生产厂房、一般固废区、化粪池</w:t>
                  </w:r>
                </w:p>
              </w:tc>
              <w:tc>
                <w:tcPr>
                  <w:tcW w:w="3030" w:type="pct"/>
                  <w:shd w:val="clear" w:color="auto" w:fill="auto"/>
                  <w:noWrap w:val="0"/>
                  <w:vAlign w:val="center"/>
                </w:tcPr>
                <w:p w14:paraId="5D1C14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color w:val="auto"/>
                      <w:sz w:val="21"/>
                      <w:szCs w:val="21"/>
                      <w:highlight w:val="none"/>
                      <w:vertAlign w:val="baseline"/>
                      <w:lang w:val="en-US" w:eastAsia="zh-CN"/>
                    </w:rPr>
                    <w:t>等效黏土防渗层Mb≥1.5m，K≤10</w:t>
                  </w:r>
                  <w:r>
                    <w:rPr>
                      <w:rFonts w:hint="default"/>
                      <w:color w:val="auto"/>
                      <w:sz w:val="21"/>
                      <w:szCs w:val="21"/>
                      <w:highlight w:val="none"/>
                      <w:vertAlign w:val="superscript"/>
                      <w:lang w:val="en-US" w:eastAsia="zh-CN"/>
                    </w:rPr>
                    <w:t>-7</w:t>
                  </w:r>
                  <w:r>
                    <w:rPr>
                      <w:rFonts w:hint="default"/>
                      <w:color w:val="auto"/>
                      <w:sz w:val="21"/>
                      <w:szCs w:val="21"/>
                      <w:highlight w:val="none"/>
                      <w:vertAlign w:val="baseline"/>
                      <w:lang w:val="en-US" w:eastAsia="zh-CN"/>
                    </w:rPr>
                    <w:t>cm/s；或参照GB16889执行</w:t>
                  </w:r>
                  <w:r>
                    <w:rPr>
                      <w:rFonts w:hint="eastAsia"/>
                      <w:color w:val="auto"/>
                      <w:sz w:val="21"/>
                      <w:szCs w:val="21"/>
                      <w:highlight w:val="none"/>
                      <w:vertAlign w:val="baseline"/>
                      <w:lang w:val="en-US" w:eastAsia="zh-CN"/>
                    </w:rPr>
                    <w:t>。</w:t>
                  </w:r>
                </w:p>
              </w:tc>
            </w:tr>
            <w:tr w14:paraId="21CB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7" w:type="pct"/>
                  <w:noWrap w:val="0"/>
                  <w:vAlign w:val="center"/>
                </w:tcPr>
                <w:p w14:paraId="48785C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简单防渗区</w:t>
                  </w:r>
                </w:p>
              </w:tc>
              <w:tc>
                <w:tcPr>
                  <w:tcW w:w="1142" w:type="pct"/>
                  <w:noWrap w:val="0"/>
                  <w:vAlign w:val="center"/>
                </w:tcPr>
                <w:p w14:paraId="4582FA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办公场所及厂区道路</w:t>
                  </w:r>
                </w:p>
              </w:tc>
              <w:tc>
                <w:tcPr>
                  <w:tcW w:w="3030" w:type="pct"/>
                  <w:noWrap w:val="0"/>
                  <w:vAlign w:val="center"/>
                </w:tcPr>
                <w:p w14:paraId="22120A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地面硬化</w:t>
                  </w:r>
                </w:p>
              </w:tc>
            </w:tr>
          </w:tbl>
          <w:p w14:paraId="2B07F8B9">
            <w:pPr>
              <w:spacing w:line="360" w:lineRule="auto"/>
              <w:ind w:firstLine="480" w:firstLineChars="200"/>
              <w:rPr>
                <w:rFonts w:hint="eastAsia"/>
                <w:b/>
                <w:bCs/>
                <w:color w:val="auto"/>
                <w:sz w:val="24"/>
                <w:szCs w:val="24"/>
              </w:rPr>
            </w:pPr>
            <w:r>
              <w:rPr>
                <w:rFonts w:hint="eastAsia"/>
                <w:color w:val="auto"/>
                <w:sz w:val="24"/>
                <w:szCs w:val="24"/>
                <w:highlight w:val="none"/>
              </w:rPr>
              <w:t>经采取有效的分区防渗措施及污染防控措施，本项目对区域地下水、土壤环境基本不造成影响。</w:t>
            </w:r>
          </w:p>
          <w:p w14:paraId="154A6AF0">
            <w:pPr>
              <w:numPr>
                <w:ilvl w:val="0"/>
                <w:numId w:val="8"/>
              </w:numPr>
              <w:tabs>
                <w:tab w:val="left" w:pos="426"/>
              </w:tabs>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rPr>
              <w:t>环境风险</w:t>
            </w:r>
            <w:r>
              <w:rPr>
                <w:rFonts w:hint="eastAsia" w:ascii="Times New Roman" w:hAnsi="Times New Roman" w:eastAsia="宋体" w:cs="Times New Roman"/>
                <w:b/>
                <w:bCs/>
                <w:color w:val="auto"/>
                <w:sz w:val="24"/>
                <w:szCs w:val="24"/>
                <w:lang w:val="en-US" w:eastAsia="zh-CN"/>
              </w:rPr>
              <w:t>分析</w:t>
            </w:r>
          </w:p>
          <w:p w14:paraId="0C978CF4">
            <w:pPr>
              <w:numPr>
                <w:ilvl w:val="0"/>
                <w:numId w:val="0"/>
              </w:numPr>
              <w:tabs>
                <w:tab w:val="left" w:pos="426"/>
              </w:tabs>
              <w:spacing w:line="360" w:lineRule="auto"/>
              <w:ind w:firstLine="472" w:firstLineChars="200"/>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snapToGrid/>
                <w:color w:val="auto"/>
                <w:spacing w:val="-2"/>
                <w:kern w:val="2"/>
                <w:sz w:val="24"/>
                <w:szCs w:val="24"/>
                <w:u w:val="none" w:color="auto"/>
                <w:lang w:val="en-US" w:eastAsia="zh-CN" w:bidi="ar-SA"/>
              </w:rPr>
              <w:t>环境风险是指突发性事故对环境（或健康）的危害程度。建设项目环境风险评价，主要是对建设项目建设和运行期间发生的可预测突发性事件或事故（一般不包括人为破</w:t>
            </w:r>
            <w:r>
              <w:rPr>
                <w:rFonts w:hint="default" w:ascii="Times New Roman" w:hAnsi="Times New Roman" w:cs="Times New Roman"/>
                <w:color w:val="auto"/>
                <w:spacing w:val="1"/>
                <w:sz w:val="24"/>
                <w:szCs w:val="24"/>
                <w:u w:val="none" w:color="auto"/>
              </w:rPr>
              <w:t>坏及自然灾害）引起有毒有害、易燃易爆等物质泄</w:t>
            </w:r>
            <w:r>
              <w:rPr>
                <w:rFonts w:hint="default" w:ascii="Times New Roman" w:hAnsi="Times New Roman" w:cs="Times New Roman"/>
                <w:color w:val="auto"/>
                <w:spacing w:val="2"/>
                <w:sz w:val="24"/>
                <w:szCs w:val="24"/>
                <w:u w:val="none" w:color="auto"/>
              </w:rPr>
              <w:t>漏，或突发事件产生的新的有毒有害物质，</w:t>
            </w:r>
            <w:r>
              <w:rPr>
                <w:rFonts w:hint="default" w:ascii="Times New Roman" w:hAnsi="Times New Roman" w:cs="Times New Roman"/>
                <w:color w:val="auto"/>
                <w:spacing w:val="1"/>
                <w:sz w:val="24"/>
                <w:szCs w:val="24"/>
                <w:u w:val="none" w:color="auto"/>
              </w:rPr>
              <w:t>所造成的对人身安全与环境的影响和损害，进行评估，提出防范、应急与减缓措施，以使建设项目事故率、损失和环境</w:t>
            </w:r>
            <w:r>
              <w:rPr>
                <w:rFonts w:hint="default" w:ascii="Times New Roman" w:hAnsi="Times New Roman" w:cs="Times New Roman"/>
                <w:color w:val="auto"/>
                <w:sz w:val="24"/>
                <w:szCs w:val="24"/>
                <w:u w:val="none" w:color="auto"/>
              </w:rPr>
              <w:t>影响达到可接受水平。</w:t>
            </w:r>
          </w:p>
          <w:p w14:paraId="7E7687C9">
            <w:pPr>
              <w:pStyle w:val="234"/>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评级依据</w:t>
            </w:r>
          </w:p>
          <w:p w14:paraId="73A83C7B">
            <w:pPr>
              <w:pStyle w:val="234"/>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风险调查</w:t>
            </w:r>
          </w:p>
          <w:p w14:paraId="05970261">
            <w:pPr>
              <w:pStyle w:val="23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经对照《建设项目环境风险评价技术导则》</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HJ169-2018</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中的</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附录B.1突发环境事件风险物质及临界量</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可知，本项目所使用的润滑油等属于健康危险急性毒性物质。</w:t>
            </w:r>
          </w:p>
          <w:p w14:paraId="253ABF49">
            <w:pPr>
              <w:pStyle w:val="23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危险物质数量与临界量的比值</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Q</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根据《建设项目环境风险评价技术导则》</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HJ/T169-2018</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附录B，定量分析危险物质数量与临界量的比值</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Q</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w:t>
            </w:r>
          </w:p>
          <w:p w14:paraId="68C2CAB4">
            <w:pPr>
              <w:pStyle w:val="234"/>
              <w:spacing w:line="360" w:lineRule="auto"/>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当只涉及一种危险物质时，计算该物质的总量与临界量的比值，即为Q</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当存在多种危险物质时，按公式</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C.1</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计算物质的总量与临界量的比值</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Q</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Q=q1/Q1+q2/Q2+…….+qn/Qn      </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C.1</w:t>
            </w:r>
            <w:r>
              <w:rPr>
                <w:rFonts w:hint="eastAsia" w:cs="Times New Roman"/>
                <w:color w:val="auto"/>
                <w:sz w:val="24"/>
                <w:szCs w:val="24"/>
                <w:lang w:eastAsia="zh-CN"/>
              </w:rPr>
              <w:t>)</w:t>
            </w:r>
          </w:p>
          <w:p w14:paraId="4E51A51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式中：q1，q2……qn—每种危险物质的最大存在总量（t）； </w:t>
            </w:r>
          </w:p>
          <w:p w14:paraId="0EE457A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Q1，Q2……Qn—每种危险</w:t>
            </w:r>
            <w:r>
              <w:rPr>
                <w:rFonts w:hint="eastAsia" w:ascii="Times New Roman" w:hAnsi="Times New Roman" w:eastAsia="宋体" w:cs="Times New Roman"/>
                <w:color w:val="auto"/>
                <w:sz w:val="24"/>
                <w:szCs w:val="24"/>
                <w:lang w:eastAsia="zh-CN"/>
              </w:rPr>
              <w:t>物质的</w:t>
            </w:r>
            <w:r>
              <w:rPr>
                <w:rFonts w:hint="default" w:ascii="Times New Roman" w:hAnsi="Times New Roman" w:eastAsia="宋体" w:cs="Times New Roman"/>
                <w:color w:val="auto"/>
                <w:sz w:val="24"/>
                <w:szCs w:val="24"/>
              </w:rPr>
              <w:t xml:space="preserve">临界量（t）。 </w:t>
            </w:r>
          </w:p>
          <w:p w14:paraId="74C170D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当Q&lt;1时，该项目环境风险潜势为Ⅰ；</w:t>
            </w:r>
          </w:p>
          <w:p w14:paraId="5EC02D1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当Q≥1时，将Q值划分为（1）1≤Q&lt;10；（2）10≤Q&lt;100；（3）Q≥100。</w:t>
            </w:r>
          </w:p>
          <w:p w14:paraId="2F57C1D3">
            <w:pPr>
              <w:spacing w:line="360" w:lineRule="auto"/>
              <w:ind w:firstLine="480" w:firstLineChars="200"/>
              <w:rPr>
                <w:color w:val="auto"/>
                <w:sz w:val="24"/>
                <w:szCs w:val="24"/>
              </w:rPr>
            </w:pPr>
            <w:r>
              <w:rPr>
                <w:rFonts w:hint="default" w:ascii="Times New Roman" w:hAnsi="Times New Roman" w:eastAsia="宋体" w:cs="Times New Roman"/>
                <w:color w:val="auto"/>
                <w:sz w:val="24"/>
                <w:szCs w:val="24"/>
                <w:highlight w:val="none"/>
              </w:rPr>
              <w:t>本项目风险物质及其Q值计算如下表</w:t>
            </w:r>
            <w:r>
              <w:rPr>
                <w:color w:val="auto"/>
                <w:sz w:val="24"/>
                <w:szCs w:val="24"/>
              </w:rPr>
              <w:t>。</w:t>
            </w:r>
          </w:p>
          <w:p w14:paraId="7F54F5CC">
            <w:pPr>
              <w:spacing w:line="360" w:lineRule="auto"/>
              <w:jc w:val="center"/>
              <w:rPr>
                <w:rFonts w:hint="eastAsia" w:ascii="Times New Roman" w:hAnsi="宋体" w:eastAsia="宋体" w:cs="Times New Roman"/>
                <w:b/>
                <w:color w:val="auto"/>
                <w:szCs w:val="21"/>
              </w:rPr>
            </w:pPr>
            <w:r>
              <w:rPr>
                <w:rFonts w:hint="eastAsia" w:ascii="Times New Roman" w:hAnsi="宋体" w:eastAsia="宋体" w:cs="Times New Roman"/>
                <w:b/>
                <w:color w:val="auto"/>
                <w:szCs w:val="21"/>
              </w:rPr>
              <w:t>表4-1</w:t>
            </w:r>
            <w:r>
              <w:rPr>
                <w:rFonts w:hint="eastAsia" w:ascii="Times New Roman" w:hAnsi="宋体" w:cs="Times New Roman"/>
                <w:b/>
                <w:color w:val="auto"/>
                <w:szCs w:val="21"/>
                <w:lang w:val="en-US" w:eastAsia="zh-CN"/>
              </w:rPr>
              <w:t>3</w:t>
            </w:r>
            <w:r>
              <w:rPr>
                <w:rFonts w:hint="eastAsia" w:ascii="Times New Roman" w:hAnsi="宋体" w:eastAsia="宋体" w:cs="Times New Roman"/>
                <w:b/>
                <w:color w:val="auto"/>
                <w:szCs w:val="21"/>
              </w:rPr>
              <w:t xml:space="preserve"> </w:t>
            </w:r>
            <w:r>
              <w:rPr>
                <w:rFonts w:hint="default" w:ascii="Times New Roman" w:hAnsi="宋体" w:eastAsia="宋体" w:cs="Times New Roman"/>
                <w:b/>
                <w:color w:val="auto"/>
                <w:szCs w:val="21"/>
                <w:lang w:val="en-US" w:eastAsia="zh-CN"/>
              </w:rPr>
              <w:t>本项目风险物质及Q一览表</w:t>
            </w:r>
          </w:p>
          <w:tbl>
            <w:tblPr>
              <w:tblStyle w:val="46"/>
              <w:tblW w:w="8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255"/>
              <w:gridCol w:w="804"/>
              <w:gridCol w:w="785"/>
              <w:gridCol w:w="1227"/>
              <w:gridCol w:w="1041"/>
              <w:gridCol w:w="1932"/>
            </w:tblGrid>
            <w:tr w14:paraId="6577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dxa"/>
                  <w:vAlign w:val="center"/>
                </w:tcPr>
                <w:p w14:paraId="413998D2">
                  <w:pPr>
                    <w:jc w:val="center"/>
                    <w:rPr>
                      <w:b/>
                      <w:color w:val="auto"/>
                      <w:szCs w:val="21"/>
                    </w:rPr>
                  </w:pPr>
                  <w:r>
                    <w:rPr>
                      <w:rFonts w:hint="eastAsia"/>
                      <w:b/>
                      <w:color w:val="auto"/>
                      <w:szCs w:val="21"/>
                    </w:rPr>
                    <w:t>名称</w:t>
                  </w:r>
                </w:p>
              </w:tc>
              <w:tc>
                <w:tcPr>
                  <w:tcW w:w="1255" w:type="dxa"/>
                  <w:vAlign w:val="center"/>
                </w:tcPr>
                <w:p w14:paraId="4F08EDF9">
                  <w:pPr>
                    <w:jc w:val="center"/>
                    <w:rPr>
                      <w:b/>
                      <w:color w:val="auto"/>
                      <w:szCs w:val="21"/>
                    </w:rPr>
                  </w:pPr>
                  <w:r>
                    <w:rPr>
                      <w:rFonts w:hint="eastAsia"/>
                      <w:b/>
                      <w:color w:val="auto"/>
                      <w:szCs w:val="21"/>
                    </w:rPr>
                    <w:t>包装方式</w:t>
                  </w:r>
                </w:p>
              </w:tc>
              <w:tc>
                <w:tcPr>
                  <w:tcW w:w="804" w:type="dxa"/>
                  <w:vAlign w:val="center"/>
                </w:tcPr>
                <w:p w14:paraId="73CC7829">
                  <w:pPr>
                    <w:jc w:val="center"/>
                    <w:rPr>
                      <w:b/>
                      <w:color w:val="auto"/>
                      <w:szCs w:val="21"/>
                    </w:rPr>
                  </w:pPr>
                  <w:r>
                    <w:rPr>
                      <w:rFonts w:hint="eastAsia"/>
                      <w:b/>
                      <w:color w:val="auto"/>
                      <w:szCs w:val="21"/>
                    </w:rPr>
                    <w:t>性状</w:t>
                  </w:r>
                </w:p>
              </w:tc>
              <w:tc>
                <w:tcPr>
                  <w:tcW w:w="785" w:type="dxa"/>
                  <w:vAlign w:val="center"/>
                </w:tcPr>
                <w:p w14:paraId="0A3BE6DF">
                  <w:pPr>
                    <w:jc w:val="center"/>
                    <w:rPr>
                      <w:b/>
                      <w:color w:val="auto"/>
                      <w:szCs w:val="21"/>
                    </w:rPr>
                  </w:pPr>
                  <w:r>
                    <w:rPr>
                      <w:rFonts w:hint="eastAsia"/>
                      <w:b/>
                      <w:color w:val="auto"/>
                      <w:szCs w:val="21"/>
                    </w:rPr>
                    <w:t>单位</w:t>
                  </w:r>
                </w:p>
              </w:tc>
              <w:tc>
                <w:tcPr>
                  <w:tcW w:w="1227" w:type="dxa"/>
                  <w:vAlign w:val="center"/>
                </w:tcPr>
                <w:p w14:paraId="2CE287E2">
                  <w:pPr>
                    <w:jc w:val="center"/>
                    <w:rPr>
                      <w:rFonts w:hint="eastAsia" w:eastAsia="宋体"/>
                      <w:b/>
                      <w:color w:val="auto"/>
                      <w:szCs w:val="21"/>
                      <w:lang w:val="en-US" w:eastAsia="zh-CN"/>
                    </w:rPr>
                  </w:pPr>
                  <w:r>
                    <w:rPr>
                      <w:rFonts w:hint="eastAsia"/>
                      <w:b/>
                      <w:color w:val="auto"/>
                      <w:szCs w:val="21"/>
                    </w:rPr>
                    <w:t>最大存放量（含在线量）</w:t>
                  </w:r>
                </w:p>
              </w:tc>
              <w:tc>
                <w:tcPr>
                  <w:tcW w:w="1041" w:type="dxa"/>
                  <w:vAlign w:val="center"/>
                </w:tcPr>
                <w:p w14:paraId="62088175">
                  <w:pPr>
                    <w:jc w:val="center"/>
                    <w:rPr>
                      <w:rFonts w:hint="eastAsia" w:eastAsia="宋体"/>
                      <w:b/>
                      <w:color w:val="auto"/>
                      <w:szCs w:val="21"/>
                      <w:lang w:val="en-US" w:eastAsia="zh-CN"/>
                    </w:rPr>
                  </w:pPr>
                  <w:r>
                    <w:rPr>
                      <w:rFonts w:hint="eastAsia"/>
                      <w:b/>
                      <w:color w:val="auto"/>
                      <w:szCs w:val="21"/>
                    </w:rPr>
                    <w:t>临界量</w:t>
                  </w:r>
                </w:p>
              </w:tc>
              <w:tc>
                <w:tcPr>
                  <w:tcW w:w="1932" w:type="dxa"/>
                  <w:vAlign w:val="center"/>
                </w:tcPr>
                <w:p w14:paraId="1503582A">
                  <w:pPr>
                    <w:jc w:val="center"/>
                    <w:rPr>
                      <w:b/>
                      <w:color w:val="auto"/>
                      <w:szCs w:val="21"/>
                    </w:rPr>
                  </w:pPr>
                  <w:r>
                    <w:rPr>
                      <w:rFonts w:hint="eastAsia"/>
                      <w:b/>
                      <w:color w:val="auto"/>
                      <w:szCs w:val="21"/>
                    </w:rPr>
                    <w:t>Q值</w:t>
                  </w:r>
                </w:p>
              </w:tc>
            </w:tr>
            <w:tr w14:paraId="517E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dxa"/>
                  <w:shd w:val="clear" w:color="auto" w:fill="auto"/>
                  <w:vAlign w:val="center"/>
                </w:tcPr>
                <w:p w14:paraId="256EB979">
                  <w:pPr>
                    <w:jc w:val="center"/>
                    <w:rPr>
                      <w:rFonts w:ascii="Times New Roman" w:hAnsi="Times New Roman" w:eastAsia="宋体" w:cs="Times New Roman"/>
                      <w:color w:val="auto"/>
                      <w:kern w:val="2"/>
                      <w:sz w:val="21"/>
                      <w:szCs w:val="21"/>
                      <w:lang w:val="en-US" w:eastAsia="zh-CN" w:bidi="ar-SA"/>
                    </w:rPr>
                  </w:pPr>
                  <w:r>
                    <w:rPr>
                      <w:color w:val="auto"/>
                      <w:szCs w:val="21"/>
                    </w:rPr>
                    <w:t>废润滑油</w:t>
                  </w:r>
                </w:p>
              </w:tc>
              <w:tc>
                <w:tcPr>
                  <w:tcW w:w="1255" w:type="dxa"/>
                  <w:shd w:val="clear" w:color="auto" w:fill="auto"/>
                  <w:vAlign w:val="center"/>
                </w:tcPr>
                <w:p w14:paraId="757C8116">
                  <w:pPr>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桶装</w:t>
                  </w:r>
                </w:p>
              </w:tc>
              <w:tc>
                <w:tcPr>
                  <w:tcW w:w="804" w:type="dxa"/>
                  <w:shd w:val="clear" w:color="auto" w:fill="auto"/>
                  <w:vAlign w:val="center"/>
                </w:tcPr>
                <w:p w14:paraId="51D622FA">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液态</w:t>
                  </w:r>
                </w:p>
              </w:tc>
              <w:tc>
                <w:tcPr>
                  <w:tcW w:w="785" w:type="dxa"/>
                  <w:shd w:val="clear" w:color="auto" w:fill="auto"/>
                  <w:vAlign w:val="center"/>
                </w:tcPr>
                <w:p w14:paraId="79C7661D">
                  <w:pPr>
                    <w:jc w:val="center"/>
                    <w:rPr>
                      <w:rFonts w:ascii="Times New Roman" w:hAnsi="Times New Roman" w:eastAsia="宋体" w:cs="Times New Roman"/>
                      <w:color w:val="auto"/>
                      <w:kern w:val="2"/>
                      <w:sz w:val="21"/>
                      <w:szCs w:val="21"/>
                      <w:lang w:val="en-US" w:eastAsia="zh-CN" w:bidi="ar-SA"/>
                    </w:rPr>
                  </w:pPr>
                  <w:r>
                    <w:rPr>
                      <w:color w:val="auto"/>
                      <w:szCs w:val="21"/>
                    </w:rPr>
                    <w:t>t</w:t>
                  </w:r>
                </w:p>
              </w:tc>
              <w:tc>
                <w:tcPr>
                  <w:tcW w:w="1227" w:type="dxa"/>
                  <w:shd w:val="clear" w:color="auto" w:fill="auto"/>
                  <w:vAlign w:val="center"/>
                </w:tcPr>
                <w:p w14:paraId="3CAFE540">
                  <w:pPr>
                    <w:jc w:val="center"/>
                    <w:rPr>
                      <w:rFonts w:hint="eastAsia" w:ascii="Times New Roman" w:hAnsi="Times New Roman" w:eastAsia="宋体" w:cs="Times New Roman"/>
                      <w:color w:val="auto"/>
                      <w:kern w:val="2"/>
                      <w:sz w:val="21"/>
                      <w:szCs w:val="21"/>
                      <w:lang w:val="en-US" w:eastAsia="zh-CN" w:bidi="ar-SA"/>
                    </w:rPr>
                  </w:pPr>
                  <w:r>
                    <w:rPr>
                      <w:color w:val="auto"/>
                      <w:szCs w:val="21"/>
                    </w:rPr>
                    <w:t>0.0</w:t>
                  </w:r>
                  <w:r>
                    <w:rPr>
                      <w:rFonts w:hint="eastAsia"/>
                      <w:color w:val="auto"/>
                      <w:szCs w:val="21"/>
                      <w:lang w:val="en-US" w:eastAsia="zh-CN"/>
                    </w:rPr>
                    <w:t>3</w:t>
                  </w:r>
                </w:p>
              </w:tc>
              <w:tc>
                <w:tcPr>
                  <w:tcW w:w="1041" w:type="dxa"/>
                  <w:shd w:val="clear" w:color="auto" w:fill="auto"/>
                  <w:vAlign w:val="center"/>
                </w:tcPr>
                <w:p w14:paraId="3567D98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50</w:t>
                  </w:r>
                </w:p>
              </w:tc>
              <w:tc>
                <w:tcPr>
                  <w:tcW w:w="1932" w:type="dxa"/>
                  <w:vAlign w:val="center"/>
                </w:tcPr>
                <w:p w14:paraId="19797F0A">
                  <w:pPr>
                    <w:jc w:val="center"/>
                    <w:rPr>
                      <w:rFonts w:hint="default" w:eastAsia="等线"/>
                      <w:color w:val="auto"/>
                      <w:szCs w:val="21"/>
                      <w:lang w:val="en-US" w:eastAsia="zh-CN"/>
                    </w:rPr>
                  </w:pPr>
                  <w:r>
                    <w:rPr>
                      <w:rFonts w:hint="eastAsia" w:eastAsia="等线"/>
                      <w:color w:val="auto"/>
                      <w:szCs w:val="21"/>
                      <w:lang w:val="en-US" w:eastAsia="zh-CN"/>
                    </w:rPr>
                    <w:t>0.0006</w:t>
                  </w:r>
                </w:p>
              </w:tc>
            </w:tr>
            <w:tr w14:paraId="76BC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5" w:type="dxa"/>
                  <w:gridSpan w:val="6"/>
                  <w:vAlign w:val="center"/>
                </w:tcPr>
                <w:p w14:paraId="5EF2FBD1">
                  <w:pPr>
                    <w:jc w:val="center"/>
                    <w:rPr>
                      <w:color w:val="auto"/>
                      <w:szCs w:val="21"/>
                    </w:rPr>
                  </w:pPr>
                  <w:r>
                    <w:rPr>
                      <w:rFonts w:hint="eastAsia"/>
                      <w:color w:val="auto"/>
                      <w:szCs w:val="21"/>
                    </w:rPr>
                    <w:t>合计</w:t>
                  </w:r>
                </w:p>
              </w:tc>
              <w:tc>
                <w:tcPr>
                  <w:tcW w:w="1932" w:type="dxa"/>
                  <w:vAlign w:val="center"/>
                </w:tcPr>
                <w:p w14:paraId="49C1E276">
                  <w:pPr>
                    <w:jc w:val="center"/>
                    <w:rPr>
                      <w:rFonts w:hint="eastAsia" w:eastAsia="宋体"/>
                      <w:color w:val="auto"/>
                      <w:szCs w:val="21"/>
                      <w:lang w:eastAsia="zh-CN"/>
                    </w:rPr>
                  </w:pPr>
                  <w:r>
                    <w:rPr>
                      <w:rFonts w:hint="eastAsia" w:eastAsia="等线"/>
                      <w:color w:val="auto"/>
                      <w:szCs w:val="21"/>
                      <w:lang w:val="en-US" w:eastAsia="zh-CN"/>
                    </w:rPr>
                    <w:t>0.0006</w:t>
                  </w:r>
                </w:p>
              </w:tc>
            </w:tr>
          </w:tbl>
          <w:p w14:paraId="194511D0">
            <w:pPr>
              <w:pageBreakBefore w:val="0"/>
              <w:widowControl w:val="0"/>
              <w:kinsoku/>
              <w:wordWrap/>
              <w:overflowPunct/>
              <w:topLinePunct w:val="0"/>
              <w:autoSpaceDE/>
              <w:autoSpaceDN/>
              <w:bidi w:val="0"/>
              <w:adjustRightInd w:val="0"/>
              <w:snapToGrid/>
              <w:spacing w:line="360" w:lineRule="auto"/>
              <w:ind w:leftChars="0" w:firstLine="480" w:firstLineChars="200"/>
              <w:textAlignment w:val="auto"/>
              <w:rPr>
                <w:rFonts w:hint="default" w:ascii="Times New Roman" w:hAnsi="宋体" w:eastAsia="宋体" w:cs="Times New Roman"/>
                <w:color w:val="auto"/>
                <w:sz w:val="24"/>
                <w:lang w:val="en-US" w:eastAsia="zh-CN"/>
              </w:rPr>
            </w:pPr>
            <w:bookmarkStart w:id="16" w:name="_Toc28134"/>
            <w:r>
              <w:rPr>
                <w:rFonts w:hint="default" w:ascii="Times New Roman" w:hAnsi="宋体" w:eastAsia="宋体" w:cs="Times New Roman"/>
                <w:color w:val="auto"/>
                <w:sz w:val="24"/>
              </w:rPr>
              <w:t>环境风险评价工作等级划分为一级、二级、三级。风险潜势为Ⅳ及以上，进行一级评价；风险潜势为Ⅲ，进行二级评价；风险潜势为Ⅱ，进行三级评价；风险潜势为Ⅰ，可开展简单分析。</w:t>
            </w:r>
          </w:p>
          <w:p w14:paraId="6EE711B3">
            <w:pPr>
              <w:spacing w:line="240" w:lineRule="auto"/>
              <w:ind w:firstLine="422" w:firstLineChars="200"/>
              <w:jc w:val="center"/>
              <w:rPr>
                <w:rFonts w:hint="default" w:ascii="Times New Roman" w:hAnsi="宋体" w:eastAsia="宋体" w:cs="Times New Roman"/>
                <w:b/>
                <w:color w:val="auto"/>
                <w:szCs w:val="21"/>
                <w:lang w:val="en-US" w:eastAsia="zh-CN"/>
              </w:rPr>
            </w:pPr>
            <w:r>
              <w:rPr>
                <w:rFonts w:hint="default" w:ascii="Times New Roman" w:hAnsi="宋体" w:eastAsia="宋体" w:cs="Times New Roman"/>
                <w:b/>
                <w:color w:val="auto"/>
                <w:szCs w:val="21"/>
                <w:lang w:val="en-US" w:eastAsia="zh-CN"/>
              </w:rPr>
              <w:t>表</w:t>
            </w:r>
            <w:r>
              <w:rPr>
                <w:rFonts w:hint="eastAsia" w:ascii="Times New Roman" w:hAnsi="宋体" w:eastAsia="宋体" w:cs="Times New Roman"/>
                <w:b/>
                <w:color w:val="auto"/>
                <w:szCs w:val="21"/>
                <w:lang w:val="en-US" w:eastAsia="zh-CN"/>
              </w:rPr>
              <w:t>4-1</w:t>
            </w:r>
            <w:r>
              <w:rPr>
                <w:rFonts w:hint="eastAsia" w:ascii="Times New Roman" w:hAnsi="宋体" w:cs="Times New Roman"/>
                <w:b/>
                <w:color w:val="auto"/>
                <w:szCs w:val="21"/>
                <w:lang w:val="en-US" w:eastAsia="zh-CN"/>
              </w:rPr>
              <w:t>4</w:t>
            </w:r>
            <w:r>
              <w:rPr>
                <w:rFonts w:hint="eastAsia" w:ascii="Times New Roman" w:hAnsi="宋体" w:eastAsia="宋体" w:cs="Times New Roman"/>
                <w:b/>
                <w:color w:val="auto"/>
                <w:szCs w:val="21"/>
                <w:lang w:val="en-US" w:eastAsia="zh-CN"/>
              </w:rPr>
              <w:t xml:space="preserve">  </w:t>
            </w:r>
            <w:r>
              <w:rPr>
                <w:rFonts w:hint="default" w:ascii="Times New Roman" w:hAnsi="宋体" w:eastAsia="宋体" w:cs="Times New Roman"/>
                <w:b/>
                <w:color w:val="auto"/>
                <w:szCs w:val="21"/>
                <w:lang w:val="en-US" w:eastAsia="zh-CN"/>
              </w:rPr>
              <w:t>评价工作等级划分</w:t>
            </w:r>
          </w:p>
          <w:tbl>
            <w:tblPr>
              <w:tblStyle w:val="46"/>
              <w:tblW w:w="7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118"/>
              <w:gridCol w:w="1654"/>
              <w:gridCol w:w="1654"/>
              <w:gridCol w:w="1668"/>
            </w:tblGrid>
            <w:tr w14:paraId="47BB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9" w:type="dxa"/>
                  <w:tcBorders>
                    <w:tl2br w:val="nil"/>
                    <w:tr2bl w:val="nil"/>
                  </w:tcBorders>
                  <w:vAlign w:val="center"/>
                </w:tcPr>
                <w:p w14:paraId="211AE147">
                  <w:pPr>
                    <w:pStyle w:val="167"/>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环境风险潜势</w:t>
                  </w:r>
                </w:p>
              </w:tc>
              <w:tc>
                <w:tcPr>
                  <w:tcW w:w="1118" w:type="dxa"/>
                  <w:tcBorders>
                    <w:tl2br w:val="nil"/>
                    <w:tr2bl w:val="nil"/>
                  </w:tcBorders>
                  <w:vAlign w:val="center"/>
                </w:tcPr>
                <w:p w14:paraId="35B92176">
                  <w:pPr>
                    <w:pStyle w:val="167"/>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Ⅳ、Ⅳ+</w:t>
                  </w:r>
                </w:p>
              </w:tc>
              <w:tc>
                <w:tcPr>
                  <w:tcW w:w="1654" w:type="dxa"/>
                  <w:tcBorders>
                    <w:tl2br w:val="nil"/>
                    <w:tr2bl w:val="nil"/>
                  </w:tcBorders>
                  <w:vAlign w:val="center"/>
                </w:tcPr>
                <w:p w14:paraId="47544C89">
                  <w:pPr>
                    <w:pStyle w:val="167"/>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Ⅲ</w:t>
                  </w:r>
                </w:p>
              </w:tc>
              <w:tc>
                <w:tcPr>
                  <w:tcW w:w="1654" w:type="dxa"/>
                  <w:tcBorders>
                    <w:tl2br w:val="nil"/>
                    <w:tr2bl w:val="nil"/>
                  </w:tcBorders>
                  <w:vAlign w:val="center"/>
                </w:tcPr>
                <w:p w14:paraId="115D46AD">
                  <w:pPr>
                    <w:pStyle w:val="167"/>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Ⅱ</w:t>
                  </w:r>
                </w:p>
              </w:tc>
              <w:tc>
                <w:tcPr>
                  <w:tcW w:w="1668" w:type="dxa"/>
                  <w:tcBorders>
                    <w:tl2br w:val="nil"/>
                    <w:tr2bl w:val="nil"/>
                  </w:tcBorders>
                  <w:vAlign w:val="center"/>
                </w:tcPr>
                <w:p w14:paraId="12058A1C">
                  <w:pPr>
                    <w:pStyle w:val="167"/>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Ⅰ</w:t>
                  </w:r>
                </w:p>
              </w:tc>
            </w:tr>
            <w:tr w14:paraId="5E47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9" w:type="dxa"/>
                  <w:tcBorders>
                    <w:tl2br w:val="nil"/>
                    <w:tr2bl w:val="nil"/>
                  </w:tcBorders>
                  <w:vAlign w:val="center"/>
                </w:tcPr>
                <w:p w14:paraId="4F5C4F07">
                  <w:pPr>
                    <w:pStyle w:val="16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评价工作等级</w:t>
                  </w:r>
                </w:p>
              </w:tc>
              <w:tc>
                <w:tcPr>
                  <w:tcW w:w="1118" w:type="dxa"/>
                  <w:tcBorders>
                    <w:tl2br w:val="nil"/>
                    <w:tr2bl w:val="nil"/>
                  </w:tcBorders>
                  <w:vAlign w:val="center"/>
                </w:tcPr>
                <w:p w14:paraId="77046824">
                  <w:pPr>
                    <w:pStyle w:val="16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w:t>
                  </w:r>
                </w:p>
              </w:tc>
              <w:tc>
                <w:tcPr>
                  <w:tcW w:w="1654" w:type="dxa"/>
                  <w:tcBorders>
                    <w:tl2br w:val="nil"/>
                    <w:tr2bl w:val="nil"/>
                  </w:tcBorders>
                  <w:vAlign w:val="center"/>
                </w:tcPr>
                <w:p w14:paraId="3701BA73">
                  <w:pPr>
                    <w:pStyle w:val="16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w:t>
                  </w:r>
                </w:p>
              </w:tc>
              <w:tc>
                <w:tcPr>
                  <w:tcW w:w="1654" w:type="dxa"/>
                  <w:tcBorders>
                    <w:tl2br w:val="nil"/>
                    <w:tr2bl w:val="nil"/>
                  </w:tcBorders>
                  <w:vAlign w:val="center"/>
                </w:tcPr>
                <w:p w14:paraId="28460DC8">
                  <w:pPr>
                    <w:pStyle w:val="16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w:t>
                  </w:r>
                </w:p>
              </w:tc>
              <w:tc>
                <w:tcPr>
                  <w:tcW w:w="1668" w:type="dxa"/>
                  <w:tcBorders>
                    <w:tl2br w:val="nil"/>
                    <w:tr2bl w:val="nil"/>
                  </w:tcBorders>
                  <w:vAlign w:val="center"/>
                </w:tcPr>
                <w:p w14:paraId="7D218607">
                  <w:pPr>
                    <w:pStyle w:val="16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简单分析a</w:t>
                  </w:r>
                </w:p>
              </w:tc>
            </w:tr>
            <w:tr w14:paraId="1C5F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3" w:type="dxa"/>
                  <w:gridSpan w:val="5"/>
                  <w:tcBorders>
                    <w:tl2br w:val="nil"/>
                    <w:tr2bl w:val="nil"/>
                  </w:tcBorders>
                  <w:vAlign w:val="center"/>
                </w:tcPr>
                <w:p w14:paraId="3317EAE5">
                  <w:pPr>
                    <w:pStyle w:val="167"/>
                    <w:bidi w:val="0"/>
                    <w:rPr>
                      <w:rFonts w:hint="default"/>
                      <w:color w:val="auto"/>
                      <w:highlight w:val="none"/>
                    </w:rPr>
                  </w:pPr>
                  <w:r>
                    <w:rPr>
                      <w:rFonts w:hint="default" w:ascii="Times New Roman" w:hAnsi="Times New Roman" w:eastAsia="宋体" w:cs="Times New Roman"/>
                      <w:color w:val="auto"/>
                      <w:kern w:val="2"/>
                      <w:sz w:val="21"/>
                      <w:szCs w:val="21"/>
                      <w:lang w:val="en-US" w:eastAsia="zh-CN" w:bidi="ar-SA"/>
                    </w:rPr>
                    <w:t>注：a是相对于详细评价工作内容而言，在描述危险物质、环境影响途径、环境危害后果、风险防范措施等方面给出定性的说明</w:t>
                  </w:r>
                  <w:r>
                    <w:rPr>
                      <w:rFonts w:hint="default"/>
                      <w:color w:val="auto"/>
                      <w:highlight w:val="none"/>
                    </w:rPr>
                    <w:t>。</w:t>
                  </w:r>
                </w:p>
              </w:tc>
            </w:tr>
          </w:tbl>
          <w:p w14:paraId="578686E6">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根据上表，项目</w:t>
            </w:r>
            <w:r>
              <w:rPr>
                <w:rFonts w:hint="eastAsia" w:ascii="Times New Roman" w:hAnsi="Times New Roman" w:cs="Times New Roman"/>
                <w:color w:val="auto"/>
                <w:sz w:val="24"/>
                <w:szCs w:val="24"/>
                <w:lang w:val="en-US" w:eastAsia="zh-CN"/>
              </w:rPr>
              <w:t>Q=0.0006，</w:t>
            </w:r>
            <w:r>
              <w:rPr>
                <w:rFonts w:hint="default" w:ascii="Times New Roman" w:hAnsi="Times New Roman" w:cs="Times New Roman"/>
                <w:color w:val="auto"/>
                <w:sz w:val="24"/>
                <w:szCs w:val="24"/>
              </w:rPr>
              <w:t>环境风险潜势为I，即项目环境风险评价工作等级为：简单分析。</w:t>
            </w:r>
          </w:p>
          <w:p w14:paraId="358C89B7">
            <w:pPr>
              <w:spacing w:line="46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生产过程风险识别</w:t>
            </w:r>
          </w:p>
          <w:p w14:paraId="104D7B49">
            <w:pPr>
              <w:spacing w:line="460" w:lineRule="exact"/>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项目运营过程中的安全事故或其他的一些突发性事故会导致环境风险物质泄漏到环境中，引起环境质量的下降甚至恶性循环化以及其他的环境毒性效应。根据分析，本项目风险源有</w:t>
            </w:r>
            <w:r>
              <w:rPr>
                <w:rFonts w:hint="eastAsia" w:ascii="Times New Roman" w:hAnsi="Times New Roman" w:cs="Times New Roman"/>
                <w:color w:val="auto"/>
                <w:sz w:val="24"/>
                <w:szCs w:val="24"/>
                <w:lang w:eastAsia="zh-CN"/>
              </w:rPr>
              <w:t>：</w:t>
            </w:r>
          </w:p>
          <w:p w14:paraId="5898CD8A">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color w:val="auto"/>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废气非正常排放</w:t>
            </w:r>
            <w:r>
              <w:rPr>
                <w:rFonts w:hint="eastAsia" w:ascii="Times New Roman" w:hAnsi="Times New Roman" w:cs="Times New Roman"/>
                <w:color w:val="auto"/>
                <w:sz w:val="24"/>
                <w:szCs w:val="24"/>
                <w:lang w:eastAsia="zh-CN"/>
              </w:rPr>
              <w:t>；</w:t>
            </w:r>
          </w:p>
          <w:p w14:paraId="029345DF">
            <w:pPr>
              <w:spacing w:line="460" w:lineRule="exact"/>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color w:val="auto"/>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危险废物在收集、贮存、运送过程中的存在的风险</w:t>
            </w:r>
            <w:r>
              <w:rPr>
                <w:rFonts w:hint="eastAsia" w:ascii="Times New Roman" w:hAnsi="Times New Roman" w:cs="Times New Roman"/>
                <w:color w:val="auto"/>
                <w:sz w:val="24"/>
                <w:szCs w:val="24"/>
                <w:lang w:eastAsia="zh-CN"/>
              </w:rPr>
              <w:t>；</w:t>
            </w:r>
          </w:p>
          <w:p w14:paraId="2CF62F3D">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color w:val="auto"/>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火灾事故。</w:t>
            </w:r>
          </w:p>
          <w:p w14:paraId="52096A8B">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因此，本评价主要对营运期间可能存在的危险、有害因素进行分析，并对可能发生的突发性事件及事故所造成的人身安全与环境影响和损害程度，提出合理的可行的防范、应急与减缓措施。</w:t>
            </w:r>
          </w:p>
          <w:p w14:paraId="5B028473">
            <w:pPr>
              <w:spacing w:line="46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环境风险防范措施</w:t>
            </w:r>
          </w:p>
          <w:p w14:paraId="77CC11A0">
            <w:pPr>
              <w:spacing w:line="46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废气非正常排放</w:t>
            </w:r>
          </w:p>
          <w:p w14:paraId="7E1CF4D3">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项目采用市政电网供电系统，系统停电概率较小，一旦停电，生产设备及配套设置的废气处理设备</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旋风除尘器、</w:t>
            </w:r>
            <w:r>
              <w:rPr>
                <w:rFonts w:hint="eastAsia" w:ascii="Times New Roman" w:hAnsi="Times New Roman" w:cs="Times New Roman"/>
                <w:color w:val="auto"/>
                <w:sz w:val="24"/>
                <w:szCs w:val="24"/>
                <w:lang w:val="en-US" w:eastAsia="zh-CN"/>
              </w:rPr>
              <w:t>脉冲</w:t>
            </w:r>
            <w:r>
              <w:rPr>
                <w:rFonts w:hint="default" w:ascii="Times New Roman" w:hAnsi="Times New Roman" w:cs="Times New Roman"/>
                <w:color w:val="auto"/>
                <w:sz w:val="24"/>
                <w:szCs w:val="24"/>
              </w:rPr>
              <w:t>除尘器</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将停止运转，造成工艺废气无法处理直接排放，部分废气无组织排放，但这种事故排放的影响时间较短，随着设备停止</w:t>
            </w:r>
            <w:r>
              <w:rPr>
                <w:rFonts w:hint="default" w:ascii="Times New Roman" w:hAnsi="Times New Roman" w:eastAsia="宋体" w:cs="Times New Roman"/>
                <w:color w:val="auto"/>
                <w:sz w:val="24"/>
                <w:szCs w:val="24"/>
              </w:rPr>
              <w:t>工作，废气直接排放或无组织排放的现象将逐渐减少。针对废气非正常排放所产生的风险，提出如下事故应急措施</w:t>
            </w:r>
            <w:r>
              <w:rPr>
                <w:rFonts w:hint="eastAsia" w:ascii="Times New Roman" w:hAnsi="Times New Roman" w:eastAsia="宋体" w:cs="Times New Roman"/>
                <w:color w:val="auto"/>
                <w:sz w:val="24"/>
                <w:szCs w:val="24"/>
                <w:lang w:eastAsia="zh-CN"/>
              </w:rPr>
              <w:t>：</w:t>
            </w:r>
          </w:p>
          <w:p w14:paraId="644D4E82">
            <w:pPr>
              <w:spacing w:line="360" w:lineRule="auto"/>
              <w:ind w:left="479" w:leftChars="228"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废气净化系统必须由有资质的单位进行设计，确保其处理效率和稳定运行。</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color w:val="auto"/>
              </w:rPr>
              <w:t>②</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color w:val="auto"/>
                <w:sz w:val="24"/>
                <w:szCs w:val="24"/>
              </w:rPr>
              <w:t>定期检修主体设备，同步检查和维护主要废气净化系统，确保其正常运行。</w:t>
            </w:r>
          </w:p>
          <w:p w14:paraId="0D9BE9B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color w:val="auto"/>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一旦发现废气净化系统设施运行不正常，应立即对废气净化设施进行检修，</w:t>
            </w:r>
          </w:p>
          <w:p w14:paraId="52142A59">
            <w:p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若该设施一时难以修复，应立即采取紧急措施使主体设备停止生产，待净化设施检修完毕能够正常投入使用时，再共同投入使用。</w:t>
            </w:r>
          </w:p>
          <w:p w14:paraId="23C28AE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 MERGEFORMAT </w:instrText>
            </w:r>
            <w:r>
              <w:rPr>
                <w:rFonts w:hint="default" w:ascii="Times New Roman" w:hAnsi="Times New Roman" w:cs="Times New Roman"/>
                <w:color w:val="auto"/>
                <w:sz w:val="24"/>
                <w:szCs w:val="24"/>
              </w:rPr>
              <w:fldChar w:fldCharType="separate"/>
            </w:r>
            <w:r>
              <w:rPr>
                <w:color w:val="auto"/>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加强对易损易耗件的备用，确保设备发生故障时能够及时更换，减少事故产生。</w:t>
            </w:r>
          </w:p>
          <w:p w14:paraId="19FF6986">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危险废物贮存过程的风险防范措施</w:t>
            </w:r>
          </w:p>
          <w:p w14:paraId="66D99F5A">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针对危险废物的特性、数量，按照《危险废物贮存污染控制标准》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GB18597-2023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和《危险废物收集、贮存、运输技术规范》</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HJ2025-2012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中要求，做好贮存风险事故防范工作</w:t>
            </w:r>
            <w:r>
              <w:rPr>
                <w:rFonts w:hint="eastAsia" w:ascii="Times New Roman" w:hAnsi="Times New Roman" w:cs="Times New Roman"/>
                <w:color w:val="auto"/>
                <w:sz w:val="24"/>
                <w:szCs w:val="24"/>
                <w:lang w:eastAsia="zh-CN"/>
              </w:rPr>
              <w:t>；</w:t>
            </w:r>
          </w:p>
          <w:p w14:paraId="1AA8706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24"/>
              </w:rPr>
              <w:t>危险废物贮存设施应配备通讯设备、照明设施和消防设施。</w:t>
            </w:r>
          </w:p>
          <w:p w14:paraId="2CE5606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color w:val="auto"/>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危废库为封闭设计，基础做防渗处理，防渗层渗透系数不大于1.0×10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地面与裙脚使用坚固、防渗材料建造，建筑材料必须与危险废物相容，仓库地面必须为耐腐蚀硬化地面，且表面无裂隙，并设有泄漏液体收集装置，防止液体废物意外泄漏造成无组织溢流渗入地下</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仓库设计堵截泄漏的裙脚，地面与裙脚所围建的容积不低于堵截最大容器的最大储量或总储量的1/5。</w:t>
            </w:r>
          </w:p>
          <w:p w14:paraId="68F2035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color w:val="auto"/>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危废库应阴凉、干燥、通风，避免阳光直射、曝晒，远离热源、电源、火源。按化学品不同类别、性质、危险程度、灭火方法等分区分类贮存，并附上明显标识，性质相抵的禁止同库贮存。</w:t>
            </w:r>
          </w:p>
          <w:p w14:paraId="4871B4E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 MERGEFORMAT </w:instrText>
            </w:r>
            <w:r>
              <w:rPr>
                <w:rFonts w:hint="default" w:ascii="Times New Roman" w:hAnsi="Times New Roman" w:cs="Times New Roman"/>
                <w:color w:val="auto"/>
                <w:sz w:val="24"/>
                <w:szCs w:val="24"/>
              </w:rPr>
              <w:fldChar w:fldCharType="separate"/>
            </w:r>
            <w:r>
              <w:rPr>
                <w:color w:val="auto"/>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危废库门口应设置挡水坡，防治暴雨时有雨水涌进。</w:t>
            </w:r>
          </w:p>
          <w:p w14:paraId="72DAFDF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GB3 \* MERGEFORMAT </w:instrText>
            </w:r>
            <w:r>
              <w:rPr>
                <w:rFonts w:hint="default" w:ascii="Times New Roman" w:hAnsi="Times New Roman" w:cs="Times New Roman"/>
                <w:color w:val="auto"/>
                <w:sz w:val="24"/>
                <w:szCs w:val="24"/>
              </w:rPr>
              <w:fldChar w:fldCharType="separate"/>
            </w:r>
            <w:r>
              <w:rPr>
                <w:color w:val="auto"/>
              </w:rPr>
              <w:t>⑤</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贮存危险废物时应按危险废物的种类和特性进行分区贮存，每个贮存区域之间宜设置挡墙间隔，并应设置防雨、防火、防雷、防扬尘装置。</w:t>
            </w:r>
          </w:p>
          <w:p w14:paraId="0A291E2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6 \* GB3 \* MERGEFORMAT </w:instrText>
            </w:r>
            <w:r>
              <w:rPr>
                <w:rFonts w:hint="default" w:ascii="Times New Roman" w:hAnsi="Times New Roman" w:cs="Times New Roman"/>
                <w:color w:val="auto"/>
                <w:sz w:val="24"/>
                <w:szCs w:val="24"/>
              </w:rPr>
              <w:fldChar w:fldCharType="separate"/>
            </w:r>
            <w:r>
              <w:rPr>
                <w:color w:val="auto"/>
              </w:rPr>
              <w:t>⑥</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贮存易燃易爆危险废物应配置有机气体报警、火灾报警装置和导出静电的接地装置。</w:t>
            </w:r>
          </w:p>
          <w:p w14:paraId="1796DFA5">
            <w:pPr>
              <w:spacing w:line="360" w:lineRule="auto"/>
              <w:ind w:firstLine="480" w:firstLineChars="200"/>
              <w:rPr>
                <w:rFonts w:hint="eastAsia"/>
                <w:color w:val="auto"/>
                <w:sz w:val="24"/>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火灾事故本工程严格按照《工业企业总平面设计规范》</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GB50187-93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、《建筑设计防火规范》</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GB50016-2006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进行总图布置和消防设计，易燃易爆及有毒有害物质储存与装置区均满足安全距离要求，一旦某一危险源发生爆炸、火灾和泄漏，均能在本区域得到控制，避免发生事故连锁反应。由于生产车间火灾、爆炸事故引发其它设备的泄漏或火灾事故，造成连锁火灾、爆炸事故。</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配备相应消防器材，配备应急物资</w:t>
            </w:r>
            <w:r>
              <w:rPr>
                <w:rFonts w:hint="eastAsia" w:ascii="Times New Roman" w:hAnsi="Times New Roman" w:cs="Times New Roman"/>
                <w:color w:val="auto"/>
                <w:sz w:val="24"/>
                <w:szCs w:val="24"/>
                <w:lang w:val="en-US" w:eastAsia="zh-CN"/>
              </w:rPr>
              <w:t>。</w:t>
            </w:r>
          </w:p>
          <w:p w14:paraId="5D466E80">
            <w:pPr>
              <w:pStyle w:val="2"/>
              <w:spacing w:before="0" w:after="0" w:line="360" w:lineRule="auto"/>
              <w:rPr>
                <w:color w:val="auto"/>
                <w:sz w:val="24"/>
              </w:rPr>
            </w:pPr>
            <w:r>
              <w:rPr>
                <w:rFonts w:hint="eastAsia"/>
                <w:color w:val="auto"/>
                <w:sz w:val="24"/>
              </w:rPr>
              <w:t>7、与排污许可联动内容分析</w:t>
            </w:r>
            <w:bookmarkEnd w:id="16"/>
          </w:p>
          <w:p w14:paraId="617CB792">
            <w:pPr>
              <w:spacing w:line="360" w:lineRule="auto"/>
              <w:ind w:firstLine="480" w:firstLineChars="200"/>
              <w:rPr>
                <w:color w:val="auto"/>
                <w:sz w:val="24"/>
                <w:szCs w:val="24"/>
              </w:rPr>
            </w:pPr>
            <w:r>
              <w:rPr>
                <w:rFonts w:hint="eastAsia"/>
                <w:bCs/>
                <w:color w:val="auto"/>
                <w:sz w:val="24"/>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w:t>
            </w:r>
            <w:r>
              <w:rPr>
                <w:rFonts w:hint="eastAsia"/>
                <w:bCs/>
                <w:color w:val="auto"/>
                <w:sz w:val="24"/>
                <w:lang w:eastAsia="zh-CN"/>
              </w:rPr>
              <w:t>件中</w:t>
            </w:r>
            <w:r>
              <w:rPr>
                <w:rFonts w:hint="eastAsia"/>
                <w:bCs/>
                <w:color w:val="auto"/>
                <w:sz w:val="24"/>
              </w:rPr>
              <w:t>应明确“建设项目环境影响评价与排污许可联动内容”和《建设项目排污许可申请与填发信息表》。</w:t>
            </w:r>
            <w:r>
              <w:rPr>
                <w:rFonts w:hint="eastAsia"/>
                <w:color w:val="auto"/>
                <w:sz w:val="24"/>
              </w:rPr>
              <w:t>经对照《固定污染源排污许可分类管理名录》（2019年版），</w:t>
            </w:r>
            <w:r>
              <w:rPr>
                <w:color w:val="auto"/>
                <w:sz w:val="24"/>
                <w:szCs w:val="24"/>
              </w:rPr>
              <w:t>本项目属于</w:t>
            </w:r>
            <w:r>
              <w:rPr>
                <w:rFonts w:hint="eastAsia"/>
                <w:color w:val="auto"/>
                <w:sz w:val="24"/>
                <w:szCs w:val="24"/>
              </w:rPr>
              <w:t>“</w:t>
            </w:r>
            <w:r>
              <w:rPr>
                <w:rFonts w:hint="eastAsia"/>
                <w:color w:val="auto"/>
                <w:sz w:val="24"/>
                <w:szCs w:val="24"/>
                <w:lang w:val="en-US" w:eastAsia="zh-CN"/>
              </w:rPr>
              <w:t>八</w:t>
            </w:r>
            <w:r>
              <w:rPr>
                <w:rFonts w:hint="eastAsia"/>
                <w:color w:val="auto"/>
                <w:sz w:val="24"/>
                <w:szCs w:val="24"/>
              </w:rPr>
              <w:t>、</w:t>
            </w:r>
            <w:r>
              <w:rPr>
                <w:rFonts w:hint="eastAsia"/>
                <w:color w:val="auto"/>
                <w:sz w:val="24"/>
                <w:szCs w:val="24"/>
                <w:lang w:eastAsia="zh-CN"/>
              </w:rPr>
              <w:t>农副食品加工业</w:t>
            </w:r>
            <w:r>
              <w:rPr>
                <w:rFonts w:hint="eastAsia"/>
                <w:color w:val="auto"/>
                <w:sz w:val="24"/>
                <w:szCs w:val="24"/>
                <w:lang w:val="en-US" w:eastAsia="zh-CN"/>
              </w:rPr>
              <w:t xml:space="preserve"> 13</w:t>
            </w:r>
            <w:r>
              <w:rPr>
                <w:rFonts w:hint="eastAsia"/>
                <w:color w:val="auto"/>
                <w:sz w:val="24"/>
                <w:szCs w:val="24"/>
              </w:rPr>
              <w:t>”</w:t>
            </w:r>
            <w:r>
              <w:rPr>
                <w:color w:val="auto"/>
                <w:sz w:val="24"/>
                <w:szCs w:val="24"/>
              </w:rPr>
              <w:t>中的</w:t>
            </w:r>
            <w:r>
              <w:rPr>
                <w:rFonts w:hint="eastAsia"/>
                <w:color w:val="auto"/>
                <w:sz w:val="24"/>
                <w:szCs w:val="24"/>
              </w:rPr>
              <w:t>“</w:t>
            </w:r>
            <w:r>
              <w:rPr>
                <w:rFonts w:hint="eastAsia"/>
                <w:color w:val="auto"/>
                <w:sz w:val="24"/>
                <w:szCs w:val="24"/>
                <w:lang w:eastAsia="zh-CN"/>
              </w:rPr>
              <w:t>谷物磨制</w:t>
            </w:r>
            <w:r>
              <w:rPr>
                <w:rFonts w:hint="eastAsia"/>
                <w:color w:val="auto"/>
                <w:sz w:val="24"/>
                <w:szCs w:val="24"/>
                <w:lang w:val="en-US" w:eastAsia="zh-CN"/>
              </w:rPr>
              <w:t>131</w:t>
            </w:r>
            <w:r>
              <w:rPr>
                <w:rFonts w:hint="eastAsia"/>
                <w:color w:val="auto"/>
                <w:sz w:val="24"/>
                <w:szCs w:val="24"/>
              </w:rPr>
              <w:t>”</w:t>
            </w:r>
            <w:r>
              <w:rPr>
                <w:rFonts w:hint="eastAsia"/>
                <w:color w:val="auto"/>
                <w:sz w:val="24"/>
                <w:szCs w:val="24"/>
                <w:lang w:eastAsia="zh-CN"/>
              </w:rPr>
              <w:t>，项目排污类别为</w:t>
            </w:r>
            <w:r>
              <w:rPr>
                <w:rFonts w:hint="eastAsia"/>
                <w:color w:val="auto"/>
                <w:sz w:val="24"/>
                <w:szCs w:val="24"/>
              </w:rPr>
              <w:t>“</w:t>
            </w:r>
            <w:r>
              <w:rPr>
                <w:rFonts w:hint="eastAsia"/>
                <w:color w:val="auto"/>
                <w:sz w:val="24"/>
                <w:szCs w:val="24"/>
                <w:lang w:eastAsia="zh-CN"/>
              </w:rPr>
              <w:t>登记</w:t>
            </w:r>
            <w:r>
              <w:rPr>
                <w:rFonts w:hint="eastAsia"/>
                <w:color w:val="auto"/>
                <w:sz w:val="24"/>
                <w:szCs w:val="24"/>
              </w:rPr>
              <w:t>管理”</w:t>
            </w:r>
            <w:r>
              <w:rPr>
                <w:color w:val="auto"/>
                <w:sz w:val="24"/>
                <w:szCs w:val="24"/>
              </w:rPr>
              <w:t>。</w:t>
            </w:r>
          </w:p>
          <w:p w14:paraId="6504D732">
            <w:pPr>
              <w:spacing w:line="360" w:lineRule="auto"/>
              <w:ind w:firstLine="480" w:firstLineChars="200"/>
              <w:rPr>
                <w:color w:val="auto"/>
                <w:sz w:val="24"/>
                <w:szCs w:val="24"/>
              </w:rPr>
            </w:pPr>
            <w:r>
              <w:rPr>
                <w:rFonts w:hint="eastAsia"/>
                <w:color w:val="auto"/>
                <w:sz w:val="24"/>
                <w:szCs w:val="24"/>
              </w:rPr>
              <w:t>本</w:t>
            </w:r>
            <w:r>
              <w:rPr>
                <w:color w:val="auto"/>
                <w:sz w:val="24"/>
                <w:szCs w:val="24"/>
              </w:rPr>
              <w:t>项目建成投产前</w:t>
            </w:r>
            <w:r>
              <w:rPr>
                <w:rFonts w:hint="eastAsia"/>
                <w:color w:val="auto"/>
                <w:sz w:val="24"/>
                <w:szCs w:val="24"/>
                <w:lang w:val="en-US" w:eastAsia="zh-CN"/>
              </w:rPr>
              <w:t>需完成</w:t>
            </w:r>
            <w:r>
              <w:rPr>
                <w:color w:val="auto"/>
                <w:sz w:val="24"/>
                <w:szCs w:val="24"/>
              </w:rPr>
              <w:t>排污许</w:t>
            </w:r>
            <w:r>
              <w:rPr>
                <w:rStyle w:val="60"/>
                <w:rFonts w:hint="eastAsia"/>
                <w:color w:val="auto"/>
                <w:sz w:val="24"/>
                <w:szCs w:val="24"/>
              </w:rPr>
              <w:t>可</w:t>
            </w:r>
            <w:r>
              <w:rPr>
                <w:rStyle w:val="60"/>
                <w:rFonts w:hint="eastAsia"/>
                <w:color w:val="auto"/>
                <w:sz w:val="24"/>
                <w:szCs w:val="24"/>
                <w:lang w:eastAsia="zh-CN"/>
              </w:rPr>
              <w:t>登记管理申报工作</w:t>
            </w:r>
            <w:r>
              <w:rPr>
                <w:color w:val="auto"/>
                <w:sz w:val="24"/>
                <w:szCs w:val="24"/>
              </w:rPr>
              <w:t>。</w:t>
            </w:r>
          </w:p>
          <w:p w14:paraId="37B03692">
            <w:pPr>
              <w:pStyle w:val="2"/>
              <w:spacing w:before="0" w:after="0" w:line="360" w:lineRule="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、生态</w:t>
            </w:r>
          </w:p>
          <w:p w14:paraId="0907F06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为新建项目，项目用地为工业用地</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厂区</w:t>
            </w:r>
            <w:r>
              <w:rPr>
                <w:rFonts w:hint="default" w:ascii="Times New Roman" w:hAnsi="Times New Roman" w:cs="Times New Roman"/>
                <w:color w:val="auto"/>
                <w:sz w:val="24"/>
              </w:rPr>
              <w:t>范围内不含有生态环境保护目标，故项目不需开展生态环境影响评价。</w:t>
            </w:r>
          </w:p>
          <w:p w14:paraId="72D5D786">
            <w:pPr>
              <w:pStyle w:val="2"/>
              <w:spacing w:before="0" w:after="0" w:line="360" w:lineRule="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9、电磁辐射</w:t>
            </w:r>
          </w:p>
          <w:p w14:paraId="1876066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本项目不属于电磁辐射类项目，也无辐射类生产设备，无需开展电磁辐射环境影响评价。</w:t>
            </w:r>
          </w:p>
          <w:p w14:paraId="4BEC8BA7">
            <w:pPr>
              <w:pStyle w:val="2"/>
              <w:spacing w:before="0" w:after="0" w:line="360" w:lineRule="auto"/>
              <w:rPr>
                <w:rFonts w:hint="default" w:ascii="Times New Roman" w:hAnsi="Times New Roman" w:cs="Times New Roman"/>
                <w:color w:val="auto"/>
                <w:sz w:val="24"/>
                <w:lang w:val="en-US" w:eastAsia="zh-CN"/>
              </w:rPr>
            </w:pPr>
            <w:r>
              <w:rPr>
                <w:rFonts w:hint="eastAsia" w:cs="Times New Roman"/>
                <w:color w:val="auto"/>
                <w:sz w:val="24"/>
                <w:lang w:val="en-US" w:eastAsia="zh-CN"/>
              </w:rPr>
              <w:t>10</w:t>
            </w:r>
            <w:r>
              <w:rPr>
                <w:rFonts w:hint="default" w:ascii="Times New Roman" w:hAnsi="Times New Roman" w:cs="Times New Roman"/>
                <w:color w:val="auto"/>
                <w:sz w:val="24"/>
                <w:lang w:val="en-US" w:eastAsia="zh-CN"/>
              </w:rPr>
              <w:t>、环保投资概算</w:t>
            </w:r>
          </w:p>
          <w:p w14:paraId="7719828D">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项目总投资</w:t>
            </w:r>
            <w:r>
              <w:rPr>
                <w:rFonts w:hint="eastAsia" w:ascii="Times New Roman" w:hAnsi="Times New Roman" w:cs="Times New Roman"/>
                <w:color w:val="auto"/>
                <w:kern w:val="0"/>
                <w:sz w:val="24"/>
                <w:szCs w:val="24"/>
                <w:lang w:val="en-US" w:eastAsia="zh-CN"/>
              </w:rPr>
              <w:t>450</w:t>
            </w:r>
            <w:r>
              <w:rPr>
                <w:rFonts w:hint="default" w:ascii="Times New Roman" w:hAnsi="Times New Roman" w:eastAsia="宋体" w:cs="Times New Roman"/>
                <w:bCs/>
                <w:color w:val="auto"/>
                <w:sz w:val="24"/>
              </w:rPr>
              <w:t>万元，其中环保投资</w:t>
            </w:r>
            <w:r>
              <w:rPr>
                <w:rFonts w:hint="eastAsia" w:ascii="Times New Roman" w:hAnsi="Times New Roman" w:eastAsia="宋体" w:cs="Times New Roman"/>
                <w:bCs/>
                <w:color w:val="auto"/>
                <w:sz w:val="24"/>
                <w:lang w:val="en-US" w:eastAsia="zh-CN"/>
              </w:rPr>
              <w:t>31</w:t>
            </w:r>
            <w:r>
              <w:rPr>
                <w:rFonts w:hint="default" w:ascii="Times New Roman" w:hAnsi="Times New Roman" w:eastAsia="宋体" w:cs="Times New Roman"/>
                <w:bCs/>
                <w:color w:val="auto"/>
                <w:sz w:val="24"/>
              </w:rPr>
              <w:t>万元，占总投资的</w:t>
            </w:r>
            <w:r>
              <w:rPr>
                <w:rFonts w:hint="eastAsia" w:ascii="Times New Roman" w:hAnsi="Times New Roman" w:eastAsia="宋体" w:cs="Times New Roman"/>
                <w:bCs/>
                <w:color w:val="auto"/>
                <w:sz w:val="24"/>
                <w:lang w:val="en-US" w:eastAsia="zh-CN"/>
              </w:rPr>
              <w:t>6.89</w:t>
            </w:r>
            <w:r>
              <w:rPr>
                <w:rFonts w:hint="default" w:ascii="Times New Roman" w:hAnsi="Times New Roman" w:eastAsia="宋体" w:cs="Times New Roman"/>
                <w:bCs/>
                <w:color w:val="auto"/>
                <w:sz w:val="24"/>
              </w:rPr>
              <w:t>%，环保投资分配见下表。</w:t>
            </w:r>
          </w:p>
          <w:p w14:paraId="01EC1816">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p>
          <w:p w14:paraId="423D28F4">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p>
          <w:p w14:paraId="3FC8BFE2">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p>
          <w:p w14:paraId="614E2BD6">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p>
          <w:p w14:paraId="04E3037A">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p>
          <w:p w14:paraId="4355F4A6">
            <w:pPr>
              <w:pStyle w:val="7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13  </w:t>
            </w:r>
            <w:r>
              <w:rPr>
                <w:rFonts w:hint="default" w:ascii="Times New Roman" w:hAnsi="Times New Roman" w:eastAsia="宋体" w:cs="Times New Roman"/>
                <w:b/>
                <w:bCs/>
                <w:color w:val="auto"/>
                <w:sz w:val="21"/>
                <w:szCs w:val="21"/>
              </w:rPr>
              <w:t xml:space="preserve">项目环保投资估算 </w:t>
            </w:r>
          </w:p>
          <w:tbl>
            <w:tblPr>
              <w:tblStyle w:val="46"/>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60"/>
              <w:gridCol w:w="1776"/>
              <w:gridCol w:w="3972"/>
              <w:gridCol w:w="984"/>
            </w:tblGrid>
            <w:tr w14:paraId="1110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Align w:val="center"/>
                </w:tcPr>
                <w:p w14:paraId="477C0E70">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436" w:type="dxa"/>
                  <w:gridSpan w:val="2"/>
                  <w:vAlign w:val="center"/>
                </w:tcPr>
                <w:p w14:paraId="37BABBAF">
                  <w:pPr>
                    <w:jc w:val="center"/>
                    <w:rPr>
                      <w:rFonts w:hint="default" w:ascii="Times New Roman" w:hAnsi="Times New Roman" w:cs="Times New Roman"/>
                      <w:b/>
                      <w:bCs/>
                      <w:color w:val="auto"/>
                    </w:rPr>
                  </w:pPr>
                  <w:r>
                    <w:rPr>
                      <w:rFonts w:hint="default" w:ascii="Times New Roman" w:hAnsi="Times New Roman" w:cs="Times New Roman"/>
                      <w:b/>
                      <w:bCs/>
                      <w:color w:val="auto"/>
                    </w:rPr>
                    <w:t>治理内容</w:t>
                  </w:r>
                </w:p>
              </w:tc>
              <w:tc>
                <w:tcPr>
                  <w:tcW w:w="3972" w:type="dxa"/>
                  <w:vAlign w:val="center"/>
                </w:tcPr>
                <w:p w14:paraId="6630D3DA">
                  <w:pPr>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治理方案</w:t>
                  </w:r>
                </w:p>
              </w:tc>
              <w:tc>
                <w:tcPr>
                  <w:tcW w:w="984" w:type="dxa"/>
                  <w:vAlign w:val="center"/>
                </w:tcPr>
                <w:p w14:paraId="224E406A">
                  <w:pPr>
                    <w:jc w:val="center"/>
                    <w:rPr>
                      <w:rFonts w:hint="default" w:ascii="Times New Roman" w:hAnsi="Times New Roman" w:cs="Times New Roman"/>
                      <w:b/>
                      <w:bCs/>
                      <w:color w:val="auto"/>
                    </w:rPr>
                  </w:pPr>
                  <w:r>
                    <w:rPr>
                      <w:rFonts w:hint="default" w:ascii="Times New Roman" w:hAnsi="Times New Roman" w:cs="Times New Roman"/>
                      <w:b/>
                      <w:bCs/>
                      <w:color w:val="auto"/>
                    </w:rPr>
                    <w:t>投资额（万元）</w:t>
                  </w:r>
                </w:p>
              </w:tc>
            </w:tr>
            <w:tr w14:paraId="1151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65" w:type="dxa"/>
                  <w:vAlign w:val="center"/>
                </w:tcPr>
                <w:p w14:paraId="6C668B34">
                  <w:pPr>
                    <w:jc w:val="center"/>
                    <w:rPr>
                      <w:rFonts w:hint="default" w:ascii="Times New Roman" w:hAnsi="Times New Roman" w:cs="Times New Roman"/>
                      <w:color w:val="auto"/>
                    </w:rPr>
                  </w:pPr>
                  <w:r>
                    <w:rPr>
                      <w:rFonts w:hint="default" w:ascii="Times New Roman" w:hAnsi="Times New Roman" w:cs="Times New Roman"/>
                      <w:color w:val="auto"/>
                    </w:rPr>
                    <w:t>1</w:t>
                  </w:r>
                </w:p>
              </w:tc>
              <w:tc>
                <w:tcPr>
                  <w:tcW w:w="660" w:type="dxa"/>
                  <w:vAlign w:val="center"/>
                </w:tcPr>
                <w:p w14:paraId="006E8C31">
                  <w:pPr>
                    <w:jc w:val="center"/>
                    <w:rPr>
                      <w:rFonts w:hint="default" w:ascii="Times New Roman" w:hAnsi="Times New Roman" w:cs="Times New Roman"/>
                      <w:color w:val="auto"/>
                    </w:rPr>
                  </w:pPr>
                  <w:r>
                    <w:rPr>
                      <w:rFonts w:hint="default" w:ascii="Times New Roman" w:hAnsi="Times New Roman" w:cs="Times New Roman"/>
                      <w:color w:val="auto"/>
                    </w:rPr>
                    <w:t>废水</w:t>
                  </w:r>
                </w:p>
              </w:tc>
              <w:tc>
                <w:tcPr>
                  <w:tcW w:w="1776" w:type="dxa"/>
                  <w:vAlign w:val="center"/>
                </w:tcPr>
                <w:p w14:paraId="6337BC67">
                  <w:pPr>
                    <w:jc w:val="center"/>
                    <w:rPr>
                      <w:rFonts w:hint="default" w:ascii="Times New Roman" w:hAnsi="Times New Roman" w:cs="Times New Roman"/>
                      <w:color w:val="auto"/>
                    </w:rPr>
                  </w:pPr>
                  <w:r>
                    <w:rPr>
                      <w:rFonts w:hint="default" w:ascii="Times New Roman" w:hAnsi="Times New Roman" w:cs="Times New Roman"/>
                      <w:color w:val="auto"/>
                    </w:rPr>
                    <w:t>生活污水</w:t>
                  </w:r>
                </w:p>
              </w:tc>
              <w:tc>
                <w:tcPr>
                  <w:tcW w:w="3972" w:type="dxa"/>
                  <w:vAlign w:val="center"/>
                </w:tcPr>
                <w:p w14:paraId="25FA0275">
                  <w:pPr>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rPr>
                    <w:t>生活污水经厂区内化粪池处理后</w:t>
                  </w:r>
                  <w:r>
                    <w:rPr>
                      <w:rFonts w:hint="eastAsia" w:ascii="Times New Roman" w:hAnsi="Times New Roman" w:eastAsia="宋体" w:cs="Times New Roman"/>
                      <w:color w:val="auto"/>
                      <w:kern w:val="2"/>
                      <w:sz w:val="21"/>
                      <w:szCs w:val="21"/>
                      <w:lang w:val="en-US" w:eastAsia="zh-CN"/>
                    </w:rPr>
                    <w:t>定期清掏</w:t>
                  </w:r>
                  <w:r>
                    <w:rPr>
                      <w:rFonts w:hint="eastAsia" w:cs="Times New Roman"/>
                      <w:color w:val="auto"/>
                      <w:kern w:val="2"/>
                      <w:sz w:val="21"/>
                      <w:szCs w:val="21"/>
                      <w:lang w:val="en-US" w:eastAsia="zh-CN"/>
                    </w:rPr>
                    <w:t>用于农田施肥</w:t>
                  </w:r>
                  <w:r>
                    <w:rPr>
                      <w:rFonts w:hint="eastAsia" w:ascii="Times New Roman" w:hAnsi="Times New Roman" w:eastAsia="宋体" w:cs="Times New Roman"/>
                      <w:color w:val="auto"/>
                      <w:kern w:val="2"/>
                      <w:sz w:val="21"/>
                      <w:szCs w:val="21"/>
                      <w:lang w:val="en-US" w:eastAsia="zh-CN"/>
                    </w:rPr>
                    <w:t>，不外排</w:t>
                  </w:r>
                </w:p>
              </w:tc>
              <w:tc>
                <w:tcPr>
                  <w:tcW w:w="984" w:type="dxa"/>
                  <w:vAlign w:val="center"/>
                </w:tcPr>
                <w:p w14:paraId="054328B4">
                  <w:pPr>
                    <w:jc w:val="center"/>
                    <w:rPr>
                      <w:rFonts w:hint="default" w:ascii="Times New Roman" w:hAnsi="Times New Roman" w:cs="Times New Roman"/>
                      <w:color w:val="auto"/>
                      <w:lang w:val="en-US" w:eastAsia="zh-CN"/>
                    </w:rPr>
                  </w:pPr>
                  <w:r>
                    <w:rPr>
                      <w:rFonts w:hint="eastAsia" w:cs="Times New Roman"/>
                      <w:color w:val="auto"/>
                      <w:lang w:val="en-US" w:eastAsia="zh-CN"/>
                    </w:rPr>
                    <w:t>2</w:t>
                  </w:r>
                </w:p>
              </w:tc>
            </w:tr>
            <w:tr w14:paraId="4D1F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65" w:type="dxa"/>
                  <w:vMerge w:val="restart"/>
                  <w:vAlign w:val="center"/>
                </w:tcPr>
                <w:p w14:paraId="1451A504">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660" w:type="dxa"/>
                  <w:vMerge w:val="restart"/>
                  <w:vAlign w:val="center"/>
                </w:tcPr>
                <w:p w14:paraId="60E658DF">
                  <w:pPr>
                    <w:jc w:val="center"/>
                    <w:rPr>
                      <w:rFonts w:hint="default" w:ascii="Times New Roman" w:hAnsi="Times New Roman" w:cs="Times New Roman"/>
                      <w:color w:val="auto"/>
                    </w:rPr>
                  </w:pPr>
                  <w:r>
                    <w:rPr>
                      <w:rFonts w:hint="default" w:ascii="Times New Roman" w:hAnsi="Times New Roman" w:cs="Times New Roman"/>
                      <w:color w:val="auto"/>
                    </w:rPr>
                    <w:t>废气</w:t>
                  </w:r>
                </w:p>
              </w:tc>
              <w:tc>
                <w:tcPr>
                  <w:tcW w:w="1776" w:type="dxa"/>
                  <w:shd w:val="clear" w:color="auto" w:fill="auto"/>
                  <w:vAlign w:val="center"/>
                </w:tcPr>
                <w:p w14:paraId="16992A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卸料、</w:t>
                  </w:r>
                  <w:r>
                    <w:rPr>
                      <w:rFonts w:hint="default" w:ascii="Times New Roman" w:hAnsi="Times New Roman" w:eastAsia="宋体" w:cs="Times New Roman"/>
                      <w:color w:val="auto"/>
                      <w:sz w:val="21"/>
                      <w:szCs w:val="21"/>
                      <w:lang w:val="en-US" w:eastAsia="zh-CN"/>
                    </w:rPr>
                    <w:t>除杂、去石、砻谷、谷糙分离、一次色选、碾米</w:t>
                  </w:r>
                  <w:r>
                    <w:rPr>
                      <w:rFonts w:hint="eastAsia" w:ascii="Times New Roman" w:hAnsi="Times New Roman" w:eastAsia="宋体" w:cs="Times New Roman"/>
                      <w:color w:val="auto"/>
                      <w:sz w:val="21"/>
                      <w:szCs w:val="21"/>
                      <w:lang w:val="en-US" w:eastAsia="zh-CN"/>
                    </w:rPr>
                    <w:t>粉尘</w:t>
                  </w:r>
                </w:p>
              </w:tc>
              <w:tc>
                <w:tcPr>
                  <w:tcW w:w="3972" w:type="dxa"/>
                  <w:shd w:val="clear" w:color="auto" w:fill="auto"/>
                  <w:vAlign w:val="center"/>
                </w:tcPr>
                <w:p w14:paraId="539938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每台清理筛、去石机、碾米机先设置1套旋风除尘器除尘，共设置6套旋风除尘器，除杂粉尘、去石粉尘、碾米粉尘经密闭管道收集经并联6套旋风除尘器处理后，再与经集气罩收集的卸粮粉尘，密闭管道收集的砻谷粉尘、谷糙分离粉尘、一次色选粉尘，共同经1套脉冲除尘器处理，尾气经1根15m高排气筒（DA001）有组织排放</w:t>
                  </w:r>
                </w:p>
              </w:tc>
              <w:tc>
                <w:tcPr>
                  <w:tcW w:w="984" w:type="dxa"/>
                  <w:vAlign w:val="center"/>
                </w:tcPr>
                <w:p w14:paraId="6B759A35">
                  <w:pPr>
                    <w:jc w:val="center"/>
                    <w:rPr>
                      <w:rFonts w:hint="default" w:ascii="Times New Roman" w:hAnsi="Times New Roman" w:cs="Times New Roman"/>
                      <w:color w:val="auto"/>
                      <w:lang w:val="en-US" w:eastAsia="zh-CN"/>
                    </w:rPr>
                  </w:pPr>
                  <w:r>
                    <w:rPr>
                      <w:rFonts w:hint="eastAsia" w:cs="Times New Roman"/>
                      <w:color w:val="auto"/>
                      <w:lang w:val="en-US" w:eastAsia="zh-CN"/>
                    </w:rPr>
                    <w:t>12</w:t>
                  </w:r>
                </w:p>
              </w:tc>
            </w:tr>
            <w:tr w14:paraId="2CD3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65" w:type="dxa"/>
                  <w:vMerge w:val="continue"/>
                  <w:vAlign w:val="center"/>
                </w:tcPr>
                <w:p w14:paraId="6F79639C">
                  <w:pPr>
                    <w:jc w:val="center"/>
                    <w:rPr>
                      <w:rFonts w:hint="default" w:ascii="Times New Roman" w:hAnsi="Times New Roman" w:cs="Times New Roman"/>
                      <w:color w:val="auto"/>
                    </w:rPr>
                  </w:pPr>
                </w:p>
              </w:tc>
              <w:tc>
                <w:tcPr>
                  <w:tcW w:w="660" w:type="dxa"/>
                  <w:vMerge w:val="continue"/>
                  <w:vAlign w:val="center"/>
                </w:tcPr>
                <w:p w14:paraId="0645D715">
                  <w:pPr>
                    <w:jc w:val="center"/>
                    <w:rPr>
                      <w:rFonts w:hint="default" w:ascii="Times New Roman" w:hAnsi="Times New Roman" w:cs="Times New Roman"/>
                      <w:color w:val="auto"/>
                    </w:rPr>
                  </w:pPr>
                </w:p>
              </w:tc>
              <w:tc>
                <w:tcPr>
                  <w:tcW w:w="1776" w:type="dxa"/>
                  <w:shd w:val="clear" w:color="auto" w:fill="auto"/>
                  <w:vAlign w:val="center"/>
                </w:tcPr>
                <w:p w14:paraId="2BCB47A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一次白米分级、一次抛光、二次色选粉尘</w:t>
                  </w:r>
                </w:p>
              </w:tc>
              <w:tc>
                <w:tcPr>
                  <w:tcW w:w="3972" w:type="dxa"/>
                  <w:shd w:val="clear" w:color="auto" w:fill="auto"/>
                  <w:vAlign w:val="center"/>
                </w:tcPr>
                <w:p w14:paraId="3A266A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一次抛光设置2台抛光机，每台抛光机先设置1套旋风除尘器除尘，共设置2套旋风除尘器，项目一次抛光粉尘分别经2套并联旋风除尘器处理后，与一次白米分级粉尘、二次色选粉尘通过密闭管道收集，共同经1套脉冲除尘器处理，尾气经1根15米高排气筒（DA002）有组织排放</w:t>
                  </w:r>
                </w:p>
              </w:tc>
              <w:tc>
                <w:tcPr>
                  <w:tcW w:w="984" w:type="dxa"/>
                  <w:vAlign w:val="center"/>
                </w:tcPr>
                <w:p w14:paraId="5DCACB70">
                  <w:pPr>
                    <w:jc w:val="center"/>
                    <w:rPr>
                      <w:rFonts w:hint="default" w:cs="Times New Roman"/>
                      <w:color w:val="auto"/>
                      <w:lang w:val="en-US" w:eastAsia="zh-CN"/>
                    </w:rPr>
                  </w:pPr>
                  <w:r>
                    <w:rPr>
                      <w:rFonts w:hint="eastAsia" w:cs="Times New Roman"/>
                      <w:color w:val="auto"/>
                      <w:lang w:val="en-US" w:eastAsia="zh-CN"/>
                    </w:rPr>
                    <w:t>8</w:t>
                  </w:r>
                </w:p>
              </w:tc>
            </w:tr>
            <w:tr w14:paraId="0552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65" w:type="dxa"/>
                  <w:vMerge w:val="continue"/>
                  <w:vAlign w:val="center"/>
                </w:tcPr>
                <w:p w14:paraId="1EBF2991">
                  <w:pPr>
                    <w:jc w:val="center"/>
                    <w:rPr>
                      <w:rFonts w:hint="default" w:ascii="Times New Roman" w:hAnsi="Times New Roman" w:cs="Times New Roman"/>
                      <w:color w:val="auto"/>
                    </w:rPr>
                  </w:pPr>
                </w:p>
              </w:tc>
              <w:tc>
                <w:tcPr>
                  <w:tcW w:w="660" w:type="dxa"/>
                  <w:vMerge w:val="continue"/>
                  <w:vAlign w:val="center"/>
                </w:tcPr>
                <w:p w14:paraId="74393CF5">
                  <w:pPr>
                    <w:jc w:val="center"/>
                    <w:rPr>
                      <w:rFonts w:hint="default" w:ascii="Times New Roman" w:hAnsi="Times New Roman" w:cs="Times New Roman"/>
                      <w:color w:val="auto"/>
                    </w:rPr>
                  </w:pPr>
                </w:p>
              </w:tc>
              <w:tc>
                <w:tcPr>
                  <w:tcW w:w="1776" w:type="dxa"/>
                  <w:shd w:val="clear" w:color="auto" w:fill="auto"/>
                  <w:vAlign w:val="center"/>
                </w:tcPr>
                <w:p w14:paraId="51BF96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二次白米分级、二次抛光、三次色选、精选粉尘</w:t>
                  </w:r>
                </w:p>
              </w:tc>
              <w:tc>
                <w:tcPr>
                  <w:tcW w:w="3972" w:type="dxa"/>
                  <w:shd w:val="clear" w:color="auto" w:fill="auto"/>
                  <w:vAlign w:val="center"/>
                </w:tcPr>
                <w:p w14:paraId="2E8226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二次抛光设置2台抛光机，每台抛光机先设置1套旋风除尘器除尘，共设置2套旋风除尘器，项目二次抛光粉尘分别经2套并联旋风除尘器处理后，与三次色选粉尘、二次白米分级粉尘、精选粉尘通过密闭管道收集，共同经1套脉冲除尘器处理，尾气1根15米高排气筒（DA003）有组织排放</w:t>
                  </w:r>
                </w:p>
              </w:tc>
              <w:tc>
                <w:tcPr>
                  <w:tcW w:w="984" w:type="dxa"/>
                  <w:vAlign w:val="center"/>
                </w:tcPr>
                <w:p w14:paraId="0B68455B">
                  <w:pPr>
                    <w:jc w:val="center"/>
                    <w:rPr>
                      <w:rFonts w:hint="default" w:cs="Times New Roman"/>
                      <w:color w:val="auto"/>
                      <w:lang w:val="en-US" w:eastAsia="zh-CN"/>
                    </w:rPr>
                  </w:pPr>
                  <w:r>
                    <w:rPr>
                      <w:rFonts w:hint="eastAsia" w:cs="Times New Roman"/>
                      <w:color w:val="auto"/>
                      <w:lang w:val="en-US" w:eastAsia="zh-CN"/>
                    </w:rPr>
                    <w:t>8</w:t>
                  </w:r>
                </w:p>
              </w:tc>
            </w:tr>
            <w:tr w14:paraId="4E47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65" w:type="dxa"/>
                  <w:vAlign w:val="center"/>
                </w:tcPr>
                <w:p w14:paraId="0B2DFB4D">
                  <w:pPr>
                    <w:jc w:val="center"/>
                    <w:rPr>
                      <w:rFonts w:hint="default" w:ascii="Times New Roman" w:hAnsi="Times New Roman" w:cs="Times New Roman"/>
                      <w:color w:val="auto"/>
                    </w:rPr>
                  </w:pPr>
                  <w:r>
                    <w:rPr>
                      <w:rFonts w:hint="default" w:ascii="Times New Roman" w:hAnsi="Times New Roman" w:cs="Times New Roman"/>
                      <w:color w:val="auto"/>
                    </w:rPr>
                    <w:t>3</w:t>
                  </w:r>
                </w:p>
              </w:tc>
              <w:tc>
                <w:tcPr>
                  <w:tcW w:w="660" w:type="dxa"/>
                  <w:vAlign w:val="center"/>
                </w:tcPr>
                <w:p w14:paraId="39464F4F">
                  <w:pPr>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1776" w:type="dxa"/>
                  <w:vAlign w:val="center"/>
                </w:tcPr>
                <w:p w14:paraId="6620A8C4">
                  <w:pPr>
                    <w:jc w:val="center"/>
                    <w:rPr>
                      <w:rFonts w:hint="default" w:ascii="Times New Roman" w:hAnsi="Times New Roman" w:cs="Times New Roman"/>
                      <w:color w:val="auto"/>
                    </w:rPr>
                  </w:pPr>
                  <w:r>
                    <w:rPr>
                      <w:rFonts w:hint="default" w:ascii="Times New Roman" w:hAnsi="Times New Roman" w:cs="Times New Roman"/>
                      <w:color w:val="auto"/>
                    </w:rPr>
                    <w:t>设备噪声</w:t>
                  </w:r>
                </w:p>
              </w:tc>
              <w:tc>
                <w:tcPr>
                  <w:tcW w:w="3972" w:type="dxa"/>
                  <w:vAlign w:val="center"/>
                </w:tcPr>
                <w:p w14:paraId="7F4967BB">
                  <w:pPr>
                    <w:jc w:val="center"/>
                    <w:rPr>
                      <w:rFonts w:hint="default" w:ascii="Times New Roman" w:hAnsi="Times New Roman" w:cs="Times New Roman"/>
                      <w:color w:val="auto"/>
                    </w:rPr>
                  </w:pPr>
                  <w:r>
                    <w:rPr>
                      <w:rFonts w:hint="default" w:ascii="Times New Roman" w:hAnsi="Times New Roman" w:cs="Times New Roman"/>
                      <w:color w:val="auto"/>
                      <w:sz w:val="21"/>
                      <w:szCs w:val="21"/>
                    </w:rPr>
                    <w:t>采取优选低噪声设备、车间内布置、隔声、消声、减振等措施</w:t>
                  </w:r>
                </w:p>
              </w:tc>
              <w:tc>
                <w:tcPr>
                  <w:tcW w:w="984" w:type="dxa"/>
                  <w:vAlign w:val="center"/>
                </w:tcPr>
                <w:p w14:paraId="57FFAB93">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r>
            <w:tr w14:paraId="795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Merge w:val="restart"/>
                  <w:vAlign w:val="center"/>
                </w:tcPr>
                <w:p w14:paraId="5AE2FF93">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660" w:type="dxa"/>
                  <w:vMerge w:val="restart"/>
                  <w:vAlign w:val="center"/>
                </w:tcPr>
                <w:p w14:paraId="54E87870">
                  <w:pPr>
                    <w:jc w:val="center"/>
                    <w:rPr>
                      <w:rFonts w:hint="default" w:ascii="Times New Roman" w:hAnsi="Times New Roman" w:cs="Times New Roman"/>
                      <w:color w:val="auto"/>
                    </w:rPr>
                  </w:pPr>
                  <w:r>
                    <w:rPr>
                      <w:rFonts w:hint="default" w:ascii="Times New Roman" w:hAnsi="Times New Roman" w:cs="Times New Roman"/>
                      <w:color w:val="auto"/>
                    </w:rPr>
                    <w:t>固废</w:t>
                  </w:r>
                </w:p>
              </w:tc>
              <w:tc>
                <w:tcPr>
                  <w:tcW w:w="1776" w:type="dxa"/>
                  <w:vAlign w:val="center"/>
                </w:tcPr>
                <w:p w14:paraId="5633E005">
                  <w:pPr>
                    <w:jc w:val="center"/>
                    <w:rPr>
                      <w:rFonts w:hint="default" w:ascii="Times New Roman" w:hAnsi="Times New Roman" w:cs="Times New Roman"/>
                      <w:color w:val="auto"/>
                    </w:rPr>
                  </w:pPr>
                  <w:r>
                    <w:rPr>
                      <w:rFonts w:hint="default" w:ascii="Times New Roman" w:hAnsi="Times New Roman" w:cs="Times New Roman"/>
                      <w:color w:val="auto"/>
                    </w:rPr>
                    <w:t>生活固废</w:t>
                  </w:r>
                </w:p>
              </w:tc>
              <w:tc>
                <w:tcPr>
                  <w:tcW w:w="3972" w:type="dxa"/>
                  <w:vAlign w:val="center"/>
                </w:tcPr>
                <w:p w14:paraId="2A4CD0D3">
                  <w:pPr>
                    <w:jc w:val="center"/>
                    <w:rPr>
                      <w:rFonts w:hint="default" w:ascii="Times New Roman" w:hAnsi="Times New Roman" w:cs="Times New Roman"/>
                      <w:color w:val="auto"/>
                    </w:rPr>
                  </w:pPr>
                  <w:r>
                    <w:rPr>
                      <w:rFonts w:hint="default" w:ascii="Times New Roman" w:hAnsi="Times New Roman" w:cs="Times New Roman"/>
                      <w:color w:val="auto"/>
                    </w:rPr>
                    <w:t>垃圾收集桶定点收集，环卫清运</w:t>
                  </w:r>
                </w:p>
              </w:tc>
              <w:tc>
                <w:tcPr>
                  <w:tcW w:w="984" w:type="dxa"/>
                  <w:vAlign w:val="center"/>
                </w:tcPr>
                <w:p w14:paraId="2BABD226">
                  <w:pPr>
                    <w:jc w:val="center"/>
                    <w:rPr>
                      <w:rFonts w:hint="default" w:ascii="Times New Roman" w:hAnsi="Times New Roman" w:cs="Times New Roman"/>
                      <w:color w:val="auto"/>
                      <w:lang w:val="en-US" w:eastAsia="zh-CN"/>
                    </w:rPr>
                  </w:pPr>
                  <w:r>
                    <w:rPr>
                      <w:rFonts w:hint="eastAsia" w:cs="Times New Roman"/>
                      <w:color w:val="auto"/>
                      <w:lang w:val="en-US" w:eastAsia="zh-CN"/>
                    </w:rPr>
                    <w:t>0.5</w:t>
                  </w:r>
                </w:p>
              </w:tc>
            </w:tr>
            <w:tr w14:paraId="1EB3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5" w:type="dxa"/>
                  <w:vMerge w:val="continue"/>
                  <w:vAlign w:val="center"/>
                </w:tcPr>
                <w:p w14:paraId="6A2CCD3C">
                  <w:pPr>
                    <w:jc w:val="center"/>
                    <w:rPr>
                      <w:rFonts w:hint="default" w:ascii="Times New Roman" w:hAnsi="Times New Roman" w:cs="Times New Roman"/>
                      <w:color w:val="auto"/>
                    </w:rPr>
                  </w:pPr>
                </w:p>
              </w:tc>
              <w:tc>
                <w:tcPr>
                  <w:tcW w:w="660" w:type="dxa"/>
                  <w:vMerge w:val="continue"/>
                  <w:vAlign w:val="center"/>
                </w:tcPr>
                <w:p w14:paraId="0DEFE52E">
                  <w:pPr>
                    <w:jc w:val="center"/>
                    <w:rPr>
                      <w:rFonts w:hint="default" w:ascii="Times New Roman" w:hAnsi="Times New Roman" w:cs="Times New Roman"/>
                      <w:color w:val="auto"/>
                    </w:rPr>
                  </w:pPr>
                </w:p>
              </w:tc>
              <w:tc>
                <w:tcPr>
                  <w:tcW w:w="1776" w:type="dxa"/>
                  <w:vAlign w:val="center"/>
                </w:tcPr>
                <w:p w14:paraId="12EB4795">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一般</w:t>
                  </w:r>
                  <w:r>
                    <w:rPr>
                      <w:rFonts w:hint="default" w:ascii="Times New Roman" w:hAnsi="Times New Roman" w:cs="Times New Roman"/>
                      <w:color w:val="auto"/>
                    </w:rPr>
                    <w:t>固废</w:t>
                  </w:r>
                </w:p>
              </w:tc>
              <w:tc>
                <w:tcPr>
                  <w:tcW w:w="3972" w:type="dxa"/>
                  <w:vAlign w:val="center"/>
                </w:tcPr>
                <w:p w14:paraId="3B641428">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一般固废暂存场所分区暂存，</w:t>
                  </w:r>
                  <w:r>
                    <w:rPr>
                      <w:rFonts w:hint="default" w:ascii="Times New Roman" w:hAnsi="Times New Roman" w:cs="Times New Roman"/>
                      <w:color w:val="auto"/>
                      <w:lang w:val="en-US" w:eastAsia="zh-CN"/>
                    </w:rPr>
                    <w:t>综合利用</w:t>
                  </w:r>
                </w:p>
              </w:tc>
              <w:tc>
                <w:tcPr>
                  <w:tcW w:w="984" w:type="dxa"/>
                  <w:vAlign w:val="center"/>
                </w:tcPr>
                <w:p w14:paraId="1765F0B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w:t>
                  </w:r>
                </w:p>
              </w:tc>
            </w:tr>
            <w:tr w14:paraId="738A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65" w:type="dxa"/>
                  <w:vMerge w:val="continue"/>
                  <w:vAlign w:val="center"/>
                </w:tcPr>
                <w:p w14:paraId="4C6D660B">
                  <w:pPr>
                    <w:jc w:val="center"/>
                    <w:rPr>
                      <w:rFonts w:hint="default" w:ascii="Times New Roman" w:hAnsi="Times New Roman" w:cs="Times New Roman"/>
                      <w:color w:val="auto"/>
                    </w:rPr>
                  </w:pPr>
                </w:p>
              </w:tc>
              <w:tc>
                <w:tcPr>
                  <w:tcW w:w="660" w:type="dxa"/>
                  <w:vMerge w:val="continue"/>
                  <w:vAlign w:val="center"/>
                </w:tcPr>
                <w:p w14:paraId="138E3266">
                  <w:pPr>
                    <w:jc w:val="center"/>
                    <w:rPr>
                      <w:rFonts w:hint="default" w:ascii="Times New Roman" w:hAnsi="Times New Roman" w:cs="Times New Roman"/>
                      <w:color w:val="auto"/>
                    </w:rPr>
                  </w:pPr>
                </w:p>
              </w:tc>
              <w:tc>
                <w:tcPr>
                  <w:tcW w:w="1776" w:type="dxa"/>
                  <w:vAlign w:val="center"/>
                </w:tcPr>
                <w:p w14:paraId="41EA204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危险废物</w:t>
                  </w:r>
                </w:p>
              </w:tc>
              <w:tc>
                <w:tcPr>
                  <w:tcW w:w="3972" w:type="dxa"/>
                  <w:vAlign w:val="center"/>
                </w:tcPr>
                <w:p w14:paraId="1C44FCA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设置1间面积3m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的危废暂存间</w:t>
                  </w:r>
                </w:p>
              </w:tc>
              <w:tc>
                <w:tcPr>
                  <w:tcW w:w="984" w:type="dxa"/>
                  <w:vAlign w:val="center"/>
                </w:tcPr>
                <w:p w14:paraId="52D68856">
                  <w:pPr>
                    <w:jc w:val="center"/>
                    <w:rPr>
                      <w:rFonts w:hint="default" w:cs="Times New Roman"/>
                      <w:color w:val="auto"/>
                      <w:lang w:val="en-US" w:eastAsia="zh-CN"/>
                    </w:rPr>
                  </w:pPr>
                  <w:r>
                    <w:rPr>
                      <w:rFonts w:hint="eastAsia" w:cs="Times New Roman"/>
                      <w:color w:val="auto"/>
                      <w:lang w:val="en-US" w:eastAsia="zh-CN"/>
                    </w:rPr>
                    <w:t>1</w:t>
                  </w:r>
                </w:p>
              </w:tc>
            </w:tr>
            <w:tr w14:paraId="594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Align w:val="center"/>
                </w:tcPr>
                <w:p w14:paraId="50E70BDB">
                  <w:pPr>
                    <w:jc w:val="center"/>
                    <w:rPr>
                      <w:rFonts w:hint="default" w:ascii="Times New Roman" w:hAnsi="Times New Roman" w:cs="Times New Roman"/>
                      <w:color w:val="auto"/>
                      <w:lang w:val="en-US" w:eastAsia="zh-CN"/>
                    </w:rPr>
                  </w:pPr>
                  <w:r>
                    <w:rPr>
                      <w:rFonts w:hint="eastAsia" w:cs="Times New Roman"/>
                      <w:color w:val="auto"/>
                      <w:lang w:val="en-US" w:eastAsia="zh-CN"/>
                    </w:rPr>
                    <w:t>5</w:t>
                  </w:r>
                </w:p>
              </w:tc>
              <w:tc>
                <w:tcPr>
                  <w:tcW w:w="2436" w:type="dxa"/>
                  <w:gridSpan w:val="2"/>
                  <w:vAlign w:val="center"/>
                </w:tcPr>
                <w:p w14:paraId="7E63B22D">
                  <w:pPr>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3972" w:type="dxa"/>
                  <w:vAlign w:val="center"/>
                </w:tcPr>
                <w:p w14:paraId="52354057">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984" w:type="dxa"/>
                  <w:vAlign w:val="center"/>
                </w:tcPr>
                <w:p w14:paraId="0E16D2D6">
                  <w:pPr>
                    <w:jc w:val="center"/>
                    <w:rPr>
                      <w:rFonts w:hint="default" w:ascii="Times New Roman" w:hAnsi="Times New Roman" w:cs="Times New Roman"/>
                      <w:color w:val="auto"/>
                      <w:lang w:val="en-US" w:eastAsia="zh-CN"/>
                    </w:rPr>
                  </w:pPr>
                  <w:r>
                    <w:rPr>
                      <w:rFonts w:hint="eastAsia" w:cs="Times New Roman"/>
                      <w:color w:val="auto"/>
                      <w:lang w:val="en-US" w:eastAsia="zh-CN"/>
                    </w:rPr>
                    <w:t>31</w:t>
                  </w:r>
                </w:p>
              </w:tc>
            </w:tr>
          </w:tbl>
          <w:p w14:paraId="6509357C">
            <w:pPr>
              <w:pStyle w:val="30"/>
              <w:rPr>
                <w:color w:val="auto"/>
              </w:rPr>
            </w:pPr>
          </w:p>
        </w:tc>
      </w:tr>
    </w:tbl>
    <w:p w14:paraId="41952BBD">
      <w:pPr>
        <w:outlineLvl w:val="0"/>
        <w:rPr>
          <w:rFonts w:eastAsia="黑体"/>
          <w:b/>
          <w:bCs/>
          <w:color w:val="auto"/>
          <w:sz w:val="30"/>
          <w:szCs w:val="24"/>
        </w:rPr>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720" w:num="1"/>
          <w:docGrid w:linePitch="312" w:charSpace="0"/>
        </w:sectPr>
      </w:pPr>
    </w:p>
    <w:p w14:paraId="5A2F2AF2">
      <w:pPr>
        <w:jc w:val="center"/>
        <w:outlineLvl w:val="0"/>
        <w:rPr>
          <w:rFonts w:eastAsia="黑体"/>
          <w:b/>
          <w:bCs/>
          <w:color w:val="auto"/>
          <w:sz w:val="30"/>
          <w:szCs w:val="24"/>
        </w:rPr>
      </w:pPr>
      <w:bookmarkStart w:id="17" w:name="_Toc14614"/>
      <w:bookmarkStart w:id="18" w:name="_Toc29595"/>
      <w:r>
        <w:rPr>
          <w:rFonts w:hint="eastAsia" w:eastAsia="黑体"/>
          <w:b/>
          <w:bCs/>
          <w:color w:val="auto"/>
          <w:sz w:val="30"/>
          <w:szCs w:val="24"/>
        </w:rPr>
        <w:t>五、环境保护措施监督检查清单</w:t>
      </w:r>
      <w:bookmarkEnd w:id="17"/>
    </w:p>
    <w:tbl>
      <w:tblPr>
        <w:tblStyle w:val="46"/>
        <w:tblW w:w="91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723"/>
        <w:gridCol w:w="972"/>
        <w:gridCol w:w="3288"/>
        <w:gridCol w:w="1732"/>
      </w:tblGrid>
      <w:tr w14:paraId="4F23E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3" w:type="dxa"/>
            <w:tcBorders>
              <w:tl2br w:val="single" w:color="auto" w:sz="4" w:space="0"/>
            </w:tcBorders>
            <w:vAlign w:val="center"/>
          </w:tcPr>
          <w:p w14:paraId="4EE6B8E2">
            <w:pPr>
              <w:adjustRightInd w:val="0"/>
              <w:snapToGrid w:val="0"/>
              <w:jc w:val="right"/>
              <w:rPr>
                <w:rFonts w:ascii="宋体" w:hAnsi="宋体" w:cs="宋体"/>
                <w:b/>
                <w:color w:val="auto"/>
                <w:sz w:val="24"/>
                <w:szCs w:val="24"/>
              </w:rPr>
            </w:pPr>
            <w:r>
              <w:rPr>
                <w:rFonts w:hint="eastAsia" w:ascii="宋体" w:hAnsi="宋体" w:cs="宋体"/>
                <w:b/>
                <w:color w:val="auto"/>
                <w:sz w:val="24"/>
                <w:szCs w:val="24"/>
              </w:rPr>
              <w:t>内容</w:t>
            </w:r>
          </w:p>
          <w:p w14:paraId="323A712D">
            <w:pPr>
              <w:adjustRightInd w:val="0"/>
              <w:snapToGrid w:val="0"/>
              <w:rPr>
                <w:rFonts w:ascii="宋体" w:hAnsi="宋体" w:cs="宋体"/>
                <w:b/>
                <w:color w:val="auto"/>
                <w:sz w:val="24"/>
                <w:szCs w:val="24"/>
              </w:rPr>
            </w:pPr>
            <w:r>
              <w:rPr>
                <w:rFonts w:hint="eastAsia" w:ascii="宋体" w:hAnsi="宋体" w:cs="宋体"/>
                <w:b/>
                <w:color w:val="auto"/>
                <w:sz w:val="24"/>
                <w:szCs w:val="24"/>
              </w:rPr>
              <w:t>要素</w:t>
            </w:r>
          </w:p>
        </w:tc>
        <w:tc>
          <w:tcPr>
            <w:tcW w:w="1723" w:type="dxa"/>
            <w:vAlign w:val="center"/>
          </w:tcPr>
          <w:p w14:paraId="58004F52">
            <w:pPr>
              <w:adjustRightInd w:val="0"/>
              <w:snapToGrid w:val="0"/>
              <w:jc w:val="center"/>
              <w:rPr>
                <w:rFonts w:ascii="宋体" w:hAnsi="宋体" w:cs="宋体"/>
                <w:b/>
                <w:color w:val="auto"/>
                <w:sz w:val="24"/>
                <w:szCs w:val="24"/>
              </w:rPr>
            </w:pPr>
            <w:r>
              <w:rPr>
                <w:rFonts w:hint="eastAsia" w:ascii="宋体" w:hAnsi="宋体" w:cs="宋体"/>
                <w:b/>
                <w:color w:val="auto"/>
                <w:sz w:val="24"/>
                <w:szCs w:val="24"/>
              </w:rPr>
              <w:t>排放口</w:t>
            </w:r>
            <w:r>
              <w:rPr>
                <w:rFonts w:hint="eastAsia" w:ascii="宋体" w:hAnsi="宋体" w:cs="宋体"/>
                <w:b/>
                <w:color w:val="auto"/>
                <w:sz w:val="24"/>
                <w:szCs w:val="24"/>
                <w:lang w:eastAsia="zh-CN"/>
              </w:rPr>
              <w:t>（</w:t>
            </w:r>
            <w:r>
              <w:rPr>
                <w:rFonts w:hint="eastAsia" w:ascii="宋体" w:hAnsi="宋体" w:cs="宋体"/>
                <w:b/>
                <w:color w:val="auto"/>
                <w:sz w:val="24"/>
                <w:szCs w:val="24"/>
              </w:rPr>
              <w:t>编号、名称</w:t>
            </w:r>
            <w:r>
              <w:rPr>
                <w:rFonts w:hint="eastAsia" w:ascii="宋体" w:hAnsi="宋体" w:cs="宋体"/>
                <w:b/>
                <w:color w:val="auto"/>
                <w:sz w:val="24"/>
                <w:szCs w:val="24"/>
                <w:lang w:eastAsia="zh-CN"/>
              </w:rPr>
              <w:t>）</w:t>
            </w:r>
            <w:r>
              <w:rPr>
                <w:rFonts w:hint="eastAsia" w:ascii="宋体" w:hAnsi="宋体" w:cs="宋体"/>
                <w:b/>
                <w:color w:val="auto"/>
                <w:sz w:val="24"/>
                <w:szCs w:val="24"/>
              </w:rPr>
              <w:t>/污染源</w:t>
            </w:r>
          </w:p>
        </w:tc>
        <w:tc>
          <w:tcPr>
            <w:tcW w:w="972" w:type="dxa"/>
            <w:vAlign w:val="center"/>
          </w:tcPr>
          <w:p w14:paraId="78232D79">
            <w:pPr>
              <w:adjustRightInd w:val="0"/>
              <w:snapToGrid w:val="0"/>
              <w:jc w:val="center"/>
              <w:rPr>
                <w:rFonts w:ascii="宋体" w:hAnsi="宋体" w:cs="宋体"/>
                <w:b/>
                <w:color w:val="auto"/>
                <w:sz w:val="24"/>
                <w:szCs w:val="24"/>
              </w:rPr>
            </w:pPr>
            <w:r>
              <w:rPr>
                <w:rFonts w:hint="eastAsia" w:ascii="宋体" w:hAnsi="宋体" w:cs="宋体"/>
                <w:b/>
                <w:color w:val="auto"/>
                <w:sz w:val="24"/>
                <w:szCs w:val="24"/>
              </w:rPr>
              <w:t>污染物项目</w:t>
            </w:r>
          </w:p>
        </w:tc>
        <w:tc>
          <w:tcPr>
            <w:tcW w:w="3288" w:type="dxa"/>
            <w:vAlign w:val="center"/>
          </w:tcPr>
          <w:p w14:paraId="6692A7D5">
            <w:pPr>
              <w:adjustRightInd w:val="0"/>
              <w:snapToGrid w:val="0"/>
              <w:jc w:val="center"/>
              <w:rPr>
                <w:rFonts w:ascii="宋体" w:hAnsi="宋体" w:cs="宋体"/>
                <w:b/>
                <w:color w:val="auto"/>
                <w:sz w:val="24"/>
                <w:szCs w:val="24"/>
              </w:rPr>
            </w:pPr>
            <w:r>
              <w:rPr>
                <w:rFonts w:hint="eastAsia" w:ascii="宋体" w:hAnsi="宋体" w:cs="宋体"/>
                <w:b/>
                <w:color w:val="auto"/>
                <w:sz w:val="24"/>
                <w:szCs w:val="24"/>
              </w:rPr>
              <w:t>环境保护措施</w:t>
            </w:r>
          </w:p>
        </w:tc>
        <w:tc>
          <w:tcPr>
            <w:tcW w:w="1732" w:type="dxa"/>
            <w:vAlign w:val="center"/>
          </w:tcPr>
          <w:p w14:paraId="0F333B2A">
            <w:pPr>
              <w:adjustRightInd w:val="0"/>
              <w:snapToGrid w:val="0"/>
              <w:jc w:val="center"/>
              <w:rPr>
                <w:rFonts w:ascii="宋体" w:hAnsi="宋体" w:cs="宋体"/>
                <w:b/>
                <w:color w:val="auto"/>
                <w:sz w:val="24"/>
                <w:szCs w:val="24"/>
              </w:rPr>
            </w:pPr>
            <w:r>
              <w:rPr>
                <w:rFonts w:hint="eastAsia" w:ascii="宋体" w:hAnsi="宋体" w:cs="宋体"/>
                <w:b/>
                <w:color w:val="auto"/>
                <w:sz w:val="24"/>
                <w:szCs w:val="24"/>
              </w:rPr>
              <w:t>执行标准</w:t>
            </w:r>
          </w:p>
        </w:tc>
      </w:tr>
      <w:tr w14:paraId="05683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413" w:type="dxa"/>
            <w:vMerge w:val="restart"/>
            <w:vAlign w:val="center"/>
          </w:tcPr>
          <w:p w14:paraId="4C5C5A99">
            <w:pPr>
              <w:adjustRightInd w:val="0"/>
              <w:snapToGrid w:val="0"/>
              <w:jc w:val="center"/>
              <w:rPr>
                <w:rFonts w:ascii="宋体" w:hAnsi="宋体" w:cs="宋体"/>
                <w:color w:val="auto"/>
                <w:sz w:val="24"/>
                <w:szCs w:val="24"/>
              </w:rPr>
            </w:pPr>
            <w:r>
              <w:rPr>
                <w:rFonts w:hint="eastAsia" w:ascii="宋体" w:hAnsi="宋体" w:cs="宋体"/>
                <w:color w:val="auto"/>
                <w:sz w:val="24"/>
                <w:szCs w:val="24"/>
              </w:rPr>
              <w:t>大气环境</w:t>
            </w:r>
          </w:p>
        </w:tc>
        <w:tc>
          <w:tcPr>
            <w:tcW w:w="1723" w:type="dxa"/>
            <w:vAlign w:val="center"/>
          </w:tcPr>
          <w:p w14:paraId="736D39A5">
            <w:pPr>
              <w:adjustRightInd w:val="0"/>
              <w:snapToGrid w:val="0"/>
              <w:jc w:val="center"/>
              <w:rPr>
                <w:rFonts w:hint="eastAsia"/>
                <w:snapToGrid w:val="0"/>
                <w:color w:val="auto"/>
                <w:kern w:val="0"/>
                <w:sz w:val="24"/>
                <w:szCs w:val="24"/>
                <w:lang w:val="en-US" w:eastAsia="zh-CN"/>
              </w:rPr>
            </w:pPr>
            <w:r>
              <w:rPr>
                <w:rFonts w:hint="eastAsia"/>
                <w:snapToGrid w:val="0"/>
                <w:color w:val="auto"/>
                <w:kern w:val="0"/>
                <w:sz w:val="24"/>
                <w:szCs w:val="24"/>
                <w:lang w:val="en-US" w:eastAsia="zh-CN"/>
              </w:rPr>
              <w:t>DA001</w:t>
            </w:r>
          </w:p>
          <w:p w14:paraId="7C62F88B">
            <w:pPr>
              <w:adjustRightInd w:val="0"/>
              <w:snapToGrid w:val="0"/>
              <w:jc w:val="center"/>
              <w:rPr>
                <w:rFonts w:hint="eastAsia" w:eastAsia="宋体"/>
                <w:color w:val="auto"/>
                <w:sz w:val="24"/>
                <w:szCs w:val="24"/>
                <w:lang w:eastAsia="zh-CN"/>
              </w:rPr>
            </w:pPr>
            <w:r>
              <w:rPr>
                <w:rFonts w:hint="eastAsia"/>
                <w:snapToGrid w:val="0"/>
                <w:color w:val="auto"/>
                <w:kern w:val="0"/>
                <w:sz w:val="24"/>
                <w:szCs w:val="24"/>
                <w:lang w:val="en-US" w:eastAsia="zh-CN"/>
              </w:rPr>
              <w:t>（卸料、除杂、去石、砻谷、谷糙分离、一次色选、碾米粉尘）</w:t>
            </w:r>
          </w:p>
        </w:tc>
        <w:tc>
          <w:tcPr>
            <w:tcW w:w="972" w:type="dxa"/>
            <w:vAlign w:val="center"/>
          </w:tcPr>
          <w:p w14:paraId="404E8525">
            <w:pPr>
              <w:adjustRightInd w:val="0"/>
              <w:snapToGrid w:val="0"/>
              <w:jc w:val="center"/>
              <w:rPr>
                <w:color w:val="auto"/>
                <w:sz w:val="24"/>
                <w:szCs w:val="24"/>
              </w:rPr>
            </w:pPr>
            <w:r>
              <w:rPr>
                <w:rFonts w:hint="eastAsia"/>
                <w:color w:val="auto"/>
                <w:sz w:val="24"/>
                <w:szCs w:val="24"/>
              </w:rPr>
              <w:t>颗粒物</w:t>
            </w:r>
          </w:p>
        </w:tc>
        <w:tc>
          <w:tcPr>
            <w:tcW w:w="3288" w:type="dxa"/>
            <w:vAlign w:val="center"/>
          </w:tcPr>
          <w:p w14:paraId="226EFE0A">
            <w:pPr>
              <w:adjustRightInd w:val="0"/>
              <w:snapToGrid w:val="0"/>
              <w:jc w:val="center"/>
              <w:rPr>
                <w:color w:val="auto"/>
                <w:sz w:val="24"/>
                <w:szCs w:val="24"/>
              </w:rPr>
            </w:pPr>
            <w:r>
              <w:rPr>
                <w:rFonts w:hint="default"/>
                <w:color w:val="auto"/>
                <w:sz w:val="24"/>
                <w:szCs w:val="24"/>
                <w:lang w:val="en-US" w:eastAsia="zh-CN"/>
              </w:rPr>
              <w:t>项目每台清理筛、去石机、碾米机先设置1套旋风除尘器除尘，共设置6套旋风除尘器，除杂粉尘、去石粉尘、碾米粉尘经密闭管道收集经并联6套旋风除尘器处理后，再与经集气罩收集的卸粮粉尘，密闭管道收集的砻谷粉尘、谷糙分离粉尘、一次色选粉尘，共同经1套脉冲除尘器处理，尾气经1根15m高排气筒（DA001）有组织排放</w:t>
            </w:r>
          </w:p>
        </w:tc>
        <w:tc>
          <w:tcPr>
            <w:tcW w:w="1732" w:type="dxa"/>
            <w:vMerge w:val="restart"/>
            <w:vAlign w:val="center"/>
          </w:tcPr>
          <w:p w14:paraId="45883972">
            <w:pPr>
              <w:adjustRightInd w:val="0"/>
              <w:snapToGrid w:val="0"/>
              <w:jc w:val="center"/>
              <w:rPr>
                <w:color w:val="auto"/>
                <w:sz w:val="24"/>
                <w:szCs w:val="24"/>
              </w:rPr>
            </w:pPr>
            <w:r>
              <w:rPr>
                <w:rFonts w:hint="eastAsia" w:ascii="Times New Roman" w:hAnsi="Times New Roman" w:eastAsia="宋体" w:cs="Times New Roman"/>
                <w:color w:val="auto"/>
                <w:sz w:val="24"/>
                <w:szCs w:val="24"/>
                <w:lang w:eastAsia="zh-CN"/>
              </w:rPr>
              <w:t>《大气污染物综合排放标准》（GB12697-1996）</w:t>
            </w:r>
          </w:p>
        </w:tc>
      </w:tr>
      <w:tr w14:paraId="36EF3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413" w:type="dxa"/>
            <w:vMerge w:val="continue"/>
            <w:vAlign w:val="center"/>
          </w:tcPr>
          <w:p w14:paraId="6B069FBC">
            <w:pPr>
              <w:adjustRightInd w:val="0"/>
              <w:snapToGrid w:val="0"/>
              <w:jc w:val="center"/>
              <w:rPr>
                <w:rFonts w:hint="eastAsia" w:ascii="宋体" w:hAnsi="宋体" w:cs="宋体"/>
                <w:color w:val="auto"/>
                <w:sz w:val="24"/>
                <w:szCs w:val="24"/>
              </w:rPr>
            </w:pPr>
          </w:p>
        </w:tc>
        <w:tc>
          <w:tcPr>
            <w:tcW w:w="1723" w:type="dxa"/>
            <w:vAlign w:val="center"/>
          </w:tcPr>
          <w:p w14:paraId="1D399282">
            <w:pPr>
              <w:adjustRightInd w:val="0"/>
              <w:snapToGrid w:val="0"/>
              <w:jc w:val="center"/>
              <w:rPr>
                <w:rFonts w:hint="eastAsia"/>
                <w:snapToGrid w:val="0"/>
                <w:color w:val="auto"/>
                <w:kern w:val="0"/>
                <w:sz w:val="24"/>
                <w:szCs w:val="24"/>
                <w:lang w:val="en-US" w:eastAsia="zh-CN"/>
              </w:rPr>
            </w:pPr>
            <w:r>
              <w:rPr>
                <w:rFonts w:hint="eastAsia"/>
                <w:snapToGrid w:val="0"/>
                <w:color w:val="auto"/>
                <w:kern w:val="0"/>
                <w:sz w:val="24"/>
                <w:szCs w:val="24"/>
                <w:lang w:val="en-US" w:eastAsia="zh-CN"/>
              </w:rPr>
              <w:t>DA002</w:t>
            </w:r>
          </w:p>
          <w:p w14:paraId="17F473D8">
            <w:pPr>
              <w:adjustRightInd w:val="0"/>
              <w:snapToGrid w:val="0"/>
              <w:jc w:val="center"/>
              <w:rPr>
                <w:rFonts w:hint="eastAsia"/>
                <w:snapToGrid w:val="0"/>
                <w:color w:val="auto"/>
                <w:kern w:val="0"/>
                <w:sz w:val="24"/>
                <w:szCs w:val="24"/>
                <w:lang w:val="en-US" w:eastAsia="zh-CN"/>
              </w:rPr>
            </w:pPr>
            <w:r>
              <w:rPr>
                <w:rFonts w:hint="eastAsia"/>
                <w:snapToGrid w:val="0"/>
                <w:color w:val="auto"/>
                <w:kern w:val="0"/>
                <w:sz w:val="24"/>
                <w:szCs w:val="24"/>
                <w:lang w:val="en-US" w:eastAsia="zh-CN"/>
              </w:rPr>
              <w:t>（一次白米分级、一次抛光、二次色选粉尘）</w:t>
            </w:r>
          </w:p>
        </w:tc>
        <w:tc>
          <w:tcPr>
            <w:tcW w:w="972" w:type="dxa"/>
            <w:vAlign w:val="center"/>
          </w:tcPr>
          <w:p w14:paraId="62E55739">
            <w:pPr>
              <w:adjustRightInd w:val="0"/>
              <w:snapToGrid w:val="0"/>
              <w:jc w:val="center"/>
              <w:rPr>
                <w:rFonts w:hint="eastAsia"/>
                <w:color w:val="auto"/>
                <w:sz w:val="24"/>
                <w:szCs w:val="24"/>
              </w:rPr>
            </w:pPr>
            <w:r>
              <w:rPr>
                <w:rFonts w:hint="eastAsia"/>
                <w:color w:val="auto"/>
                <w:sz w:val="24"/>
                <w:szCs w:val="24"/>
              </w:rPr>
              <w:t>颗粒物</w:t>
            </w:r>
          </w:p>
        </w:tc>
        <w:tc>
          <w:tcPr>
            <w:tcW w:w="3288" w:type="dxa"/>
            <w:vAlign w:val="center"/>
          </w:tcPr>
          <w:p w14:paraId="6F17BD12">
            <w:pPr>
              <w:adjustRightInd w:val="0"/>
              <w:snapToGrid w:val="0"/>
              <w:jc w:val="center"/>
              <w:rPr>
                <w:rFonts w:hint="eastAsia"/>
                <w:snapToGrid w:val="0"/>
                <w:color w:val="auto"/>
                <w:kern w:val="0"/>
                <w:sz w:val="24"/>
                <w:szCs w:val="24"/>
                <w:lang w:val="en-US" w:eastAsia="zh-CN"/>
              </w:rPr>
            </w:pPr>
            <w:r>
              <w:rPr>
                <w:rFonts w:hint="eastAsia"/>
                <w:snapToGrid w:val="0"/>
                <w:color w:val="auto"/>
                <w:kern w:val="0"/>
                <w:sz w:val="24"/>
                <w:szCs w:val="24"/>
                <w:lang w:val="en-US" w:eastAsia="zh-CN"/>
              </w:rPr>
              <w:t>项目一次抛光设置2台抛光机，每台抛光机先设置1套旋风除尘器除尘，共设置2套旋风除尘器，项目一次抛光粉尘分别经2套并联旋风除尘器处理后，与一次白米分级粉尘、二次色选粉尘通过密闭管道收集，共同经1套脉冲除尘器处理，尾气经1根15米高排气筒（DA002）有组织排放</w:t>
            </w:r>
          </w:p>
        </w:tc>
        <w:tc>
          <w:tcPr>
            <w:tcW w:w="1732" w:type="dxa"/>
            <w:vMerge w:val="continue"/>
            <w:vAlign w:val="center"/>
          </w:tcPr>
          <w:p w14:paraId="38D3F31E">
            <w:pPr>
              <w:adjustRightInd w:val="0"/>
              <w:snapToGrid w:val="0"/>
              <w:jc w:val="center"/>
              <w:rPr>
                <w:rFonts w:hint="eastAsia" w:ascii="Times New Roman" w:hAnsi="Times New Roman" w:eastAsia="宋体" w:cs="Times New Roman"/>
                <w:color w:val="auto"/>
                <w:sz w:val="24"/>
                <w:szCs w:val="24"/>
                <w:lang w:eastAsia="zh-CN"/>
              </w:rPr>
            </w:pPr>
          </w:p>
        </w:tc>
      </w:tr>
      <w:tr w14:paraId="78C16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13" w:type="dxa"/>
            <w:vMerge w:val="continue"/>
            <w:vAlign w:val="center"/>
          </w:tcPr>
          <w:p w14:paraId="1416E59F">
            <w:pPr>
              <w:adjustRightInd w:val="0"/>
              <w:snapToGrid w:val="0"/>
              <w:jc w:val="center"/>
              <w:rPr>
                <w:rFonts w:hint="eastAsia" w:ascii="宋体" w:hAnsi="宋体" w:cs="宋体"/>
                <w:color w:val="auto"/>
                <w:sz w:val="24"/>
                <w:szCs w:val="24"/>
              </w:rPr>
            </w:pPr>
          </w:p>
        </w:tc>
        <w:tc>
          <w:tcPr>
            <w:tcW w:w="1723" w:type="dxa"/>
            <w:vAlign w:val="center"/>
          </w:tcPr>
          <w:p w14:paraId="219EE4A8">
            <w:pPr>
              <w:adjustRightInd w:val="0"/>
              <w:snapToGrid w:val="0"/>
              <w:jc w:val="center"/>
              <w:rPr>
                <w:rFonts w:hint="default"/>
                <w:snapToGrid w:val="0"/>
                <w:color w:val="auto"/>
                <w:kern w:val="0"/>
                <w:sz w:val="24"/>
                <w:szCs w:val="24"/>
                <w:lang w:val="en-US" w:eastAsia="zh-CN"/>
              </w:rPr>
            </w:pPr>
            <w:r>
              <w:rPr>
                <w:rFonts w:hint="eastAsia"/>
                <w:snapToGrid w:val="0"/>
                <w:color w:val="auto"/>
                <w:kern w:val="0"/>
                <w:sz w:val="24"/>
                <w:szCs w:val="24"/>
                <w:lang w:val="en-US" w:eastAsia="zh-CN"/>
              </w:rPr>
              <w:t>DA003（二次白米分级、二次抛光、三次色选、精选粉尘）</w:t>
            </w:r>
          </w:p>
        </w:tc>
        <w:tc>
          <w:tcPr>
            <w:tcW w:w="972" w:type="dxa"/>
            <w:vAlign w:val="center"/>
          </w:tcPr>
          <w:p w14:paraId="73E8CECE">
            <w:pPr>
              <w:adjustRightInd w:val="0"/>
              <w:snapToGrid w:val="0"/>
              <w:jc w:val="center"/>
              <w:rPr>
                <w:rFonts w:hint="eastAsia"/>
                <w:color w:val="auto"/>
                <w:sz w:val="24"/>
                <w:szCs w:val="24"/>
              </w:rPr>
            </w:pPr>
            <w:r>
              <w:rPr>
                <w:rFonts w:hint="eastAsia"/>
                <w:color w:val="auto"/>
                <w:sz w:val="24"/>
                <w:szCs w:val="24"/>
              </w:rPr>
              <w:t>颗粒物</w:t>
            </w:r>
          </w:p>
        </w:tc>
        <w:tc>
          <w:tcPr>
            <w:tcW w:w="3288" w:type="dxa"/>
            <w:vAlign w:val="center"/>
          </w:tcPr>
          <w:p w14:paraId="11073A1F">
            <w:pPr>
              <w:adjustRightInd w:val="0"/>
              <w:snapToGrid w:val="0"/>
              <w:jc w:val="center"/>
              <w:rPr>
                <w:rFonts w:hint="eastAsia"/>
                <w:snapToGrid w:val="0"/>
                <w:color w:val="auto"/>
                <w:kern w:val="0"/>
                <w:sz w:val="24"/>
                <w:szCs w:val="24"/>
                <w:lang w:val="en-US" w:eastAsia="zh-CN"/>
              </w:rPr>
            </w:pPr>
            <w:r>
              <w:rPr>
                <w:rFonts w:hint="eastAsia"/>
                <w:snapToGrid w:val="0"/>
                <w:color w:val="auto"/>
                <w:kern w:val="0"/>
                <w:sz w:val="24"/>
                <w:szCs w:val="24"/>
                <w:lang w:val="en-US" w:eastAsia="zh-CN"/>
              </w:rPr>
              <w:t>项目二次抛光设置2台抛光机，每台抛光机先设置1套旋风除尘器除尘，共设置2套旋风除尘器，项目二次抛光粉尘分别经2套并联旋风除尘器处理后，与三次色选粉尘、二次白米分级粉尘、精选粉尘通过密闭管道收集，共同经1套脉冲除尘器处理，尾气1根15米高排气筒（DA003）有组织排放</w:t>
            </w:r>
          </w:p>
        </w:tc>
        <w:tc>
          <w:tcPr>
            <w:tcW w:w="1732" w:type="dxa"/>
            <w:vMerge w:val="continue"/>
            <w:vAlign w:val="center"/>
          </w:tcPr>
          <w:p w14:paraId="7AF9EC8D">
            <w:pPr>
              <w:adjustRightInd w:val="0"/>
              <w:snapToGrid w:val="0"/>
              <w:jc w:val="center"/>
              <w:rPr>
                <w:rFonts w:hint="eastAsia" w:ascii="Times New Roman" w:hAnsi="Times New Roman" w:eastAsia="宋体" w:cs="Times New Roman"/>
                <w:color w:val="auto"/>
                <w:sz w:val="24"/>
                <w:szCs w:val="24"/>
                <w:lang w:eastAsia="zh-CN"/>
              </w:rPr>
            </w:pPr>
          </w:p>
        </w:tc>
      </w:tr>
      <w:tr w14:paraId="6A8CF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413" w:type="dxa"/>
            <w:vAlign w:val="center"/>
          </w:tcPr>
          <w:p w14:paraId="65AE53AB">
            <w:pPr>
              <w:adjustRightInd w:val="0"/>
              <w:snapToGrid w:val="0"/>
              <w:jc w:val="center"/>
              <w:rPr>
                <w:rFonts w:ascii="宋体" w:hAnsi="宋体" w:cs="宋体"/>
                <w:color w:val="auto"/>
                <w:sz w:val="24"/>
                <w:szCs w:val="24"/>
              </w:rPr>
            </w:pPr>
            <w:r>
              <w:rPr>
                <w:rFonts w:hint="eastAsia" w:ascii="宋体" w:hAnsi="宋体" w:cs="宋体"/>
                <w:color w:val="auto"/>
                <w:sz w:val="24"/>
                <w:szCs w:val="24"/>
              </w:rPr>
              <w:t>地表水环境</w:t>
            </w:r>
          </w:p>
        </w:tc>
        <w:tc>
          <w:tcPr>
            <w:tcW w:w="1723" w:type="dxa"/>
            <w:vAlign w:val="center"/>
          </w:tcPr>
          <w:p w14:paraId="7F34697B">
            <w:pPr>
              <w:adjustRightInd w:val="0"/>
              <w:snapToGrid w:val="0"/>
              <w:jc w:val="center"/>
              <w:rPr>
                <w:color w:val="auto"/>
                <w:sz w:val="24"/>
                <w:szCs w:val="24"/>
              </w:rPr>
            </w:pPr>
            <w:r>
              <w:rPr>
                <w:rFonts w:hint="eastAsia"/>
                <w:color w:val="auto"/>
                <w:sz w:val="24"/>
                <w:szCs w:val="24"/>
              </w:rPr>
              <w:t>生活污水</w:t>
            </w:r>
          </w:p>
        </w:tc>
        <w:tc>
          <w:tcPr>
            <w:tcW w:w="972" w:type="dxa"/>
            <w:tcBorders>
              <w:top w:val="single" w:color="auto" w:sz="4" w:space="0"/>
              <w:bottom w:val="single" w:color="auto" w:sz="4" w:space="0"/>
            </w:tcBorders>
            <w:vAlign w:val="center"/>
          </w:tcPr>
          <w:p w14:paraId="5A549881">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3288" w:type="dxa"/>
            <w:vAlign w:val="center"/>
          </w:tcPr>
          <w:p w14:paraId="115BD4CB">
            <w:pPr>
              <w:adjustRightInd w:val="0"/>
              <w:snapToGrid w:val="0"/>
              <w:jc w:val="center"/>
              <w:rPr>
                <w:rFonts w:hint="eastAsia" w:eastAsia="宋体"/>
                <w:color w:val="auto"/>
                <w:sz w:val="24"/>
                <w:szCs w:val="24"/>
                <w:lang w:eastAsia="zh-CN"/>
              </w:rPr>
            </w:pPr>
            <w:r>
              <w:rPr>
                <w:rFonts w:hint="eastAsia" w:eastAsia="宋体"/>
                <w:color w:val="auto"/>
                <w:sz w:val="24"/>
                <w:szCs w:val="24"/>
                <w:lang w:val="en-US" w:eastAsia="zh-CN"/>
              </w:rPr>
              <w:t>生活污水经厂区内化粪池处理后定期清掏</w:t>
            </w:r>
            <w:r>
              <w:rPr>
                <w:rFonts w:hint="eastAsia"/>
                <w:color w:val="auto"/>
                <w:sz w:val="24"/>
                <w:szCs w:val="24"/>
                <w:lang w:val="en-US" w:eastAsia="zh-CN"/>
              </w:rPr>
              <w:t>用于农田施肥</w:t>
            </w:r>
            <w:r>
              <w:rPr>
                <w:rFonts w:hint="eastAsia" w:eastAsia="宋体"/>
                <w:color w:val="auto"/>
                <w:sz w:val="24"/>
                <w:szCs w:val="24"/>
                <w:lang w:val="en-US" w:eastAsia="zh-CN"/>
              </w:rPr>
              <w:t>，不外排</w:t>
            </w:r>
          </w:p>
        </w:tc>
        <w:tc>
          <w:tcPr>
            <w:tcW w:w="1732" w:type="dxa"/>
            <w:tcBorders>
              <w:top w:val="single" w:color="auto" w:sz="4" w:space="0"/>
            </w:tcBorders>
            <w:vAlign w:val="center"/>
          </w:tcPr>
          <w:p w14:paraId="0A3D8F1E">
            <w:pPr>
              <w:pStyle w:val="234"/>
              <w:spacing w:before="44" w:line="275" w:lineRule="exact"/>
              <w:jc w:val="center"/>
              <w:rPr>
                <w:rFonts w:hint="default" w:eastAsia="宋体"/>
                <w:color w:val="auto"/>
                <w:sz w:val="24"/>
                <w:szCs w:val="24"/>
                <w:lang w:val="en-US" w:eastAsia="zh-CN"/>
              </w:rPr>
            </w:pPr>
            <w:r>
              <w:rPr>
                <w:rFonts w:hint="eastAsia" w:eastAsia="宋体"/>
                <w:color w:val="auto"/>
                <w:sz w:val="24"/>
                <w:szCs w:val="24"/>
                <w:lang w:val="en-US" w:eastAsia="zh-CN"/>
              </w:rPr>
              <w:t>/</w:t>
            </w:r>
          </w:p>
        </w:tc>
      </w:tr>
      <w:tr w14:paraId="73393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681E95D7">
            <w:pPr>
              <w:adjustRightInd w:val="0"/>
              <w:snapToGrid w:val="0"/>
              <w:jc w:val="center"/>
              <w:rPr>
                <w:rFonts w:ascii="宋体" w:hAnsi="宋体" w:cs="宋体"/>
                <w:color w:val="auto"/>
                <w:sz w:val="24"/>
                <w:szCs w:val="24"/>
              </w:rPr>
            </w:pPr>
            <w:r>
              <w:rPr>
                <w:rFonts w:hint="eastAsia" w:ascii="宋体" w:hAnsi="宋体" w:cs="宋体"/>
                <w:color w:val="auto"/>
                <w:sz w:val="24"/>
                <w:szCs w:val="24"/>
              </w:rPr>
              <w:t>声环境</w:t>
            </w:r>
          </w:p>
        </w:tc>
        <w:tc>
          <w:tcPr>
            <w:tcW w:w="1723" w:type="dxa"/>
            <w:vAlign w:val="center"/>
          </w:tcPr>
          <w:p w14:paraId="10664542">
            <w:pPr>
              <w:adjustRightInd w:val="0"/>
              <w:snapToGrid w:val="0"/>
              <w:jc w:val="center"/>
              <w:rPr>
                <w:color w:val="auto"/>
                <w:sz w:val="24"/>
                <w:szCs w:val="24"/>
              </w:rPr>
            </w:pPr>
            <w:r>
              <w:rPr>
                <w:rFonts w:hint="eastAsia"/>
                <w:color w:val="auto"/>
                <w:sz w:val="24"/>
                <w:szCs w:val="24"/>
              </w:rPr>
              <w:t>生产设备</w:t>
            </w:r>
          </w:p>
        </w:tc>
        <w:tc>
          <w:tcPr>
            <w:tcW w:w="972" w:type="dxa"/>
            <w:vAlign w:val="center"/>
          </w:tcPr>
          <w:p w14:paraId="1BC65195">
            <w:pPr>
              <w:adjustRightInd w:val="0"/>
              <w:snapToGrid w:val="0"/>
              <w:jc w:val="center"/>
              <w:rPr>
                <w:color w:val="auto"/>
                <w:sz w:val="24"/>
                <w:szCs w:val="24"/>
              </w:rPr>
            </w:pPr>
            <w:r>
              <w:rPr>
                <w:rFonts w:hint="eastAsia"/>
                <w:color w:val="auto"/>
                <w:sz w:val="24"/>
                <w:szCs w:val="24"/>
              </w:rPr>
              <w:t>噪声</w:t>
            </w:r>
          </w:p>
        </w:tc>
        <w:tc>
          <w:tcPr>
            <w:tcW w:w="3288" w:type="dxa"/>
            <w:vAlign w:val="center"/>
          </w:tcPr>
          <w:p w14:paraId="0C6CD53B">
            <w:pPr>
              <w:adjustRightInd w:val="0"/>
              <w:snapToGrid w:val="0"/>
              <w:jc w:val="center"/>
              <w:rPr>
                <w:color w:val="auto"/>
                <w:sz w:val="24"/>
                <w:szCs w:val="24"/>
              </w:rPr>
            </w:pPr>
            <w:r>
              <w:rPr>
                <w:rFonts w:hint="default"/>
                <w:color w:val="auto"/>
                <w:sz w:val="24"/>
                <w:szCs w:val="24"/>
              </w:rPr>
              <w:t>采取优选低噪声设备、车间内布置、隔声、消声、减振等措施</w:t>
            </w:r>
          </w:p>
        </w:tc>
        <w:tc>
          <w:tcPr>
            <w:tcW w:w="1732" w:type="dxa"/>
            <w:vAlign w:val="center"/>
          </w:tcPr>
          <w:p w14:paraId="1A42C8ED">
            <w:pPr>
              <w:adjustRightInd w:val="0"/>
              <w:snapToGrid w:val="0"/>
              <w:jc w:val="center"/>
              <w:rPr>
                <w:rFonts w:hint="default" w:eastAsia="宋体"/>
                <w:color w:val="auto"/>
                <w:spacing w:val="-6"/>
                <w:sz w:val="24"/>
                <w:szCs w:val="24"/>
                <w:lang w:val="en-US" w:eastAsia="zh-CN"/>
              </w:rPr>
            </w:pPr>
            <w:r>
              <w:rPr>
                <w:bCs/>
                <w:color w:val="auto"/>
                <w:spacing w:val="-6"/>
                <w:sz w:val="24"/>
                <w:szCs w:val="24"/>
              </w:rPr>
              <w:t>《工业企业厂界环境噪声排放标准》（GB12348-2008）</w:t>
            </w:r>
            <w:r>
              <w:rPr>
                <w:rFonts w:hint="eastAsia"/>
                <w:bCs/>
                <w:color w:val="auto"/>
                <w:spacing w:val="-6"/>
                <w:sz w:val="24"/>
                <w:szCs w:val="24"/>
                <w:lang w:val="en-US" w:eastAsia="zh-CN"/>
              </w:rPr>
              <w:t>中2类标准限值</w:t>
            </w:r>
          </w:p>
        </w:tc>
      </w:tr>
      <w:tr w14:paraId="504AC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2C6AEAC9">
            <w:pPr>
              <w:adjustRightInd w:val="0"/>
              <w:snapToGrid w:val="0"/>
              <w:jc w:val="center"/>
              <w:rPr>
                <w:rFonts w:ascii="宋体" w:hAnsi="宋体" w:cs="宋体"/>
                <w:color w:val="auto"/>
                <w:sz w:val="24"/>
                <w:szCs w:val="24"/>
              </w:rPr>
            </w:pPr>
            <w:r>
              <w:rPr>
                <w:rFonts w:hint="eastAsia" w:ascii="宋体" w:hAnsi="宋体" w:cs="宋体"/>
                <w:color w:val="auto"/>
                <w:sz w:val="24"/>
                <w:szCs w:val="24"/>
              </w:rPr>
              <w:t>电磁辐射</w:t>
            </w:r>
          </w:p>
        </w:tc>
        <w:tc>
          <w:tcPr>
            <w:tcW w:w="7715" w:type="dxa"/>
            <w:gridSpan w:val="4"/>
            <w:vAlign w:val="center"/>
          </w:tcPr>
          <w:p w14:paraId="1383D3B2">
            <w:pPr>
              <w:adjustRightInd w:val="0"/>
              <w:snapToGrid w:val="0"/>
              <w:jc w:val="center"/>
              <w:rPr>
                <w:color w:val="auto"/>
                <w:sz w:val="24"/>
                <w:szCs w:val="24"/>
              </w:rPr>
            </w:pPr>
            <w:r>
              <w:rPr>
                <w:rFonts w:hint="eastAsia"/>
                <w:color w:val="auto"/>
                <w:sz w:val="24"/>
                <w:szCs w:val="24"/>
              </w:rPr>
              <w:t>无</w:t>
            </w:r>
          </w:p>
        </w:tc>
      </w:tr>
      <w:tr w14:paraId="0232F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6B50A136">
            <w:pPr>
              <w:adjustRightInd w:val="0"/>
              <w:snapToGrid w:val="0"/>
              <w:spacing w:line="360" w:lineRule="auto"/>
              <w:jc w:val="center"/>
              <w:rPr>
                <w:rFonts w:ascii="宋体" w:hAnsi="宋体" w:cs="宋体"/>
                <w:color w:val="auto"/>
                <w:sz w:val="24"/>
                <w:szCs w:val="24"/>
              </w:rPr>
            </w:pPr>
            <w:r>
              <w:rPr>
                <w:rFonts w:hint="eastAsia" w:ascii="宋体" w:hAnsi="宋体" w:cs="宋体"/>
                <w:color w:val="auto"/>
                <w:sz w:val="24"/>
                <w:szCs w:val="24"/>
              </w:rPr>
              <w:t>固体废物</w:t>
            </w:r>
          </w:p>
        </w:tc>
        <w:tc>
          <w:tcPr>
            <w:tcW w:w="7715" w:type="dxa"/>
            <w:gridSpan w:val="4"/>
            <w:vAlign w:val="center"/>
          </w:tcPr>
          <w:p w14:paraId="1E06DE91">
            <w:pPr>
              <w:adjustRightInd w:val="0"/>
              <w:snapToGrid w:val="0"/>
              <w:spacing w:line="360" w:lineRule="auto"/>
              <w:jc w:val="left"/>
              <w:rPr>
                <w:rFonts w:hint="eastAsia" w:ascii="宋体" w:hAnsi="宋体" w:cs="宋体"/>
                <w:color w:val="auto"/>
                <w:sz w:val="24"/>
                <w:szCs w:val="24"/>
              </w:rPr>
            </w:pPr>
            <w:r>
              <w:rPr>
                <w:rFonts w:hint="eastAsia" w:ascii="宋体" w:hAnsi="宋体" w:cs="宋体"/>
                <w:b/>
                <w:color w:val="auto"/>
                <w:sz w:val="24"/>
                <w:szCs w:val="24"/>
              </w:rPr>
              <w:t>一般固废：</w:t>
            </w:r>
            <w:bookmarkStart w:id="19" w:name="_Hlk88747005"/>
            <w:r>
              <w:rPr>
                <w:rFonts w:hint="default" w:ascii="Times New Roman" w:hAnsi="Times New Roman" w:eastAsia="宋体" w:cs="Times New Roman"/>
                <w:b w:val="0"/>
                <w:bCs w:val="0"/>
                <w:color w:val="auto"/>
                <w:sz w:val="24"/>
                <w:szCs w:val="24"/>
              </w:rPr>
              <w:t>除尘器收集粉尘</w:t>
            </w:r>
            <w:r>
              <w:rPr>
                <w:rFonts w:hint="eastAsia" w:ascii="宋体" w:hAnsi="宋体" w:cs="宋体"/>
                <w:b w:val="0"/>
                <w:bCs/>
                <w:color w:val="auto"/>
                <w:sz w:val="24"/>
                <w:szCs w:val="24"/>
                <w:lang w:eastAsia="zh-CN"/>
              </w:rPr>
              <w:t>、</w:t>
            </w:r>
            <w:r>
              <w:rPr>
                <w:rFonts w:hint="eastAsia" w:ascii="宋体" w:hAnsi="宋体" w:cs="宋体"/>
                <w:color w:val="auto"/>
                <w:sz w:val="24"/>
                <w:szCs w:val="24"/>
                <w:lang w:eastAsia="zh-CN"/>
              </w:rPr>
              <w:t>废包装</w:t>
            </w:r>
            <w:r>
              <w:rPr>
                <w:rFonts w:hint="eastAsia" w:ascii="宋体" w:hAnsi="宋体" w:cs="宋体"/>
                <w:color w:val="auto"/>
                <w:sz w:val="24"/>
                <w:szCs w:val="24"/>
                <w:lang w:val="en-US" w:eastAsia="zh-CN"/>
              </w:rPr>
              <w:t>袋</w:t>
            </w:r>
            <w:r>
              <w:rPr>
                <w:rFonts w:hint="eastAsia" w:ascii="宋体" w:hAnsi="宋体" w:cs="宋体"/>
                <w:color w:val="auto"/>
                <w:sz w:val="24"/>
                <w:szCs w:val="24"/>
              </w:rPr>
              <w:t>由建设单位集中收集后，暂存在一般固废暂存</w:t>
            </w:r>
            <w:r>
              <w:rPr>
                <w:rFonts w:hint="eastAsia" w:ascii="宋体" w:hAnsi="宋体" w:cs="宋体"/>
                <w:color w:val="auto"/>
                <w:sz w:val="24"/>
                <w:szCs w:val="24"/>
                <w:lang w:val="en-US" w:eastAsia="zh-CN"/>
              </w:rPr>
              <w:t>区</w:t>
            </w:r>
            <w:r>
              <w:rPr>
                <w:rFonts w:hint="eastAsia" w:ascii="宋体" w:hAnsi="宋体" w:cs="宋体"/>
                <w:color w:val="auto"/>
                <w:sz w:val="24"/>
                <w:szCs w:val="24"/>
              </w:rPr>
              <w:t>，定期外售予物资回收部门；</w:t>
            </w:r>
            <w:r>
              <w:rPr>
                <w:rFonts w:ascii="Times New Roman" w:hAnsi="宋体"/>
                <w:color w:val="auto"/>
                <w:sz w:val="24"/>
              </w:rPr>
              <w:t>砂石杂质</w:t>
            </w:r>
            <w:r>
              <w:rPr>
                <w:rFonts w:hint="eastAsia" w:ascii="宋体" w:hAnsi="宋体" w:cs="宋体"/>
                <w:color w:val="auto"/>
                <w:sz w:val="24"/>
                <w:szCs w:val="24"/>
                <w:lang w:eastAsia="zh-CN"/>
              </w:rPr>
              <w:t>、</w:t>
            </w:r>
            <w:r>
              <w:rPr>
                <w:rFonts w:hint="eastAsia" w:ascii="宋体" w:hAnsi="宋体" w:cs="宋体"/>
                <w:color w:val="auto"/>
                <w:sz w:val="24"/>
                <w:szCs w:val="24"/>
              </w:rPr>
              <w:t>生活垃圾交由环卫部门处理。</w:t>
            </w:r>
            <w:bookmarkEnd w:id="19"/>
          </w:p>
          <w:p w14:paraId="65AA5A9A">
            <w:pPr>
              <w:adjustRightInd w:val="0"/>
              <w:snapToGrid w:val="0"/>
              <w:spacing w:line="360" w:lineRule="auto"/>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危废废物：</w:t>
            </w:r>
            <w:r>
              <w:rPr>
                <w:rFonts w:hint="default" w:ascii="Times New Roman" w:hAnsi="Times New Roman" w:eastAsia="宋体" w:cs="Times New Roman"/>
                <w:b w:val="0"/>
                <w:bCs w:val="0"/>
                <w:color w:val="auto"/>
                <w:sz w:val="24"/>
                <w:szCs w:val="24"/>
                <w:lang w:val="en-US" w:eastAsia="zh-CN"/>
              </w:rPr>
              <w:t>废润滑油</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cs="Times New Roman"/>
                <w:color w:val="auto"/>
                <w:sz w:val="24"/>
                <w:lang w:val="en-US" w:eastAsia="zh-CN"/>
              </w:rPr>
              <w:t>含油废抹布、废手套</w:t>
            </w:r>
            <w:r>
              <w:rPr>
                <w:rFonts w:hint="eastAsia" w:ascii="Times New Roman" w:hAnsi="Times New Roman" w:cs="Times New Roman"/>
                <w:color w:val="auto"/>
                <w:sz w:val="24"/>
                <w:lang w:val="en-US" w:eastAsia="zh-CN"/>
              </w:rPr>
              <w:t>暂存在危废暂存间，定期委托有资质单位处置。</w:t>
            </w:r>
          </w:p>
        </w:tc>
      </w:tr>
      <w:tr w14:paraId="765E0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3135D710">
            <w:pPr>
              <w:adjustRightInd w:val="0"/>
              <w:snapToGrid w:val="0"/>
              <w:jc w:val="center"/>
              <w:rPr>
                <w:rFonts w:ascii="宋体" w:hAnsi="宋体" w:cs="宋体"/>
                <w:color w:val="auto"/>
                <w:sz w:val="24"/>
                <w:szCs w:val="24"/>
              </w:rPr>
            </w:pPr>
            <w:r>
              <w:rPr>
                <w:rFonts w:hint="eastAsia" w:ascii="宋体" w:hAnsi="宋体" w:cs="宋体"/>
                <w:color w:val="auto"/>
                <w:sz w:val="24"/>
                <w:szCs w:val="24"/>
              </w:rPr>
              <w:t>土壤及地下水污染防治措施</w:t>
            </w:r>
          </w:p>
        </w:tc>
        <w:tc>
          <w:tcPr>
            <w:tcW w:w="7715" w:type="dxa"/>
            <w:gridSpan w:val="4"/>
            <w:vAlign w:val="center"/>
          </w:tcPr>
          <w:p w14:paraId="2C578703">
            <w:pPr>
              <w:adjustRightInd w:val="0"/>
              <w:snapToGrid w:val="0"/>
              <w:spacing w:line="360" w:lineRule="auto"/>
              <w:jc w:val="left"/>
              <w:rPr>
                <w:rFonts w:hint="default"/>
                <w:color w:val="auto"/>
                <w:sz w:val="24"/>
                <w:szCs w:val="24"/>
                <w:lang w:val="en-US"/>
              </w:rPr>
            </w:pPr>
            <w:r>
              <w:rPr>
                <w:color w:val="auto"/>
                <w:sz w:val="24"/>
                <w:szCs w:val="24"/>
              </w:rPr>
              <w:t>采取分区防渗措施。</w:t>
            </w:r>
            <w:r>
              <w:rPr>
                <w:rFonts w:hint="eastAsia"/>
                <w:color w:val="auto"/>
                <w:sz w:val="24"/>
                <w:szCs w:val="24"/>
              </w:rPr>
              <w:t>危废暂存间</w:t>
            </w:r>
            <w:r>
              <w:rPr>
                <w:rFonts w:hint="eastAsia"/>
                <w:color w:val="auto"/>
                <w:sz w:val="24"/>
                <w:szCs w:val="24"/>
                <w:lang w:val="en-US" w:eastAsia="zh-CN"/>
              </w:rPr>
              <w:t>进行重点防渗；一般固废暂存区、生产区域进行一般防渗。</w:t>
            </w:r>
          </w:p>
        </w:tc>
      </w:tr>
      <w:tr w14:paraId="3F924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207A6365">
            <w:pPr>
              <w:adjustRightInd w:val="0"/>
              <w:snapToGrid w:val="0"/>
              <w:jc w:val="center"/>
              <w:rPr>
                <w:rFonts w:ascii="宋体" w:hAnsi="宋体" w:cs="宋体"/>
                <w:color w:val="auto"/>
                <w:sz w:val="24"/>
                <w:szCs w:val="24"/>
              </w:rPr>
            </w:pPr>
            <w:r>
              <w:rPr>
                <w:rFonts w:hint="eastAsia" w:ascii="宋体" w:hAnsi="宋体" w:cs="宋体"/>
                <w:color w:val="auto"/>
                <w:sz w:val="24"/>
                <w:szCs w:val="24"/>
              </w:rPr>
              <w:t>生态保护措施</w:t>
            </w:r>
          </w:p>
        </w:tc>
        <w:tc>
          <w:tcPr>
            <w:tcW w:w="7715" w:type="dxa"/>
            <w:gridSpan w:val="4"/>
            <w:vAlign w:val="center"/>
          </w:tcPr>
          <w:p w14:paraId="68552558">
            <w:pPr>
              <w:adjustRightInd w:val="0"/>
              <w:snapToGrid w:val="0"/>
              <w:spacing w:line="360" w:lineRule="auto"/>
              <w:jc w:val="center"/>
              <w:rPr>
                <w:rFonts w:ascii="宋体" w:hAnsi="宋体" w:cs="宋体"/>
                <w:color w:val="auto"/>
                <w:sz w:val="24"/>
                <w:szCs w:val="24"/>
              </w:rPr>
            </w:pPr>
            <w:r>
              <w:rPr>
                <w:rFonts w:hint="eastAsia" w:ascii="宋体" w:hAnsi="宋体" w:cs="宋体"/>
                <w:color w:val="auto"/>
                <w:sz w:val="24"/>
                <w:szCs w:val="24"/>
              </w:rPr>
              <w:t>不涉及</w:t>
            </w:r>
          </w:p>
        </w:tc>
      </w:tr>
      <w:tr w14:paraId="31D53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61669E45">
            <w:pPr>
              <w:adjustRightInd w:val="0"/>
              <w:snapToGrid w:val="0"/>
              <w:jc w:val="center"/>
              <w:rPr>
                <w:rFonts w:ascii="宋体" w:hAnsi="宋体" w:cs="宋体"/>
                <w:color w:val="auto"/>
                <w:sz w:val="24"/>
                <w:szCs w:val="24"/>
              </w:rPr>
            </w:pPr>
            <w:r>
              <w:rPr>
                <w:rFonts w:hint="eastAsia" w:ascii="宋体" w:hAnsi="宋体" w:cs="宋体"/>
                <w:color w:val="auto"/>
                <w:sz w:val="24"/>
                <w:szCs w:val="24"/>
              </w:rPr>
              <w:t>环境风险</w:t>
            </w:r>
          </w:p>
          <w:p w14:paraId="771B3713">
            <w:pPr>
              <w:adjustRightInd w:val="0"/>
              <w:snapToGrid w:val="0"/>
              <w:jc w:val="center"/>
              <w:rPr>
                <w:rFonts w:ascii="宋体" w:hAnsi="宋体" w:cs="宋体"/>
                <w:color w:val="auto"/>
                <w:sz w:val="24"/>
                <w:szCs w:val="24"/>
              </w:rPr>
            </w:pPr>
            <w:r>
              <w:rPr>
                <w:rFonts w:hint="eastAsia" w:ascii="宋体" w:hAnsi="宋体" w:cs="宋体"/>
                <w:color w:val="auto"/>
                <w:sz w:val="24"/>
                <w:szCs w:val="24"/>
              </w:rPr>
              <w:t>防范措施</w:t>
            </w:r>
          </w:p>
        </w:tc>
        <w:tc>
          <w:tcPr>
            <w:tcW w:w="7715" w:type="dxa"/>
            <w:gridSpan w:val="4"/>
            <w:vAlign w:val="center"/>
          </w:tcPr>
          <w:p w14:paraId="7A7460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rPr>
            </w:pPr>
            <w:r>
              <w:rPr>
                <w:rFonts w:hint="eastAsia"/>
                <w:color w:val="auto"/>
                <w:sz w:val="24"/>
                <w:szCs w:val="24"/>
              </w:rPr>
              <w:t>①废气处理设备定期检修、维护。严格按照环评要求进行废气的监测。</w:t>
            </w:r>
          </w:p>
          <w:p w14:paraId="12386C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color w:val="auto"/>
                <w:sz w:val="24"/>
                <w:szCs w:val="24"/>
              </w:rPr>
            </w:pPr>
            <w:r>
              <w:rPr>
                <w:rFonts w:hint="eastAsia"/>
                <w:color w:val="auto"/>
                <w:sz w:val="24"/>
                <w:szCs w:val="24"/>
              </w:rPr>
              <w:t>②加强生产车间岗位责任制，严格按照安全生产操作流程进行操作。生产车间及库房内杜绝明火、易燃易爆物质。</w:t>
            </w:r>
          </w:p>
        </w:tc>
      </w:tr>
      <w:tr w14:paraId="06020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0EA5E7D6">
            <w:pPr>
              <w:adjustRightInd w:val="0"/>
              <w:snapToGrid w:val="0"/>
              <w:jc w:val="center"/>
              <w:rPr>
                <w:rFonts w:ascii="宋体" w:hAnsi="宋体" w:cs="宋体"/>
                <w:color w:val="auto"/>
                <w:sz w:val="24"/>
                <w:szCs w:val="24"/>
              </w:rPr>
            </w:pPr>
            <w:r>
              <w:rPr>
                <w:rFonts w:hint="eastAsia" w:ascii="宋体" w:hAnsi="宋体" w:cs="宋体"/>
                <w:color w:val="auto"/>
                <w:sz w:val="24"/>
                <w:szCs w:val="24"/>
              </w:rPr>
              <w:t>其他环境</w:t>
            </w:r>
          </w:p>
          <w:p w14:paraId="1AF50094">
            <w:pPr>
              <w:adjustRightInd w:val="0"/>
              <w:snapToGrid w:val="0"/>
              <w:jc w:val="center"/>
              <w:rPr>
                <w:rFonts w:ascii="宋体" w:hAnsi="宋体" w:cs="宋体"/>
                <w:color w:val="auto"/>
                <w:sz w:val="24"/>
                <w:szCs w:val="24"/>
              </w:rPr>
            </w:pPr>
            <w:r>
              <w:rPr>
                <w:rFonts w:hint="eastAsia" w:ascii="宋体" w:hAnsi="宋体" w:cs="宋体"/>
                <w:color w:val="auto"/>
                <w:sz w:val="24"/>
                <w:szCs w:val="24"/>
              </w:rPr>
              <w:t>管理要求</w:t>
            </w:r>
          </w:p>
        </w:tc>
        <w:tc>
          <w:tcPr>
            <w:tcW w:w="7715" w:type="dxa"/>
            <w:gridSpan w:val="4"/>
            <w:vAlign w:val="center"/>
          </w:tcPr>
          <w:p w14:paraId="0C33E1A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1、规范排污口</w:t>
            </w:r>
          </w:p>
          <w:p w14:paraId="2084B99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①污水排放口规范化设置 </w:t>
            </w:r>
          </w:p>
          <w:p w14:paraId="13D8DCC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项目排水体制实施“雨污分流”制，规范设置明显排口标志。</w:t>
            </w:r>
          </w:p>
          <w:p w14:paraId="5D2D36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②废气排气筒规范化设置</w:t>
            </w:r>
          </w:p>
          <w:p w14:paraId="7A8F7C2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根据国家标准《环境保护图形标志-排放口</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源</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》和国家环保总局</w:t>
            </w:r>
            <w:r>
              <w:rPr>
                <w:rFonts w:hint="eastAsia" w:cs="Times New Roman"/>
                <w:color w:val="auto"/>
                <w:sz w:val="24"/>
                <w:szCs w:val="24"/>
                <w:lang w:val="en-US" w:eastAsia="zh-CN"/>
              </w:rPr>
              <w:t>《排污口规范化整治要求（试行）》</w:t>
            </w:r>
            <w:r>
              <w:rPr>
                <w:rFonts w:hint="default" w:ascii="Times New Roman" w:hAnsi="Times New Roman" w:eastAsia="宋体" w:cs="Times New Roman"/>
                <w:color w:val="auto"/>
                <w:sz w:val="24"/>
                <w:szCs w:val="24"/>
                <w:lang w:val="en-US" w:eastAsia="zh-CN"/>
              </w:rPr>
              <w:t>的技术要求，排放同类污染物的两个或两个以上的排污口（不论其是否</w:t>
            </w:r>
            <w:r>
              <w:rPr>
                <w:rFonts w:hint="eastAsia"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同一生产设备），在不影响生产、技术上可行的条件下，应合并成一个排污口。有组织排放废气的排气筒（烟囱）高度应符合国家和省大气污染物排放标准的有关规定。无组织排放有毒有害气体的，应加装引风装置进行收集、处理，并设置采样点。排气筒（烟囱）应设置便于采样、监测的采样口和采样监测平台。有净化设施的，应在其进出口分别设置采样口及采样监测平台。采样孔、点数目和位置应按《固定污染源排气中粉尘测定与气态污染物采样方法》（GB/T16157-1996）和《污染源监测技术规范》的规定设置。采样口位置无法满足规定要求的，必须报环保部门认可。</w:t>
            </w:r>
          </w:p>
          <w:p w14:paraId="19D503E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③固定噪声污染源规范化标志牌设置</w:t>
            </w:r>
          </w:p>
          <w:p w14:paraId="022FA62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w:t>
            </w:r>
            <w:r>
              <w:rPr>
                <w:rFonts w:hint="default" w:ascii="Times New Roman" w:hAnsi="Times New Roman" w:eastAsia="宋体" w:cs="Times New Roman"/>
                <w:color w:val="auto"/>
                <w:sz w:val="24"/>
                <w:szCs w:val="24"/>
                <w:lang w:val="en-US" w:eastAsia="zh-CN"/>
              </w:rPr>
              <w:t>和环境保护图形标志牌。</w:t>
            </w:r>
          </w:p>
          <w:p w14:paraId="57921D0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④固体废物贮存（处置）场所</w:t>
            </w:r>
          </w:p>
          <w:p w14:paraId="764FA60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固废堆场应设置环境保护图形标志牌，将生活垃圾、工业固废等分开堆放，做到防火、防扬散、防渗漏，确保</w:t>
            </w:r>
            <w:r>
              <w:rPr>
                <w:rFonts w:hint="default" w:ascii="Times New Roman" w:hAnsi="Times New Roman" w:cs="Times New Roman"/>
                <w:color w:val="auto"/>
                <w:sz w:val="24"/>
              </w:rPr>
              <w:t>不对周围环境形成二次污染。一般工业固废暂存库及危险废物暂存库应根据《环境保护图形标志——固体废物贮存（处置）场》（GB15562.2－1995）</w:t>
            </w:r>
            <w:r>
              <w:rPr>
                <w:rFonts w:hint="eastAsia" w:cs="Times New Roman"/>
                <w:color w:val="auto"/>
                <w:sz w:val="24"/>
                <w:lang w:val="en-US" w:eastAsia="zh-CN"/>
              </w:rPr>
              <w:t>修改单</w:t>
            </w:r>
            <w:r>
              <w:rPr>
                <w:rFonts w:hint="default" w:ascii="Times New Roman" w:hAnsi="Times New Roman" w:cs="Times New Roman"/>
                <w:color w:val="auto"/>
                <w:sz w:val="24"/>
              </w:rPr>
              <w:t>的要求设置环境保护图形标志，标志牌应设在与之功能相应的醒目处，标志牌必须</w:t>
            </w:r>
            <w:r>
              <w:rPr>
                <w:rFonts w:hint="eastAsia" w:cs="Times New Roman"/>
                <w:color w:val="auto"/>
                <w:sz w:val="24"/>
                <w:lang w:eastAsia="zh-CN"/>
              </w:rPr>
              <w:t>保</w:t>
            </w:r>
            <w:r>
              <w:rPr>
                <w:rFonts w:hint="default" w:ascii="Times New Roman" w:hAnsi="Times New Roman" w:cs="Times New Roman"/>
                <w:color w:val="auto"/>
                <w:sz w:val="24"/>
              </w:rPr>
              <w:t>持清晰、完整。当发现形象损坏、颜色污染或有变化、</w:t>
            </w:r>
            <w:r>
              <w:rPr>
                <w:rFonts w:hint="eastAsia" w:cs="Times New Roman"/>
                <w:color w:val="auto"/>
                <w:sz w:val="24"/>
                <w:lang w:eastAsia="zh-CN"/>
              </w:rPr>
              <w:t>褪色</w:t>
            </w:r>
            <w:r>
              <w:rPr>
                <w:rFonts w:hint="default" w:ascii="Times New Roman" w:hAnsi="Times New Roman" w:cs="Times New Roman"/>
                <w:color w:val="auto"/>
                <w:sz w:val="24"/>
              </w:rPr>
              <w:t>等不符合本标准的情况，应及时修复或更换。检查时间至少每半年一次。</w:t>
            </w:r>
          </w:p>
          <w:p w14:paraId="40249EA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厂区“三废”及噪声排放点应设置明显标志，标志的设置应执行《环境保护图形标志排放口（源）》（GBl5562.1-1995）的有关规定。排污口规范化整治应符合国家、省、市有关规定，并通过主管环保部门认证和验收。排放口图形标志见下表</w:t>
            </w:r>
            <w:r>
              <w:rPr>
                <w:rFonts w:hint="default" w:ascii="Times New Roman" w:hAnsi="Times New Roman" w:eastAsia="宋体" w:cs="Times New Roman"/>
                <w:color w:val="auto"/>
                <w:sz w:val="24"/>
                <w:szCs w:val="24"/>
                <w:lang w:val="en-US" w:eastAsia="zh-CN"/>
              </w:rPr>
              <w:t>。</w:t>
            </w:r>
          </w:p>
          <w:p w14:paraId="471406A7">
            <w:pPr>
              <w:pStyle w:val="245"/>
              <w:rPr>
                <w:b/>
                <w:bCs/>
                <w:color w:val="auto"/>
              </w:rPr>
            </w:pPr>
            <w:r>
              <w:rPr>
                <w:b/>
                <w:bCs/>
                <w:color w:val="auto"/>
              </w:rPr>
              <w:t>表</w:t>
            </w:r>
            <w:r>
              <w:rPr>
                <w:rFonts w:hint="eastAsia"/>
                <w:b/>
                <w:bCs/>
                <w:color w:val="auto"/>
                <w:lang w:val="en-US" w:eastAsia="zh-CN"/>
              </w:rPr>
              <w:t>5-1</w:t>
            </w:r>
            <w:r>
              <w:rPr>
                <w:b/>
                <w:bCs/>
                <w:color w:val="auto"/>
              </w:rPr>
              <w:t xml:space="preserve">   环境保护图形标志的形状及颜色表</w:t>
            </w:r>
          </w:p>
          <w:tbl>
            <w:tblPr>
              <w:tblStyle w:val="46"/>
              <w:tblW w:w="7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872"/>
              <w:gridCol w:w="1872"/>
              <w:gridCol w:w="1872"/>
            </w:tblGrid>
            <w:tr w14:paraId="4BEA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078BDCD0">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标志名称</w:t>
                  </w:r>
                </w:p>
              </w:tc>
              <w:tc>
                <w:tcPr>
                  <w:tcW w:w="1872" w:type="dxa"/>
                  <w:tcBorders>
                    <w:top w:val="single" w:color="auto" w:sz="4" w:space="0"/>
                    <w:left w:val="single" w:color="auto" w:sz="4" w:space="0"/>
                    <w:bottom w:val="single" w:color="auto" w:sz="4" w:space="0"/>
                    <w:right w:val="single" w:color="auto" w:sz="4" w:space="0"/>
                  </w:tcBorders>
                  <w:vAlign w:val="center"/>
                </w:tcPr>
                <w:p w14:paraId="78B674CE">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形状</w:t>
                  </w:r>
                </w:p>
              </w:tc>
              <w:tc>
                <w:tcPr>
                  <w:tcW w:w="1872" w:type="dxa"/>
                  <w:tcBorders>
                    <w:top w:val="single" w:color="auto" w:sz="4" w:space="0"/>
                    <w:left w:val="single" w:color="auto" w:sz="4" w:space="0"/>
                    <w:bottom w:val="single" w:color="auto" w:sz="4" w:space="0"/>
                    <w:right w:val="single" w:color="auto" w:sz="4" w:space="0"/>
                  </w:tcBorders>
                  <w:vAlign w:val="center"/>
                </w:tcPr>
                <w:p w14:paraId="7219489A">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背景颜色</w:t>
                  </w:r>
                </w:p>
              </w:tc>
              <w:tc>
                <w:tcPr>
                  <w:tcW w:w="1872" w:type="dxa"/>
                  <w:tcBorders>
                    <w:top w:val="single" w:color="auto" w:sz="4" w:space="0"/>
                    <w:left w:val="single" w:color="auto" w:sz="4" w:space="0"/>
                    <w:bottom w:val="single" w:color="auto" w:sz="4" w:space="0"/>
                    <w:right w:val="single" w:color="auto" w:sz="4" w:space="0"/>
                  </w:tcBorders>
                  <w:vAlign w:val="center"/>
                </w:tcPr>
                <w:p w14:paraId="644E863D">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图形颜色</w:t>
                  </w:r>
                </w:p>
              </w:tc>
            </w:tr>
            <w:tr w14:paraId="13AE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741D3662">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警告标志</w:t>
                  </w:r>
                </w:p>
              </w:tc>
              <w:tc>
                <w:tcPr>
                  <w:tcW w:w="1872" w:type="dxa"/>
                  <w:tcBorders>
                    <w:top w:val="single" w:color="auto" w:sz="4" w:space="0"/>
                    <w:left w:val="single" w:color="auto" w:sz="4" w:space="0"/>
                    <w:bottom w:val="single" w:color="auto" w:sz="4" w:space="0"/>
                    <w:right w:val="single" w:color="auto" w:sz="4" w:space="0"/>
                  </w:tcBorders>
                  <w:vAlign w:val="center"/>
                </w:tcPr>
                <w:p w14:paraId="35309669">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三角形边框</w:t>
                  </w:r>
                </w:p>
              </w:tc>
              <w:tc>
                <w:tcPr>
                  <w:tcW w:w="1872" w:type="dxa"/>
                  <w:tcBorders>
                    <w:top w:val="single" w:color="auto" w:sz="4" w:space="0"/>
                    <w:left w:val="single" w:color="auto" w:sz="4" w:space="0"/>
                    <w:bottom w:val="single" w:color="auto" w:sz="4" w:space="0"/>
                    <w:right w:val="single" w:color="auto" w:sz="4" w:space="0"/>
                  </w:tcBorders>
                  <w:vAlign w:val="center"/>
                </w:tcPr>
                <w:p w14:paraId="47F94E45">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黄色</w:t>
                  </w:r>
                </w:p>
              </w:tc>
              <w:tc>
                <w:tcPr>
                  <w:tcW w:w="1872" w:type="dxa"/>
                  <w:tcBorders>
                    <w:top w:val="single" w:color="auto" w:sz="4" w:space="0"/>
                    <w:left w:val="single" w:color="auto" w:sz="4" w:space="0"/>
                    <w:bottom w:val="single" w:color="auto" w:sz="4" w:space="0"/>
                    <w:right w:val="single" w:color="auto" w:sz="4" w:space="0"/>
                  </w:tcBorders>
                  <w:vAlign w:val="center"/>
                </w:tcPr>
                <w:p w14:paraId="3C1072C1">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黑色</w:t>
                  </w:r>
                </w:p>
              </w:tc>
            </w:tr>
            <w:tr w14:paraId="541F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662FAB35">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提示标志</w:t>
                  </w:r>
                </w:p>
              </w:tc>
              <w:tc>
                <w:tcPr>
                  <w:tcW w:w="1872" w:type="dxa"/>
                  <w:tcBorders>
                    <w:top w:val="single" w:color="auto" w:sz="4" w:space="0"/>
                    <w:left w:val="single" w:color="auto" w:sz="4" w:space="0"/>
                    <w:bottom w:val="single" w:color="auto" w:sz="4" w:space="0"/>
                    <w:right w:val="single" w:color="auto" w:sz="4" w:space="0"/>
                  </w:tcBorders>
                  <w:vAlign w:val="center"/>
                </w:tcPr>
                <w:p w14:paraId="7E95E971">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正方形边框</w:t>
                  </w:r>
                </w:p>
              </w:tc>
              <w:tc>
                <w:tcPr>
                  <w:tcW w:w="1872" w:type="dxa"/>
                  <w:tcBorders>
                    <w:top w:val="single" w:color="auto" w:sz="4" w:space="0"/>
                    <w:left w:val="single" w:color="auto" w:sz="4" w:space="0"/>
                    <w:bottom w:val="single" w:color="auto" w:sz="4" w:space="0"/>
                    <w:right w:val="single" w:color="auto" w:sz="4" w:space="0"/>
                  </w:tcBorders>
                  <w:vAlign w:val="center"/>
                </w:tcPr>
                <w:p w14:paraId="0309C2AE">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绿色</w:t>
                  </w:r>
                </w:p>
              </w:tc>
              <w:tc>
                <w:tcPr>
                  <w:tcW w:w="1872" w:type="dxa"/>
                  <w:tcBorders>
                    <w:top w:val="single" w:color="auto" w:sz="4" w:space="0"/>
                    <w:left w:val="single" w:color="auto" w:sz="4" w:space="0"/>
                    <w:bottom w:val="single" w:color="auto" w:sz="4" w:space="0"/>
                    <w:right w:val="single" w:color="auto" w:sz="4" w:space="0"/>
                  </w:tcBorders>
                  <w:vAlign w:val="center"/>
                </w:tcPr>
                <w:p w14:paraId="54F0544B">
                  <w:pPr>
                    <w:pStyle w:val="123"/>
                    <w:keepNext w:val="0"/>
                    <w:keepLines w:val="0"/>
                    <w:pageBreakBefore w:val="0"/>
                    <w:widowControl/>
                    <w:kinsoku/>
                    <w:wordWrap/>
                    <w:overflowPunct/>
                    <w:topLinePunct w:val="0"/>
                    <w:autoSpaceDE/>
                    <w:autoSpaceDN/>
                    <w:bidi w:val="0"/>
                    <w:adjustRightInd w:val="0"/>
                    <w:snapToGrid w:val="0"/>
                    <w:spacing w:line="240" w:lineRule="exact"/>
                    <w:ind w:right="113"/>
                    <w:textAlignment w:val="auto"/>
                    <w:rPr>
                      <w:rFonts w:ascii="Times New Roman" w:hAnsi="Times New Roman" w:eastAsia="宋体"/>
                      <w:color w:val="auto"/>
                      <w:sz w:val="24"/>
                      <w:szCs w:val="24"/>
                    </w:rPr>
                  </w:pPr>
                  <w:r>
                    <w:rPr>
                      <w:rFonts w:ascii="Times New Roman" w:hAnsi="Times New Roman" w:eastAsia="宋体"/>
                      <w:color w:val="auto"/>
                      <w:sz w:val="24"/>
                      <w:szCs w:val="24"/>
                    </w:rPr>
                    <w:t>白色</w:t>
                  </w:r>
                </w:p>
              </w:tc>
            </w:tr>
          </w:tbl>
          <w:p w14:paraId="350BF206">
            <w:pPr>
              <w:pStyle w:val="245"/>
              <w:rPr>
                <w:color w:val="auto"/>
                <w:sz w:val="24"/>
                <w:szCs w:val="24"/>
              </w:rPr>
            </w:pPr>
            <w:r>
              <w:rPr>
                <w:color w:val="auto"/>
                <w:sz w:val="24"/>
                <w:szCs w:val="24"/>
              </w:rPr>
              <w:t>表</w:t>
            </w:r>
            <w:r>
              <w:rPr>
                <w:rFonts w:hint="eastAsia"/>
                <w:color w:val="auto"/>
                <w:sz w:val="24"/>
                <w:szCs w:val="24"/>
                <w:lang w:val="en-US" w:eastAsia="zh-CN"/>
              </w:rPr>
              <w:t>5-2</w:t>
            </w:r>
            <w:r>
              <w:rPr>
                <w:color w:val="auto"/>
                <w:sz w:val="24"/>
                <w:szCs w:val="24"/>
              </w:rPr>
              <w:t xml:space="preserve">  项目环境保护图形符号表</w:t>
            </w:r>
          </w:p>
          <w:tbl>
            <w:tblPr>
              <w:tblStyle w:val="46"/>
              <w:tblW w:w="7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676"/>
              <w:gridCol w:w="1847"/>
              <w:gridCol w:w="1644"/>
              <w:gridCol w:w="1754"/>
            </w:tblGrid>
            <w:tr w14:paraId="33A8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1AFCF382">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序号</w:t>
                  </w:r>
                </w:p>
              </w:tc>
              <w:tc>
                <w:tcPr>
                  <w:tcW w:w="1676" w:type="dxa"/>
                  <w:tcBorders>
                    <w:top w:val="single" w:color="auto" w:sz="4" w:space="0"/>
                    <w:left w:val="single" w:color="auto" w:sz="4" w:space="0"/>
                    <w:bottom w:val="single" w:color="auto" w:sz="4" w:space="0"/>
                    <w:right w:val="single" w:color="auto" w:sz="4" w:space="0"/>
                  </w:tcBorders>
                  <w:vAlign w:val="center"/>
                </w:tcPr>
                <w:p w14:paraId="725A5A40">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提示图形符号</w:t>
                  </w:r>
                </w:p>
              </w:tc>
              <w:tc>
                <w:tcPr>
                  <w:tcW w:w="1847" w:type="dxa"/>
                  <w:tcBorders>
                    <w:top w:val="single" w:color="auto" w:sz="4" w:space="0"/>
                    <w:left w:val="single" w:color="auto" w:sz="4" w:space="0"/>
                    <w:bottom w:val="single" w:color="auto" w:sz="4" w:space="0"/>
                    <w:right w:val="single" w:color="auto" w:sz="4" w:space="0"/>
                  </w:tcBorders>
                  <w:vAlign w:val="center"/>
                </w:tcPr>
                <w:p w14:paraId="11B1C1C4">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警告图形符号</w:t>
                  </w:r>
                </w:p>
              </w:tc>
              <w:tc>
                <w:tcPr>
                  <w:tcW w:w="1644" w:type="dxa"/>
                  <w:tcBorders>
                    <w:top w:val="single" w:color="auto" w:sz="4" w:space="0"/>
                    <w:left w:val="single" w:color="auto" w:sz="4" w:space="0"/>
                    <w:bottom w:val="single" w:color="auto" w:sz="4" w:space="0"/>
                    <w:right w:val="single" w:color="auto" w:sz="4" w:space="0"/>
                  </w:tcBorders>
                  <w:vAlign w:val="center"/>
                </w:tcPr>
                <w:p w14:paraId="0502FEBD">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p>
              </w:tc>
              <w:tc>
                <w:tcPr>
                  <w:tcW w:w="1754" w:type="dxa"/>
                  <w:tcBorders>
                    <w:top w:val="single" w:color="auto" w:sz="4" w:space="0"/>
                    <w:left w:val="single" w:color="auto" w:sz="4" w:space="0"/>
                    <w:bottom w:val="single" w:color="auto" w:sz="4" w:space="0"/>
                    <w:right w:val="single" w:color="auto" w:sz="4" w:space="0"/>
                  </w:tcBorders>
                  <w:vAlign w:val="center"/>
                </w:tcPr>
                <w:p w14:paraId="5502A0A3">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功能</w:t>
                  </w:r>
                </w:p>
              </w:tc>
            </w:tr>
            <w:tr w14:paraId="0825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58A0659F">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1</w:t>
                  </w:r>
                </w:p>
              </w:tc>
              <w:tc>
                <w:tcPr>
                  <w:tcW w:w="1676" w:type="dxa"/>
                  <w:tcBorders>
                    <w:top w:val="single" w:color="auto" w:sz="4" w:space="0"/>
                    <w:left w:val="single" w:color="auto" w:sz="4" w:space="0"/>
                    <w:bottom w:val="single" w:color="auto" w:sz="4" w:space="0"/>
                    <w:right w:val="single" w:color="auto" w:sz="4" w:space="0"/>
                  </w:tcBorders>
                  <w:vAlign w:val="center"/>
                </w:tcPr>
                <w:p w14:paraId="5913252B">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"http://www.jjj999.com/anquanbiaozhi/images/13003.gif"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drawing>
                      <wp:inline distT="0" distB="0" distL="114300" distR="114300">
                        <wp:extent cx="859790" cy="859790"/>
                        <wp:effectExtent l="0" t="0" r="16510" b="16510"/>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33"/>
                                <a:stretch>
                                  <a:fillRect/>
                                </a:stretch>
                              </pic:blipFill>
                              <pic:spPr>
                                <a:xfrm>
                                  <a:off x="0" y="0"/>
                                  <a:ext cx="859790" cy="85979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p>
              </w:tc>
              <w:tc>
                <w:tcPr>
                  <w:tcW w:w="1847" w:type="dxa"/>
                  <w:tcBorders>
                    <w:top w:val="single" w:color="auto" w:sz="4" w:space="0"/>
                    <w:left w:val="single" w:color="auto" w:sz="4" w:space="0"/>
                    <w:bottom w:val="single" w:color="auto" w:sz="4" w:space="0"/>
                    <w:right w:val="single" w:color="auto" w:sz="4" w:space="0"/>
                  </w:tcBorders>
                  <w:vAlign w:val="center"/>
                </w:tcPr>
                <w:p w14:paraId="6ED722D9">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"http://dqmhj.china-fire.com/image/aqbz/tb11/4.gif"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drawing>
                      <wp:inline distT="0" distB="0" distL="114300" distR="114300">
                        <wp:extent cx="941705" cy="846455"/>
                        <wp:effectExtent l="0" t="0" r="10795" b="10795"/>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34"/>
                                <a:stretch>
                                  <a:fillRect/>
                                </a:stretch>
                              </pic:blipFill>
                              <pic:spPr>
                                <a:xfrm>
                                  <a:off x="0" y="0"/>
                                  <a:ext cx="941705" cy="84645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p>
              </w:tc>
              <w:tc>
                <w:tcPr>
                  <w:tcW w:w="1644" w:type="dxa"/>
                  <w:tcBorders>
                    <w:top w:val="single" w:color="auto" w:sz="4" w:space="0"/>
                    <w:left w:val="single" w:color="auto" w:sz="4" w:space="0"/>
                    <w:bottom w:val="single" w:color="auto" w:sz="4" w:space="0"/>
                    <w:right w:val="single" w:color="auto" w:sz="4" w:space="0"/>
                  </w:tcBorders>
                  <w:vAlign w:val="center"/>
                </w:tcPr>
                <w:p w14:paraId="1EBDE9C3">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废气排放口</w:t>
                  </w:r>
                </w:p>
              </w:tc>
              <w:tc>
                <w:tcPr>
                  <w:tcW w:w="1754" w:type="dxa"/>
                  <w:tcBorders>
                    <w:top w:val="single" w:color="auto" w:sz="4" w:space="0"/>
                    <w:left w:val="single" w:color="auto" w:sz="4" w:space="0"/>
                    <w:bottom w:val="single" w:color="auto" w:sz="4" w:space="0"/>
                    <w:right w:val="single" w:color="auto" w:sz="4" w:space="0"/>
                  </w:tcBorders>
                  <w:vAlign w:val="center"/>
                </w:tcPr>
                <w:p w14:paraId="041CD038">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表示废气向大气环境排放</w:t>
                  </w:r>
                </w:p>
              </w:tc>
            </w:tr>
            <w:tr w14:paraId="6A5A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90C0F65">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w:t>
                  </w:r>
                </w:p>
              </w:tc>
              <w:tc>
                <w:tcPr>
                  <w:tcW w:w="1676" w:type="dxa"/>
                  <w:tcBorders>
                    <w:top w:val="single" w:color="auto" w:sz="4" w:space="0"/>
                    <w:left w:val="single" w:color="auto" w:sz="4" w:space="0"/>
                    <w:bottom w:val="single" w:color="auto" w:sz="4" w:space="0"/>
                    <w:right w:val="single" w:color="auto" w:sz="4" w:space="0"/>
                  </w:tcBorders>
                  <w:vAlign w:val="center"/>
                </w:tcPr>
                <w:p w14:paraId="0C79351B">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rPr>
                  </w:pPr>
                  <w:r>
                    <w:rPr>
                      <w:b w:val="0"/>
                      <w:bCs w:val="0"/>
                      <w:sz w:val="24"/>
                      <w:szCs w:val="24"/>
                    </w:rPr>
                    <w:drawing>
                      <wp:inline distT="0" distB="0" distL="114300" distR="114300">
                        <wp:extent cx="848360" cy="848360"/>
                        <wp:effectExtent l="0" t="0" r="8890" b="889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35"/>
                                <a:stretch>
                                  <a:fillRect/>
                                </a:stretch>
                              </pic:blipFill>
                              <pic:spPr>
                                <a:xfrm>
                                  <a:off x="0" y="0"/>
                                  <a:ext cx="848360" cy="848360"/>
                                </a:xfrm>
                                <a:prstGeom prst="rect">
                                  <a:avLst/>
                                </a:prstGeom>
                                <a:noFill/>
                                <a:ln>
                                  <a:noFill/>
                                </a:ln>
                              </pic:spPr>
                            </pic:pic>
                          </a:graphicData>
                        </a:graphic>
                      </wp:inline>
                    </w:drawing>
                  </w:r>
                </w:p>
              </w:tc>
              <w:tc>
                <w:tcPr>
                  <w:tcW w:w="1847" w:type="dxa"/>
                  <w:tcBorders>
                    <w:top w:val="single" w:color="auto" w:sz="4" w:space="0"/>
                    <w:left w:val="single" w:color="auto" w:sz="4" w:space="0"/>
                    <w:bottom w:val="single" w:color="auto" w:sz="4" w:space="0"/>
                    <w:right w:val="single" w:color="auto" w:sz="4" w:space="0"/>
                  </w:tcBorders>
                  <w:vAlign w:val="center"/>
                </w:tcPr>
                <w:p w14:paraId="6D1F1DEF">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rPr>
                  </w:pPr>
                  <w:r>
                    <w:rPr>
                      <w:b w:val="0"/>
                      <w:bCs w:val="0"/>
                      <w:sz w:val="24"/>
                      <w:szCs w:val="24"/>
                    </w:rPr>
                    <w:drawing>
                      <wp:inline distT="0" distB="0" distL="114300" distR="114300">
                        <wp:extent cx="907415" cy="881380"/>
                        <wp:effectExtent l="0" t="0" r="6985" b="13970"/>
                        <wp:docPr id="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pic:cNvPicPr>
                                  <a:picLocks noChangeAspect="1"/>
                                </pic:cNvPicPr>
                              </pic:nvPicPr>
                              <pic:blipFill>
                                <a:blip r:embed="rId36"/>
                                <a:stretch>
                                  <a:fillRect/>
                                </a:stretch>
                              </pic:blipFill>
                              <pic:spPr>
                                <a:xfrm>
                                  <a:off x="0" y="0"/>
                                  <a:ext cx="907415" cy="881380"/>
                                </a:xfrm>
                                <a:prstGeom prst="rect">
                                  <a:avLst/>
                                </a:prstGeom>
                                <a:noFill/>
                                <a:ln>
                                  <a:noFill/>
                                </a:ln>
                              </pic:spPr>
                            </pic:pic>
                          </a:graphicData>
                        </a:graphic>
                      </wp:inline>
                    </w:drawing>
                  </w:r>
                </w:p>
              </w:tc>
              <w:tc>
                <w:tcPr>
                  <w:tcW w:w="1644" w:type="dxa"/>
                  <w:tcBorders>
                    <w:top w:val="single" w:color="auto" w:sz="4" w:space="0"/>
                    <w:left w:val="single" w:color="auto" w:sz="4" w:space="0"/>
                    <w:bottom w:val="single" w:color="auto" w:sz="4" w:space="0"/>
                    <w:right w:val="single" w:color="auto" w:sz="4" w:space="0"/>
                  </w:tcBorders>
                  <w:vAlign w:val="center"/>
                </w:tcPr>
                <w:p w14:paraId="3404586A">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废水排放口</w:t>
                  </w:r>
                </w:p>
              </w:tc>
              <w:tc>
                <w:tcPr>
                  <w:tcW w:w="1754" w:type="dxa"/>
                  <w:tcBorders>
                    <w:top w:val="single" w:color="auto" w:sz="4" w:space="0"/>
                    <w:left w:val="single" w:color="auto" w:sz="4" w:space="0"/>
                    <w:bottom w:val="single" w:color="auto" w:sz="4" w:space="0"/>
                    <w:right w:val="single" w:color="auto" w:sz="4" w:space="0"/>
                  </w:tcBorders>
                  <w:vAlign w:val="center"/>
                </w:tcPr>
                <w:p w14:paraId="715FDBC7">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表示废水向水体排放</w:t>
                  </w:r>
                </w:p>
              </w:tc>
            </w:tr>
            <w:tr w14:paraId="3A9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7264D6B">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w:t>
                  </w:r>
                </w:p>
              </w:tc>
              <w:tc>
                <w:tcPr>
                  <w:tcW w:w="1676" w:type="dxa"/>
                  <w:tcBorders>
                    <w:top w:val="single" w:color="auto" w:sz="4" w:space="0"/>
                    <w:left w:val="single" w:color="auto" w:sz="4" w:space="0"/>
                    <w:bottom w:val="single" w:color="auto" w:sz="4" w:space="0"/>
                    <w:right w:val="single" w:color="auto" w:sz="4" w:space="0"/>
                  </w:tcBorders>
                  <w:vAlign w:val="center"/>
                </w:tcPr>
                <w:p w14:paraId="46F23A61">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"http://www.jjj999.com/anquanbiaozhi/images/14001.gif"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"http://www.jjj999.com/anquanbiaozhi/images/14001.gif"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"http://www.jjj999.com/anquanbiaozhi/images/14001.gif"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"http://www.jjj999.com/anquanbiaozhi/images/14001.gif"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"http://www.jjj999.com/anquanbiaozhi/images/14001.gif"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drawing>
                      <wp:inline distT="0" distB="0" distL="114300" distR="114300">
                        <wp:extent cx="859790" cy="859790"/>
                        <wp:effectExtent l="0" t="0" r="16510" b="1651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37"/>
                                <a:stretch>
                                  <a:fillRect/>
                                </a:stretch>
                              </pic:blipFill>
                              <pic:spPr>
                                <a:xfrm>
                                  <a:off x="0" y="0"/>
                                  <a:ext cx="859790" cy="85979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tc>
              <w:tc>
                <w:tcPr>
                  <w:tcW w:w="1847" w:type="dxa"/>
                  <w:tcBorders>
                    <w:top w:val="single" w:color="auto" w:sz="4" w:space="0"/>
                    <w:left w:val="single" w:color="auto" w:sz="4" w:space="0"/>
                    <w:bottom w:val="single" w:color="auto" w:sz="4" w:space="0"/>
                    <w:right w:val="single" w:color="auto" w:sz="4" w:space="0"/>
                  </w:tcBorders>
                  <w:vAlign w:val="center"/>
                </w:tcPr>
                <w:p w14:paraId="512F3358">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"http://www.jjj999.com/anquanbiaozhi/images/14002.gif"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"http://www.jjj999.com/anquanbiaozhi/images/14002.gif"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"http://www.jjj999.com/anquanbiaozhi/images/14002.gif"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"http://www.jjj999.com/anquanbiaozhi/images/14002.gif"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INCLUDEPICTURE  "http://www.jjj999.com/anquanbiaozhi/images/14002.gif" \* MERGEFORMATINET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drawing>
                      <wp:inline distT="0" distB="0" distL="114300" distR="114300">
                        <wp:extent cx="969010" cy="859790"/>
                        <wp:effectExtent l="0" t="0" r="2540" b="16510"/>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38"/>
                                <a:stretch>
                                  <a:fillRect/>
                                </a:stretch>
                              </pic:blipFill>
                              <pic:spPr>
                                <a:xfrm>
                                  <a:off x="0" y="0"/>
                                  <a:ext cx="969010" cy="85979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tc>
              <w:tc>
                <w:tcPr>
                  <w:tcW w:w="1644" w:type="dxa"/>
                  <w:tcBorders>
                    <w:top w:val="single" w:color="auto" w:sz="4" w:space="0"/>
                    <w:left w:val="single" w:color="auto" w:sz="4" w:space="0"/>
                    <w:bottom w:val="single" w:color="auto" w:sz="4" w:space="0"/>
                    <w:right w:val="single" w:color="auto" w:sz="4" w:space="0"/>
                  </w:tcBorders>
                  <w:vAlign w:val="center"/>
                </w:tcPr>
                <w:p w14:paraId="53485470">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一般固体废物</w:t>
                  </w:r>
                </w:p>
              </w:tc>
              <w:tc>
                <w:tcPr>
                  <w:tcW w:w="1754" w:type="dxa"/>
                  <w:tcBorders>
                    <w:top w:val="single" w:color="auto" w:sz="4" w:space="0"/>
                    <w:left w:val="single" w:color="auto" w:sz="4" w:space="0"/>
                    <w:bottom w:val="single" w:color="auto" w:sz="4" w:space="0"/>
                    <w:right w:val="single" w:color="auto" w:sz="4" w:space="0"/>
                  </w:tcBorders>
                  <w:vAlign w:val="center"/>
                </w:tcPr>
                <w:p w14:paraId="61A344DF">
                  <w:pPr>
                    <w:pStyle w:val="123"/>
                    <w:keepNext w:val="0"/>
                    <w:keepLines w:val="0"/>
                    <w:pageBreakBefore w:val="0"/>
                    <w:widowControl/>
                    <w:kinsoku/>
                    <w:wordWrap/>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表示一般固体废物贮存、处置场</w:t>
                  </w:r>
                </w:p>
              </w:tc>
            </w:tr>
            <w:tr w14:paraId="2D53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0604F0E">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w:t>
                  </w:r>
                </w:p>
              </w:tc>
              <w:tc>
                <w:tcPr>
                  <w:tcW w:w="1676" w:type="dxa"/>
                  <w:tcBorders>
                    <w:top w:val="single" w:color="auto" w:sz="4" w:space="0"/>
                    <w:left w:val="single" w:color="auto" w:sz="4" w:space="0"/>
                    <w:bottom w:val="single" w:color="auto" w:sz="4" w:space="0"/>
                    <w:right w:val="single" w:color="auto" w:sz="4" w:space="0"/>
                  </w:tcBorders>
                  <w:vAlign w:val="center"/>
                </w:tcPr>
                <w:p w14:paraId="0A249F49">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1847" w:type="dxa"/>
                  <w:tcBorders>
                    <w:top w:val="single" w:color="auto" w:sz="4" w:space="0"/>
                    <w:left w:val="single" w:color="auto" w:sz="4" w:space="0"/>
                    <w:bottom w:val="single" w:color="auto" w:sz="4" w:space="0"/>
                    <w:right w:val="single" w:color="auto" w:sz="4" w:space="0"/>
                  </w:tcBorders>
                  <w:vAlign w:val="center"/>
                </w:tcPr>
                <w:p w14:paraId="15D24A9A">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olor w:val="auto"/>
                      <w:sz w:val="24"/>
                      <w:szCs w:val="24"/>
                      <w:lang w:eastAsia="zh-CN"/>
                    </w:rPr>
                    <w:drawing>
                      <wp:inline distT="0" distB="0" distL="114300" distR="114300">
                        <wp:extent cx="958850" cy="835025"/>
                        <wp:effectExtent l="0" t="0" r="3175" b="3175"/>
                        <wp:docPr id="35" name="图片 21" descr="119d30a13722ae6ce4be2d18d65f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119d30a13722ae6ce4be2d18d65fbdb"/>
                                <pic:cNvPicPr>
                                  <a:picLocks noChangeAspect="1"/>
                                </pic:cNvPicPr>
                              </pic:nvPicPr>
                              <pic:blipFill>
                                <a:blip r:embed="rId39"/>
                                <a:stretch>
                                  <a:fillRect/>
                                </a:stretch>
                              </pic:blipFill>
                              <pic:spPr>
                                <a:xfrm>
                                  <a:off x="0" y="0"/>
                                  <a:ext cx="958850" cy="835025"/>
                                </a:xfrm>
                                <a:prstGeom prst="rect">
                                  <a:avLst/>
                                </a:prstGeom>
                                <a:noFill/>
                                <a:ln>
                                  <a:noFill/>
                                </a:ln>
                              </pic:spPr>
                            </pic:pic>
                          </a:graphicData>
                        </a:graphic>
                      </wp:inline>
                    </w:drawing>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5638BA63">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sz w:val="24"/>
                      <w:szCs w:val="24"/>
                    </w:rPr>
                    <w:t>危险废物</w:t>
                  </w:r>
                </w:p>
              </w:tc>
              <w:tc>
                <w:tcPr>
                  <w:tcW w:w="1754" w:type="dxa"/>
                  <w:tcBorders>
                    <w:top w:val="single" w:color="auto" w:sz="4" w:space="0"/>
                    <w:left w:val="single" w:color="auto" w:sz="4" w:space="0"/>
                    <w:bottom w:val="single" w:color="auto" w:sz="4" w:space="0"/>
                    <w:right w:val="single" w:color="auto" w:sz="4" w:space="0"/>
                  </w:tcBorders>
                  <w:shd w:val="clear" w:color="auto" w:fill="auto"/>
                  <w:vAlign w:val="center"/>
                </w:tcPr>
                <w:p w14:paraId="0B8ED569">
                  <w:pPr>
                    <w:pStyle w:val="123"/>
                    <w:keepNext w:val="0"/>
                    <w:keepLines w:val="0"/>
                    <w:pageBreakBefore w:val="0"/>
                    <w:widowControl/>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sz w:val="24"/>
                      <w:szCs w:val="24"/>
                    </w:rPr>
                    <w:t>表示危险废物贮存、处置场</w:t>
                  </w:r>
                </w:p>
              </w:tc>
            </w:tr>
            <w:tr w14:paraId="371E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2BD3EBF">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5</w:t>
                  </w:r>
                </w:p>
              </w:tc>
              <w:tc>
                <w:tcPr>
                  <w:tcW w:w="1676" w:type="dxa"/>
                  <w:tcBorders>
                    <w:top w:val="single" w:color="auto" w:sz="4" w:space="0"/>
                    <w:left w:val="single" w:color="auto" w:sz="4" w:space="0"/>
                    <w:bottom w:val="single" w:color="auto" w:sz="4" w:space="0"/>
                    <w:right w:val="single" w:color="auto" w:sz="4" w:space="0"/>
                  </w:tcBorders>
                  <w:vAlign w:val="center"/>
                </w:tcPr>
                <w:p w14:paraId="6D72FDB6">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857250" cy="857250"/>
                        <wp:effectExtent l="0" t="0" r="0" b="0"/>
                        <wp:docPr id="101" name="图片 15"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descr="mark_3"/>
                                <pic:cNvPicPr>
                                  <a:picLocks noChangeAspect="1"/>
                                </pic:cNvPicPr>
                              </pic:nvPicPr>
                              <pic:blipFill>
                                <a:blip r:embed="rId40"/>
                                <a:stretch>
                                  <a:fillRect/>
                                </a:stretch>
                              </pic:blipFill>
                              <pic:spPr>
                                <a:xfrm>
                                  <a:off x="0" y="0"/>
                                  <a:ext cx="857250" cy="857250"/>
                                </a:xfrm>
                                <a:prstGeom prst="rect">
                                  <a:avLst/>
                                </a:prstGeom>
                                <a:noFill/>
                                <a:ln>
                                  <a:noFill/>
                                </a:ln>
                              </pic:spPr>
                            </pic:pic>
                          </a:graphicData>
                        </a:graphic>
                      </wp:inline>
                    </w:drawing>
                  </w:r>
                </w:p>
              </w:tc>
              <w:tc>
                <w:tcPr>
                  <w:tcW w:w="1847" w:type="dxa"/>
                  <w:tcBorders>
                    <w:top w:val="single" w:color="auto" w:sz="4" w:space="0"/>
                    <w:left w:val="single" w:color="auto" w:sz="4" w:space="0"/>
                    <w:bottom w:val="single" w:color="auto" w:sz="4" w:space="0"/>
                    <w:right w:val="single" w:color="auto" w:sz="4" w:space="0"/>
                  </w:tcBorders>
                  <w:vAlign w:val="center"/>
                </w:tcPr>
                <w:p w14:paraId="098803F2">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962025" cy="847725"/>
                        <wp:effectExtent l="0" t="0" r="9525" b="9525"/>
                        <wp:docPr id="102" name="图片 16"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descr="mark_j3"/>
                                <pic:cNvPicPr>
                                  <a:picLocks noChangeAspect="1"/>
                                </pic:cNvPicPr>
                              </pic:nvPicPr>
                              <pic:blipFill>
                                <a:blip r:embed="rId41"/>
                                <a:stretch>
                                  <a:fillRect/>
                                </a:stretch>
                              </pic:blipFill>
                              <pic:spPr>
                                <a:xfrm>
                                  <a:off x="0" y="0"/>
                                  <a:ext cx="962025" cy="847725"/>
                                </a:xfrm>
                                <a:prstGeom prst="rect">
                                  <a:avLst/>
                                </a:prstGeom>
                                <a:noFill/>
                                <a:ln>
                                  <a:noFill/>
                                </a:ln>
                              </pic:spPr>
                            </pic:pic>
                          </a:graphicData>
                        </a:graphic>
                      </wp:inline>
                    </w:drawing>
                  </w:r>
                </w:p>
              </w:tc>
              <w:tc>
                <w:tcPr>
                  <w:tcW w:w="1644" w:type="dxa"/>
                  <w:tcBorders>
                    <w:top w:val="single" w:color="auto" w:sz="4" w:space="0"/>
                    <w:left w:val="single" w:color="auto" w:sz="4" w:space="0"/>
                    <w:bottom w:val="single" w:color="auto" w:sz="4" w:space="0"/>
                    <w:right w:val="single" w:color="auto" w:sz="4" w:space="0"/>
                  </w:tcBorders>
                  <w:vAlign w:val="center"/>
                </w:tcPr>
                <w:p w14:paraId="227ED4A7">
                  <w:pPr>
                    <w:pStyle w:val="123"/>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噪声排放源</w:t>
                  </w:r>
                </w:p>
              </w:tc>
              <w:tc>
                <w:tcPr>
                  <w:tcW w:w="1754" w:type="dxa"/>
                  <w:tcBorders>
                    <w:top w:val="single" w:color="auto" w:sz="4" w:space="0"/>
                    <w:left w:val="single" w:color="auto" w:sz="4" w:space="0"/>
                    <w:bottom w:val="single" w:color="auto" w:sz="4" w:space="0"/>
                    <w:right w:val="single" w:color="auto" w:sz="4" w:space="0"/>
                  </w:tcBorders>
                  <w:vAlign w:val="center"/>
                </w:tcPr>
                <w:p w14:paraId="1E8B1DF1">
                  <w:pPr>
                    <w:pStyle w:val="123"/>
                    <w:keepNext w:val="0"/>
                    <w:keepLines w:val="0"/>
                    <w:pageBreakBefore w:val="0"/>
                    <w:widowControl/>
                    <w:kinsoku/>
                    <w:wordWrap/>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表示噪声向外环境排放</w:t>
                  </w:r>
                </w:p>
              </w:tc>
            </w:tr>
          </w:tbl>
          <w:p w14:paraId="6017365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 xml:space="preserve">2、竣工环境保护验收 </w:t>
            </w:r>
          </w:p>
          <w:p w14:paraId="23AD01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建设项目竣工环境保护验收暂行办法》有关要求，建设项目竣工后，建设单位应当如实查验、记载建设项目环境保护设施的建设和调试情况，编制验收监测（调查）报告。向主管部门申请竣工环境保护验收，验收程序如下：</w:t>
            </w:r>
          </w:p>
          <w:p w14:paraId="649E1C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（1）开展验收监测，编制验收监测报告。建设项目竣工后，建设单位应当如实查验、监测、记载项目</w:t>
            </w:r>
            <w:r>
              <w:rPr>
                <w:rFonts w:hint="eastAsia" w:ascii="Times New Roman" w:hAnsi="Times New Roman" w:eastAsia="宋体" w:cs="Times New Roman"/>
                <w:color w:val="auto"/>
                <w:kern w:val="0"/>
                <w:sz w:val="24"/>
                <w:szCs w:val="24"/>
                <w:lang w:val="en-US" w:eastAsia="zh-CN" w:bidi="ar"/>
              </w:rPr>
              <w:t>环保</w:t>
            </w:r>
            <w:r>
              <w:rPr>
                <w:rFonts w:hint="default" w:ascii="Times New Roman" w:hAnsi="Times New Roman" w:eastAsia="宋体" w:cs="Times New Roman"/>
                <w:color w:val="auto"/>
                <w:kern w:val="0"/>
                <w:sz w:val="24"/>
                <w:szCs w:val="24"/>
                <w:lang w:val="en-US" w:eastAsia="zh-CN" w:bidi="ar"/>
              </w:rPr>
              <w:t>设施的建设和调试情况，开展验收监测。</w:t>
            </w:r>
          </w:p>
          <w:p w14:paraId="773ED8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（2）组织验收，提出验收意见。验收监测报告编制完成后，建设单位应当根据验收监测报告结论，逐一检查是否</w:t>
            </w:r>
            <w:r>
              <w:rPr>
                <w:rFonts w:hint="eastAsia" w:ascii="Times New Roman" w:hAnsi="Times New Roman" w:eastAsia="宋体" w:cs="Times New Roman"/>
                <w:color w:val="auto"/>
                <w:kern w:val="0"/>
                <w:sz w:val="24"/>
                <w:szCs w:val="24"/>
                <w:lang w:val="en-US" w:eastAsia="zh-CN" w:bidi="ar"/>
              </w:rPr>
              <w:t>存在</w:t>
            </w:r>
            <w:r>
              <w:rPr>
                <w:rFonts w:hint="default" w:ascii="Times New Roman" w:hAnsi="Times New Roman" w:eastAsia="宋体" w:cs="Times New Roman"/>
                <w:color w:val="auto"/>
                <w:kern w:val="0"/>
                <w:sz w:val="24"/>
                <w:szCs w:val="24"/>
                <w:lang w:val="en-US" w:eastAsia="zh-CN" w:bidi="ar"/>
              </w:rPr>
              <w:t>验收不合格的情形。存在问题的，建设单位应当进行整改，整改完成后方可组织验收，提出验收意见，并形成验收报告。编制环境影响报告书的建设项目，由建设单位组织设计单位、施工单位、环境影响报告编制机构、验收监测报告编制机构等单位代表及专业技术专家组成验收工作组，采取现场检查、资料审阅、召开验收会议等方式开展验收；编制环境影响报告表的建设项目，由建设单位组织本单位负责环境保护设施建设、运行的有关人员组成验收工作组，开展验收工作。</w:t>
            </w:r>
          </w:p>
          <w:p w14:paraId="335D0A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公开验收报告。建设单位应当在验收报告编制完成后5个工作日内，通过其网站或当地新闻媒体，公开验收报告，公示的期限不得少于20个工作日。同时，向项目所在地和项目环境影响报告审批的环保部门报送相关信息，并接受监督检查。</w:t>
            </w:r>
          </w:p>
          <w:p w14:paraId="738841A9">
            <w:pPr>
              <w:spacing w:line="360" w:lineRule="auto"/>
              <w:ind w:firstLine="480" w:firstLineChars="200"/>
              <w:jc w:val="left"/>
              <w:rPr>
                <w:color w:val="auto"/>
                <w:sz w:val="24"/>
                <w:szCs w:val="24"/>
              </w:rPr>
            </w:pPr>
            <w:r>
              <w:rPr>
                <w:rFonts w:hint="default" w:ascii="Times New Roman" w:hAnsi="Times New Roman" w:eastAsia="宋体" w:cs="Times New Roman"/>
                <w:color w:val="auto"/>
                <w:kern w:val="0"/>
                <w:sz w:val="24"/>
                <w:szCs w:val="24"/>
                <w:lang w:val="en-US" w:eastAsia="zh-CN" w:bidi="ar"/>
              </w:rPr>
              <w:t>（4）登录全国建设项目竣工环境保护验收信息平台。建设单位应当在验收报告公示期满后5个工作日内，登录全国建设项目竣工环境保护验收信息平台，填报建设项目基本信息、环境保护设施验收情况等相关信息，环境保护主管部门对上述信息予以公开</w:t>
            </w:r>
            <w:r>
              <w:rPr>
                <w:rFonts w:hint="eastAsia" w:ascii="Times New Roman" w:hAnsi="Times New Roman" w:eastAsia="宋体" w:cs="Times New Roman"/>
                <w:color w:val="auto"/>
                <w:kern w:val="0"/>
                <w:sz w:val="24"/>
                <w:szCs w:val="24"/>
                <w:lang w:val="en-US" w:eastAsia="zh-CN" w:bidi="ar"/>
              </w:rPr>
              <w:t>。</w:t>
            </w:r>
          </w:p>
          <w:p w14:paraId="4150BDBA">
            <w:pPr>
              <w:spacing w:line="360" w:lineRule="auto"/>
              <w:ind w:firstLine="480" w:firstLineChars="200"/>
              <w:jc w:val="left"/>
              <w:rPr>
                <w:color w:val="auto"/>
                <w:sz w:val="24"/>
                <w:szCs w:val="24"/>
              </w:rPr>
            </w:pPr>
          </w:p>
          <w:p w14:paraId="03A149A4">
            <w:pPr>
              <w:spacing w:line="360" w:lineRule="auto"/>
              <w:ind w:firstLine="480" w:firstLineChars="200"/>
              <w:jc w:val="left"/>
              <w:rPr>
                <w:color w:val="auto"/>
                <w:sz w:val="24"/>
                <w:szCs w:val="24"/>
              </w:rPr>
            </w:pPr>
          </w:p>
          <w:p w14:paraId="220046ED">
            <w:pPr>
              <w:spacing w:line="360" w:lineRule="auto"/>
              <w:ind w:firstLine="480" w:firstLineChars="200"/>
              <w:jc w:val="left"/>
              <w:rPr>
                <w:color w:val="auto"/>
                <w:sz w:val="24"/>
                <w:szCs w:val="24"/>
              </w:rPr>
            </w:pPr>
          </w:p>
          <w:p w14:paraId="18744E3D">
            <w:pPr>
              <w:spacing w:line="360" w:lineRule="auto"/>
              <w:ind w:firstLine="480" w:firstLineChars="200"/>
              <w:jc w:val="left"/>
              <w:rPr>
                <w:color w:val="auto"/>
                <w:sz w:val="24"/>
                <w:szCs w:val="24"/>
              </w:rPr>
            </w:pPr>
          </w:p>
          <w:p w14:paraId="54857240">
            <w:pPr>
              <w:spacing w:line="360" w:lineRule="auto"/>
              <w:ind w:firstLine="480" w:firstLineChars="200"/>
              <w:jc w:val="left"/>
              <w:rPr>
                <w:color w:val="auto"/>
                <w:sz w:val="24"/>
                <w:szCs w:val="24"/>
              </w:rPr>
            </w:pPr>
          </w:p>
          <w:p w14:paraId="04BDA406">
            <w:pPr>
              <w:spacing w:line="360" w:lineRule="auto"/>
              <w:ind w:firstLine="480" w:firstLineChars="200"/>
              <w:jc w:val="left"/>
              <w:rPr>
                <w:color w:val="auto"/>
                <w:sz w:val="24"/>
                <w:szCs w:val="24"/>
              </w:rPr>
            </w:pPr>
          </w:p>
          <w:p w14:paraId="41FD9B77">
            <w:pPr>
              <w:spacing w:line="360" w:lineRule="auto"/>
              <w:ind w:firstLine="480" w:firstLineChars="200"/>
              <w:jc w:val="left"/>
              <w:rPr>
                <w:color w:val="auto"/>
                <w:sz w:val="24"/>
                <w:szCs w:val="24"/>
              </w:rPr>
            </w:pPr>
          </w:p>
          <w:p w14:paraId="1F0E8D31">
            <w:pPr>
              <w:spacing w:line="360" w:lineRule="auto"/>
              <w:ind w:firstLine="480" w:firstLineChars="200"/>
              <w:jc w:val="left"/>
              <w:rPr>
                <w:color w:val="auto"/>
                <w:sz w:val="24"/>
                <w:szCs w:val="24"/>
              </w:rPr>
            </w:pPr>
          </w:p>
          <w:p w14:paraId="68198BF3">
            <w:pPr>
              <w:spacing w:line="360" w:lineRule="auto"/>
              <w:ind w:firstLine="480" w:firstLineChars="200"/>
              <w:jc w:val="left"/>
              <w:rPr>
                <w:color w:val="auto"/>
                <w:sz w:val="24"/>
                <w:szCs w:val="24"/>
              </w:rPr>
            </w:pPr>
          </w:p>
          <w:p w14:paraId="57CFBFF0">
            <w:pPr>
              <w:spacing w:line="360" w:lineRule="auto"/>
              <w:ind w:firstLine="480" w:firstLineChars="200"/>
              <w:jc w:val="left"/>
              <w:rPr>
                <w:color w:val="auto"/>
                <w:sz w:val="24"/>
                <w:szCs w:val="24"/>
              </w:rPr>
            </w:pPr>
          </w:p>
          <w:p w14:paraId="348DDC1F">
            <w:pPr>
              <w:spacing w:line="360" w:lineRule="auto"/>
              <w:ind w:firstLine="480" w:firstLineChars="200"/>
              <w:jc w:val="left"/>
              <w:rPr>
                <w:color w:val="auto"/>
                <w:sz w:val="24"/>
                <w:szCs w:val="24"/>
              </w:rPr>
            </w:pPr>
          </w:p>
          <w:p w14:paraId="1A85959E">
            <w:pPr>
              <w:spacing w:line="360" w:lineRule="auto"/>
              <w:ind w:firstLine="480" w:firstLineChars="200"/>
              <w:jc w:val="left"/>
              <w:rPr>
                <w:color w:val="auto"/>
                <w:sz w:val="24"/>
                <w:szCs w:val="24"/>
              </w:rPr>
            </w:pPr>
          </w:p>
          <w:p w14:paraId="51A1BBA3">
            <w:pPr>
              <w:spacing w:line="360" w:lineRule="auto"/>
              <w:ind w:firstLine="480" w:firstLineChars="200"/>
              <w:jc w:val="left"/>
              <w:rPr>
                <w:color w:val="auto"/>
                <w:sz w:val="24"/>
                <w:szCs w:val="24"/>
              </w:rPr>
            </w:pPr>
          </w:p>
          <w:p w14:paraId="4601AB74">
            <w:pPr>
              <w:spacing w:line="360" w:lineRule="auto"/>
              <w:ind w:firstLine="480" w:firstLineChars="200"/>
              <w:jc w:val="left"/>
              <w:rPr>
                <w:color w:val="auto"/>
                <w:sz w:val="24"/>
                <w:szCs w:val="24"/>
              </w:rPr>
            </w:pPr>
          </w:p>
          <w:p w14:paraId="02CC92FF">
            <w:pPr>
              <w:spacing w:line="360" w:lineRule="auto"/>
              <w:ind w:firstLine="480" w:firstLineChars="200"/>
              <w:jc w:val="left"/>
              <w:rPr>
                <w:color w:val="auto"/>
                <w:sz w:val="24"/>
                <w:szCs w:val="24"/>
              </w:rPr>
            </w:pPr>
          </w:p>
          <w:p w14:paraId="230ECD65">
            <w:pPr>
              <w:spacing w:line="360" w:lineRule="auto"/>
              <w:ind w:firstLine="480" w:firstLineChars="200"/>
              <w:jc w:val="left"/>
              <w:rPr>
                <w:color w:val="auto"/>
                <w:sz w:val="24"/>
                <w:szCs w:val="24"/>
              </w:rPr>
            </w:pPr>
          </w:p>
          <w:p w14:paraId="41CB33B3">
            <w:pPr>
              <w:spacing w:line="360" w:lineRule="auto"/>
              <w:ind w:firstLine="480" w:firstLineChars="200"/>
              <w:jc w:val="left"/>
              <w:rPr>
                <w:color w:val="auto"/>
                <w:sz w:val="24"/>
                <w:szCs w:val="24"/>
              </w:rPr>
            </w:pPr>
          </w:p>
          <w:p w14:paraId="687B29AA">
            <w:pPr>
              <w:spacing w:line="360" w:lineRule="auto"/>
              <w:ind w:firstLine="480" w:firstLineChars="200"/>
              <w:jc w:val="left"/>
              <w:rPr>
                <w:color w:val="auto"/>
                <w:sz w:val="24"/>
                <w:szCs w:val="24"/>
              </w:rPr>
            </w:pPr>
          </w:p>
          <w:p w14:paraId="24840CC2">
            <w:pPr>
              <w:spacing w:line="360" w:lineRule="auto"/>
              <w:ind w:firstLine="480" w:firstLineChars="200"/>
              <w:jc w:val="left"/>
              <w:rPr>
                <w:color w:val="auto"/>
                <w:sz w:val="24"/>
                <w:szCs w:val="24"/>
              </w:rPr>
            </w:pPr>
          </w:p>
          <w:p w14:paraId="2BE447F4">
            <w:pPr>
              <w:spacing w:line="360" w:lineRule="auto"/>
              <w:ind w:firstLine="480" w:firstLineChars="200"/>
              <w:jc w:val="left"/>
              <w:rPr>
                <w:color w:val="auto"/>
                <w:sz w:val="24"/>
                <w:szCs w:val="24"/>
              </w:rPr>
            </w:pPr>
          </w:p>
          <w:p w14:paraId="4F2475F5">
            <w:pPr>
              <w:spacing w:line="360" w:lineRule="auto"/>
              <w:ind w:firstLine="480" w:firstLineChars="200"/>
              <w:jc w:val="left"/>
              <w:rPr>
                <w:color w:val="auto"/>
                <w:sz w:val="24"/>
                <w:szCs w:val="24"/>
              </w:rPr>
            </w:pPr>
          </w:p>
          <w:p w14:paraId="7D6C32E4">
            <w:pPr>
              <w:spacing w:line="360" w:lineRule="auto"/>
              <w:ind w:firstLine="480" w:firstLineChars="200"/>
              <w:jc w:val="left"/>
              <w:rPr>
                <w:color w:val="auto"/>
                <w:sz w:val="24"/>
                <w:szCs w:val="24"/>
              </w:rPr>
            </w:pPr>
          </w:p>
          <w:p w14:paraId="1BB6CA55">
            <w:pPr>
              <w:spacing w:line="360" w:lineRule="auto"/>
              <w:ind w:firstLine="480" w:firstLineChars="200"/>
              <w:jc w:val="left"/>
              <w:rPr>
                <w:color w:val="auto"/>
                <w:sz w:val="24"/>
                <w:szCs w:val="24"/>
              </w:rPr>
            </w:pPr>
          </w:p>
          <w:p w14:paraId="5AF34360">
            <w:pPr>
              <w:spacing w:line="360" w:lineRule="auto"/>
              <w:ind w:firstLine="480" w:firstLineChars="200"/>
              <w:jc w:val="left"/>
              <w:rPr>
                <w:color w:val="auto"/>
                <w:sz w:val="24"/>
                <w:szCs w:val="24"/>
              </w:rPr>
            </w:pPr>
          </w:p>
          <w:p w14:paraId="7073843A">
            <w:pPr>
              <w:spacing w:line="360" w:lineRule="auto"/>
              <w:jc w:val="left"/>
              <w:rPr>
                <w:color w:val="auto"/>
                <w:sz w:val="24"/>
                <w:szCs w:val="24"/>
              </w:rPr>
            </w:pPr>
          </w:p>
        </w:tc>
      </w:tr>
    </w:tbl>
    <w:p w14:paraId="7735389F">
      <w:pPr>
        <w:rPr>
          <w:rFonts w:hint="eastAsia" w:eastAsia="黑体"/>
          <w:b/>
          <w:bCs/>
          <w:color w:val="auto"/>
          <w:sz w:val="30"/>
          <w:szCs w:val="24"/>
        </w:rPr>
      </w:pPr>
      <w:r>
        <w:rPr>
          <w:rFonts w:hint="eastAsia" w:eastAsia="黑体"/>
          <w:b/>
          <w:bCs/>
          <w:color w:val="auto"/>
          <w:sz w:val="30"/>
          <w:szCs w:val="24"/>
        </w:rPr>
        <w:br w:type="page"/>
      </w:r>
    </w:p>
    <w:p w14:paraId="599A26B8">
      <w:pPr>
        <w:spacing w:line="360" w:lineRule="auto"/>
        <w:jc w:val="center"/>
        <w:outlineLvl w:val="0"/>
        <w:rPr>
          <w:rFonts w:eastAsia="黑体"/>
          <w:b/>
          <w:bCs/>
          <w:color w:val="auto"/>
          <w:sz w:val="30"/>
          <w:szCs w:val="24"/>
        </w:rPr>
      </w:pPr>
      <w:r>
        <w:rPr>
          <w:rFonts w:hint="eastAsia" w:eastAsia="黑体"/>
          <w:b/>
          <w:bCs/>
          <w:color w:val="auto"/>
          <w:sz w:val="30"/>
          <w:szCs w:val="24"/>
        </w:rPr>
        <w:t>六、结论</w:t>
      </w:r>
      <w:bookmarkEnd w:id="18"/>
    </w:p>
    <w:tbl>
      <w:tblPr>
        <w:tblStyle w:val="46"/>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43C2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14:paraId="571ADB1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b w:val="0"/>
                <w:bCs w:val="0"/>
                <w:color w:val="auto"/>
                <w:kern w:val="1"/>
                <w:sz w:val="21"/>
                <w:szCs w:val="21"/>
                <w:lang w:val="en-US" w:eastAsia="zh-CN"/>
              </w:rPr>
            </w:pPr>
            <w:r>
              <w:rPr>
                <w:rFonts w:hint="default" w:ascii="Times New Roman" w:hAnsi="Times New Roman" w:cs="Times New Roman"/>
                <w:b w:val="0"/>
                <w:bCs/>
                <w:sz w:val="24"/>
              </w:rPr>
              <w:t>从</w:t>
            </w:r>
            <w:r>
              <w:rPr>
                <w:rFonts w:hint="eastAsia" w:ascii="Times New Roman" w:hAnsi="Times New Roman" w:cs="Times New Roman"/>
                <w:b w:val="0"/>
                <w:bCs/>
                <w:sz w:val="24"/>
                <w:lang w:val="en-US" w:eastAsia="zh-CN"/>
              </w:rPr>
              <w:t>环境影响</w:t>
            </w:r>
            <w:r>
              <w:rPr>
                <w:rFonts w:hint="default" w:ascii="Times New Roman" w:hAnsi="Times New Roman" w:cs="Times New Roman"/>
                <w:b w:val="0"/>
                <w:bCs/>
                <w:sz w:val="24"/>
              </w:rPr>
              <w:t>角度，本项目建设是可行的</w:t>
            </w:r>
            <w:r>
              <w:rPr>
                <w:rFonts w:hint="eastAsia" w:ascii="Times New Roman" w:hAnsi="Times New Roman" w:eastAsia="宋体"/>
                <w:b w:val="0"/>
                <w:bCs w:val="0"/>
                <w:color w:val="auto"/>
                <w:sz w:val="21"/>
                <w:szCs w:val="21"/>
              </w:rPr>
              <w:t>。</w:t>
            </w:r>
          </w:p>
          <w:p w14:paraId="4447129B">
            <w:pPr>
              <w:spacing w:line="360" w:lineRule="auto"/>
              <w:ind w:firstLine="480" w:firstLineChars="200"/>
              <w:rPr>
                <w:bCs/>
                <w:color w:val="auto"/>
                <w:sz w:val="24"/>
                <w:szCs w:val="24"/>
              </w:rPr>
            </w:pPr>
          </w:p>
          <w:p w14:paraId="752D9C24">
            <w:pPr>
              <w:spacing w:line="360" w:lineRule="auto"/>
              <w:ind w:firstLine="482" w:firstLineChars="200"/>
              <w:rPr>
                <w:rFonts w:eastAsia="黑体"/>
                <w:b/>
                <w:bCs/>
                <w:color w:val="auto"/>
                <w:sz w:val="24"/>
                <w:szCs w:val="24"/>
              </w:rPr>
            </w:pPr>
          </w:p>
          <w:p w14:paraId="6D408327">
            <w:pPr>
              <w:spacing w:line="360" w:lineRule="auto"/>
              <w:ind w:firstLine="482" w:firstLineChars="200"/>
              <w:rPr>
                <w:rFonts w:eastAsia="黑体"/>
                <w:b/>
                <w:bCs/>
                <w:color w:val="auto"/>
                <w:sz w:val="24"/>
                <w:szCs w:val="24"/>
              </w:rPr>
            </w:pPr>
          </w:p>
          <w:p w14:paraId="6B29F3E1">
            <w:pPr>
              <w:spacing w:line="360" w:lineRule="auto"/>
              <w:ind w:firstLine="482" w:firstLineChars="200"/>
              <w:rPr>
                <w:rFonts w:eastAsia="黑体"/>
                <w:b/>
                <w:bCs/>
                <w:color w:val="auto"/>
                <w:sz w:val="24"/>
                <w:szCs w:val="24"/>
              </w:rPr>
            </w:pPr>
          </w:p>
          <w:p w14:paraId="72E847C0">
            <w:pPr>
              <w:spacing w:line="360" w:lineRule="auto"/>
              <w:ind w:firstLine="482" w:firstLineChars="200"/>
              <w:rPr>
                <w:rFonts w:eastAsia="黑体"/>
                <w:b/>
                <w:bCs/>
                <w:color w:val="auto"/>
                <w:sz w:val="24"/>
                <w:szCs w:val="24"/>
              </w:rPr>
            </w:pPr>
          </w:p>
          <w:p w14:paraId="03C1A65C">
            <w:pPr>
              <w:spacing w:line="360" w:lineRule="auto"/>
              <w:ind w:firstLine="482" w:firstLineChars="200"/>
              <w:rPr>
                <w:rFonts w:eastAsia="黑体"/>
                <w:b/>
                <w:bCs/>
                <w:color w:val="auto"/>
                <w:sz w:val="24"/>
                <w:szCs w:val="24"/>
              </w:rPr>
            </w:pPr>
          </w:p>
          <w:p w14:paraId="57E9EAF0">
            <w:pPr>
              <w:spacing w:line="360" w:lineRule="auto"/>
              <w:ind w:firstLine="482" w:firstLineChars="200"/>
              <w:rPr>
                <w:rFonts w:eastAsia="黑体"/>
                <w:b/>
                <w:bCs/>
                <w:color w:val="auto"/>
                <w:sz w:val="24"/>
                <w:szCs w:val="24"/>
              </w:rPr>
            </w:pPr>
          </w:p>
          <w:p w14:paraId="6EA46AB3">
            <w:pPr>
              <w:spacing w:line="360" w:lineRule="auto"/>
              <w:ind w:firstLine="482" w:firstLineChars="200"/>
              <w:rPr>
                <w:rFonts w:eastAsia="黑体"/>
                <w:b/>
                <w:bCs/>
                <w:color w:val="auto"/>
                <w:sz w:val="24"/>
                <w:szCs w:val="24"/>
              </w:rPr>
            </w:pPr>
          </w:p>
          <w:p w14:paraId="737DE608">
            <w:pPr>
              <w:spacing w:line="360" w:lineRule="auto"/>
              <w:ind w:firstLine="482" w:firstLineChars="200"/>
              <w:rPr>
                <w:rFonts w:eastAsia="黑体"/>
                <w:b/>
                <w:bCs/>
                <w:color w:val="auto"/>
                <w:sz w:val="24"/>
                <w:szCs w:val="24"/>
              </w:rPr>
            </w:pPr>
          </w:p>
          <w:p w14:paraId="3F5CCBF7">
            <w:pPr>
              <w:spacing w:line="360" w:lineRule="auto"/>
              <w:ind w:firstLine="482" w:firstLineChars="200"/>
              <w:rPr>
                <w:rFonts w:eastAsia="黑体"/>
                <w:b/>
                <w:bCs/>
                <w:color w:val="auto"/>
                <w:sz w:val="24"/>
                <w:szCs w:val="24"/>
              </w:rPr>
            </w:pPr>
          </w:p>
          <w:p w14:paraId="5017124F">
            <w:pPr>
              <w:spacing w:line="360" w:lineRule="auto"/>
              <w:ind w:firstLine="482" w:firstLineChars="200"/>
              <w:rPr>
                <w:rFonts w:eastAsia="黑体"/>
                <w:b/>
                <w:bCs/>
                <w:color w:val="auto"/>
                <w:sz w:val="24"/>
                <w:szCs w:val="24"/>
              </w:rPr>
            </w:pPr>
          </w:p>
          <w:p w14:paraId="7C9F7814">
            <w:pPr>
              <w:spacing w:line="360" w:lineRule="auto"/>
              <w:ind w:firstLine="482" w:firstLineChars="200"/>
              <w:rPr>
                <w:rFonts w:eastAsia="黑体"/>
                <w:b/>
                <w:bCs/>
                <w:color w:val="auto"/>
                <w:sz w:val="24"/>
                <w:szCs w:val="24"/>
              </w:rPr>
            </w:pPr>
          </w:p>
          <w:p w14:paraId="518BD87B">
            <w:pPr>
              <w:spacing w:line="360" w:lineRule="auto"/>
              <w:ind w:firstLine="482" w:firstLineChars="200"/>
              <w:rPr>
                <w:rFonts w:eastAsia="黑体"/>
                <w:b/>
                <w:bCs/>
                <w:color w:val="auto"/>
                <w:sz w:val="24"/>
                <w:szCs w:val="24"/>
              </w:rPr>
            </w:pPr>
          </w:p>
          <w:p w14:paraId="2AB81145">
            <w:pPr>
              <w:spacing w:line="360" w:lineRule="auto"/>
              <w:ind w:firstLine="482" w:firstLineChars="200"/>
              <w:rPr>
                <w:rFonts w:eastAsia="黑体"/>
                <w:b/>
                <w:bCs/>
                <w:color w:val="auto"/>
                <w:sz w:val="24"/>
                <w:szCs w:val="24"/>
              </w:rPr>
            </w:pPr>
          </w:p>
          <w:p w14:paraId="6FEDAACB">
            <w:pPr>
              <w:spacing w:line="360" w:lineRule="auto"/>
              <w:ind w:firstLine="482" w:firstLineChars="200"/>
              <w:rPr>
                <w:rFonts w:eastAsia="黑体"/>
                <w:b/>
                <w:bCs/>
                <w:color w:val="auto"/>
                <w:sz w:val="24"/>
                <w:szCs w:val="24"/>
              </w:rPr>
            </w:pPr>
          </w:p>
          <w:p w14:paraId="40BA216A">
            <w:pPr>
              <w:spacing w:line="360" w:lineRule="auto"/>
              <w:ind w:firstLine="482" w:firstLineChars="200"/>
              <w:rPr>
                <w:rFonts w:eastAsia="黑体"/>
                <w:b/>
                <w:bCs/>
                <w:color w:val="auto"/>
                <w:sz w:val="24"/>
                <w:szCs w:val="24"/>
              </w:rPr>
            </w:pPr>
          </w:p>
          <w:p w14:paraId="215ACF83">
            <w:pPr>
              <w:spacing w:line="360" w:lineRule="auto"/>
              <w:ind w:firstLine="482" w:firstLineChars="200"/>
              <w:rPr>
                <w:rFonts w:eastAsia="黑体"/>
                <w:b/>
                <w:bCs/>
                <w:color w:val="auto"/>
                <w:sz w:val="24"/>
                <w:szCs w:val="24"/>
              </w:rPr>
            </w:pPr>
          </w:p>
          <w:p w14:paraId="78B67937">
            <w:pPr>
              <w:spacing w:line="360" w:lineRule="auto"/>
              <w:ind w:firstLine="482" w:firstLineChars="200"/>
              <w:rPr>
                <w:rFonts w:eastAsia="黑体"/>
                <w:b/>
                <w:bCs/>
                <w:color w:val="auto"/>
                <w:sz w:val="24"/>
                <w:szCs w:val="24"/>
              </w:rPr>
            </w:pPr>
          </w:p>
          <w:p w14:paraId="3F67A912">
            <w:pPr>
              <w:spacing w:line="360" w:lineRule="auto"/>
              <w:ind w:firstLine="482" w:firstLineChars="200"/>
              <w:rPr>
                <w:rFonts w:eastAsia="黑体"/>
                <w:b/>
                <w:bCs/>
                <w:color w:val="auto"/>
                <w:sz w:val="24"/>
                <w:szCs w:val="24"/>
              </w:rPr>
            </w:pPr>
          </w:p>
          <w:p w14:paraId="2EC44328">
            <w:pPr>
              <w:spacing w:line="360" w:lineRule="auto"/>
              <w:ind w:firstLine="482" w:firstLineChars="200"/>
              <w:rPr>
                <w:rFonts w:eastAsia="黑体"/>
                <w:b/>
                <w:bCs/>
                <w:color w:val="auto"/>
                <w:sz w:val="24"/>
                <w:szCs w:val="24"/>
              </w:rPr>
            </w:pPr>
          </w:p>
          <w:p w14:paraId="79A96787">
            <w:pPr>
              <w:outlineLvl w:val="0"/>
              <w:rPr>
                <w:rFonts w:eastAsia="黑体"/>
                <w:b/>
                <w:bCs/>
                <w:color w:val="auto"/>
                <w:sz w:val="30"/>
                <w:szCs w:val="24"/>
              </w:rPr>
            </w:pPr>
          </w:p>
        </w:tc>
      </w:tr>
    </w:tbl>
    <w:p w14:paraId="356A84FB">
      <w:pPr>
        <w:outlineLvl w:val="0"/>
        <w:rPr>
          <w:rFonts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p w14:paraId="7F6FB398">
      <w:pPr>
        <w:outlineLvl w:val="0"/>
        <w:rPr>
          <w:rFonts w:ascii="黑体" w:hAnsi="黑体" w:eastAsia="黑体"/>
          <w:b/>
          <w:color w:val="auto"/>
          <w:sz w:val="32"/>
          <w:szCs w:val="32"/>
        </w:rPr>
      </w:pPr>
      <w:bookmarkStart w:id="20" w:name="_Toc31040"/>
      <w:bookmarkStart w:id="21" w:name="_Toc71811566"/>
      <w:bookmarkStart w:id="22" w:name="_Toc67493955"/>
      <w:r>
        <w:rPr>
          <w:rFonts w:hint="eastAsia" w:ascii="黑体" w:hAnsi="黑体" w:eastAsia="黑体"/>
          <w:b/>
          <w:color w:val="auto"/>
          <w:sz w:val="32"/>
          <w:szCs w:val="32"/>
        </w:rPr>
        <w:t>附表</w:t>
      </w:r>
      <w:bookmarkEnd w:id="20"/>
      <w:bookmarkEnd w:id="21"/>
      <w:bookmarkEnd w:id="22"/>
    </w:p>
    <w:p w14:paraId="5B4E0981">
      <w:pPr>
        <w:widowControl/>
        <w:adjustRightInd w:val="0"/>
        <w:snapToGrid w:val="0"/>
        <w:spacing w:line="276" w:lineRule="auto"/>
        <w:jc w:val="center"/>
        <w:rPr>
          <w:rFonts w:ascii="方正小标宋_GBK" w:hAnsi="黑体" w:eastAsia="方正小标宋_GBK"/>
          <w:b/>
          <w:snapToGrid w:val="0"/>
          <w:color w:val="auto"/>
          <w:kern w:val="0"/>
          <w:sz w:val="38"/>
          <w:szCs w:val="38"/>
          <w:lang w:val="zh-CN"/>
        </w:rPr>
      </w:pPr>
      <w:r>
        <w:rPr>
          <w:rFonts w:hint="eastAsia" w:ascii="方正小标宋_GBK" w:hAnsi="黑体" w:eastAsia="方正小标宋_GBK"/>
          <w:b/>
          <w:snapToGrid w:val="0"/>
          <w:color w:val="auto"/>
          <w:kern w:val="0"/>
          <w:sz w:val="38"/>
          <w:szCs w:val="38"/>
          <w:lang w:val="zh-CN"/>
        </w:rPr>
        <w:t>建设项目污染物排放量汇总表</w:t>
      </w:r>
    </w:p>
    <w:tbl>
      <w:tblPr>
        <w:tblStyle w:val="46"/>
        <w:tblW w:w="134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58"/>
        <w:gridCol w:w="1632"/>
        <w:gridCol w:w="1221"/>
        <w:gridCol w:w="1510"/>
        <w:gridCol w:w="1902"/>
        <w:gridCol w:w="1402"/>
        <w:gridCol w:w="1634"/>
        <w:gridCol w:w="1321"/>
      </w:tblGrid>
      <w:tr w14:paraId="3DD10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2" w:type="dxa"/>
            <w:tcBorders>
              <w:tl2br w:val="single" w:color="auto" w:sz="4" w:space="0"/>
            </w:tcBorders>
            <w:tcMar>
              <w:left w:w="28" w:type="dxa"/>
              <w:right w:w="28" w:type="dxa"/>
            </w:tcMar>
            <w:vAlign w:val="center"/>
          </w:tcPr>
          <w:p w14:paraId="236F0AD9">
            <w:pPr>
              <w:adjustRightInd w:val="0"/>
              <w:snapToGrid w:val="0"/>
              <w:jc w:val="center"/>
              <w:rPr>
                <w:b/>
                <w:snapToGrid w:val="0"/>
                <w:color w:val="auto"/>
                <w:spacing w:val="-6"/>
                <w:kern w:val="21"/>
                <w:szCs w:val="21"/>
              </w:rPr>
            </w:pPr>
            <w:r>
              <w:rPr>
                <w:rFonts w:hint="eastAsia" w:hAnsi="宋体"/>
                <w:b/>
                <w:snapToGrid w:val="0"/>
                <w:color w:val="auto"/>
                <w:spacing w:val="-6"/>
                <w:kern w:val="21"/>
                <w:szCs w:val="21"/>
                <w:lang w:val="en-US" w:eastAsia="zh-CN"/>
              </w:rPr>
              <w:t xml:space="preserve">     </w:t>
            </w:r>
            <w:r>
              <w:rPr>
                <w:rFonts w:hAnsi="宋体"/>
                <w:b/>
                <w:snapToGrid w:val="0"/>
                <w:color w:val="auto"/>
                <w:spacing w:val="-6"/>
                <w:kern w:val="21"/>
                <w:szCs w:val="21"/>
              </w:rPr>
              <w:t>项目</w:t>
            </w:r>
          </w:p>
          <w:p w14:paraId="4774CC4A">
            <w:pPr>
              <w:adjustRightInd w:val="0"/>
              <w:snapToGrid w:val="0"/>
              <w:jc w:val="left"/>
              <w:rPr>
                <w:b/>
                <w:snapToGrid w:val="0"/>
                <w:color w:val="auto"/>
                <w:spacing w:val="-6"/>
                <w:kern w:val="21"/>
                <w:szCs w:val="21"/>
              </w:rPr>
            </w:pPr>
            <w:r>
              <w:rPr>
                <w:rFonts w:hAnsi="宋体"/>
                <w:b/>
                <w:snapToGrid w:val="0"/>
                <w:color w:val="auto"/>
                <w:spacing w:val="-6"/>
                <w:kern w:val="21"/>
                <w:szCs w:val="21"/>
              </w:rPr>
              <w:t>分类</w:t>
            </w:r>
          </w:p>
        </w:tc>
        <w:tc>
          <w:tcPr>
            <w:tcW w:w="1758" w:type="dxa"/>
            <w:tcMar>
              <w:left w:w="28" w:type="dxa"/>
              <w:right w:w="28" w:type="dxa"/>
            </w:tcMar>
            <w:vAlign w:val="center"/>
          </w:tcPr>
          <w:p w14:paraId="14A40B52">
            <w:pPr>
              <w:adjustRightInd w:val="0"/>
              <w:snapToGrid w:val="0"/>
              <w:jc w:val="center"/>
              <w:rPr>
                <w:b/>
                <w:snapToGrid w:val="0"/>
                <w:color w:val="auto"/>
                <w:kern w:val="21"/>
                <w:szCs w:val="21"/>
              </w:rPr>
            </w:pPr>
            <w:r>
              <w:rPr>
                <w:rFonts w:hAnsi="宋体"/>
                <w:b/>
                <w:snapToGrid w:val="0"/>
                <w:color w:val="auto"/>
                <w:kern w:val="21"/>
                <w:szCs w:val="21"/>
              </w:rPr>
              <w:t>污染物名称</w:t>
            </w:r>
          </w:p>
        </w:tc>
        <w:tc>
          <w:tcPr>
            <w:tcW w:w="1632" w:type="dxa"/>
            <w:tcMar>
              <w:left w:w="28" w:type="dxa"/>
              <w:right w:w="28" w:type="dxa"/>
            </w:tcMar>
            <w:vAlign w:val="center"/>
          </w:tcPr>
          <w:p w14:paraId="15348EBE">
            <w:pPr>
              <w:adjustRightInd w:val="0"/>
              <w:snapToGrid w:val="0"/>
              <w:jc w:val="center"/>
              <w:rPr>
                <w:b/>
                <w:snapToGrid w:val="0"/>
                <w:color w:val="auto"/>
                <w:kern w:val="21"/>
                <w:szCs w:val="21"/>
              </w:rPr>
            </w:pPr>
            <w:r>
              <w:rPr>
                <w:rFonts w:hAnsi="宋体"/>
                <w:b/>
                <w:snapToGrid w:val="0"/>
                <w:color w:val="auto"/>
                <w:kern w:val="21"/>
                <w:szCs w:val="21"/>
              </w:rPr>
              <w:t>现有工程</w:t>
            </w:r>
          </w:p>
          <w:p w14:paraId="2A665C96">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1 \* GB3 \* MERGEFORMAT </w:instrText>
            </w:r>
            <w:r>
              <w:rPr>
                <w:b/>
                <w:snapToGrid w:val="0"/>
                <w:color w:val="auto"/>
                <w:kern w:val="21"/>
                <w:szCs w:val="21"/>
              </w:rPr>
              <w:fldChar w:fldCharType="separate"/>
            </w:r>
            <w:r>
              <w:rPr>
                <w:rFonts w:hAnsi="宋体"/>
                <w:b/>
                <w:color w:val="auto"/>
                <w:szCs w:val="21"/>
              </w:rPr>
              <w:t>①</w:t>
            </w:r>
            <w:r>
              <w:rPr>
                <w:b/>
                <w:snapToGrid w:val="0"/>
                <w:color w:val="auto"/>
                <w:kern w:val="21"/>
                <w:szCs w:val="21"/>
              </w:rPr>
              <w:fldChar w:fldCharType="end"/>
            </w:r>
          </w:p>
        </w:tc>
        <w:tc>
          <w:tcPr>
            <w:tcW w:w="1221" w:type="dxa"/>
            <w:tcMar>
              <w:left w:w="28" w:type="dxa"/>
              <w:right w:w="28" w:type="dxa"/>
            </w:tcMar>
            <w:vAlign w:val="center"/>
          </w:tcPr>
          <w:p w14:paraId="7D70B49F">
            <w:pPr>
              <w:adjustRightInd w:val="0"/>
              <w:snapToGrid w:val="0"/>
              <w:jc w:val="center"/>
              <w:rPr>
                <w:b/>
                <w:snapToGrid w:val="0"/>
                <w:color w:val="auto"/>
                <w:kern w:val="21"/>
                <w:szCs w:val="21"/>
              </w:rPr>
            </w:pPr>
            <w:r>
              <w:rPr>
                <w:rFonts w:hAnsi="宋体"/>
                <w:b/>
                <w:snapToGrid w:val="0"/>
                <w:color w:val="auto"/>
                <w:kern w:val="21"/>
                <w:szCs w:val="21"/>
              </w:rPr>
              <w:t>现有工程</w:t>
            </w:r>
          </w:p>
          <w:p w14:paraId="35A70367">
            <w:pPr>
              <w:adjustRightInd w:val="0"/>
              <w:snapToGrid w:val="0"/>
              <w:jc w:val="center"/>
              <w:rPr>
                <w:b/>
                <w:snapToGrid w:val="0"/>
                <w:color w:val="auto"/>
                <w:kern w:val="21"/>
                <w:szCs w:val="21"/>
              </w:rPr>
            </w:pPr>
            <w:r>
              <w:rPr>
                <w:rFonts w:hAnsi="宋体"/>
                <w:b/>
                <w:snapToGrid w:val="0"/>
                <w:color w:val="auto"/>
                <w:kern w:val="21"/>
                <w:szCs w:val="21"/>
              </w:rPr>
              <w:t>许可排放量</w:t>
            </w:r>
          </w:p>
          <w:p w14:paraId="4997DE62">
            <w:pPr>
              <w:adjustRightInd w:val="0"/>
              <w:snapToGrid w:val="0"/>
              <w:jc w:val="center"/>
              <w:rPr>
                <w:b/>
                <w:snapToGrid w:val="0"/>
                <w:color w:val="auto"/>
                <w:kern w:val="21"/>
                <w:szCs w:val="21"/>
              </w:rPr>
            </w:pPr>
            <w:r>
              <w:rPr>
                <w:b/>
                <w:snapToGrid w:val="0"/>
                <w:color w:val="auto"/>
                <w:kern w:val="21"/>
                <w:szCs w:val="21"/>
              </w:rPr>
              <w:fldChar w:fldCharType="begin"/>
            </w:r>
            <w:r>
              <w:rPr>
                <w:b/>
                <w:snapToGrid w:val="0"/>
                <w:color w:val="auto"/>
                <w:kern w:val="21"/>
                <w:szCs w:val="21"/>
              </w:rPr>
              <w:instrText xml:space="preserve"> = 2 \* GB3 \* MERGEFORMAT </w:instrText>
            </w:r>
            <w:r>
              <w:rPr>
                <w:b/>
                <w:snapToGrid w:val="0"/>
                <w:color w:val="auto"/>
                <w:kern w:val="21"/>
                <w:szCs w:val="21"/>
              </w:rPr>
              <w:fldChar w:fldCharType="separate"/>
            </w:r>
            <w:r>
              <w:rPr>
                <w:rFonts w:hAnsi="宋体"/>
                <w:b/>
                <w:snapToGrid w:val="0"/>
                <w:color w:val="auto"/>
                <w:kern w:val="21"/>
                <w:szCs w:val="21"/>
              </w:rPr>
              <w:t>②</w:t>
            </w:r>
            <w:r>
              <w:rPr>
                <w:b/>
                <w:snapToGrid w:val="0"/>
                <w:color w:val="auto"/>
                <w:kern w:val="21"/>
                <w:szCs w:val="21"/>
              </w:rPr>
              <w:fldChar w:fldCharType="end"/>
            </w:r>
          </w:p>
        </w:tc>
        <w:tc>
          <w:tcPr>
            <w:tcW w:w="1510" w:type="dxa"/>
            <w:tcMar>
              <w:left w:w="28" w:type="dxa"/>
              <w:right w:w="28" w:type="dxa"/>
            </w:tcMar>
            <w:vAlign w:val="center"/>
          </w:tcPr>
          <w:p w14:paraId="552362AC">
            <w:pPr>
              <w:adjustRightInd w:val="0"/>
              <w:snapToGrid w:val="0"/>
              <w:jc w:val="center"/>
              <w:rPr>
                <w:rFonts w:hAnsi="宋体"/>
                <w:b/>
                <w:snapToGrid w:val="0"/>
                <w:color w:val="auto"/>
                <w:kern w:val="21"/>
                <w:szCs w:val="21"/>
              </w:rPr>
            </w:pPr>
            <w:r>
              <w:rPr>
                <w:rFonts w:hAnsi="宋体"/>
                <w:b/>
                <w:snapToGrid w:val="0"/>
                <w:color w:val="auto"/>
                <w:kern w:val="21"/>
                <w:szCs w:val="21"/>
              </w:rPr>
              <w:t>在建工程</w:t>
            </w:r>
          </w:p>
          <w:p w14:paraId="2A387F29">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3 \* GB3 \* MERGEFORMAT </w:instrText>
            </w:r>
            <w:r>
              <w:rPr>
                <w:b/>
                <w:snapToGrid w:val="0"/>
                <w:color w:val="auto"/>
                <w:kern w:val="21"/>
                <w:szCs w:val="21"/>
              </w:rPr>
              <w:fldChar w:fldCharType="separate"/>
            </w:r>
            <w:r>
              <w:rPr>
                <w:rFonts w:hAnsi="宋体"/>
                <w:b/>
                <w:color w:val="auto"/>
                <w:szCs w:val="21"/>
              </w:rPr>
              <w:t>③</w:t>
            </w:r>
            <w:r>
              <w:rPr>
                <w:b/>
                <w:snapToGrid w:val="0"/>
                <w:color w:val="auto"/>
                <w:kern w:val="21"/>
                <w:szCs w:val="21"/>
              </w:rPr>
              <w:fldChar w:fldCharType="end"/>
            </w:r>
          </w:p>
        </w:tc>
        <w:tc>
          <w:tcPr>
            <w:tcW w:w="1902" w:type="dxa"/>
            <w:tcMar>
              <w:left w:w="28" w:type="dxa"/>
              <w:right w:w="28" w:type="dxa"/>
            </w:tcMar>
            <w:vAlign w:val="center"/>
          </w:tcPr>
          <w:p w14:paraId="3A4F943A">
            <w:pPr>
              <w:adjustRightInd w:val="0"/>
              <w:snapToGrid w:val="0"/>
              <w:jc w:val="center"/>
              <w:rPr>
                <w:rFonts w:hAnsi="宋体"/>
                <w:b/>
                <w:snapToGrid w:val="0"/>
                <w:color w:val="auto"/>
                <w:kern w:val="21"/>
                <w:szCs w:val="21"/>
              </w:rPr>
            </w:pPr>
            <w:r>
              <w:rPr>
                <w:rFonts w:hAnsi="宋体"/>
                <w:b/>
                <w:snapToGrid w:val="0"/>
                <w:color w:val="auto"/>
                <w:kern w:val="21"/>
                <w:szCs w:val="21"/>
              </w:rPr>
              <w:t>本项目</w:t>
            </w:r>
          </w:p>
          <w:p w14:paraId="75FF535B">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4 \* GB3 \* MERGEFORMAT </w:instrText>
            </w:r>
            <w:r>
              <w:rPr>
                <w:b/>
                <w:snapToGrid w:val="0"/>
                <w:color w:val="auto"/>
                <w:kern w:val="21"/>
                <w:szCs w:val="21"/>
              </w:rPr>
              <w:fldChar w:fldCharType="separate"/>
            </w:r>
            <w:r>
              <w:rPr>
                <w:rFonts w:hAnsi="宋体"/>
                <w:b/>
                <w:color w:val="auto"/>
                <w:szCs w:val="21"/>
              </w:rPr>
              <w:t>④</w:t>
            </w:r>
            <w:r>
              <w:rPr>
                <w:b/>
                <w:snapToGrid w:val="0"/>
                <w:color w:val="auto"/>
                <w:kern w:val="21"/>
                <w:szCs w:val="21"/>
              </w:rPr>
              <w:fldChar w:fldCharType="end"/>
            </w:r>
          </w:p>
        </w:tc>
        <w:tc>
          <w:tcPr>
            <w:tcW w:w="1402" w:type="dxa"/>
            <w:tcMar>
              <w:left w:w="28" w:type="dxa"/>
              <w:right w:w="28" w:type="dxa"/>
            </w:tcMar>
            <w:vAlign w:val="center"/>
          </w:tcPr>
          <w:p w14:paraId="59CADC5A">
            <w:pPr>
              <w:adjustRightInd w:val="0"/>
              <w:snapToGrid w:val="0"/>
              <w:jc w:val="center"/>
              <w:rPr>
                <w:b/>
                <w:snapToGrid w:val="0"/>
                <w:color w:val="auto"/>
                <w:kern w:val="21"/>
                <w:szCs w:val="21"/>
              </w:rPr>
            </w:pPr>
            <w:r>
              <w:rPr>
                <w:rFonts w:hAnsi="宋体"/>
                <w:b/>
                <w:snapToGrid w:val="0"/>
                <w:color w:val="auto"/>
                <w:kern w:val="21"/>
                <w:szCs w:val="21"/>
              </w:rPr>
              <w:t>以新带老削减量（新建项目不填）</w:t>
            </w:r>
            <w:r>
              <w:rPr>
                <w:b/>
                <w:snapToGrid w:val="0"/>
                <w:color w:val="auto"/>
                <w:kern w:val="21"/>
                <w:szCs w:val="21"/>
              </w:rPr>
              <w:fldChar w:fldCharType="begin"/>
            </w:r>
            <w:r>
              <w:rPr>
                <w:b/>
                <w:snapToGrid w:val="0"/>
                <w:color w:val="auto"/>
                <w:kern w:val="21"/>
                <w:szCs w:val="21"/>
              </w:rPr>
              <w:instrText xml:space="preserve"> = 5 \* GB3 \* MERGEFORMAT </w:instrText>
            </w:r>
            <w:r>
              <w:rPr>
                <w:b/>
                <w:snapToGrid w:val="0"/>
                <w:color w:val="auto"/>
                <w:kern w:val="21"/>
                <w:szCs w:val="21"/>
              </w:rPr>
              <w:fldChar w:fldCharType="separate"/>
            </w:r>
            <w:r>
              <w:rPr>
                <w:rFonts w:hAnsi="宋体"/>
                <w:b/>
                <w:color w:val="auto"/>
                <w:szCs w:val="21"/>
              </w:rPr>
              <w:t>⑤</w:t>
            </w:r>
            <w:r>
              <w:rPr>
                <w:b/>
                <w:snapToGrid w:val="0"/>
                <w:color w:val="auto"/>
                <w:kern w:val="21"/>
                <w:szCs w:val="21"/>
              </w:rPr>
              <w:fldChar w:fldCharType="end"/>
            </w:r>
          </w:p>
        </w:tc>
        <w:tc>
          <w:tcPr>
            <w:tcW w:w="1634" w:type="dxa"/>
            <w:tcMar>
              <w:left w:w="28" w:type="dxa"/>
              <w:right w:w="28" w:type="dxa"/>
            </w:tcMar>
            <w:vAlign w:val="center"/>
          </w:tcPr>
          <w:p w14:paraId="405B575A">
            <w:pPr>
              <w:adjustRightInd w:val="0"/>
              <w:snapToGrid w:val="0"/>
              <w:jc w:val="center"/>
              <w:rPr>
                <w:b/>
                <w:snapToGrid w:val="0"/>
                <w:color w:val="auto"/>
                <w:kern w:val="21"/>
                <w:szCs w:val="21"/>
              </w:rPr>
            </w:pPr>
            <w:r>
              <w:rPr>
                <w:rFonts w:hAnsi="宋体"/>
                <w:b/>
                <w:snapToGrid w:val="0"/>
                <w:color w:val="auto"/>
                <w:kern w:val="21"/>
                <w:szCs w:val="21"/>
              </w:rPr>
              <w:t>本项目建成后全厂排放量（固体废物产生量）</w:t>
            </w:r>
            <w:r>
              <w:rPr>
                <w:b/>
                <w:snapToGrid w:val="0"/>
                <w:color w:val="auto"/>
                <w:kern w:val="21"/>
                <w:szCs w:val="21"/>
              </w:rPr>
              <w:fldChar w:fldCharType="begin"/>
            </w:r>
            <w:r>
              <w:rPr>
                <w:b/>
                <w:snapToGrid w:val="0"/>
                <w:color w:val="auto"/>
                <w:kern w:val="21"/>
                <w:szCs w:val="21"/>
              </w:rPr>
              <w:instrText xml:space="preserve"> = 6 \* GB3 \* MERGEFORMAT </w:instrText>
            </w:r>
            <w:r>
              <w:rPr>
                <w:b/>
                <w:snapToGrid w:val="0"/>
                <w:color w:val="auto"/>
                <w:kern w:val="21"/>
                <w:szCs w:val="21"/>
              </w:rPr>
              <w:fldChar w:fldCharType="separate"/>
            </w:r>
            <w:r>
              <w:rPr>
                <w:rFonts w:hAnsi="宋体"/>
                <w:b/>
                <w:color w:val="auto"/>
                <w:szCs w:val="21"/>
              </w:rPr>
              <w:t>⑥</w:t>
            </w:r>
            <w:r>
              <w:rPr>
                <w:b/>
                <w:snapToGrid w:val="0"/>
                <w:color w:val="auto"/>
                <w:kern w:val="21"/>
                <w:szCs w:val="21"/>
              </w:rPr>
              <w:fldChar w:fldCharType="end"/>
            </w:r>
          </w:p>
        </w:tc>
        <w:tc>
          <w:tcPr>
            <w:tcW w:w="1321" w:type="dxa"/>
            <w:tcMar>
              <w:left w:w="28" w:type="dxa"/>
              <w:right w:w="28" w:type="dxa"/>
            </w:tcMar>
            <w:vAlign w:val="center"/>
          </w:tcPr>
          <w:p w14:paraId="2CD11157">
            <w:pPr>
              <w:adjustRightInd w:val="0"/>
              <w:snapToGrid w:val="0"/>
              <w:jc w:val="center"/>
              <w:rPr>
                <w:b/>
                <w:snapToGrid w:val="0"/>
                <w:color w:val="auto"/>
                <w:kern w:val="21"/>
                <w:szCs w:val="21"/>
              </w:rPr>
            </w:pPr>
            <w:r>
              <w:rPr>
                <w:rFonts w:hAnsi="宋体"/>
                <w:b/>
                <w:snapToGrid w:val="0"/>
                <w:color w:val="auto"/>
                <w:kern w:val="21"/>
                <w:szCs w:val="21"/>
              </w:rPr>
              <w:t>变化量</w:t>
            </w:r>
          </w:p>
          <w:p w14:paraId="38EC0DD2">
            <w:pPr>
              <w:adjustRightInd w:val="0"/>
              <w:snapToGrid w:val="0"/>
              <w:jc w:val="center"/>
              <w:rPr>
                <w:b/>
                <w:snapToGrid w:val="0"/>
                <w:color w:val="auto"/>
                <w:kern w:val="21"/>
                <w:szCs w:val="21"/>
              </w:rPr>
            </w:pPr>
            <w:r>
              <w:rPr>
                <w:b/>
                <w:snapToGrid w:val="0"/>
                <w:color w:val="auto"/>
                <w:kern w:val="21"/>
                <w:szCs w:val="21"/>
              </w:rPr>
              <w:fldChar w:fldCharType="begin"/>
            </w:r>
            <w:r>
              <w:rPr>
                <w:b/>
                <w:snapToGrid w:val="0"/>
                <w:color w:val="auto"/>
                <w:kern w:val="21"/>
                <w:szCs w:val="21"/>
              </w:rPr>
              <w:instrText xml:space="preserve"> = 7 \* GB3 \* MERGEFORMAT </w:instrText>
            </w:r>
            <w:r>
              <w:rPr>
                <w:b/>
                <w:snapToGrid w:val="0"/>
                <w:color w:val="auto"/>
                <w:kern w:val="21"/>
                <w:szCs w:val="21"/>
              </w:rPr>
              <w:fldChar w:fldCharType="separate"/>
            </w:r>
            <w:r>
              <w:rPr>
                <w:rFonts w:hAnsi="宋体"/>
                <w:b/>
                <w:color w:val="auto"/>
                <w:szCs w:val="21"/>
              </w:rPr>
              <w:t>⑦</w:t>
            </w:r>
            <w:r>
              <w:rPr>
                <w:b/>
                <w:snapToGrid w:val="0"/>
                <w:color w:val="auto"/>
                <w:kern w:val="21"/>
                <w:szCs w:val="21"/>
              </w:rPr>
              <w:fldChar w:fldCharType="end"/>
            </w:r>
          </w:p>
        </w:tc>
      </w:tr>
      <w:tr w14:paraId="15E87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Align w:val="center"/>
          </w:tcPr>
          <w:p w14:paraId="6C6EF5EE">
            <w:pPr>
              <w:adjustRightInd w:val="0"/>
              <w:snapToGrid w:val="0"/>
              <w:jc w:val="center"/>
              <w:rPr>
                <w:snapToGrid w:val="0"/>
                <w:color w:val="auto"/>
                <w:kern w:val="21"/>
                <w:szCs w:val="21"/>
              </w:rPr>
            </w:pPr>
            <w:r>
              <w:rPr>
                <w:rFonts w:hAnsi="宋体"/>
                <w:snapToGrid w:val="0"/>
                <w:color w:val="auto"/>
                <w:kern w:val="21"/>
                <w:szCs w:val="21"/>
              </w:rPr>
              <w:t>废气</w:t>
            </w:r>
          </w:p>
        </w:tc>
        <w:tc>
          <w:tcPr>
            <w:tcW w:w="1758" w:type="dxa"/>
            <w:vAlign w:val="center"/>
          </w:tcPr>
          <w:p w14:paraId="19679065">
            <w:pPr>
              <w:jc w:val="center"/>
              <w:rPr>
                <w:rFonts w:hint="eastAsia" w:ascii="Times New Roman" w:hAnsi="Times New Roman" w:eastAsia="宋体" w:cs="Times New Roman"/>
                <w:snapToGrid w:val="0"/>
                <w:color w:val="auto"/>
                <w:kern w:val="21"/>
                <w:szCs w:val="21"/>
                <w:lang w:eastAsia="zh-CN"/>
              </w:rPr>
            </w:pPr>
            <w:r>
              <w:rPr>
                <w:rFonts w:hint="eastAsia" w:ascii="Times New Roman" w:hAnsi="Times New Roman" w:eastAsia="宋体" w:cs="Times New Roman"/>
                <w:snapToGrid w:val="0"/>
                <w:color w:val="auto"/>
                <w:kern w:val="21"/>
                <w:szCs w:val="21"/>
                <w:lang w:eastAsia="zh-CN"/>
              </w:rPr>
              <w:t>颗粒物</w:t>
            </w:r>
          </w:p>
        </w:tc>
        <w:tc>
          <w:tcPr>
            <w:tcW w:w="1632" w:type="dxa"/>
            <w:shd w:val="clear" w:color="auto" w:fill="auto"/>
            <w:vAlign w:val="center"/>
          </w:tcPr>
          <w:p w14:paraId="15D98BAA">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560884E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510" w:type="dxa"/>
            <w:shd w:val="clear" w:color="auto" w:fill="auto"/>
            <w:vAlign w:val="center"/>
          </w:tcPr>
          <w:p w14:paraId="109AD0D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902" w:type="dxa"/>
            <w:shd w:val="clear" w:color="auto" w:fill="auto"/>
            <w:vAlign w:val="center"/>
          </w:tcPr>
          <w:p w14:paraId="792071FF">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0.6326</w:t>
            </w:r>
          </w:p>
        </w:tc>
        <w:tc>
          <w:tcPr>
            <w:tcW w:w="1402" w:type="dxa"/>
            <w:shd w:val="clear" w:color="auto" w:fill="auto"/>
            <w:vAlign w:val="center"/>
          </w:tcPr>
          <w:p w14:paraId="3598940A">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w:t>
            </w:r>
          </w:p>
        </w:tc>
        <w:tc>
          <w:tcPr>
            <w:tcW w:w="1634" w:type="dxa"/>
            <w:shd w:val="clear" w:color="auto" w:fill="auto"/>
            <w:vAlign w:val="center"/>
          </w:tcPr>
          <w:p w14:paraId="1393BF38">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0.6326</w:t>
            </w:r>
          </w:p>
        </w:tc>
        <w:tc>
          <w:tcPr>
            <w:tcW w:w="1321" w:type="dxa"/>
            <w:shd w:val="clear" w:color="auto" w:fill="auto"/>
            <w:vAlign w:val="center"/>
          </w:tcPr>
          <w:p w14:paraId="0A4B062B">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+0.6326</w:t>
            </w:r>
          </w:p>
        </w:tc>
      </w:tr>
      <w:tr w14:paraId="53B8D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restart"/>
            <w:vAlign w:val="center"/>
          </w:tcPr>
          <w:p w14:paraId="3BFADEE1">
            <w:pPr>
              <w:adjustRightInd w:val="0"/>
              <w:snapToGrid w:val="0"/>
              <w:jc w:val="center"/>
              <w:rPr>
                <w:rFonts w:hint="eastAsia" w:hAnsi="宋体" w:eastAsia="宋体"/>
                <w:snapToGrid w:val="0"/>
                <w:color w:val="auto"/>
                <w:kern w:val="21"/>
                <w:szCs w:val="21"/>
                <w:lang w:eastAsia="zh-CN"/>
              </w:rPr>
            </w:pPr>
            <w:r>
              <w:rPr>
                <w:rFonts w:hint="eastAsia" w:hAnsi="宋体"/>
                <w:snapToGrid w:val="0"/>
                <w:color w:val="auto"/>
                <w:kern w:val="21"/>
                <w:szCs w:val="21"/>
                <w:lang w:eastAsia="zh-CN"/>
              </w:rPr>
              <w:t>废水</w:t>
            </w:r>
          </w:p>
        </w:tc>
        <w:tc>
          <w:tcPr>
            <w:tcW w:w="1758" w:type="dxa"/>
            <w:shd w:val="clear" w:color="auto" w:fill="auto"/>
            <w:vAlign w:val="center"/>
          </w:tcPr>
          <w:p w14:paraId="7783A685">
            <w:pPr>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eastAsia="zh-CN"/>
              </w:rPr>
              <w:t>COD</w:t>
            </w:r>
          </w:p>
        </w:tc>
        <w:tc>
          <w:tcPr>
            <w:tcW w:w="1632" w:type="dxa"/>
            <w:shd w:val="clear" w:color="auto" w:fill="auto"/>
            <w:vAlign w:val="center"/>
          </w:tcPr>
          <w:p w14:paraId="4C2EEF66">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64232CBC">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510" w:type="dxa"/>
            <w:shd w:val="clear" w:color="auto" w:fill="auto"/>
            <w:vAlign w:val="center"/>
          </w:tcPr>
          <w:p w14:paraId="360CC770">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902" w:type="dxa"/>
            <w:shd w:val="clear" w:color="auto" w:fill="auto"/>
            <w:vAlign w:val="center"/>
          </w:tcPr>
          <w:p w14:paraId="2EBDA412">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402" w:type="dxa"/>
            <w:shd w:val="clear" w:color="auto" w:fill="auto"/>
            <w:vAlign w:val="center"/>
          </w:tcPr>
          <w:p w14:paraId="369F08CD">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634" w:type="dxa"/>
            <w:shd w:val="clear" w:color="auto" w:fill="auto"/>
            <w:vAlign w:val="center"/>
          </w:tcPr>
          <w:p w14:paraId="244FB62C">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321" w:type="dxa"/>
            <w:shd w:val="clear" w:color="auto" w:fill="auto"/>
            <w:vAlign w:val="center"/>
          </w:tcPr>
          <w:p w14:paraId="2A7FAD02">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14:paraId="19F87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6919E34C">
            <w:pPr>
              <w:adjustRightInd w:val="0"/>
              <w:snapToGrid w:val="0"/>
              <w:jc w:val="center"/>
              <w:rPr>
                <w:rFonts w:hAnsi="宋体"/>
                <w:snapToGrid w:val="0"/>
                <w:color w:val="auto"/>
                <w:kern w:val="21"/>
                <w:szCs w:val="21"/>
              </w:rPr>
            </w:pPr>
          </w:p>
        </w:tc>
        <w:tc>
          <w:tcPr>
            <w:tcW w:w="1758" w:type="dxa"/>
            <w:shd w:val="clear" w:color="auto" w:fill="auto"/>
            <w:vAlign w:val="center"/>
          </w:tcPr>
          <w:p w14:paraId="330DED4F">
            <w:pPr>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eastAsia="zh-CN"/>
              </w:rPr>
              <w:t>BOD</w:t>
            </w:r>
            <w:r>
              <w:rPr>
                <w:rFonts w:hint="eastAsia" w:ascii="Times New Roman" w:hAnsi="Times New Roman" w:eastAsia="宋体" w:cs="Times New Roman"/>
                <w:snapToGrid w:val="0"/>
                <w:color w:val="auto"/>
                <w:kern w:val="21"/>
                <w:szCs w:val="21"/>
                <w:vertAlign w:val="subscript"/>
                <w:lang w:eastAsia="zh-CN"/>
              </w:rPr>
              <w:t>5</w:t>
            </w:r>
          </w:p>
        </w:tc>
        <w:tc>
          <w:tcPr>
            <w:tcW w:w="1632" w:type="dxa"/>
            <w:shd w:val="clear" w:color="auto" w:fill="auto"/>
            <w:vAlign w:val="center"/>
          </w:tcPr>
          <w:p w14:paraId="25207AEB">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7653E036">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510" w:type="dxa"/>
            <w:shd w:val="clear" w:color="auto" w:fill="auto"/>
            <w:vAlign w:val="center"/>
          </w:tcPr>
          <w:p w14:paraId="49E94493">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902" w:type="dxa"/>
            <w:shd w:val="clear" w:color="auto" w:fill="auto"/>
            <w:vAlign w:val="center"/>
          </w:tcPr>
          <w:p w14:paraId="5A2D606F">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402" w:type="dxa"/>
            <w:shd w:val="clear" w:color="auto" w:fill="auto"/>
            <w:vAlign w:val="center"/>
          </w:tcPr>
          <w:p w14:paraId="40CAE9C1">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634" w:type="dxa"/>
            <w:shd w:val="clear" w:color="auto" w:fill="auto"/>
            <w:vAlign w:val="center"/>
          </w:tcPr>
          <w:p w14:paraId="17F1F48F">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321" w:type="dxa"/>
            <w:shd w:val="clear" w:color="auto" w:fill="auto"/>
            <w:vAlign w:val="center"/>
          </w:tcPr>
          <w:p w14:paraId="435E544D">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14:paraId="13147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550D9E44">
            <w:pPr>
              <w:adjustRightInd w:val="0"/>
              <w:snapToGrid w:val="0"/>
              <w:jc w:val="center"/>
              <w:rPr>
                <w:rFonts w:hAnsi="宋体"/>
                <w:snapToGrid w:val="0"/>
                <w:color w:val="auto"/>
                <w:kern w:val="21"/>
                <w:szCs w:val="21"/>
              </w:rPr>
            </w:pPr>
          </w:p>
        </w:tc>
        <w:tc>
          <w:tcPr>
            <w:tcW w:w="1758" w:type="dxa"/>
            <w:shd w:val="clear" w:color="auto" w:fill="auto"/>
            <w:vAlign w:val="center"/>
          </w:tcPr>
          <w:p w14:paraId="074C016E">
            <w:pPr>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eastAsia="zh-CN"/>
              </w:rPr>
              <w:t>SS</w:t>
            </w:r>
          </w:p>
        </w:tc>
        <w:tc>
          <w:tcPr>
            <w:tcW w:w="1632" w:type="dxa"/>
            <w:shd w:val="clear" w:color="auto" w:fill="auto"/>
            <w:vAlign w:val="center"/>
          </w:tcPr>
          <w:p w14:paraId="25C90F89">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1996D8CD">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510" w:type="dxa"/>
            <w:shd w:val="clear" w:color="auto" w:fill="auto"/>
            <w:vAlign w:val="center"/>
          </w:tcPr>
          <w:p w14:paraId="56C7D1F7">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902" w:type="dxa"/>
            <w:shd w:val="clear" w:color="auto" w:fill="auto"/>
            <w:vAlign w:val="center"/>
          </w:tcPr>
          <w:p w14:paraId="52286737">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402" w:type="dxa"/>
            <w:shd w:val="clear" w:color="auto" w:fill="auto"/>
            <w:vAlign w:val="center"/>
          </w:tcPr>
          <w:p w14:paraId="307BB4CB">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634" w:type="dxa"/>
            <w:shd w:val="clear" w:color="auto" w:fill="auto"/>
            <w:vAlign w:val="center"/>
          </w:tcPr>
          <w:p w14:paraId="4DF530CD">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321" w:type="dxa"/>
            <w:shd w:val="clear" w:color="auto" w:fill="auto"/>
            <w:vAlign w:val="center"/>
          </w:tcPr>
          <w:p w14:paraId="38895031">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14:paraId="357D2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5CEAAB6E">
            <w:pPr>
              <w:adjustRightInd w:val="0"/>
              <w:snapToGrid w:val="0"/>
              <w:jc w:val="center"/>
              <w:rPr>
                <w:rFonts w:hAnsi="宋体"/>
                <w:snapToGrid w:val="0"/>
                <w:color w:val="auto"/>
                <w:kern w:val="21"/>
                <w:szCs w:val="21"/>
              </w:rPr>
            </w:pPr>
          </w:p>
        </w:tc>
        <w:tc>
          <w:tcPr>
            <w:tcW w:w="1758" w:type="dxa"/>
            <w:shd w:val="clear" w:color="auto" w:fill="auto"/>
            <w:vAlign w:val="center"/>
          </w:tcPr>
          <w:p w14:paraId="22CCF4ED">
            <w:pPr>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eastAsia="zh-CN"/>
              </w:rPr>
              <w:t>氨氮</w:t>
            </w:r>
          </w:p>
        </w:tc>
        <w:tc>
          <w:tcPr>
            <w:tcW w:w="1632" w:type="dxa"/>
            <w:shd w:val="clear" w:color="auto" w:fill="auto"/>
            <w:vAlign w:val="center"/>
          </w:tcPr>
          <w:p w14:paraId="29D62D4F">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71495D3A">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510" w:type="dxa"/>
            <w:shd w:val="clear" w:color="auto" w:fill="auto"/>
            <w:vAlign w:val="center"/>
          </w:tcPr>
          <w:p w14:paraId="26848D14">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902" w:type="dxa"/>
            <w:shd w:val="clear" w:color="auto" w:fill="auto"/>
            <w:vAlign w:val="center"/>
          </w:tcPr>
          <w:p w14:paraId="3C8E709B">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402" w:type="dxa"/>
            <w:shd w:val="clear" w:color="auto" w:fill="auto"/>
            <w:vAlign w:val="center"/>
          </w:tcPr>
          <w:p w14:paraId="4BA4D578">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634" w:type="dxa"/>
            <w:shd w:val="clear" w:color="auto" w:fill="auto"/>
            <w:vAlign w:val="center"/>
          </w:tcPr>
          <w:p w14:paraId="7AAE554C">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321" w:type="dxa"/>
            <w:shd w:val="clear" w:color="auto" w:fill="auto"/>
            <w:vAlign w:val="center"/>
          </w:tcPr>
          <w:p w14:paraId="6F11C97D">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14:paraId="4683F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restart"/>
            <w:vAlign w:val="center"/>
          </w:tcPr>
          <w:p w14:paraId="03DDFF75">
            <w:pPr>
              <w:adjustRightInd w:val="0"/>
              <w:snapToGrid w:val="0"/>
              <w:jc w:val="center"/>
              <w:rPr>
                <w:snapToGrid w:val="0"/>
                <w:color w:val="auto"/>
                <w:kern w:val="21"/>
                <w:szCs w:val="21"/>
              </w:rPr>
            </w:pPr>
            <w:r>
              <w:rPr>
                <w:rFonts w:hAnsi="宋体"/>
                <w:snapToGrid w:val="0"/>
                <w:color w:val="auto"/>
                <w:kern w:val="21"/>
                <w:szCs w:val="21"/>
              </w:rPr>
              <w:t>一般工业</w:t>
            </w:r>
          </w:p>
          <w:p w14:paraId="1D68965C">
            <w:pPr>
              <w:adjustRightInd w:val="0"/>
              <w:snapToGrid w:val="0"/>
              <w:jc w:val="center"/>
              <w:rPr>
                <w:snapToGrid w:val="0"/>
                <w:color w:val="auto"/>
                <w:kern w:val="21"/>
                <w:szCs w:val="21"/>
              </w:rPr>
            </w:pPr>
            <w:r>
              <w:rPr>
                <w:rFonts w:hAnsi="宋体"/>
                <w:snapToGrid w:val="0"/>
                <w:color w:val="auto"/>
                <w:kern w:val="21"/>
                <w:szCs w:val="21"/>
              </w:rPr>
              <w:t>固体废物</w:t>
            </w:r>
          </w:p>
        </w:tc>
        <w:tc>
          <w:tcPr>
            <w:tcW w:w="1758" w:type="dxa"/>
            <w:vAlign w:val="center"/>
          </w:tcPr>
          <w:p w14:paraId="23B10682">
            <w:pPr>
              <w:jc w:val="center"/>
              <w:rPr>
                <w:rFonts w:hint="eastAsia" w:eastAsia="宋体"/>
                <w:snapToGrid w:val="0"/>
                <w:color w:val="auto"/>
                <w:kern w:val="21"/>
                <w:szCs w:val="21"/>
                <w:lang w:val="en-US" w:eastAsia="zh-CN"/>
              </w:rPr>
            </w:pPr>
            <w:r>
              <w:rPr>
                <w:rFonts w:hint="eastAsia"/>
                <w:snapToGrid w:val="0"/>
                <w:color w:val="auto"/>
                <w:kern w:val="21"/>
                <w:szCs w:val="21"/>
              </w:rPr>
              <w:t>废包装</w:t>
            </w:r>
            <w:r>
              <w:rPr>
                <w:rFonts w:hint="eastAsia"/>
                <w:snapToGrid w:val="0"/>
                <w:color w:val="auto"/>
                <w:kern w:val="21"/>
                <w:szCs w:val="21"/>
                <w:lang w:val="en-US" w:eastAsia="zh-CN"/>
              </w:rPr>
              <w:t>袋</w:t>
            </w:r>
          </w:p>
        </w:tc>
        <w:tc>
          <w:tcPr>
            <w:tcW w:w="1632" w:type="dxa"/>
            <w:vAlign w:val="center"/>
          </w:tcPr>
          <w:p w14:paraId="216BF330">
            <w:pPr>
              <w:jc w:val="center"/>
              <w:rPr>
                <w:snapToGrid w:val="0"/>
                <w:color w:val="auto"/>
                <w:kern w:val="21"/>
                <w:szCs w:val="21"/>
              </w:rPr>
            </w:pPr>
            <w:r>
              <w:rPr>
                <w:rFonts w:hint="eastAsia"/>
                <w:color w:val="auto"/>
                <w:szCs w:val="21"/>
              </w:rPr>
              <w:t>--</w:t>
            </w:r>
          </w:p>
        </w:tc>
        <w:tc>
          <w:tcPr>
            <w:tcW w:w="1221" w:type="dxa"/>
            <w:vAlign w:val="center"/>
          </w:tcPr>
          <w:p w14:paraId="698F8CFC">
            <w:pPr>
              <w:jc w:val="center"/>
              <w:rPr>
                <w:color w:val="auto"/>
                <w:szCs w:val="21"/>
              </w:rPr>
            </w:pPr>
            <w:r>
              <w:rPr>
                <w:rFonts w:hint="eastAsia"/>
                <w:color w:val="auto"/>
                <w:szCs w:val="21"/>
              </w:rPr>
              <w:t>--</w:t>
            </w:r>
          </w:p>
        </w:tc>
        <w:tc>
          <w:tcPr>
            <w:tcW w:w="1510" w:type="dxa"/>
            <w:vAlign w:val="center"/>
          </w:tcPr>
          <w:p w14:paraId="60AF15EF">
            <w:pPr>
              <w:jc w:val="center"/>
              <w:rPr>
                <w:color w:val="auto"/>
                <w:szCs w:val="21"/>
              </w:rPr>
            </w:pPr>
            <w:r>
              <w:rPr>
                <w:rFonts w:hint="eastAsia"/>
                <w:color w:val="auto"/>
                <w:szCs w:val="21"/>
              </w:rPr>
              <w:t>--</w:t>
            </w:r>
          </w:p>
        </w:tc>
        <w:tc>
          <w:tcPr>
            <w:tcW w:w="1902" w:type="dxa"/>
            <w:vAlign w:val="center"/>
          </w:tcPr>
          <w:p w14:paraId="61D00F35">
            <w:pPr>
              <w:adjustRightInd w:val="0"/>
              <w:jc w:val="center"/>
              <w:rPr>
                <w:snapToGrid w:val="0"/>
                <w:color w:val="auto"/>
                <w:kern w:val="21"/>
                <w:szCs w:val="21"/>
              </w:rPr>
            </w:pPr>
            <w:r>
              <w:rPr>
                <w:rFonts w:hint="eastAsia"/>
                <w:sz w:val="21"/>
                <w:szCs w:val="21"/>
                <w:lang w:val="en-US" w:eastAsia="zh-CN"/>
              </w:rPr>
              <w:t>0.05</w:t>
            </w:r>
          </w:p>
        </w:tc>
        <w:tc>
          <w:tcPr>
            <w:tcW w:w="1402" w:type="dxa"/>
            <w:vAlign w:val="center"/>
          </w:tcPr>
          <w:p w14:paraId="040CB77A">
            <w:pPr>
              <w:adjustRightInd w:val="0"/>
              <w:snapToGrid w:val="0"/>
              <w:jc w:val="center"/>
              <w:rPr>
                <w:snapToGrid w:val="0"/>
                <w:color w:val="auto"/>
                <w:kern w:val="21"/>
                <w:szCs w:val="21"/>
              </w:rPr>
            </w:pPr>
            <w:r>
              <w:rPr>
                <w:rFonts w:hint="eastAsia"/>
                <w:snapToGrid w:val="0"/>
                <w:color w:val="auto"/>
                <w:kern w:val="21"/>
                <w:szCs w:val="21"/>
              </w:rPr>
              <w:t>--</w:t>
            </w:r>
          </w:p>
        </w:tc>
        <w:tc>
          <w:tcPr>
            <w:tcW w:w="1634" w:type="dxa"/>
            <w:shd w:val="clear" w:color="auto" w:fill="auto"/>
            <w:vAlign w:val="center"/>
          </w:tcPr>
          <w:p w14:paraId="70F2D849">
            <w:pPr>
              <w:adjustRightInd w:val="0"/>
              <w:jc w:val="center"/>
              <w:rPr>
                <w:rFonts w:ascii="Times New Roman" w:hAnsi="Times New Roman" w:eastAsia="宋体" w:cs="Times New Roman"/>
                <w:snapToGrid w:val="0"/>
                <w:color w:val="auto"/>
                <w:kern w:val="21"/>
                <w:sz w:val="21"/>
                <w:szCs w:val="21"/>
                <w:lang w:val="en-US" w:eastAsia="zh-CN" w:bidi="ar-SA"/>
              </w:rPr>
            </w:pPr>
            <w:r>
              <w:rPr>
                <w:rFonts w:hint="eastAsia"/>
                <w:sz w:val="21"/>
                <w:szCs w:val="21"/>
                <w:lang w:val="en-US" w:eastAsia="zh-CN"/>
              </w:rPr>
              <w:t>0.05</w:t>
            </w:r>
          </w:p>
        </w:tc>
        <w:tc>
          <w:tcPr>
            <w:tcW w:w="1321" w:type="dxa"/>
            <w:shd w:val="clear" w:color="auto" w:fill="auto"/>
            <w:vAlign w:val="center"/>
          </w:tcPr>
          <w:p w14:paraId="01A707A8">
            <w:pPr>
              <w:adjustRightInd w:val="0"/>
              <w:jc w:val="center"/>
              <w:rPr>
                <w:rFonts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r>
              <w:rPr>
                <w:rFonts w:hint="eastAsia"/>
                <w:sz w:val="21"/>
                <w:szCs w:val="21"/>
                <w:lang w:val="en-US" w:eastAsia="zh-CN"/>
              </w:rPr>
              <w:t>0.05</w:t>
            </w:r>
          </w:p>
        </w:tc>
      </w:tr>
      <w:tr w14:paraId="14AF4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36B9759B">
            <w:pPr>
              <w:adjustRightInd w:val="0"/>
              <w:snapToGrid w:val="0"/>
              <w:jc w:val="center"/>
              <w:rPr>
                <w:snapToGrid w:val="0"/>
                <w:color w:val="auto"/>
                <w:kern w:val="21"/>
                <w:szCs w:val="21"/>
              </w:rPr>
            </w:pPr>
          </w:p>
        </w:tc>
        <w:tc>
          <w:tcPr>
            <w:tcW w:w="1758" w:type="dxa"/>
            <w:vAlign w:val="center"/>
          </w:tcPr>
          <w:p w14:paraId="00415085">
            <w:pPr>
              <w:jc w:val="center"/>
              <w:rPr>
                <w:rFonts w:hint="eastAsia" w:eastAsia="宋体"/>
                <w:snapToGrid w:val="0"/>
                <w:color w:val="auto"/>
                <w:kern w:val="21"/>
                <w:szCs w:val="21"/>
                <w:lang w:eastAsia="zh-CN"/>
              </w:rPr>
            </w:pPr>
            <w:r>
              <w:rPr>
                <w:rFonts w:ascii="Times New Roman" w:hAnsi="Times New Roman"/>
                <w:szCs w:val="21"/>
              </w:rPr>
              <w:t>砂石杂质</w:t>
            </w:r>
          </w:p>
        </w:tc>
        <w:tc>
          <w:tcPr>
            <w:tcW w:w="1632" w:type="dxa"/>
            <w:vAlign w:val="center"/>
          </w:tcPr>
          <w:p w14:paraId="25F4046E">
            <w:pPr>
              <w:jc w:val="center"/>
              <w:rPr>
                <w:snapToGrid w:val="0"/>
                <w:color w:val="auto"/>
                <w:kern w:val="21"/>
                <w:szCs w:val="21"/>
              </w:rPr>
            </w:pPr>
            <w:r>
              <w:rPr>
                <w:rFonts w:hint="eastAsia"/>
                <w:color w:val="auto"/>
                <w:szCs w:val="21"/>
              </w:rPr>
              <w:t>--</w:t>
            </w:r>
          </w:p>
        </w:tc>
        <w:tc>
          <w:tcPr>
            <w:tcW w:w="1221" w:type="dxa"/>
            <w:vAlign w:val="center"/>
          </w:tcPr>
          <w:p w14:paraId="6120CF5A">
            <w:pPr>
              <w:jc w:val="center"/>
              <w:rPr>
                <w:color w:val="auto"/>
                <w:szCs w:val="21"/>
              </w:rPr>
            </w:pPr>
            <w:r>
              <w:rPr>
                <w:rFonts w:hint="eastAsia"/>
                <w:color w:val="auto"/>
                <w:szCs w:val="21"/>
              </w:rPr>
              <w:t>--</w:t>
            </w:r>
          </w:p>
        </w:tc>
        <w:tc>
          <w:tcPr>
            <w:tcW w:w="1510" w:type="dxa"/>
            <w:vAlign w:val="center"/>
          </w:tcPr>
          <w:p w14:paraId="3C0DEC5E">
            <w:pPr>
              <w:jc w:val="center"/>
              <w:rPr>
                <w:color w:val="auto"/>
                <w:szCs w:val="21"/>
              </w:rPr>
            </w:pPr>
            <w:r>
              <w:rPr>
                <w:rFonts w:hint="eastAsia"/>
                <w:color w:val="auto"/>
                <w:szCs w:val="21"/>
              </w:rPr>
              <w:t>--</w:t>
            </w:r>
          </w:p>
        </w:tc>
        <w:tc>
          <w:tcPr>
            <w:tcW w:w="1902" w:type="dxa"/>
            <w:vAlign w:val="center"/>
          </w:tcPr>
          <w:p w14:paraId="68FD48A4">
            <w:pPr>
              <w:adjustRightInd w:val="0"/>
              <w:jc w:val="center"/>
              <w:rPr>
                <w:rFonts w:hint="default"/>
                <w:snapToGrid w:val="0"/>
                <w:color w:val="auto"/>
                <w:kern w:val="21"/>
                <w:szCs w:val="21"/>
                <w:lang w:val="en-US"/>
              </w:rPr>
            </w:pPr>
            <w:r>
              <w:rPr>
                <w:rFonts w:hint="eastAsia"/>
                <w:sz w:val="21"/>
                <w:szCs w:val="21"/>
                <w:lang w:val="en-US" w:eastAsia="zh-CN"/>
              </w:rPr>
              <w:t>0.96</w:t>
            </w:r>
          </w:p>
        </w:tc>
        <w:tc>
          <w:tcPr>
            <w:tcW w:w="1402" w:type="dxa"/>
            <w:vAlign w:val="center"/>
          </w:tcPr>
          <w:p w14:paraId="4BE1B4AA">
            <w:pPr>
              <w:jc w:val="center"/>
              <w:rPr>
                <w:color w:val="auto"/>
                <w:szCs w:val="21"/>
              </w:rPr>
            </w:pPr>
            <w:r>
              <w:rPr>
                <w:rFonts w:hint="eastAsia"/>
                <w:color w:val="auto"/>
                <w:szCs w:val="21"/>
              </w:rPr>
              <w:t>--</w:t>
            </w:r>
          </w:p>
        </w:tc>
        <w:tc>
          <w:tcPr>
            <w:tcW w:w="1634" w:type="dxa"/>
            <w:shd w:val="clear" w:color="auto" w:fill="auto"/>
            <w:vAlign w:val="center"/>
          </w:tcPr>
          <w:p w14:paraId="479BCEF2">
            <w:pPr>
              <w:adjustRightIn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 w:val="21"/>
                <w:szCs w:val="21"/>
                <w:lang w:val="en-US" w:eastAsia="zh-CN"/>
              </w:rPr>
              <w:t>0.96</w:t>
            </w:r>
          </w:p>
        </w:tc>
        <w:tc>
          <w:tcPr>
            <w:tcW w:w="1321" w:type="dxa"/>
            <w:shd w:val="clear" w:color="auto" w:fill="auto"/>
            <w:vAlign w:val="center"/>
          </w:tcPr>
          <w:p w14:paraId="05FFA63B">
            <w:pPr>
              <w:adjustRightIn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r>
              <w:rPr>
                <w:rFonts w:hint="eastAsia"/>
                <w:sz w:val="21"/>
                <w:szCs w:val="21"/>
                <w:lang w:val="en-US" w:eastAsia="zh-CN"/>
              </w:rPr>
              <w:t>0.96</w:t>
            </w:r>
          </w:p>
        </w:tc>
      </w:tr>
      <w:tr w14:paraId="49403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7FCCC652">
            <w:pPr>
              <w:adjustRightInd w:val="0"/>
              <w:snapToGrid w:val="0"/>
              <w:jc w:val="center"/>
              <w:rPr>
                <w:snapToGrid w:val="0"/>
                <w:color w:val="auto"/>
                <w:kern w:val="21"/>
                <w:szCs w:val="21"/>
              </w:rPr>
            </w:pPr>
          </w:p>
        </w:tc>
        <w:tc>
          <w:tcPr>
            <w:tcW w:w="1758" w:type="dxa"/>
            <w:vAlign w:val="center"/>
          </w:tcPr>
          <w:p w14:paraId="3F13571C">
            <w:pPr>
              <w:jc w:val="center"/>
              <w:rPr>
                <w:snapToGrid w:val="0"/>
                <w:color w:val="auto"/>
                <w:kern w:val="21"/>
                <w:szCs w:val="21"/>
              </w:rPr>
            </w:pPr>
            <w:r>
              <w:rPr>
                <w:rFonts w:hint="eastAsia" w:ascii="Times New Roman" w:hAnsi="Times New Roman"/>
                <w:szCs w:val="21"/>
              </w:rPr>
              <w:t>除尘器收集粉尘</w:t>
            </w:r>
          </w:p>
        </w:tc>
        <w:tc>
          <w:tcPr>
            <w:tcW w:w="1632" w:type="dxa"/>
            <w:vAlign w:val="center"/>
          </w:tcPr>
          <w:p w14:paraId="3B69F691">
            <w:pPr>
              <w:jc w:val="center"/>
              <w:rPr>
                <w:snapToGrid w:val="0"/>
                <w:color w:val="auto"/>
                <w:kern w:val="21"/>
                <w:szCs w:val="21"/>
              </w:rPr>
            </w:pPr>
            <w:r>
              <w:rPr>
                <w:rFonts w:hint="eastAsia"/>
                <w:color w:val="auto"/>
                <w:szCs w:val="21"/>
              </w:rPr>
              <w:t>--</w:t>
            </w:r>
          </w:p>
        </w:tc>
        <w:tc>
          <w:tcPr>
            <w:tcW w:w="1221" w:type="dxa"/>
            <w:vAlign w:val="center"/>
          </w:tcPr>
          <w:p w14:paraId="09D52892">
            <w:pPr>
              <w:jc w:val="center"/>
              <w:rPr>
                <w:color w:val="auto"/>
                <w:szCs w:val="21"/>
              </w:rPr>
            </w:pPr>
            <w:r>
              <w:rPr>
                <w:rFonts w:hint="eastAsia"/>
                <w:color w:val="auto"/>
                <w:szCs w:val="21"/>
              </w:rPr>
              <w:t>--</w:t>
            </w:r>
          </w:p>
        </w:tc>
        <w:tc>
          <w:tcPr>
            <w:tcW w:w="1510" w:type="dxa"/>
            <w:vAlign w:val="center"/>
          </w:tcPr>
          <w:p w14:paraId="7F3127F7">
            <w:pPr>
              <w:jc w:val="center"/>
              <w:rPr>
                <w:color w:val="auto"/>
                <w:szCs w:val="21"/>
              </w:rPr>
            </w:pPr>
            <w:r>
              <w:rPr>
                <w:rFonts w:hint="eastAsia"/>
                <w:color w:val="auto"/>
                <w:szCs w:val="21"/>
              </w:rPr>
              <w:t>--</w:t>
            </w:r>
          </w:p>
        </w:tc>
        <w:tc>
          <w:tcPr>
            <w:tcW w:w="1902" w:type="dxa"/>
            <w:vAlign w:val="center"/>
          </w:tcPr>
          <w:p w14:paraId="7BBD73EE">
            <w:pPr>
              <w:adjustRightInd w:val="0"/>
              <w:jc w:val="center"/>
              <w:rPr>
                <w:snapToGrid w:val="0"/>
                <w:color w:val="auto"/>
                <w:kern w:val="21"/>
                <w:szCs w:val="21"/>
              </w:rPr>
            </w:pPr>
            <w:r>
              <w:rPr>
                <w:rFonts w:hint="default" w:eastAsia="宋体"/>
                <w:sz w:val="21"/>
                <w:szCs w:val="21"/>
                <w:lang w:val="en-US" w:eastAsia="zh-CN"/>
              </w:rPr>
              <w:t>5.4374</w:t>
            </w:r>
          </w:p>
        </w:tc>
        <w:tc>
          <w:tcPr>
            <w:tcW w:w="1402" w:type="dxa"/>
            <w:vAlign w:val="center"/>
          </w:tcPr>
          <w:p w14:paraId="6D3683F7">
            <w:pPr>
              <w:jc w:val="center"/>
              <w:rPr>
                <w:color w:val="auto"/>
                <w:szCs w:val="21"/>
              </w:rPr>
            </w:pPr>
            <w:r>
              <w:rPr>
                <w:rFonts w:hint="eastAsia"/>
                <w:color w:val="auto"/>
                <w:szCs w:val="21"/>
              </w:rPr>
              <w:t>--</w:t>
            </w:r>
          </w:p>
        </w:tc>
        <w:tc>
          <w:tcPr>
            <w:tcW w:w="1634" w:type="dxa"/>
            <w:shd w:val="clear" w:color="auto" w:fill="auto"/>
            <w:vAlign w:val="center"/>
          </w:tcPr>
          <w:p w14:paraId="6C3F419C">
            <w:pPr>
              <w:adjustRightInd w:val="0"/>
              <w:jc w:val="center"/>
              <w:rPr>
                <w:rFonts w:ascii="Times New Roman" w:hAnsi="Times New Roman" w:eastAsia="宋体" w:cs="Times New Roman"/>
                <w:snapToGrid w:val="0"/>
                <w:color w:val="auto"/>
                <w:kern w:val="21"/>
                <w:sz w:val="21"/>
                <w:szCs w:val="21"/>
                <w:lang w:val="en-US" w:eastAsia="zh-CN" w:bidi="ar-SA"/>
              </w:rPr>
            </w:pPr>
            <w:r>
              <w:rPr>
                <w:rFonts w:hint="default" w:eastAsia="宋体"/>
                <w:sz w:val="21"/>
                <w:szCs w:val="21"/>
                <w:lang w:val="en-US" w:eastAsia="zh-CN"/>
              </w:rPr>
              <w:t>5.4374</w:t>
            </w:r>
          </w:p>
        </w:tc>
        <w:tc>
          <w:tcPr>
            <w:tcW w:w="1321" w:type="dxa"/>
            <w:shd w:val="clear" w:color="auto" w:fill="auto"/>
            <w:vAlign w:val="center"/>
          </w:tcPr>
          <w:p w14:paraId="17C53E7B">
            <w:pPr>
              <w:adjustRightInd w:val="0"/>
              <w:jc w:val="center"/>
              <w:rPr>
                <w:rFonts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r>
              <w:rPr>
                <w:rFonts w:hint="default" w:eastAsia="宋体"/>
                <w:sz w:val="21"/>
                <w:szCs w:val="21"/>
                <w:lang w:val="en-US" w:eastAsia="zh-CN"/>
              </w:rPr>
              <w:t>5.4374</w:t>
            </w:r>
          </w:p>
        </w:tc>
      </w:tr>
      <w:tr w14:paraId="6646C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restart"/>
            <w:vAlign w:val="center"/>
          </w:tcPr>
          <w:p w14:paraId="6B957558">
            <w:pPr>
              <w:adjustRightInd w:val="0"/>
              <w:snapToGrid w:val="0"/>
              <w:jc w:val="center"/>
              <w:rPr>
                <w:rFonts w:hint="eastAsia" w:eastAsia="宋体"/>
                <w:snapToGrid w:val="0"/>
                <w:color w:val="auto"/>
                <w:kern w:val="21"/>
                <w:szCs w:val="21"/>
                <w:lang w:eastAsia="zh-CN"/>
              </w:rPr>
            </w:pPr>
            <w:r>
              <w:rPr>
                <w:rFonts w:hint="eastAsia"/>
                <w:snapToGrid w:val="0"/>
                <w:color w:val="auto"/>
                <w:kern w:val="21"/>
                <w:szCs w:val="21"/>
                <w:lang w:eastAsia="zh-CN"/>
              </w:rPr>
              <w:t>危险废物</w:t>
            </w:r>
          </w:p>
        </w:tc>
        <w:tc>
          <w:tcPr>
            <w:tcW w:w="1758" w:type="dxa"/>
            <w:shd w:val="clear" w:color="auto" w:fill="auto"/>
            <w:vAlign w:val="center"/>
          </w:tcPr>
          <w:p w14:paraId="526DE31A">
            <w:pPr>
              <w:jc w:val="center"/>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b w:val="0"/>
                <w:bCs w:val="0"/>
                <w:color w:val="auto"/>
                <w:sz w:val="24"/>
                <w:szCs w:val="24"/>
                <w:lang w:val="en-US" w:eastAsia="zh-CN"/>
              </w:rPr>
              <w:t>废润滑油</w:t>
            </w:r>
          </w:p>
        </w:tc>
        <w:tc>
          <w:tcPr>
            <w:tcW w:w="1632" w:type="dxa"/>
            <w:shd w:val="clear" w:color="auto" w:fill="auto"/>
            <w:vAlign w:val="center"/>
          </w:tcPr>
          <w:p w14:paraId="31B89A81">
            <w:pPr>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rPr>
              <w:t>--</w:t>
            </w:r>
          </w:p>
        </w:tc>
        <w:tc>
          <w:tcPr>
            <w:tcW w:w="1221" w:type="dxa"/>
            <w:shd w:val="clear" w:color="auto" w:fill="auto"/>
            <w:vAlign w:val="center"/>
          </w:tcPr>
          <w:p w14:paraId="44FC24E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510" w:type="dxa"/>
            <w:shd w:val="clear" w:color="auto" w:fill="auto"/>
            <w:vAlign w:val="center"/>
          </w:tcPr>
          <w:p w14:paraId="199FBE0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902" w:type="dxa"/>
            <w:vAlign w:val="center"/>
          </w:tcPr>
          <w:p w14:paraId="70B8FE62">
            <w:pPr>
              <w:pStyle w:val="173"/>
              <w:spacing w:line="310" w:lineRule="exact"/>
              <w:ind w:left="-105" w:leftChars="-50" w:right="-105" w:rightChars="-50"/>
              <w:rPr>
                <w:rFonts w:hint="default"/>
                <w:snapToGrid w:val="0"/>
                <w:color w:val="auto"/>
                <w:kern w:val="21"/>
                <w:szCs w:val="21"/>
                <w:lang w:val="en-US" w:eastAsia="zh-CN"/>
              </w:rPr>
            </w:pPr>
            <w:r>
              <w:rPr>
                <w:rFonts w:hint="eastAsia" w:cs="Times New Roman"/>
                <w:kern w:val="0"/>
                <w:sz w:val="21"/>
                <w:szCs w:val="21"/>
                <w:lang w:val="en-US" w:eastAsia="zh-CN" w:bidi="ar-SA"/>
              </w:rPr>
              <w:t>0.03</w:t>
            </w:r>
          </w:p>
        </w:tc>
        <w:tc>
          <w:tcPr>
            <w:tcW w:w="1402" w:type="dxa"/>
            <w:shd w:val="clear" w:color="auto" w:fill="auto"/>
            <w:vAlign w:val="center"/>
          </w:tcPr>
          <w:p w14:paraId="229F2F9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634" w:type="dxa"/>
            <w:shd w:val="clear" w:color="auto" w:fill="auto"/>
            <w:vAlign w:val="center"/>
          </w:tcPr>
          <w:p w14:paraId="37B98BDC">
            <w:pPr>
              <w:pStyle w:val="173"/>
              <w:spacing w:line="310" w:lineRule="exact"/>
              <w:ind w:left="-105" w:leftChars="-50" w:right="-105" w:rightChars="-50"/>
              <w:rPr>
                <w:rFonts w:hint="eastAsia"/>
                <w:snapToGrid w:val="0"/>
                <w:color w:val="auto"/>
                <w:kern w:val="21"/>
                <w:szCs w:val="21"/>
                <w:lang w:val="en-US" w:eastAsia="zh-CN"/>
              </w:rPr>
            </w:pPr>
            <w:r>
              <w:rPr>
                <w:rFonts w:hint="eastAsia" w:cs="Times New Roman"/>
                <w:kern w:val="0"/>
                <w:sz w:val="21"/>
                <w:szCs w:val="21"/>
                <w:lang w:val="en-US" w:eastAsia="zh-CN" w:bidi="ar-SA"/>
              </w:rPr>
              <w:t>0.03</w:t>
            </w:r>
          </w:p>
        </w:tc>
        <w:tc>
          <w:tcPr>
            <w:tcW w:w="1321" w:type="dxa"/>
            <w:shd w:val="clear" w:color="auto" w:fill="auto"/>
            <w:vAlign w:val="center"/>
          </w:tcPr>
          <w:p w14:paraId="4AE9AE1A">
            <w:pPr>
              <w:adjustRightIn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+0.03</w:t>
            </w:r>
          </w:p>
        </w:tc>
      </w:tr>
      <w:tr w14:paraId="3247C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2" w:type="dxa"/>
            <w:vMerge w:val="continue"/>
            <w:vAlign w:val="center"/>
          </w:tcPr>
          <w:p w14:paraId="1D73E3CB">
            <w:pPr>
              <w:adjustRightInd w:val="0"/>
              <w:snapToGrid w:val="0"/>
              <w:jc w:val="center"/>
              <w:rPr>
                <w:rFonts w:hint="eastAsia"/>
                <w:snapToGrid w:val="0"/>
                <w:color w:val="auto"/>
                <w:kern w:val="21"/>
                <w:szCs w:val="21"/>
                <w:lang w:eastAsia="zh-CN"/>
              </w:rPr>
            </w:pPr>
          </w:p>
        </w:tc>
        <w:tc>
          <w:tcPr>
            <w:tcW w:w="1758" w:type="dxa"/>
            <w:shd w:val="clear" w:color="auto" w:fill="auto"/>
            <w:vAlign w:val="center"/>
          </w:tcPr>
          <w:p w14:paraId="2F75E11F">
            <w:pPr>
              <w:jc w:val="center"/>
              <w:rPr>
                <w:rFonts w:hint="eastAsia"/>
                <w:color w:val="auto"/>
                <w:szCs w:val="21"/>
              </w:rPr>
            </w:pPr>
            <w:r>
              <w:rPr>
                <w:rFonts w:hint="default" w:ascii="Times New Roman" w:hAnsi="Times New Roman" w:cs="Times New Roman"/>
                <w:color w:val="auto"/>
                <w:sz w:val="24"/>
                <w:lang w:val="en-US" w:eastAsia="zh-CN"/>
              </w:rPr>
              <w:t>含油废抹布、废手套</w:t>
            </w:r>
          </w:p>
        </w:tc>
        <w:tc>
          <w:tcPr>
            <w:tcW w:w="1632" w:type="dxa"/>
            <w:shd w:val="clear" w:color="auto" w:fill="auto"/>
            <w:vAlign w:val="center"/>
          </w:tcPr>
          <w:p w14:paraId="082FAC0E">
            <w:pPr>
              <w:jc w:val="center"/>
              <w:rPr>
                <w:rFonts w:hint="eastAsia"/>
                <w:color w:val="auto"/>
                <w:szCs w:val="21"/>
              </w:rPr>
            </w:pPr>
            <w:r>
              <w:rPr>
                <w:rFonts w:hint="eastAsia"/>
                <w:color w:val="auto"/>
                <w:szCs w:val="21"/>
              </w:rPr>
              <w:t>--</w:t>
            </w:r>
          </w:p>
        </w:tc>
        <w:tc>
          <w:tcPr>
            <w:tcW w:w="1221" w:type="dxa"/>
            <w:shd w:val="clear" w:color="auto" w:fill="auto"/>
            <w:vAlign w:val="center"/>
          </w:tcPr>
          <w:p w14:paraId="7C6FDB72">
            <w:pPr>
              <w:jc w:val="center"/>
              <w:rPr>
                <w:rFonts w:hint="eastAsia"/>
                <w:color w:val="auto"/>
                <w:szCs w:val="21"/>
              </w:rPr>
            </w:pPr>
            <w:r>
              <w:rPr>
                <w:rFonts w:hint="eastAsia"/>
                <w:color w:val="auto"/>
                <w:szCs w:val="21"/>
              </w:rPr>
              <w:t>--</w:t>
            </w:r>
          </w:p>
        </w:tc>
        <w:tc>
          <w:tcPr>
            <w:tcW w:w="1510" w:type="dxa"/>
            <w:shd w:val="clear" w:color="auto" w:fill="auto"/>
            <w:vAlign w:val="center"/>
          </w:tcPr>
          <w:p w14:paraId="0062D9D6">
            <w:pPr>
              <w:jc w:val="center"/>
              <w:rPr>
                <w:rFonts w:hint="eastAsia"/>
                <w:color w:val="auto"/>
                <w:szCs w:val="21"/>
              </w:rPr>
            </w:pPr>
            <w:r>
              <w:rPr>
                <w:rFonts w:hint="eastAsia"/>
                <w:color w:val="auto"/>
                <w:szCs w:val="21"/>
              </w:rPr>
              <w:t>--</w:t>
            </w:r>
          </w:p>
        </w:tc>
        <w:tc>
          <w:tcPr>
            <w:tcW w:w="1902" w:type="dxa"/>
            <w:vAlign w:val="center"/>
          </w:tcPr>
          <w:p w14:paraId="2FD0CCF9">
            <w:pPr>
              <w:pStyle w:val="173"/>
              <w:spacing w:line="310" w:lineRule="exact"/>
              <w:ind w:left="-105" w:leftChars="-50" w:right="-105" w:rightChars="-50"/>
              <w:rPr>
                <w:rFonts w:hint="eastAsia"/>
                <w:color w:val="auto"/>
                <w:szCs w:val="21"/>
              </w:rPr>
            </w:pPr>
            <w:r>
              <w:rPr>
                <w:rFonts w:hint="eastAsia" w:cs="Times New Roman"/>
                <w:kern w:val="0"/>
                <w:sz w:val="21"/>
                <w:szCs w:val="21"/>
                <w:lang w:val="en-US" w:eastAsia="zh-CN" w:bidi="ar-SA"/>
              </w:rPr>
              <w:t>0.001</w:t>
            </w:r>
          </w:p>
        </w:tc>
        <w:tc>
          <w:tcPr>
            <w:tcW w:w="1402" w:type="dxa"/>
            <w:shd w:val="clear" w:color="auto" w:fill="auto"/>
            <w:vAlign w:val="center"/>
          </w:tcPr>
          <w:p w14:paraId="6370964A">
            <w:pPr>
              <w:jc w:val="center"/>
              <w:rPr>
                <w:rFonts w:hint="eastAsia"/>
                <w:color w:val="auto"/>
                <w:szCs w:val="21"/>
              </w:rPr>
            </w:pPr>
            <w:r>
              <w:rPr>
                <w:rFonts w:hint="eastAsia"/>
                <w:color w:val="auto"/>
                <w:szCs w:val="21"/>
              </w:rPr>
              <w:t>--</w:t>
            </w:r>
          </w:p>
        </w:tc>
        <w:tc>
          <w:tcPr>
            <w:tcW w:w="1634" w:type="dxa"/>
            <w:shd w:val="clear" w:color="auto" w:fill="auto"/>
            <w:vAlign w:val="center"/>
          </w:tcPr>
          <w:p w14:paraId="532F0F7D">
            <w:pPr>
              <w:pStyle w:val="173"/>
              <w:spacing w:line="310" w:lineRule="exact"/>
              <w:ind w:left="-105" w:leftChars="-50" w:right="-105" w:rightChars="-50"/>
              <w:rPr>
                <w:rFonts w:hint="eastAsia"/>
                <w:color w:val="auto"/>
                <w:szCs w:val="21"/>
              </w:rPr>
            </w:pPr>
            <w:r>
              <w:rPr>
                <w:rFonts w:hint="eastAsia" w:cs="Times New Roman"/>
                <w:kern w:val="0"/>
                <w:sz w:val="21"/>
                <w:szCs w:val="21"/>
                <w:lang w:val="en-US" w:eastAsia="zh-CN" w:bidi="ar-SA"/>
              </w:rPr>
              <w:t>0.001</w:t>
            </w:r>
          </w:p>
        </w:tc>
        <w:tc>
          <w:tcPr>
            <w:tcW w:w="1321" w:type="dxa"/>
            <w:shd w:val="clear" w:color="auto" w:fill="auto"/>
            <w:vAlign w:val="center"/>
          </w:tcPr>
          <w:p w14:paraId="62B15D11">
            <w:pPr>
              <w:adjustRightInd w:val="0"/>
              <w:jc w:val="center"/>
              <w:rPr>
                <w:rFonts w:hint="default"/>
                <w:color w:val="auto"/>
                <w:szCs w:val="21"/>
                <w:lang w:val="en-US"/>
              </w:rPr>
            </w:pPr>
            <w:r>
              <w:rPr>
                <w:rFonts w:hint="eastAsia" w:cs="Times New Roman"/>
                <w:snapToGrid w:val="0"/>
                <w:color w:val="auto"/>
                <w:kern w:val="21"/>
                <w:sz w:val="21"/>
                <w:szCs w:val="21"/>
                <w:lang w:val="en-US" w:eastAsia="zh-CN" w:bidi="ar-SA"/>
              </w:rPr>
              <w:t>+0.001</w:t>
            </w:r>
          </w:p>
        </w:tc>
      </w:tr>
    </w:tbl>
    <w:p w14:paraId="07491D2E">
      <w:pPr>
        <w:ind w:firstLine="422" w:firstLineChars="200"/>
        <w:jc w:val="left"/>
        <w:rPr>
          <w:rFonts w:hint="default" w:hAnsi="宋体" w:eastAsia="宋体"/>
          <w:b/>
          <w:snapToGrid w:val="0"/>
          <w:color w:val="auto"/>
          <w:spacing w:val="-6"/>
          <w:kern w:val="21"/>
          <w:szCs w:val="21"/>
          <w:lang w:val="en-US" w:eastAsia="zh-CN"/>
        </w:rPr>
      </w:pPr>
      <w:r>
        <w:rPr>
          <w:rFonts w:hAnsi="宋体"/>
          <w:b/>
          <w:snapToGrid w:val="0"/>
          <w:color w:val="auto"/>
          <w:kern w:val="21"/>
          <w:szCs w:val="21"/>
        </w:rPr>
        <w:t>注：</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6 \* GB3 \* MERGEFORMAT </w:instrText>
      </w:r>
      <w:r>
        <w:rPr>
          <w:rFonts w:hAnsi="宋体"/>
          <w:b/>
          <w:snapToGrid w:val="0"/>
          <w:color w:val="auto"/>
          <w:spacing w:val="-16"/>
          <w:kern w:val="21"/>
          <w:szCs w:val="21"/>
        </w:rPr>
        <w:fldChar w:fldCharType="separate"/>
      </w:r>
      <w:r>
        <w:rPr>
          <w:rFonts w:hint="eastAsia" w:hAnsi="宋体"/>
          <w:b/>
          <w:color w:val="auto"/>
          <w:szCs w:val="21"/>
        </w:rPr>
        <w:t>⑥</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1 \* GB3 \* MERGEFORMAT </w:instrText>
      </w:r>
      <w:r>
        <w:rPr>
          <w:rFonts w:hAnsi="宋体"/>
          <w:b/>
          <w:snapToGrid w:val="0"/>
          <w:color w:val="auto"/>
          <w:spacing w:val="-6"/>
          <w:kern w:val="21"/>
          <w:szCs w:val="21"/>
        </w:rPr>
        <w:fldChar w:fldCharType="separate"/>
      </w:r>
      <w:r>
        <w:rPr>
          <w:rFonts w:hint="eastAsia" w:hAnsi="宋体"/>
          <w:b/>
          <w:color w:val="auto"/>
          <w:szCs w:val="21"/>
        </w:rPr>
        <w:t>①</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3 \* GB3 \* MERGEFORMAT </w:instrText>
      </w:r>
      <w:r>
        <w:rPr>
          <w:rFonts w:hAnsi="宋体"/>
          <w:b/>
          <w:snapToGrid w:val="0"/>
          <w:color w:val="auto"/>
          <w:spacing w:val="-6"/>
          <w:kern w:val="21"/>
          <w:szCs w:val="21"/>
        </w:rPr>
        <w:fldChar w:fldCharType="separate"/>
      </w:r>
      <w:r>
        <w:rPr>
          <w:rFonts w:hint="eastAsia" w:hAnsi="宋体"/>
          <w:b/>
          <w:color w:val="auto"/>
          <w:szCs w:val="21"/>
        </w:rPr>
        <w:t>③</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4 \* GB3 \* MERGEFORMAT </w:instrText>
      </w:r>
      <w:r>
        <w:rPr>
          <w:rFonts w:hAnsi="宋体"/>
          <w:b/>
          <w:snapToGrid w:val="0"/>
          <w:color w:val="auto"/>
          <w:spacing w:val="-6"/>
          <w:kern w:val="21"/>
          <w:szCs w:val="21"/>
        </w:rPr>
        <w:fldChar w:fldCharType="separate"/>
      </w:r>
      <w:r>
        <w:rPr>
          <w:rFonts w:hint="eastAsia" w:hAnsi="宋体"/>
          <w:b/>
          <w:color w:val="auto"/>
          <w:szCs w:val="21"/>
        </w:rPr>
        <w:t>④</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5 \* GB3 \* MERGEFORMAT </w:instrText>
      </w:r>
      <w:r>
        <w:rPr>
          <w:rFonts w:hAnsi="宋体"/>
          <w:b/>
          <w:snapToGrid w:val="0"/>
          <w:color w:val="auto"/>
          <w:spacing w:val="-16"/>
          <w:kern w:val="21"/>
          <w:szCs w:val="21"/>
        </w:rPr>
        <w:fldChar w:fldCharType="separate"/>
      </w:r>
      <w:r>
        <w:rPr>
          <w:rFonts w:hint="eastAsia" w:hAnsi="宋体"/>
          <w:b/>
          <w:color w:val="auto"/>
          <w:szCs w:val="21"/>
        </w:rPr>
        <w:t>⑤</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7 \* GB3 \* MERGEFORMAT </w:instrText>
      </w:r>
      <w:r>
        <w:rPr>
          <w:rFonts w:hAnsi="宋体"/>
          <w:b/>
          <w:snapToGrid w:val="0"/>
          <w:color w:val="auto"/>
          <w:spacing w:val="-6"/>
          <w:kern w:val="21"/>
          <w:szCs w:val="21"/>
        </w:rPr>
        <w:fldChar w:fldCharType="separate"/>
      </w:r>
      <w:r>
        <w:rPr>
          <w:rFonts w:hint="eastAsia" w:hAnsi="宋体"/>
          <w:b/>
          <w:color w:val="auto"/>
          <w:szCs w:val="21"/>
        </w:rPr>
        <w:t>⑦</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6 \* GB3 \* MERGEFORMAT </w:instrText>
      </w:r>
      <w:r>
        <w:rPr>
          <w:rFonts w:hAnsi="宋体"/>
          <w:b/>
          <w:snapToGrid w:val="0"/>
          <w:color w:val="auto"/>
          <w:spacing w:val="-16"/>
          <w:kern w:val="21"/>
          <w:szCs w:val="21"/>
        </w:rPr>
        <w:fldChar w:fldCharType="separate"/>
      </w:r>
      <w:r>
        <w:rPr>
          <w:rFonts w:hint="eastAsia" w:hAnsi="宋体"/>
          <w:b/>
          <w:color w:val="auto"/>
          <w:szCs w:val="21"/>
        </w:rPr>
        <w:t>⑥</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1 \* GB3 \* MERGEFORMAT </w:instrText>
      </w:r>
      <w:r>
        <w:rPr>
          <w:rFonts w:hAnsi="宋体"/>
          <w:b/>
          <w:snapToGrid w:val="0"/>
          <w:color w:val="auto"/>
          <w:spacing w:val="-6"/>
          <w:kern w:val="21"/>
          <w:szCs w:val="21"/>
        </w:rPr>
        <w:fldChar w:fldCharType="separate"/>
      </w:r>
      <w:r>
        <w:rPr>
          <w:rFonts w:hint="eastAsia" w:hAnsi="宋体"/>
          <w:b/>
          <w:color w:val="auto"/>
          <w:szCs w:val="21"/>
        </w:rPr>
        <w:t>①</w:t>
      </w:r>
      <w:r>
        <w:rPr>
          <w:rFonts w:hAnsi="宋体"/>
          <w:b/>
          <w:snapToGrid w:val="0"/>
          <w:color w:val="auto"/>
          <w:spacing w:val="-6"/>
          <w:kern w:val="21"/>
          <w:szCs w:val="21"/>
        </w:rPr>
        <w:fldChar w:fldCharType="end"/>
      </w:r>
      <w:r>
        <w:rPr>
          <w:rFonts w:hint="eastAsia" w:hAnsi="宋体"/>
          <w:b/>
          <w:snapToGrid w:val="0"/>
          <w:color w:val="auto"/>
          <w:spacing w:val="-6"/>
          <w:kern w:val="21"/>
          <w:szCs w:val="21"/>
          <w:lang w:eastAsia="zh-CN"/>
        </w:rPr>
        <w:t>，</w:t>
      </w:r>
      <w:r>
        <w:rPr>
          <w:rFonts w:hint="eastAsia" w:hAnsi="宋体"/>
          <w:b/>
          <w:snapToGrid w:val="0"/>
          <w:color w:val="auto"/>
          <w:spacing w:val="-6"/>
          <w:kern w:val="21"/>
          <w:szCs w:val="21"/>
          <w:lang w:val="en-US" w:eastAsia="zh-CN"/>
        </w:rPr>
        <w:t>单位t/a</w:t>
      </w:r>
    </w:p>
    <w:p w14:paraId="4253D79A">
      <w:pPr>
        <w:pStyle w:val="40"/>
        <w:rPr>
          <w:rFonts w:hAnsi="宋体"/>
          <w:b/>
          <w:snapToGrid w:val="0"/>
          <w:color w:val="auto"/>
          <w:spacing w:val="-6"/>
          <w:kern w:val="21"/>
          <w:szCs w:val="21"/>
        </w:rPr>
      </w:pPr>
    </w:p>
    <w:p w14:paraId="48812748">
      <w:pPr>
        <w:pStyle w:val="40"/>
        <w:rPr>
          <w:rFonts w:hAnsi="宋体"/>
          <w:b/>
          <w:snapToGrid w:val="0"/>
          <w:color w:val="auto"/>
          <w:spacing w:val="-6"/>
          <w:kern w:val="21"/>
          <w:szCs w:val="21"/>
        </w:rPr>
      </w:pPr>
    </w:p>
    <w:p w14:paraId="273FA62C">
      <w:pPr>
        <w:pStyle w:val="40"/>
        <w:rPr>
          <w:rFonts w:hAnsi="宋体"/>
          <w:b/>
          <w:snapToGrid w:val="0"/>
          <w:color w:val="auto"/>
          <w:spacing w:val="-6"/>
          <w:kern w:val="21"/>
          <w:szCs w:val="21"/>
        </w:rPr>
      </w:pPr>
    </w:p>
    <w:p w14:paraId="674E51A9">
      <w:pPr>
        <w:pStyle w:val="40"/>
        <w:rPr>
          <w:rFonts w:hAnsi="宋体"/>
          <w:b/>
          <w:snapToGrid w:val="0"/>
          <w:color w:val="auto"/>
          <w:spacing w:val="-6"/>
          <w:kern w:val="21"/>
          <w:szCs w:val="21"/>
        </w:rPr>
      </w:pPr>
    </w:p>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modern"/>
    <w:pitch w:val="default"/>
    <w:sig w:usb0="E00006FF" w:usb1="420024FF" w:usb2="02000000" w:usb3="00000000" w:csb0="2000019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鼎简书宋">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decorative"/>
    <w:pitch w:val="default"/>
    <w:sig w:usb0="A00006FF" w:usb1="4000205B" w:usb2="00000010" w:usb3="00000000" w:csb0="2000019F" w:csb1="00000000"/>
  </w:font>
  <w:font w:name="TimesNewRoman">
    <w:altName w:val="Times New Roman"/>
    <w:panose1 w:val="00000000000000000000"/>
    <w:charset w:val="00"/>
    <w:family w:val="modern"/>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00" w:usb3="00000000" w:csb0="00040000" w:csb1="00000000"/>
  </w:font>
  <w:font w:name="幼圆">
    <w:panose1 w:val="02010509060101010101"/>
    <w:charset w:val="86"/>
    <w:family w:val="swiss"/>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moder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FFF1">
    <w:pPr>
      <w:pStyle w:val="26"/>
      <w:ind w:firstLine="180" w:firstLineChars="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481D">
    <w:pPr>
      <w:pStyle w:val="26"/>
      <w:ind w:firstLine="180" w:firstLineChars="10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C03DA">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2C03DA">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ED8C3">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72C5E">
                          <w:pPr>
                            <w:pStyle w:val="2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6A72C5E">
                    <w:pPr>
                      <w:pStyle w:val="2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0642">
    <w:pPr>
      <w:pStyle w:val="27"/>
      <w:pBdr>
        <w:bottom w:val="none" w:color="auto" w:sz="0" w:space="1"/>
      </w:pBdr>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0FBA3"/>
    <w:multiLevelType w:val="singleLevel"/>
    <w:tmpl w:val="8010FBA3"/>
    <w:lvl w:ilvl="0" w:tentative="0">
      <w:start w:val="9"/>
      <w:numFmt w:val="decimal"/>
      <w:suff w:val="nothing"/>
      <w:lvlText w:val="%1、"/>
      <w:lvlJc w:val="left"/>
    </w:lvl>
  </w:abstractNum>
  <w:abstractNum w:abstractNumId="1">
    <w:nsid w:val="921EA44B"/>
    <w:multiLevelType w:val="singleLevel"/>
    <w:tmpl w:val="921EA44B"/>
    <w:lvl w:ilvl="0" w:tentative="0">
      <w:start w:val="1"/>
      <w:numFmt w:val="decimal"/>
      <w:suff w:val="nothing"/>
      <w:lvlText w:val="%1、"/>
      <w:lvlJc w:val="left"/>
      <w:rPr>
        <w:rFonts w:hint="default"/>
        <w:b/>
        <w:bCs/>
      </w:rPr>
    </w:lvl>
  </w:abstractNum>
  <w:abstractNum w:abstractNumId="2">
    <w:nsid w:val="275E12BF"/>
    <w:multiLevelType w:val="singleLevel"/>
    <w:tmpl w:val="275E12BF"/>
    <w:lvl w:ilvl="0" w:tentative="0">
      <w:start w:val="6"/>
      <w:numFmt w:val="decimal"/>
      <w:suff w:val="nothing"/>
      <w:lvlText w:val="%1、"/>
      <w:lvlJc w:val="left"/>
    </w:lvl>
  </w:abstractNum>
  <w:abstractNum w:abstractNumId="3">
    <w:nsid w:val="34A8DA81"/>
    <w:multiLevelType w:val="singleLevel"/>
    <w:tmpl w:val="34A8DA81"/>
    <w:lvl w:ilvl="0" w:tentative="0">
      <w:start w:val="1"/>
      <w:numFmt w:val="bullet"/>
      <w:pStyle w:val="22"/>
      <w:lvlText w:val=""/>
      <w:lvlJc w:val="left"/>
      <w:pPr>
        <w:tabs>
          <w:tab w:val="left" w:pos="2040"/>
        </w:tabs>
        <w:ind w:left="2040" w:hanging="360"/>
      </w:pPr>
      <w:rPr>
        <w:rFonts w:hint="default" w:ascii="Wingdings" w:hAnsi="Wingdings"/>
      </w:r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67"/>
      <w:suff w:val="space"/>
      <w:lvlText w:val="%1.%2"/>
      <w:lvlJc w:val="left"/>
      <w:pPr>
        <w:ind w:left="568"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01AE974"/>
    <w:multiLevelType w:val="singleLevel"/>
    <w:tmpl w:val="501AE974"/>
    <w:lvl w:ilvl="0" w:tentative="0">
      <w:start w:val="4"/>
      <w:numFmt w:val="chineseCounting"/>
      <w:suff w:val="nothing"/>
      <w:lvlText w:val="%1、"/>
      <w:lvlJc w:val="left"/>
      <w:rPr>
        <w:rFonts w:hint="eastAsia"/>
      </w:rPr>
    </w:lvl>
  </w:abstractNum>
  <w:abstractNum w:abstractNumId="6">
    <w:nsid w:val="50CA0FFA"/>
    <w:multiLevelType w:val="multilevel"/>
    <w:tmpl w:val="50CA0FFA"/>
    <w:lvl w:ilvl="0" w:tentative="0">
      <w:start w:val="1"/>
      <w:numFmt w:val="decimal"/>
      <w:lvlText w:val="（%1）"/>
      <w:lvlJc w:val="left"/>
      <w:pPr>
        <w:tabs>
          <w:tab w:val="left" w:pos="720"/>
        </w:tabs>
        <w:ind w:left="720" w:hanging="720"/>
      </w:pPr>
      <w:rPr>
        <w:rFonts w:hint="default"/>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11"/>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B518C6C"/>
    <w:multiLevelType w:val="singleLevel"/>
    <w:tmpl w:val="6B518C6C"/>
    <w:lvl w:ilvl="0" w:tentative="0">
      <w:start w:val="4"/>
      <w:numFmt w:val="decimal"/>
      <w:suff w:val="nothing"/>
      <w:lvlText w:val="（%1）"/>
      <w:lvlJc w:val="left"/>
    </w:lvl>
  </w:abstractNum>
  <w:num w:numId="1">
    <w:abstractNumId w:val="3"/>
  </w:num>
  <w:num w:numId="2">
    <w:abstractNumId w:val="4"/>
  </w:num>
  <w:num w:numId="3">
    <w:abstractNumId w:val="6"/>
  </w:num>
  <w:num w:numId="4">
    <w:abstractNumId w:val="0"/>
  </w:num>
  <w:num w:numId="5">
    <w:abstractNumId w:val="7"/>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kZTQzNGJiZTFkNTRkZmNmN2FiYmNmYjgxODUxOGEifQ=="/>
  </w:docVars>
  <w:rsids>
    <w:rsidRoot w:val="00172A27"/>
    <w:rsid w:val="0000092D"/>
    <w:rsid w:val="00000F15"/>
    <w:rsid w:val="00001E0B"/>
    <w:rsid w:val="00001F74"/>
    <w:rsid w:val="00001FEB"/>
    <w:rsid w:val="00002268"/>
    <w:rsid w:val="00002997"/>
    <w:rsid w:val="00002AB7"/>
    <w:rsid w:val="00003360"/>
    <w:rsid w:val="000036A6"/>
    <w:rsid w:val="00003794"/>
    <w:rsid w:val="00003BBD"/>
    <w:rsid w:val="00003BDE"/>
    <w:rsid w:val="00003CDA"/>
    <w:rsid w:val="00003E12"/>
    <w:rsid w:val="0000406B"/>
    <w:rsid w:val="0000494C"/>
    <w:rsid w:val="00004F3C"/>
    <w:rsid w:val="00005484"/>
    <w:rsid w:val="000055AF"/>
    <w:rsid w:val="000067F2"/>
    <w:rsid w:val="00006D6C"/>
    <w:rsid w:val="00006EE0"/>
    <w:rsid w:val="00006EE6"/>
    <w:rsid w:val="00006F96"/>
    <w:rsid w:val="00007570"/>
    <w:rsid w:val="00007A53"/>
    <w:rsid w:val="00007F8D"/>
    <w:rsid w:val="0001069E"/>
    <w:rsid w:val="00010B54"/>
    <w:rsid w:val="00010DDA"/>
    <w:rsid w:val="00010EB0"/>
    <w:rsid w:val="0001166E"/>
    <w:rsid w:val="00011C38"/>
    <w:rsid w:val="00011E56"/>
    <w:rsid w:val="00012198"/>
    <w:rsid w:val="0001271F"/>
    <w:rsid w:val="0001289E"/>
    <w:rsid w:val="00012987"/>
    <w:rsid w:val="00013B6E"/>
    <w:rsid w:val="00013BFE"/>
    <w:rsid w:val="000140F5"/>
    <w:rsid w:val="000145DE"/>
    <w:rsid w:val="000146ED"/>
    <w:rsid w:val="00014A64"/>
    <w:rsid w:val="00014AFC"/>
    <w:rsid w:val="00014F6F"/>
    <w:rsid w:val="000150FC"/>
    <w:rsid w:val="000155B5"/>
    <w:rsid w:val="000156FC"/>
    <w:rsid w:val="00015A54"/>
    <w:rsid w:val="00016D46"/>
    <w:rsid w:val="00016E10"/>
    <w:rsid w:val="00017DD7"/>
    <w:rsid w:val="00017ED5"/>
    <w:rsid w:val="0002006C"/>
    <w:rsid w:val="000202BF"/>
    <w:rsid w:val="00020E4A"/>
    <w:rsid w:val="00021091"/>
    <w:rsid w:val="000210F1"/>
    <w:rsid w:val="00022377"/>
    <w:rsid w:val="00022C9A"/>
    <w:rsid w:val="00022EEB"/>
    <w:rsid w:val="000238C7"/>
    <w:rsid w:val="00023DB1"/>
    <w:rsid w:val="00023F48"/>
    <w:rsid w:val="00023F9F"/>
    <w:rsid w:val="00023FE5"/>
    <w:rsid w:val="00024174"/>
    <w:rsid w:val="00024693"/>
    <w:rsid w:val="00024BE5"/>
    <w:rsid w:val="00026923"/>
    <w:rsid w:val="0002692B"/>
    <w:rsid w:val="000272AE"/>
    <w:rsid w:val="00027B19"/>
    <w:rsid w:val="00027CDB"/>
    <w:rsid w:val="00027FA4"/>
    <w:rsid w:val="00030032"/>
    <w:rsid w:val="000302F2"/>
    <w:rsid w:val="000306CE"/>
    <w:rsid w:val="00030AB0"/>
    <w:rsid w:val="00030ADC"/>
    <w:rsid w:val="00030CCB"/>
    <w:rsid w:val="00030E2A"/>
    <w:rsid w:val="000311DC"/>
    <w:rsid w:val="00031775"/>
    <w:rsid w:val="00031A83"/>
    <w:rsid w:val="000321AE"/>
    <w:rsid w:val="000326D1"/>
    <w:rsid w:val="00032709"/>
    <w:rsid w:val="00032842"/>
    <w:rsid w:val="00032DE7"/>
    <w:rsid w:val="00032F27"/>
    <w:rsid w:val="0003316E"/>
    <w:rsid w:val="000332B1"/>
    <w:rsid w:val="00033CFE"/>
    <w:rsid w:val="00034129"/>
    <w:rsid w:val="00034599"/>
    <w:rsid w:val="00034AD9"/>
    <w:rsid w:val="00034C27"/>
    <w:rsid w:val="00034E2C"/>
    <w:rsid w:val="00035565"/>
    <w:rsid w:val="00035681"/>
    <w:rsid w:val="000357B0"/>
    <w:rsid w:val="00035809"/>
    <w:rsid w:val="000358F6"/>
    <w:rsid w:val="00035E21"/>
    <w:rsid w:val="000360F6"/>
    <w:rsid w:val="00036470"/>
    <w:rsid w:val="00037155"/>
    <w:rsid w:val="000376E6"/>
    <w:rsid w:val="00037777"/>
    <w:rsid w:val="000408A1"/>
    <w:rsid w:val="000408AC"/>
    <w:rsid w:val="00040CB3"/>
    <w:rsid w:val="00041108"/>
    <w:rsid w:val="00041434"/>
    <w:rsid w:val="00041AB4"/>
    <w:rsid w:val="00041DAF"/>
    <w:rsid w:val="00042242"/>
    <w:rsid w:val="000423A4"/>
    <w:rsid w:val="00042511"/>
    <w:rsid w:val="00042627"/>
    <w:rsid w:val="00042A74"/>
    <w:rsid w:val="000434A1"/>
    <w:rsid w:val="0004354C"/>
    <w:rsid w:val="000435CA"/>
    <w:rsid w:val="000436FD"/>
    <w:rsid w:val="00043CD5"/>
    <w:rsid w:val="0004429B"/>
    <w:rsid w:val="00044A78"/>
    <w:rsid w:val="00044F24"/>
    <w:rsid w:val="00045077"/>
    <w:rsid w:val="0004529A"/>
    <w:rsid w:val="000455B2"/>
    <w:rsid w:val="00046CA0"/>
    <w:rsid w:val="000472DE"/>
    <w:rsid w:val="00047471"/>
    <w:rsid w:val="000476E9"/>
    <w:rsid w:val="00047D4E"/>
    <w:rsid w:val="00047F88"/>
    <w:rsid w:val="00050098"/>
    <w:rsid w:val="00051F15"/>
    <w:rsid w:val="00051F7C"/>
    <w:rsid w:val="00052846"/>
    <w:rsid w:val="00053705"/>
    <w:rsid w:val="000539D7"/>
    <w:rsid w:val="00053E8F"/>
    <w:rsid w:val="00054214"/>
    <w:rsid w:val="00054221"/>
    <w:rsid w:val="00054452"/>
    <w:rsid w:val="00054587"/>
    <w:rsid w:val="0005480B"/>
    <w:rsid w:val="00055203"/>
    <w:rsid w:val="000556CD"/>
    <w:rsid w:val="00055EE2"/>
    <w:rsid w:val="0005634D"/>
    <w:rsid w:val="00056AAD"/>
    <w:rsid w:val="00056AB9"/>
    <w:rsid w:val="00056B46"/>
    <w:rsid w:val="00057399"/>
    <w:rsid w:val="0005787A"/>
    <w:rsid w:val="00057C77"/>
    <w:rsid w:val="00060E02"/>
    <w:rsid w:val="000610A5"/>
    <w:rsid w:val="000610B4"/>
    <w:rsid w:val="00061BA5"/>
    <w:rsid w:val="00061FFA"/>
    <w:rsid w:val="00062DC0"/>
    <w:rsid w:val="00062EC9"/>
    <w:rsid w:val="000632CD"/>
    <w:rsid w:val="00063F36"/>
    <w:rsid w:val="000641C9"/>
    <w:rsid w:val="000642DB"/>
    <w:rsid w:val="00064802"/>
    <w:rsid w:val="0006484F"/>
    <w:rsid w:val="00064A76"/>
    <w:rsid w:val="000655A6"/>
    <w:rsid w:val="000658BD"/>
    <w:rsid w:val="00065B4A"/>
    <w:rsid w:val="00066444"/>
    <w:rsid w:val="00066567"/>
    <w:rsid w:val="0006668D"/>
    <w:rsid w:val="00066CAD"/>
    <w:rsid w:val="00067162"/>
    <w:rsid w:val="00067199"/>
    <w:rsid w:val="000678BF"/>
    <w:rsid w:val="00067989"/>
    <w:rsid w:val="0007020B"/>
    <w:rsid w:val="00070CA3"/>
    <w:rsid w:val="00070E33"/>
    <w:rsid w:val="000711DC"/>
    <w:rsid w:val="000715F6"/>
    <w:rsid w:val="0007187A"/>
    <w:rsid w:val="00071AB8"/>
    <w:rsid w:val="00071AF3"/>
    <w:rsid w:val="00071BAE"/>
    <w:rsid w:val="00071EC5"/>
    <w:rsid w:val="000728F9"/>
    <w:rsid w:val="00072BA4"/>
    <w:rsid w:val="00072C14"/>
    <w:rsid w:val="00072C23"/>
    <w:rsid w:val="00072C25"/>
    <w:rsid w:val="00072EF5"/>
    <w:rsid w:val="000730A3"/>
    <w:rsid w:val="0007317A"/>
    <w:rsid w:val="00073732"/>
    <w:rsid w:val="0007444C"/>
    <w:rsid w:val="000748B2"/>
    <w:rsid w:val="00074F3D"/>
    <w:rsid w:val="00075815"/>
    <w:rsid w:val="000767B8"/>
    <w:rsid w:val="00076813"/>
    <w:rsid w:val="000772DA"/>
    <w:rsid w:val="000777A9"/>
    <w:rsid w:val="000777CA"/>
    <w:rsid w:val="00077961"/>
    <w:rsid w:val="00077BFA"/>
    <w:rsid w:val="00077C13"/>
    <w:rsid w:val="00077D45"/>
    <w:rsid w:val="00077D92"/>
    <w:rsid w:val="00077E12"/>
    <w:rsid w:val="00077EC9"/>
    <w:rsid w:val="000808B8"/>
    <w:rsid w:val="0008134D"/>
    <w:rsid w:val="00081ABE"/>
    <w:rsid w:val="000821CC"/>
    <w:rsid w:val="000823AB"/>
    <w:rsid w:val="000825B5"/>
    <w:rsid w:val="00082BEF"/>
    <w:rsid w:val="00082CC3"/>
    <w:rsid w:val="00082F21"/>
    <w:rsid w:val="00083E9C"/>
    <w:rsid w:val="00083F0F"/>
    <w:rsid w:val="000849F4"/>
    <w:rsid w:val="000858C2"/>
    <w:rsid w:val="00085F05"/>
    <w:rsid w:val="000860AF"/>
    <w:rsid w:val="000862D5"/>
    <w:rsid w:val="0008644E"/>
    <w:rsid w:val="00086A8A"/>
    <w:rsid w:val="00086DB7"/>
    <w:rsid w:val="00087830"/>
    <w:rsid w:val="0008783D"/>
    <w:rsid w:val="000878A6"/>
    <w:rsid w:val="000879A0"/>
    <w:rsid w:val="00087A1A"/>
    <w:rsid w:val="00087F48"/>
    <w:rsid w:val="000903EF"/>
    <w:rsid w:val="00090E87"/>
    <w:rsid w:val="00090F38"/>
    <w:rsid w:val="000913A6"/>
    <w:rsid w:val="00091E10"/>
    <w:rsid w:val="00091E5F"/>
    <w:rsid w:val="00092F02"/>
    <w:rsid w:val="0009300C"/>
    <w:rsid w:val="0009355E"/>
    <w:rsid w:val="0009395B"/>
    <w:rsid w:val="00093CE1"/>
    <w:rsid w:val="000946E7"/>
    <w:rsid w:val="000948D8"/>
    <w:rsid w:val="00095053"/>
    <w:rsid w:val="000953B1"/>
    <w:rsid w:val="00095A2D"/>
    <w:rsid w:val="000967C5"/>
    <w:rsid w:val="00096900"/>
    <w:rsid w:val="000969F4"/>
    <w:rsid w:val="00097946"/>
    <w:rsid w:val="000979FD"/>
    <w:rsid w:val="00097A98"/>
    <w:rsid w:val="00097C1F"/>
    <w:rsid w:val="000A02E1"/>
    <w:rsid w:val="000A0515"/>
    <w:rsid w:val="000A1165"/>
    <w:rsid w:val="000A13A4"/>
    <w:rsid w:val="000A1899"/>
    <w:rsid w:val="000A21B8"/>
    <w:rsid w:val="000A224A"/>
    <w:rsid w:val="000A2456"/>
    <w:rsid w:val="000A2617"/>
    <w:rsid w:val="000A3020"/>
    <w:rsid w:val="000A3032"/>
    <w:rsid w:val="000A319E"/>
    <w:rsid w:val="000A376A"/>
    <w:rsid w:val="000A42AD"/>
    <w:rsid w:val="000A43AD"/>
    <w:rsid w:val="000A4BE4"/>
    <w:rsid w:val="000A4BFA"/>
    <w:rsid w:val="000A4CF2"/>
    <w:rsid w:val="000A4E80"/>
    <w:rsid w:val="000A509F"/>
    <w:rsid w:val="000A513E"/>
    <w:rsid w:val="000A5466"/>
    <w:rsid w:val="000A586E"/>
    <w:rsid w:val="000A5918"/>
    <w:rsid w:val="000A5B8F"/>
    <w:rsid w:val="000A633D"/>
    <w:rsid w:val="000A668D"/>
    <w:rsid w:val="000A6D2C"/>
    <w:rsid w:val="000A6F1D"/>
    <w:rsid w:val="000A7335"/>
    <w:rsid w:val="000A7B99"/>
    <w:rsid w:val="000B0F84"/>
    <w:rsid w:val="000B130A"/>
    <w:rsid w:val="000B157F"/>
    <w:rsid w:val="000B16FD"/>
    <w:rsid w:val="000B19A5"/>
    <w:rsid w:val="000B1A5D"/>
    <w:rsid w:val="000B237F"/>
    <w:rsid w:val="000B25AF"/>
    <w:rsid w:val="000B2AA0"/>
    <w:rsid w:val="000B2CC8"/>
    <w:rsid w:val="000B2DCA"/>
    <w:rsid w:val="000B3169"/>
    <w:rsid w:val="000B35D1"/>
    <w:rsid w:val="000B36BF"/>
    <w:rsid w:val="000B41FB"/>
    <w:rsid w:val="000B44DB"/>
    <w:rsid w:val="000B4529"/>
    <w:rsid w:val="000B45A2"/>
    <w:rsid w:val="000B47E1"/>
    <w:rsid w:val="000B49B0"/>
    <w:rsid w:val="000B51DD"/>
    <w:rsid w:val="000B5A24"/>
    <w:rsid w:val="000B5BF4"/>
    <w:rsid w:val="000B5E7D"/>
    <w:rsid w:val="000B5F9E"/>
    <w:rsid w:val="000B68EC"/>
    <w:rsid w:val="000B69E3"/>
    <w:rsid w:val="000B6ADA"/>
    <w:rsid w:val="000B705A"/>
    <w:rsid w:val="000B71D5"/>
    <w:rsid w:val="000B78F2"/>
    <w:rsid w:val="000B798E"/>
    <w:rsid w:val="000C01E1"/>
    <w:rsid w:val="000C1318"/>
    <w:rsid w:val="000C16DA"/>
    <w:rsid w:val="000C19DE"/>
    <w:rsid w:val="000C1AB1"/>
    <w:rsid w:val="000C1DFF"/>
    <w:rsid w:val="000C205F"/>
    <w:rsid w:val="000C2364"/>
    <w:rsid w:val="000C2541"/>
    <w:rsid w:val="000C2DA5"/>
    <w:rsid w:val="000C4270"/>
    <w:rsid w:val="000C4B35"/>
    <w:rsid w:val="000C4F2F"/>
    <w:rsid w:val="000C5268"/>
    <w:rsid w:val="000C56FB"/>
    <w:rsid w:val="000C5F23"/>
    <w:rsid w:val="000C6229"/>
    <w:rsid w:val="000C6310"/>
    <w:rsid w:val="000C6991"/>
    <w:rsid w:val="000C6EC0"/>
    <w:rsid w:val="000C7634"/>
    <w:rsid w:val="000C792E"/>
    <w:rsid w:val="000C7A18"/>
    <w:rsid w:val="000C7B1A"/>
    <w:rsid w:val="000C7E0A"/>
    <w:rsid w:val="000C7F68"/>
    <w:rsid w:val="000D0A2D"/>
    <w:rsid w:val="000D0ABE"/>
    <w:rsid w:val="000D0D9C"/>
    <w:rsid w:val="000D1166"/>
    <w:rsid w:val="000D17DF"/>
    <w:rsid w:val="000D1C76"/>
    <w:rsid w:val="000D2066"/>
    <w:rsid w:val="000D20DE"/>
    <w:rsid w:val="000D2102"/>
    <w:rsid w:val="000D212F"/>
    <w:rsid w:val="000D244E"/>
    <w:rsid w:val="000D26BE"/>
    <w:rsid w:val="000D2E02"/>
    <w:rsid w:val="000D2E0B"/>
    <w:rsid w:val="000D3432"/>
    <w:rsid w:val="000D3A7C"/>
    <w:rsid w:val="000D3CB1"/>
    <w:rsid w:val="000D3FF9"/>
    <w:rsid w:val="000D4796"/>
    <w:rsid w:val="000D48B0"/>
    <w:rsid w:val="000D4AC6"/>
    <w:rsid w:val="000D4E28"/>
    <w:rsid w:val="000D50B8"/>
    <w:rsid w:val="000D5437"/>
    <w:rsid w:val="000D5E45"/>
    <w:rsid w:val="000D6020"/>
    <w:rsid w:val="000D642F"/>
    <w:rsid w:val="000D6D6A"/>
    <w:rsid w:val="000D6E66"/>
    <w:rsid w:val="000D6F0D"/>
    <w:rsid w:val="000D7839"/>
    <w:rsid w:val="000D785D"/>
    <w:rsid w:val="000E0F8F"/>
    <w:rsid w:val="000E0FF0"/>
    <w:rsid w:val="000E1461"/>
    <w:rsid w:val="000E155A"/>
    <w:rsid w:val="000E20D3"/>
    <w:rsid w:val="000E2829"/>
    <w:rsid w:val="000E2ABA"/>
    <w:rsid w:val="000E2D94"/>
    <w:rsid w:val="000E2FB1"/>
    <w:rsid w:val="000E32AB"/>
    <w:rsid w:val="000E342A"/>
    <w:rsid w:val="000E36B5"/>
    <w:rsid w:val="000E3711"/>
    <w:rsid w:val="000E3CAB"/>
    <w:rsid w:val="000E3E2A"/>
    <w:rsid w:val="000E448C"/>
    <w:rsid w:val="000E4A44"/>
    <w:rsid w:val="000E4AC6"/>
    <w:rsid w:val="000E4D78"/>
    <w:rsid w:val="000E5105"/>
    <w:rsid w:val="000E57B8"/>
    <w:rsid w:val="000E59EC"/>
    <w:rsid w:val="000E5E28"/>
    <w:rsid w:val="000E6983"/>
    <w:rsid w:val="000E6DE4"/>
    <w:rsid w:val="000E7195"/>
    <w:rsid w:val="000E77DB"/>
    <w:rsid w:val="000E77E2"/>
    <w:rsid w:val="000E7AF2"/>
    <w:rsid w:val="000E7FC2"/>
    <w:rsid w:val="000F13C1"/>
    <w:rsid w:val="000F13DB"/>
    <w:rsid w:val="000F13F8"/>
    <w:rsid w:val="000F1695"/>
    <w:rsid w:val="000F1B30"/>
    <w:rsid w:val="000F26CF"/>
    <w:rsid w:val="000F27A2"/>
    <w:rsid w:val="000F284E"/>
    <w:rsid w:val="000F2A13"/>
    <w:rsid w:val="000F2AFD"/>
    <w:rsid w:val="000F2DF6"/>
    <w:rsid w:val="000F2E7D"/>
    <w:rsid w:val="000F34A7"/>
    <w:rsid w:val="000F393F"/>
    <w:rsid w:val="000F3A39"/>
    <w:rsid w:val="000F3EB3"/>
    <w:rsid w:val="000F400A"/>
    <w:rsid w:val="000F4370"/>
    <w:rsid w:val="000F4605"/>
    <w:rsid w:val="000F4BEE"/>
    <w:rsid w:val="000F4F30"/>
    <w:rsid w:val="000F4F6A"/>
    <w:rsid w:val="000F5046"/>
    <w:rsid w:val="000F50A6"/>
    <w:rsid w:val="000F51A5"/>
    <w:rsid w:val="000F5A58"/>
    <w:rsid w:val="000F61D2"/>
    <w:rsid w:val="000F6597"/>
    <w:rsid w:val="000F6AAB"/>
    <w:rsid w:val="000F6B7E"/>
    <w:rsid w:val="000F6CC9"/>
    <w:rsid w:val="000F6E95"/>
    <w:rsid w:val="000F7100"/>
    <w:rsid w:val="000F72E8"/>
    <w:rsid w:val="000F7906"/>
    <w:rsid w:val="000F7CA8"/>
    <w:rsid w:val="00100240"/>
    <w:rsid w:val="00100578"/>
    <w:rsid w:val="001005C9"/>
    <w:rsid w:val="0010112A"/>
    <w:rsid w:val="0010120C"/>
    <w:rsid w:val="00101464"/>
    <w:rsid w:val="0010160B"/>
    <w:rsid w:val="00101DE3"/>
    <w:rsid w:val="00102390"/>
    <w:rsid w:val="0010244A"/>
    <w:rsid w:val="00102563"/>
    <w:rsid w:val="00102657"/>
    <w:rsid w:val="00102785"/>
    <w:rsid w:val="00102B75"/>
    <w:rsid w:val="00102F5F"/>
    <w:rsid w:val="001030E0"/>
    <w:rsid w:val="00103189"/>
    <w:rsid w:val="00103379"/>
    <w:rsid w:val="001035D1"/>
    <w:rsid w:val="00103897"/>
    <w:rsid w:val="00103C10"/>
    <w:rsid w:val="00103DA7"/>
    <w:rsid w:val="00104111"/>
    <w:rsid w:val="00104FB0"/>
    <w:rsid w:val="001050F1"/>
    <w:rsid w:val="001054D6"/>
    <w:rsid w:val="0010554F"/>
    <w:rsid w:val="00105559"/>
    <w:rsid w:val="0010559A"/>
    <w:rsid w:val="001055AA"/>
    <w:rsid w:val="00105BD7"/>
    <w:rsid w:val="00105ECA"/>
    <w:rsid w:val="00105F8E"/>
    <w:rsid w:val="00105FBC"/>
    <w:rsid w:val="001060BD"/>
    <w:rsid w:val="00106779"/>
    <w:rsid w:val="00107055"/>
    <w:rsid w:val="0010707E"/>
    <w:rsid w:val="001106B8"/>
    <w:rsid w:val="00110EDB"/>
    <w:rsid w:val="001117F2"/>
    <w:rsid w:val="00111AB5"/>
    <w:rsid w:val="00111B96"/>
    <w:rsid w:val="00112178"/>
    <w:rsid w:val="001123C4"/>
    <w:rsid w:val="001128C7"/>
    <w:rsid w:val="001128E7"/>
    <w:rsid w:val="001129D9"/>
    <w:rsid w:val="00112A14"/>
    <w:rsid w:val="00112BB5"/>
    <w:rsid w:val="0011326F"/>
    <w:rsid w:val="001136A2"/>
    <w:rsid w:val="001136C2"/>
    <w:rsid w:val="00113AF6"/>
    <w:rsid w:val="00113BD2"/>
    <w:rsid w:val="001144E7"/>
    <w:rsid w:val="00115A61"/>
    <w:rsid w:val="00115B5F"/>
    <w:rsid w:val="00116916"/>
    <w:rsid w:val="0011699F"/>
    <w:rsid w:val="00116BEA"/>
    <w:rsid w:val="00116EE1"/>
    <w:rsid w:val="0011724B"/>
    <w:rsid w:val="001173CC"/>
    <w:rsid w:val="001176F4"/>
    <w:rsid w:val="00117972"/>
    <w:rsid w:val="00117FC1"/>
    <w:rsid w:val="0012092E"/>
    <w:rsid w:val="001216E5"/>
    <w:rsid w:val="00121735"/>
    <w:rsid w:val="001217AD"/>
    <w:rsid w:val="00121A49"/>
    <w:rsid w:val="00121C61"/>
    <w:rsid w:val="00121D39"/>
    <w:rsid w:val="00121EF0"/>
    <w:rsid w:val="00122120"/>
    <w:rsid w:val="001222DE"/>
    <w:rsid w:val="00122845"/>
    <w:rsid w:val="001238F0"/>
    <w:rsid w:val="00123978"/>
    <w:rsid w:val="00123D3D"/>
    <w:rsid w:val="0012441A"/>
    <w:rsid w:val="0012443B"/>
    <w:rsid w:val="00124E1A"/>
    <w:rsid w:val="00125346"/>
    <w:rsid w:val="0012539C"/>
    <w:rsid w:val="00125422"/>
    <w:rsid w:val="00125708"/>
    <w:rsid w:val="00125861"/>
    <w:rsid w:val="0012587C"/>
    <w:rsid w:val="00125C03"/>
    <w:rsid w:val="00125D5C"/>
    <w:rsid w:val="001262CB"/>
    <w:rsid w:val="001266BA"/>
    <w:rsid w:val="0012679E"/>
    <w:rsid w:val="0012693B"/>
    <w:rsid w:val="00126980"/>
    <w:rsid w:val="001269CB"/>
    <w:rsid w:val="00126BA9"/>
    <w:rsid w:val="00127A0E"/>
    <w:rsid w:val="00127F54"/>
    <w:rsid w:val="001303C0"/>
    <w:rsid w:val="0013065C"/>
    <w:rsid w:val="00131652"/>
    <w:rsid w:val="0013185C"/>
    <w:rsid w:val="00131EAF"/>
    <w:rsid w:val="00132999"/>
    <w:rsid w:val="00132E8D"/>
    <w:rsid w:val="00133299"/>
    <w:rsid w:val="001339ED"/>
    <w:rsid w:val="00133D64"/>
    <w:rsid w:val="00133EF2"/>
    <w:rsid w:val="00133F07"/>
    <w:rsid w:val="00134382"/>
    <w:rsid w:val="00134560"/>
    <w:rsid w:val="00134F76"/>
    <w:rsid w:val="001355B0"/>
    <w:rsid w:val="001359B6"/>
    <w:rsid w:val="00135D1D"/>
    <w:rsid w:val="00135D2B"/>
    <w:rsid w:val="00136117"/>
    <w:rsid w:val="001366BB"/>
    <w:rsid w:val="00136C6E"/>
    <w:rsid w:val="00136CDA"/>
    <w:rsid w:val="00136D0D"/>
    <w:rsid w:val="00136E38"/>
    <w:rsid w:val="001371C2"/>
    <w:rsid w:val="00137262"/>
    <w:rsid w:val="00137631"/>
    <w:rsid w:val="001377EC"/>
    <w:rsid w:val="001404A7"/>
    <w:rsid w:val="001408DE"/>
    <w:rsid w:val="00140961"/>
    <w:rsid w:val="00140C79"/>
    <w:rsid w:val="00140E1E"/>
    <w:rsid w:val="00140EED"/>
    <w:rsid w:val="00140FB3"/>
    <w:rsid w:val="001411E3"/>
    <w:rsid w:val="001412C4"/>
    <w:rsid w:val="00141C0D"/>
    <w:rsid w:val="0014206D"/>
    <w:rsid w:val="0014229E"/>
    <w:rsid w:val="001422C1"/>
    <w:rsid w:val="00142311"/>
    <w:rsid w:val="00142A79"/>
    <w:rsid w:val="00142B87"/>
    <w:rsid w:val="00142D2C"/>
    <w:rsid w:val="00143C38"/>
    <w:rsid w:val="001440C0"/>
    <w:rsid w:val="00144BB5"/>
    <w:rsid w:val="00144F2E"/>
    <w:rsid w:val="0014501F"/>
    <w:rsid w:val="00145646"/>
    <w:rsid w:val="001457F7"/>
    <w:rsid w:val="00145FD7"/>
    <w:rsid w:val="00146062"/>
    <w:rsid w:val="001464AB"/>
    <w:rsid w:val="001467B5"/>
    <w:rsid w:val="00146856"/>
    <w:rsid w:val="00146B7C"/>
    <w:rsid w:val="00146E06"/>
    <w:rsid w:val="0014793A"/>
    <w:rsid w:val="00150003"/>
    <w:rsid w:val="00150519"/>
    <w:rsid w:val="00150639"/>
    <w:rsid w:val="0015080A"/>
    <w:rsid w:val="00150B12"/>
    <w:rsid w:val="00150F9D"/>
    <w:rsid w:val="00151089"/>
    <w:rsid w:val="00151C42"/>
    <w:rsid w:val="0015205E"/>
    <w:rsid w:val="001520C4"/>
    <w:rsid w:val="001528C6"/>
    <w:rsid w:val="00153871"/>
    <w:rsid w:val="00154011"/>
    <w:rsid w:val="001544C0"/>
    <w:rsid w:val="00154944"/>
    <w:rsid w:val="00155091"/>
    <w:rsid w:val="00155545"/>
    <w:rsid w:val="00155AA2"/>
    <w:rsid w:val="001562D3"/>
    <w:rsid w:val="00156BAE"/>
    <w:rsid w:val="001575F4"/>
    <w:rsid w:val="00157A43"/>
    <w:rsid w:val="00157B74"/>
    <w:rsid w:val="00157C89"/>
    <w:rsid w:val="00157C91"/>
    <w:rsid w:val="00160430"/>
    <w:rsid w:val="001604E5"/>
    <w:rsid w:val="00160E1F"/>
    <w:rsid w:val="00160E59"/>
    <w:rsid w:val="0016104F"/>
    <w:rsid w:val="001617BE"/>
    <w:rsid w:val="001618F2"/>
    <w:rsid w:val="00161DDD"/>
    <w:rsid w:val="001620E2"/>
    <w:rsid w:val="00162401"/>
    <w:rsid w:val="00162AF5"/>
    <w:rsid w:val="00162C09"/>
    <w:rsid w:val="00162F5A"/>
    <w:rsid w:val="00163A70"/>
    <w:rsid w:val="00163B01"/>
    <w:rsid w:val="00163D6B"/>
    <w:rsid w:val="00163DA7"/>
    <w:rsid w:val="00163FF3"/>
    <w:rsid w:val="00164114"/>
    <w:rsid w:val="001641AA"/>
    <w:rsid w:val="001644D0"/>
    <w:rsid w:val="001647E5"/>
    <w:rsid w:val="00164EF7"/>
    <w:rsid w:val="001651C2"/>
    <w:rsid w:val="00165495"/>
    <w:rsid w:val="00165533"/>
    <w:rsid w:val="00165716"/>
    <w:rsid w:val="001660C2"/>
    <w:rsid w:val="0016629B"/>
    <w:rsid w:val="001665B2"/>
    <w:rsid w:val="00166772"/>
    <w:rsid w:val="0016679F"/>
    <w:rsid w:val="00166DED"/>
    <w:rsid w:val="001675C4"/>
    <w:rsid w:val="00167D0F"/>
    <w:rsid w:val="00167F36"/>
    <w:rsid w:val="001704AC"/>
    <w:rsid w:val="0017158D"/>
    <w:rsid w:val="001719F6"/>
    <w:rsid w:val="00171B4C"/>
    <w:rsid w:val="00171B6B"/>
    <w:rsid w:val="001722F7"/>
    <w:rsid w:val="00172A27"/>
    <w:rsid w:val="00172F25"/>
    <w:rsid w:val="00172FD5"/>
    <w:rsid w:val="00173148"/>
    <w:rsid w:val="00173E55"/>
    <w:rsid w:val="001743E4"/>
    <w:rsid w:val="001743F1"/>
    <w:rsid w:val="001748B2"/>
    <w:rsid w:val="00175002"/>
    <w:rsid w:val="00175179"/>
    <w:rsid w:val="001757C1"/>
    <w:rsid w:val="00175AD9"/>
    <w:rsid w:val="00175CFB"/>
    <w:rsid w:val="00175D08"/>
    <w:rsid w:val="00175FD9"/>
    <w:rsid w:val="00176653"/>
    <w:rsid w:val="00176796"/>
    <w:rsid w:val="001768B8"/>
    <w:rsid w:val="0017699F"/>
    <w:rsid w:val="00177187"/>
    <w:rsid w:val="00177305"/>
    <w:rsid w:val="00177725"/>
    <w:rsid w:val="00177EEE"/>
    <w:rsid w:val="001803BB"/>
    <w:rsid w:val="00180569"/>
    <w:rsid w:val="00180F10"/>
    <w:rsid w:val="001815E8"/>
    <w:rsid w:val="0018184D"/>
    <w:rsid w:val="00181910"/>
    <w:rsid w:val="00181DAD"/>
    <w:rsid w:val="00182002"/>
    <w:rsid w:val="0018271E"/>
    <w:rsid w:val="00182B07"/>
    <w:rsid w:val="00183501"/>
    <w:rsid w:val="001836AA"/>
    <w:rsid w:val="001836E1"/>
    <w:rsid w:val="00183B57"/>
    <w:rsid w:val="00183C46"/>
    <w:rsid w:val="00183F62"/>
    <w:rsid w:val="00183F9A"/>
    <w:rsid w:val="00184855"/>
    <w:rsid w:val="0018485D"/>
    <w:rsid w:val="0018488F"/>
    <w:rsid w:val="0018508D"/>
    <w:rsid w:val="0018566A"/>
    <w:rsid w:val="001857EF"/>
    <w:rsid w:val="0018582D"/>
    <w:rsid w:val="001858E4"/>
    <w:rsid w:val="00185952"/>
    <w:rsid w:val="00185A8C"/>
    <w:rsid w:val="00185F5E"/>
    <w:rsid w:val="001860F6"/>
    <w:rsid w:val="0018679E"/>
    <w:rsid w:val="00186CCD"/>
    <w:rsid w:val="00186E8F"/>
    <w:rsid w:val="001875A5"/>
    <w:rsid w:val="00190142"/>
    <w:rsid w:val="001907EF"/>
    <w:rsid w:val="00190E4F"/>
    <w:rsid w:val="00190FB6"/>
    <w:rsid w:val="001911AE"/>
    <w:rsid w:val="00191734"/>
    <w:rsid w:val="0019366F"/>
    <w:rsid w:val="00194121"/>
    <w:rsid w:val="00194213"/>
    <w:rsid w:val="001943B8"/>
    <w:rsid w:val="00194463"/>
    <w:rsid w:val="00194B95"/>
    <w:rsid w:val="00195A6E"/>
    <w:rsid w:val="00195B6D"/>
    <w:rsid w:val="00195CEA"/>
    <w:rsid w:val="00196612"/>
    <w:rsid w:val="00196C26"/>
    <w:rsid w:val="00196EDA"/>
    <w:rsid w:val="00197ACF"/>
    <w:rsid w:val="00197E2B"/>
    <w:rsid w:val="001A014B"/>
    <w:rsid w:val="001A0154"/>
    <w:rsid w:val="001A04E2"/>
    <w:rsid w:val="001A0D78"/>
    <w:rsid w:val="001A0D8B"/>
    <w:rsid w:val="001A0F21"/>
    <w:rsid w:val="001A0F26"/>
    <w:rsid w:val="001A1B00"/>
    <w:rsid w:val="001A1BF8"/>
    <w:rsid w:val="001A1E0D"/>
    <w:rsid w:val="001A2152"/>
    <w:rsid w:val="001A229C"/>
    <w:rsid w:val="001A256B"/>
    <w:rsid w:val="001A2E2A"/>
    <w:rsid w:val="001A32D6"/>
    <w:rsid w:val="001A34C3"/>
    <w:rsid w:val="001A3581"/>
    <w:rsid w:val="001A3623"/>
    <w:rsid w:val="001A38AA"/>
    <w:rsid w:val="001A398C"/>
    <w:rsid w:val="001A39C2"/>
    <w:rsid w:val="001A3BF5"/>
    <w:rsid w:val="001A4370"/>
    <w:rsid w:val="001A443D"/>
    <w:rsid w:val="001A4574"/>
    <w:rsid w:val="001A463F"/>
    <w:rsid w:val="001A4761"/>
    <w:rsid w:val="001A4B5A"/>
    <w:rsid w:val="001A5714"/>
    <w:rsid w:val="001A5867"/>
    <w:rsid w:val="001A5A85"/>
    <w:rsid w:val="001A5DB0"/>
    <w:rsid w:val="001A5F75"/>
    <w:rsid w:val="001A6C37"/>
    <w:rsid w:val="001A6F08"/>
    <w:rsid w:val="001A7024"/>
    <w:rsid w:val="001A752A"/>
    <w:rsid w:val="001B0597"/>
    <w:rsid w:val="001B1120"/>
    <w:rsid w:val="001B1189"/>
    <w:rsid w:val="001B11A6"/>
    <w:rsid w:val="001B154A"/>
    <w:rsid w:val="001B174B"/>
    <w:rsid w:val="001B1D8F"/>
    <w:rsid w:val="001B1E8F"/>
    <w:rsid w:val="001B2440"/>
    <w:rsid w:val="001B2637"/>
    <w:rsid w:val="001B2854"/>
    <w:rsid w:val="001B298D"/>
    <w:rsid w:val="001B2998"/>
    <w:rsid w:val="001B2D33"/>
    <w:rsid w:val="001B3304"/>
    <w:rsid w:val="001B3650"/>
    <w:rsid w:val="001B38B3"/>
    <w:rsid w:val="001B415F"/>
    <w:rsid w:val="001B4560"/>
    <w:rsid w:val="001B4B41"/>
    <w:rsid w:val="001B4BBF"/>
    <w:rsid w:val="001B51DE"/>
    <w:rsid w:val="001B5322"/>
    <w:rsid w:val="001B5431"/>
    <w:rsid w:val="001B550B"/>
    <w:rsid w:val="001B5916"/>
    <w:rsid w:val="001B5AD1"/>
    <w:rsid w:val="001B5C7B"/>
    <w:rsid w:val="001B5F7D"/>
    <w:rsid w:val="001B7DB3"/>
    <w:rsid w:val="001C0419"/>
    <w:rsid w:val="001C0B81"/>
    <w:rsid w:val="001C0B93"/>
    <w:rsid w:val="001C0E64"/>
    <w:rsid w:val="001C18FC"/>
    <w:rsid w:val="001C1AAF"/>
    <w:rsid w:val="001C21C8"/>
    <w:rsid w:val="001C2ABF"/>
    <w:rsid w:val="001C2F40"/>
    <w:rsid w:val="001C32AA"/>
    <w:rsid w:val="001C44DF"/>
    <w:rsid w:val="001C46D8"/>
    <w:rsid w:val="001C4798"/>
    <w:rsid w:val="001C495B"/>
    <w:rsid w:val="001C49E9"/>
    <w:rsid w:val="001C4AFC"/>
    <w:rsid w:val="001C4D1E"/>
    <w:rsid w:val="001C4D84"/>
    <w:rsid w:val="001C4D9B"/>
    <w:rsid w:val="001C5126"/>
    <w:rsid w:val="001C52C7"/>
    <w:rsid w:val="001C5AED"/>
    <w:rsid w:val="001C65BD"/>
    <w:rsid w:val="001C6743"/>
    <w:rsid w:val="001C6940"/>
    <w:rsid w:val="001C6956"/>
    <w:rsid w:val="001C69AE"/>
    <w:rsid w:val="001C6B3F"/>
    <w:rsid w:val="001C6C41"/>
    <w:rsid w:val="001C6F3C"/>
    <w:rsid w:val="001C6FEF"/>
    <w:rsid w:val="001C7DB9"/>
    <w:rsid w:val="001D0175"/>
    <w:rsid w:val="001D06FB"/>
    <w:rsid w:val="001D0783"/>
    <w:rsid w:val="001D0AA9"/>
    <w:rsid w:val="001D0D54"/>
    <w:rsid w:val="001D12B8"/>
    <w:rsid w:val="001D1730"/>
    <w:rsid w:val="001D17B3"/>
    <w:rsid w:val="001D1F18"/>
    <w:rsid w:val="001D2213"/>
    <w:rsid w:val="001D229B"/>
    <w:rsid w:val="001D23CC"/>
    <w:rsid w:val="001D26EF"/>
    <w:rsid w:val="001D2EE5"/>
    <w:rsid w:val="001D2F2B"/>
    <w:rsid w:val="001D300C"/>
    <w:rsid w:val="001D308D"/>
    <w:rsid w:val="001D3311"/>
    <w:rsid w:val="001D3DEA"/>
    <w:rsid w:val="001D3FE5"/>
    <w:rsid w:val="001D4B5C"/>
    <w:rsid w:val="001D4EB7"/>
    <w:rsid w:val="001D4F9E"/>
    <w:rsid w:val="001D524A"/>
    <w:rsid w:val="001D57ED"/>
    <w:rsid w:val="001D58C5"/>
    <w:rsid w:val="001D5B19"/>
    <w:rsid w:val="001D5CE6"/>
    <w:rsid w:val="001D603B"/>
    <w:rsid w:val="001D6065"/>
    <w:rsid w:val="001D686E"/>
    <w:rsid w:val="001D6898"/>
    <w:rsid w:val="001D6DE4"/>
    <w:rsid w:val="001D730B"/>
    <w:rsid w:val="001E01DB"/>
    <w:rsid w:val="001E04FF"/>
    <w:rsid w:val="001E069A"/>
    <w:rsid w:val="001E0BB0"/>
    <w:rsid w:val="001E139A"/>
    <w:rsid w:val="001E164F"/>
    <w:rsid w:val="001E1F56"/>
    <w:rsid w:val="001E1F7C"/>
    <w:rsid w:val="001E2204"/>
    <w:rsid w:val="001E26BF"/>
    <w:rsid w:val="001E29E0"/>
    <w:rsid w:val="001E2A19"/>
    <w:rsid w:val="001E2D81"/>
    <w:rsid w:val="001E3138"/>
    <w:rsid w:val="001E31BE"/>
    <w:rsid w:val="001E3C8D"/>
    <w:rsid w:val="001E3F8B"/>
    <w:rsid w:val="001E4238"/>
    <w:rsid w:val="001E46AC"/>
    <w:rsid w:val="001E4ADF"/>
    <w:rsid w:val="001E4B02"/>
    <w:rsid w:val="001E5140"/>
    <w:rsid w:val="001E51BC"/>
    <w:rsid w:val="001E5758"/>
    <w:rsid w:val="001E5786"/>
    <w:rsid w:val="001E5C84"/>
    <w:rsid w:val="001E5CD2"/>
    <w:rsid w:val="001E5EFB"/>
    <w:rsid w:val="001E660F"/>
    <w:rsid w:val="001E665E"/>
    <w:rsid w:val="001E6773"/>
    <w:rsid w:val="001E6A4E"/>
    <w:rsid w:val="001E6BCE"/>
    <w:rsid w:val="001E6DB6"/>
    <w:rsid w:val="001E6DCD"/>
    <w:rsid w:val="001E72F1"/>
    <w:rsid w:val="001E742B"/>
    <w:rsid w:val="001E7AB4"/>
    <w:rsid w:val="001E7AF9"/>
    <w:rsid w:val="001E7C28"/>
    <w:rsid w:val="001F0091"/>
    <w:rsid w:val="001F08DA"/>
    <w:rsid w:val="001F0955"/>
    <w:rsid w:val="001F0C6F"/>
    <w:rsid w:val="001F0ECB"/>
    <w:rsid w:val="001F1059"/>
    <w:rsid w:val="001F1215"/>
    <w:rsid w:val="001F1A36"/>
    <w:rsid w:val="001F1D3A"/>
    <w:rsid w:val="001F1EB1"/>
    <w:rsid w:val="001F236B"/>
    <w:rsid w:val="001F238C"/>
    <w:rsid w:val="001F2A82"/>
    <w:rsid w:val="001F2DBE"/>
    <w:rsid w:val="001F4014"/>
    <w:rsid w:val="001F46AC"/>
    <w:rsid w:val="001F48E4"/>
    <w:rsid w:val="001F5435"/>
    <w:rsid w:val="001F58EA"/>
    <w:rsid w:val="001F5D47"/>
    <w:rsid w:val="001F6146"/>
    <w:rsid w:val="001F6241"/>
    <w:rsid w:val="001F69D2"/>
    <w:rsid w:val="001F6A2F"/>
    <w:rsid w:val="001F7568"/>
    <w:rsid w:val="001F75E3"/>
    <w:rsid w:val="001F7AD3"/>
    <w:rsid w:val="001F7E45"/>
    <w:rsid w:val="001F7FD8"/>
    <w:rsid w:val="0020001B"/>
    <w:rsid w:val="002003E6"/>
    <w:rsid w:val="002007F0"/>
    <w:rsid w:val="0020089D"/>
    <w:rsid w:val="00200CC6"/>
    <w:rsid w:val="00200F75"/>
    <w:rsid w:val="0020138C"/>
    <w:rsid w:val="002016B4"/>
    <w:rsid w:val="002019B5"/>
    <w:rsid w:val="00201D98"/>
    <w:rsid w:val="00201FD4"/>
    <w:rsid w:val="00202457"/>
    <w:rsid w:val="0020260A"/>
    <w:rsid w:val="00202694"/>
    <w:rsid w:val="002028D7"/>
    <w:rsid w:val="002028FC"/>
    <w:rsid w:val="00202DBE"/>
    <w:rsid w:val="002033B9"/>
    <w:rsid w:val="0020372B"/>
    <w:rsid w:val="002038E5"/>
    <w:rsid w:val="00203900"/>
    <w:rsid w:val="00203CEA"/>
    <w:rsid w:val="00203DB7"/>
    <w:rsid w:val="00203F71"/>
    <w:rsid w:val="002040B4"/>
    <w:rsid w:val="0020419E"/>
    <w:rsid w:val="0020424B"/>
    <w:rsid w:val="00204313"/>
    <w:rsid w:val="00204829"/>
    <w:rsid w:val="002048EA"/>
    <w:rsid w:val="00204DA9"/>
    <w:rsid w:val="00204F67"/>
    <w:rsid w:val="002053CA"/>
    <w:rsid w:val="00205625"/>
    <w:rsid w:val="002056CC"/>
    <w:rsid w:val="0020590F"/>
    <w:rsid w:val="00205EBF"/>
    <w:rsid w:val="00206387"/>
    <w:rsid w:val="00206AAF"/>
    <w:rsid w:val="00207A59"/>
    <w:rsid w:val="00207D7C"/>
    <w:rsid w:val="00207DB8"/>
    <w:rsid w:val="00210A4F"/>
    <w:rsid w:val="00210CF0"/>
    <w:rsid w:val="00210D12"/>
    <w:rsid w:val="00210D18"/>
    <w:rsid w:val="00210F26"/>
    <w:rsid w:val="00211025"/>
    <w:rsid w:val="00211CA3"/>
    <w:rsid w:val="00211FC0"/>
    <w:rsid w:val="002127BB"/>
    <w:rsid w:val="00212CBB"/>
    <w:rsid w:val="00212D34"/>
    <w:rsid w:val="00212F3A"/>
    <w:rsid w:val="00213B7A"/>
    <w:rsid w:val="00213C15"/>
    <w:rsid w:val="00214BFF"/>
    <w:rsid w:val="0021567A"/>
    <w:rsid w:val="00215833"/>
    <w:rsid w:val="00215E81"/>
    <w:rsid w:val="00215F39"/>
    <w:rsid w:val="0021609D"/>
    <w:rsid w:val="002160FC"/>
    <w:rsid w:val="00216B6C"/>
    <w:rsid w:val="00216C21"/>
    <w:rsid w:val="00216D96"/>
    <w:rsid w:val="00216F5F"/>
    <w:rsid w:val="002172D8"/>
    <w:rsid w:val="00217306"/>
    <w:rsid w:val="00217603"/>
    <w:rsid w:val="00217726"/>
    <w:rsid w:val="0021788F"/>
    <w:rsid w:val="00220233"/>
    <w:rsid w:val="00220339"/>
    <w:rsid w:val="00220485"/>
    <w:rsid w:val="0022109F"/>
    <w:rsid w:val="002210E0"/>
    <w:rsid w:val="002219D2"/>
    <w:rsid w:val="00221C35"/>
    <w:rsid w:val="00221C68"/>
    <w:rsid w:val="00222676"/>
    <w:rsid w:val="00222A90"/>
    <w:rsid w:val="00222C5B"/>
    <w:rsid w:val="0022310C"/>
    <w:rsid w:val="002235CA"/>
    <w:rsid w:val="00223658"/>
    <w:rsid w:val="00223849"/>
    <w:rsid w:val="00223EEC"/>
    <w:rsid w:val="00223F76"/>
    <w:rsid w:val="00224421"/>
    <w:rsid w:val="0022452E"/>
    <w:rsid w:val="0022466F"/>
    <w:rsid w:val="00224DAF"/>
    <w:rsid w:val="00224EC2"/>
    <w:rsid w:val="00225376"/>
    <w:rsid w:val="002257D8"/>
    <w:rsid w:val="00225DD5"/>
    <w:rsid w:val="002262F9"/>
    <w:rsid w:val="00226A56"/>
    <w:rsid w:val="00227951"/>
    <w:rsid w:val="00227E36"/>
    <w:rsid w:val="00227EA0"/>
    <w:rsid w:val="00227EC2"/>
    <w:rsid w:val="002305AC"/>
    <w:rsid w:val="002308CF"/>
    <w:rsid w:val="00230D20"/>
    <w:rsid w:val="002315CA"/>
    <w:rsid w:val="00231A8F"/>
    <w:rsid w:val="002328E0"/>
    <w:rsid w:val="00232B62"/>
    <w:rsid w:val="00232F95"/>
    <w:rsid w:val="00233B01"/>
    <w:rsid w:val="00233CA8"/>
    <w:rsid w:val="00234121"/>
    <w:rsid w:val="002341B9"/>
    <w:rsid w:val="00234359"/>
    <w:rsid w:val="00234C13"/>
    <w:rsid w:val="00234C45"/>
    <w:rsid w:val="00234E8C"/>
    <w:rsid w:val="00235440"/>
    <w:rsid w:val="0023586E"/>
    <w:rsid w:val="00235C8C"/>
    <w:rsid w:val="002360DA"/>
    <w:rsid w:val="00236B83"/>
    <w:rsid w:val="00237351"/>
    <w:rsid w:val="002373C3"/>
    <w:rsid w:val="00237937"/>
    <w:rsid w:val="00237D1E"/>
    <w:rsid w:val="00237DF3"/>
    <w:rsid w:val="0024019D"/>
    <w:rsid w:val="00240886"/>
    <w:rsid w:val="00240A04"/>
    <w:rsid w:val="00240B59"/>
    <w:rsid w:val="00240E30"/>
    <w:rsid w:val="00240F6E"/>
    <w:rsid w:val="002412DF"/>
    <w:rsid w:val="002413B5"/>
    <w:rsid w:val="00241A11"/>
    <w:rsid w:val="00242495"/>
    <w:rsid w:val="002424B1"/>
    <w:rsid w:val="00242768"/>
    <w:rsid w:val="00242D46"/>
    <w:rsid w:val="00243076"/>
    <w:rsid w:val="00243135"/>
    <w:rsid w:val="002434F0"/>
    <w:rsid w:val="0024371A"/>
    <w:rsid w:val="00243CF9"/>
    <w:rsid w:val="002441BC"/>
    <w:rsid w:val="0024501D"/>
    <w:rsid w:val="00245103"/>
    <w:rsid w:val="0024525B"/>
    <w:rsid w:val="00245505"/>
    <w:rsid w:val="002457B2"/>
    <w:rsid w:val="00245A88"/>
    <w:rsid w:val="00245B7E"/>
    <w:rsid w:val="0024616E"/>
    <w:rsid w:val="0024674B"/>
    <w:rsid w:val="002468AC"/>
    <w:rsid w:val="00247CF5"/>
    <w:rsid w:val="00247E38"/>
    <w:rsid w:val="00247EF8"/>
    <w:rsid w:val="00250193"/>
    <w:rsid w:val="002502BF"/>
    <w:rsid w:val="00250389"/>
    <w:rsid w:val="002509FF"/>
    <w:rsid w:val="002511C0"/>
    <w:rsid w:val="002514A0"/>
    <w:rsid w:val="00251927"/>
    <w:rsid w:val="00251E0D"/>
    <w:rsid w:val="00251E20"/>
    <w:rsid w:val="00251F24"/>
    <w:rsid w:val="002522DD"/>
    <w:rsid w:val="00252566"/>
    <w:rsid w:val="00252694"/>
    <w:rsid w:val="00252C60"/>
    <w:rsid w:val="00252EF3"/>
    <w:rsid w:val="00253129"/>
    <w:rsid w:val="00253D06"/>
    <w:rsid w:val="00253EB2"/>
    <w:rsid w:val="0025417E"/>
    <w:rsid w:val="00254432"/>
    <w:rsid w:val="002545E6"/>
    <w:rsid w:val="002548B3"/>
    <w:rsid w:val="002548FA"/>
    <w:rsid w:val="00254B05"/>
    <w:rsid w:val="002551FF"/>
    <w:rsid w:val="00255290"/>
    <w:rsid w:val="00255392"/>
    <w:rsid w:val="002562F8"/>
    <w:rsid w:val="00257076"/>
    <w:rsid w:val="002578BE"/>
    <w:rsid w:val="00257C6E"/>
    <w:rsid w:val="00260D5C"/>
    <w:rsid w:val="00260F16"/>
    <w:rsid w:val="002611FA"/>
    <w:rsid w:val="00261A58"/>
    <w:rsid w:val="00261D7E"/>
    <w:rsid w:val="00261DC5"/>
    <w:rsid w:val="00262191"/>
    <w:rsid w:val="002621D2"/>
    <w:rsid w:val="002623C6"/>
    <w:rsid w:val="00262A85"/>
    <w:rsid w:val="00262C08"/>
    <w:rsid w:val="00262EA3"/>
    <w:rsid w:val="00263062"/>
    <w:rsid w:val="002630FA"/>
    <w:rsid w:val="00263150"/>
    <w:rsid w:val="0026343C"/>
    <w:rsid w:val="0026362A"/>
    <w:rsid w:val="00263716"/>
    <w:rsid w:val="00263DBF"/>
    <w:rsid w:val="002646F7"/>
    <w:rsid w:val="00264F07"/>
    <w:rsid w:val="00265138"/>
    <w:rsid w:val="00265590"/>
    <w:rsid w:val="0026578B"/>
    <w:rsid w:val="00265C5B"/>
    <w:rsid w:val="00265C86"/>
    <w:rsid w:val="00265DE9"/>
    <w:rsid w:val="002665D0"/>
    <w:rsid w:val="002666C8"/>
    <w:rsid w:val="00267436"/>
    <w:rsid w:val="002675B8"/>
    <w:rsid w:val="002675C9"/>
    <w:rsid w:val="0026793B"/>
    <w:rsid w:val="00270334"/>
    <w:rsid w:val="0027043C"/>
    <w:rsid w:val="002709C3"/>
    <w:rsid w:val="00270A1D"/>
    <w:rsid w:val="00271443"/>
    <w:rsid w:val="00271BF5"/>
    <w:rsid w:val="00271D3D"/>
    <w:rsid w:val="00272279"/>
    <w:rsid w:val="002722EF"/>
    <w:rsid w:val="00273038"/>
    <w:rsid w:val="002743A4"/>
    <w:rsid w:val="00274920"/>
    <w:rsid w:val="0027497F"/>
    <w:rsid w:val="0027499C"/>
    <w:rsid w:val="00274B9E"/>
    <w:rsid w:val="00275B10"/>
    <w:rsid w:val="00275FA3"/>
    <w:rsid w:val="00276069"/>
    <w:rsid w:val="00276121"/>
    <w:rsid w:val="00276181"/>
    <w:rsid w:val="00276264"/>
    <w:rsid w:val="00276874"/>
    <w:rsid w:val="0027689F"/>
    <w:rsid w:val="00276D1D"/>
    <w:rsid w:val="00276DBC"/>
    <w:rsid w:val="00276F96"/>
    <w:rsid w:val="002779E3"/>
    <w:rsid w:val="00280B64"/>
    <w:rsid w:val="00280C74"/>
    <w:rsid w:val="00281747"/>
    <w:rsid w:val="00281B0D"/>
    <w:rsid w:val="00281EAB"/>
    <w:rsid w:val="0028205A"/>
    <w:rsid w:val="0028243C"/>
    <w:rsid w:val="00282A3D"/>
    <w:rsid w:val="00282DDD"/>
    <w:rsid w:val="002830D2"/>
    <w:rsid w:val="0028316E"/>
    <w:rsid w:val="002834D9"/>
    <w:rsid w:val="0028391F"/>
    <w:rsid w:val="00283C62"/>
    <w:rsid w:val="00283D3D"/>
    <w:rsid w:val="00283D82"/>
    <w:rsid w:val="00284506"/>
    <w:rsid w:val="002846AE"/>
    <w:rsid w:val="00284CE4"/>
    <w:rsid w:val="00285321"/>
    <w:rsid w:val="00285340"/>
    <w:rsid w:val="002857E6"/>
    <w:rsid w:val="00285995"/>
    <w:rsid w:val="00285BE6"/>
    <w:rsid w:val="00285DC5"/>
    <w:rsid w:val="00286786"/>
    <w:rsid w:val="002869E9"/>
    <w:rsid w:val="00286AB9"/>
    <w:rsid w:val="00286E3C"/>
    <w:rsid w:val="0028766E"/>
    <w:rsid w:val="002876D4"/>
    <w:rsid w:val="00287763"/>
    <w:rsid w:val="0028788C"/>
    <w:rsid w:val="0028797F"/>
    <w:rsid w:val="002879A1"/>
    <w:rsid w:val="00287A8B"/>
    <w:rsid w:val="002901CE"/>
    <w:rsid w:val="00290245"/>
    <w:rsid w:val="0029046A"/>
    <w:rsid w:val="002904D4"/>
    <w:rsid w:val="00290C8E"/>
    <w:rsid w:val="00290EC4"/>
    <w:rsid w:val="002915A2"/>
    <w:rsid w:val="00291A12"/>
    <w:rsid w:val="00291A9C"/>
    <w:rsid w:val="002921C2"/>
    <w:rsid w:val="00292363"/>
    <w:rsid w:val="00292EA0"/>
    <w:rsid w:val="00292F5F"/>
    <w:rsid w:val="00293106"/>
    <w:rsid w:val="00293122"/>
    <w:rsid w:val="00293D46"/>
    <w:rsid w:val="00294743"/>
    <w:rsid w:val="00294959"/>
    <w:rsid w:val="002950FF"/>
    <w:rsid w:val="00295BD5"/>
    <w:rsid w:val="00295E36"/>
    <w:rsid w:val="002961ED"/>
    <w:rsid w:val="0029636C"/>
    <w:rsid w:val="0029674A"/>
    <w:rsid w:val="002A0A1C"/>
    <w:rsid w:val="002A0D42"/>
    <w:rsid w:val="002A1A34"/>
    <w:rsid w:val="002A1B6D"/>
    <w:rsid w:val="002A1E8C"/>
    <w:rsid w:val="002A2F35"/>
    <w:rsid w:val="002A328F"/>
    <w:rsid w:val="002A4365"/>
    <w:rsid w:val="002A4699"/>
    <w:rsid w:val="002A52BB"/>
    <w:rsid w:val="002A5676"/>
    <w:rsid w:val="002A58A7"/>
    <w:rsid w:val="002A6211"/>
    <w:rsid w:val="002A6604"/>
    <w:rsid w:val="002A6779"/>
    <w:rsid w:val="002A6890"/>
    <w:rsid w:val="002A6CE4"/>
    <w:rsid w:val="002A701D"/>
    <w:rsid w:val="002A728D"/>
    <w:rsid w:val="002A75AC"/>
    <w:rsid w:val="002A75E6"/>
    <w:rsid w:val="002A7771"/>
    <w:rsid w:val="002A798C"/>
    <w:rsid w:val="002A7F3C"/>
    <w:rsid w:val="002A7F7A"/>
    <w:rsid w:val="002B07C2"/>
    <w:rsid w:val="002B0A10"/>
    <w:rsid w:val="002B17D1"/>
    <w:rsid w:val="002B1D72"/>
    <w:rsid w:val="002B2940"/>
    <w:rsid w:val="002B2A97"/>
    <w:rsid w:val="002B3000"/>
    <w:rsid w:val="002B307A"/>
    <w:rsid w:val="002B3360"/>
    <w:rsid w:val="002B3690"/>
    <w:rsid w:val="002B39B3"/>
    <w:rsid w:val="002B39E2"/>
    <w:rsid w:val="002B39F6"/>
    <w:rsid w:val="002B3A3C"/>
    <w:rsid w:val="002B3DB3"/>
    <w:rsid w:val="002B3F01"/>
    <w:rsid w:val="002B4014"/>
    <w:rsid w:val="002B4601"/>
    <w:rsid w:val="002B4776"/>
    <w:rsid w:val="002B47A9"/>
    <w:rsid w:val="002B481B"/>
    <w:rsid w:val="002B5943"/>
    <w:rsid w:val="002B5EC9"/>
    <w:rsid w:val="002B6269"/>
    <w:rsid w:val="002B6E12"/>
    <w:rsid w:val="002B79BF"/>
    <w:rsid w:val="002B7D81"/>
    <w:rsid w:val="002C0366"/>
    <w:rsid w:val="002C105F"/>
    <w:rsid w:val="002C10EE"/>
    <w:rsid w:val="002C241B"/>
    <w:rsid w:val="002C24FA"/>
    <w:rsid w:val="002C25FF"/>
    <w:rsid w:val="002C2840"/>
    <w:rsid w:val="002C2A48"/>
    <w:rsid w:val="002C3158"/>
    <w:rsid w:val="002C328B"/>
    <w:rsid w:val="002C3957"/>
    <w:rsid w:val="002C396F"/>
    <w:rsid w:val="002C405D"/>
    <w:rsid w:val="002C4303"/>
    <w:rsid w:val="002C4661"/>
    <w:rsid w:val="002C4970"/>
    <w:rsid w:val="002C4A6C"/>
    <w:rsid w:val="002C4ADD"/>
    <w:rsid w:val="002C4CB2"/>
    <w:rsid w:val="002C4CE8"/>
    <w:rsid w:val="002C4E67"/>
    <w:rsid w:val="002C5349"/>
    <w:rsid w:val="002C55B3"/>
    <w:rsid w:val="002C568B"/>
    <w:rsid w:val="002C59AC"/>
    <w:rsid w:val="002C5A43"/>
    <w:rsid w:val="002C5ABB"/>
    <w:rsid w:val="002C5B6A"/>
    <w:rsid w:val="002C62C8"/>
    <w:rsid w:val="002C69D8"/>
    <w:rsid w:val="002C6E19"/>
    <w:rsid w:val="002C75CA"/>
    <w:rsid w:val="002C799C"/>
    <w:rsid w:val="002C7A1D"/>
    <w:rsid w:val="002C7F7B"/>
    <w:rsid w:val="002C7F92"/>
    <w:rsid w:val="002D0132"/>
    <w:rsid w:val="002D0A06"/>
    <w:rsid w:val="002D0AF9"/>
    <w:rsid w:val="002D14F1"/>
    <w:rsid w:val="002D182A"/>
    <w:rsid w:val="002D1904"/>
    <w:rsid w:val="002D2D5C"/>
    <w:rsid w:val="002D2D89"/>
    <w:rsid w:val="002D3443"/>
    <w:rsid w:val="002D39CB"/>
    <w:rsid w:val="002D4294"/>
    <w:rsid w:val="002D4AEF"/>
    <w:rsid w:val="002D4D68"/>
    <w:rsid w:val="002D5513"/>
    <w:rsid w:val="002D55E4"/>
    <w:rsid w:val="002D58B2"/>
    <w:rsid w:val="002D648C"/>
    <w:rsid w:val="002D65EE"/>
    <w:rsid w:val="002D68FC"/>
    <w:rsid w:val="002D6BBA"/>
    <w:rsid w:val="002D6D98"/>
    <w:rsid w:val="002D721C"/>
    <w:rsid w:val="002E00B6"/>
    <w:rsid w:val="002E06DD"/>
    <w:rsid w:val="002E0F60"/>
    <w:rsid w:val="002E10F6"/>
    <w:rsid w:val="002E1151"/>
    <w:rsid w:val="002E1406"/>
    <w:rsid w:val="002E14FC"/>
    <w:rsid w:val="002E1935"/>
    <w:rsid w:val="002E1D72"/>
    <w:rsid w:val="002E1E91"/>
    <w:rsid w:val="002E230E"/>
    <w:rsid w:val="002E2614"/>
    <w:rsid w:val="002E267C"/>
    <w:rsid w:val="002E267D"/>
    <w:rsid w:val="002E2CF4"/>
    <w:rsid w:val="002E31C1"/>
    <w:rsid w:val="002E37BF"/>
    <w:rsid w:val="002E3AC0"/>
    <w:rsid w:val="002E3C50"/>
    <w:rsid w:val="002E3D51"/>
    <w:rsid w:val="002E3EAC"/>
    <w:rsid w:val="002E3EFC"/>
    <w:rsid w:val="002E4261"/>
    <w:rsid w:val="002E44F4"/>
    <w:rsid w:val="002E48F5"/>
    <w:rsid w:val="002E4E02"/>
    <w:rsid w:val="002E53D9"/>
    <w:rsid w:val="002E573E"/>
    <w:rsid w:val="002E58DE"/>
    <w:rsid w:val="002E5BAF"/>
    <w:rsid w:val="002E5C0C"/>
    <w:rsid w:val="002E5D29"/>
    <w:rsid w:val="002E6210"/>
    <w:rsid w:val="002E6870"/>
    <w:rsid w:val="002E73D7"/>
    <w:rsid w:val="002E74DA"/>
    <w:rsid w:val="002E75B0"/>
    <w:rsid w:val="002E7958"/>
    <w:rsid w:val="002E7BEA"/>
    <w:rsid w:val="002F1398"/>
    <w:rsid w:val="002F144E"/>
    <w:rsid w:val="002F14C0"/>
    <w:rsid w:val="002F1556"/>
    <w:rsid w:val="002F1790"/>
    <w:rsid w:val="002F18A7"/>
    <w:rsid w:val="002F1AA6"/>
    <w:rsid w:val="002F1C0C"/>
    <w:rsid w:val="002F1D8B"/>
    <w:rsid w:val="002F1FEA"/>
    <w:rsid w:val="002F21B4"/>
    <w:rsid w:val="002F245E"/>
    <w:rsid w:val="002F2784"/>
    <w:rsid w:val="002F2B4C"/>
    <w:rsid w:val="002F2B82"/>
    <w:rsid w:val="002F3543"/>
    <w:rsid w:val="002F3677"/>
    <w:rsid w:val="002F3FAB"/>
    <w:rsid w:val="002F42D7"/>
    <w:rsid w:val="002F4F3F"/>
    <w:rsid w:val="002F525B"/>
    <w:rsid w:val="002F5CC6"/>
    <w:rsid w:val="002F62FC"/>
    <w:rsid w:val="002F7199"/>
    <w:rsid w:val="002F7437"/>
    <w:rsid w:val="002F7588"/>
    <w:rsid w:val="002F7973"/>
    <w:rsid w:val="002F7CB6"/>
    <w:rsid w:val="003006FC"/>
    <w:rsid w:val="00300860"/>
    <w:rsid w:val="00300921"/>
    <w:rsid w:val="00300C62"/>
    <w:rsid w:val="00300EEB"/>
    <w:rsid w:val="00301099"/>
    <w:rsid w:val="00301196"/>
    <w:rsid w:val="00301425"/>
    <w:rsid w:val="00301F92"/>
    <w:rsid w:val="0030244B"/>
    <w:rsid w:val="0030285D"/>
    <w:rsid w:val="00302A15"/>
    <w:rsid w:val="00303273"/>
    <w:rsid w:val="0030347F"/>
    <w:rsid w:val="00303713"/>
    <w:rsid w:val="00303759"/>
    <w:rsid w:val="003046EE"/>
    <w:rsid w:val="00304720"/>
    <w:rsid w:val="00304F1C"/>
    <w:rsid w:val="003051F4"/>
    <w:rsid w:val="003055D2"/>
    <w:rsid w:val="003058E6"/>
    <w:rsid w:val="0030596E"/>
    <w:rsid w:val="00305EFC"/>
    <w:rsid w:val="00306003"/>
    <w:rsid w:val="003064C1"/>
    <w:rsid w:val="0030674F"/>
    <w:rsid w:val="00306770"/>
    <w:rsid w:val="003069E8"/>
    <w:rsid w:val="00306BF5"/>
    <w:rsid w:val="00306ED0"/>
    <w:rsid w:val="0030703F"/>
    <w:rsid w:val="003071C9"/>
    <w:rsid w:val="00307524"/>
    <w:rsid w:val="0030761C"/>
    <w:rsid w:val="00307AE4"/>
    <w:rsid w:val="00310013"/>
    <w:rsid w:val="003106A9"/>
    <w:rsid w:val="00310839"/>
    <w:rsid w:val="003109D2"/>
    <w:rsid w:val="00310BCC"/>
    <w:rsid w:val="00310D18"/>
    <w:rsid w:val="0031109A"/>
    <w:rsid w:val="003112D2"/>
    <w:rsid w:val="0031147D"/>
    <w:rsid w:val="0031189F"/>
    <w:rsid w:val="00311A20"/>
    <w:rsid w:val="00311A66"/>
    <w:rsid w:val="00311F56"/>
    <w:rsid w:val="00312229"/>
    <w:rsid w:val="003134B1"/>
    <w:rsid w:val="00313559"/>
    <w:rsid w:val="003137C3"/>
    <w:rsid w:val="00313B50"/>
    <w:rsid w:val="00313BEF"/>
    <w:rsid w:val="00313C69"/>
    <w:rsid w:val="00313D24"/>
    <w:rsid w:val="00313FD0"/>
    <w:rsid w:val="00314AB9"/>
    <w:rsid w:val="00314DF5"/>
    <w:rsid w:val="00314ED9"/>
    <w:rsid w:val="003156E5"/>
    <w:rsid w:val="00316119"/>
    <w:rsid w:val="003164B0"/>
    <w:rsid w:val="00316534"/>
    <w:rsid w:val="0031659E"/>
    <w:rsid w:val="003170D1"/>
    <w:rsid w:val="00317A18"/>
    <w:rsid w:val="0032011C"/>
    <w:rsid w:val="00320286"/>
    <w:rsid w:val="00320364"/>
    <w:rsid w:val="00320435"/>
    <w:rsid w:val="003207E2"/>
    <w:rsid w:val="0032082D"/>
    <w:rsid w:val="00320C68"/>
    <w:rsid w:val="00320E72"/>
    <w:rsid w:val="00320F8E"/>
    <w:rsid w:val="00321397"/>
    <w:rsid w:val="003219A9"/>
    <w:rsid w:val="00322160"/>
    <w:rsid w:val="00322494"/>
    <w:rsid w:val="00322538"/>
    <w:rsid w:val="003228F2"/>
    <w:rsid w:val="00322B9F"/>
    <w:rsid w:val="003235EA"/>
    <w:rsid w:val="003235F3"/>
    <w:rsid w:val="0032373C"/>
    <w:rsid w:val="00323A05"/>
    <w:rsid w:val="00323A8F"/>
    <w:rsid w:val="00324740"/>
    <w:rsid w:val="0032483C"/>
    <w:rsid w:val="00324C66"/>
    <w:rsid w:val="00325589"/>
    <w:rsid w:val="00325843"/>
    <w:rsid w:val="0032594D"/>
    <w:rsid w:val="00325E21"/>
    <w:rsid w:val="00326091"/>
    <w:rsid w:val="00326497"/>
    <w:rsid w:val="00326584"/>
    <w:rsid w:val="00327424"/>
    <w:rsid w:val="00327496"/>
    <w:rsid w:val="003274CE"/>
    <w:rsid w:val="00327E62"/>
    <w:rsid w:val="00330351"/>
    <w:rsid w:val="003303C2"/>
    <w:rsid w:val="00330756"/>
    <w:rsid w:val="00330D81"/>
    <w:rsid w:val="003310B4"/>
    <w:rsid w:val="00331936"/>
    <w:rsid w:val="00331A8B"/>
    <w:rsid w:val="00331B33"/>
    <w:rsid w:val="00331FF0"/>
    <w:rsid w:val="003321FC"/>
    <w:rsid w:val="003327E2"/>
    <w:rsid w:val="00332D08"/>
    <w:rsid w:val="00332FF8"/>
    <w:rsid w:val="003334EC"/>
    <w:rsid w:val="00333A06"/>
    <w:rsid w:val="00333C55"/>
    <w:rsid w:val="00333CCB"/>
    <w:rsid w:val="00334275"/>
    <w:rsid w:val="00334978"/>
    <w:rsid w:val="0033505E"/>
    <w:rsid w:val="003354EB"/>
    <w:rsid w:val="00335716"/>
    <w:rsid w:val="003357A9"/>
    <w:rsid w:val="00336280"/>
    <w:rsid w:val="0033688B"/>
    <w:rsid w:val="00336A8E"/>
    <w:rsid w:val="00336AF1"/>
    <w:rsid w:val="00336B89"/>
    <w:rsid w:val="00336B9C"/>
    <w:rsid w:val="00336F49"/>
    <w:rsid w:val="0033720B"/>
    <w:rsid w:val="0033746F"/>
    <w:rsid w:val="003376BD"/>
    <w:rsid w:val="00337936"/>
    <w:rsid w:val="00337BBA"/>
    <w:rsid w:val="00340029"/>
    <w:rsid w:val="0034009D"/>
    <w:rsid w:val="00340420"/>
    <w:rsid w:val="003408D4"/>
    <w:rsid w:val="00340FBF"/>
    <w:rsid w:val="00341724"/>
    <w:rsid w:val="00341BDF"/>
    <w:rsid w:val="00342047"/>
    <w:rsid w:val="0034249C"/>
    <w:rsid w:val="00342679"/>
    <w:rsid w:val="003426BC"/>
    <w:rsid w:val="00342D41"/>
    <w:rsid w:val="00343326"/>
    <w:rsid w:val="00343D6D"/>
    <w:rsid w:val="00343E07"/>
    <w:rsid w:val="00344368"/>
    <w:rsid w:val="003444E8"/>
    <w:rsid w:val="00344B13"/>
    <w:rsid w:val="00345014"/>
    <w:rsid w:val="003451AF"/>
    <w:rsid w:val="003453F2"/>
    <w:rsid w:val="003456EF"/>
    <w:rsid w:val="00345729"/>
    <w:rsid w:val="0034627E"/>
    <w:rsid w:val="003464D2"/>
    <w:rsid w:val="00346C06"/>
    <w:rsid w:val="00346C82"/>
    <w:rsid w:val="00347208"/>
    <w:rsid w:val="003472BB"/>
    <w:rsid w:val="003474C4"/>
    <w:rsid w:val="00347776"/>
    <w:rsid w:val="00347D6D"/>
    <w:rsid w:val="003503BB"/>
    <w:rsid w:val="003505B0"/>
    <w:rsid w:val="00350B69"/>
    <w:rsid w:val="00350D55"/>
    <w:rsid w:val="003517D1"/>
    <w:rsid w:val="00352061"/>
    <w:rsid w:val="003522FF"/>
    <w:rsid w:val="00352309"/>
    <w:rsid w:val="00352A9A"/>
    <w:rsid w:val="00352D29"/>
    <w:rsid w:val="003531D3"/>
    <w:rsid w:val="0035320E"/>
    <w:rsid w:val="00353370"/>
    <w:rsid w:val="00353450"/>
    <w:rsid w:val="00353FCC"/>
    <w:rsid w:val="00354020"/>
    <w:rsid w:val="0035441E"/>
    <w:rsid w:val="003546C4"/>
    <w:rsid w:val="0035486F"/>
    <w:rsid w:val="00354901"/>
    <w:rsid w:val="00354E29"/>
    <w:rsid w:val="00355867"/>
    <w:rsid w:val="003559F9"/>
    <w:rsid w:val="00355FE1"/>
    <w:rsid w:val="00356354"/>
    <w:rsid w:val="00356E95"/>
    <w:rsid w:val="0035736E"/>
    <w:rsid w:val="0035781A"/>
    <w:rsid w:val="00357A12"/>
    <w:rsid w:val="00357DAF"/>
    <w:rsid w:val="00357EF2"/>
    <w:rsid w:val="00360577"/>
    <w:rsid w:val="00360A78"/>
    <w:rsid w:val="00360B2E"/>
    <w:rsid w:val="00360F40"/>
    <w:rsid w:val="003611C9"/>
    <w:rsid w:val="00361565"/>
    <w:rsid w:val="00361D79"/>
    <w:rsid w:val="00362272"/>
    <w:rsid w:val="00362595"/>
    <w:rsid w:val="00362BC8"/>
    <w:rsid w:val="00362E41"/>
    <w:rsid w:val="0036380B"/>
    <w:rsid w:val="0036382D"/>
    <w:rsid w:val="00363E44"/>
    <w:rsid w:val="00363EC0"/>
    <w:rsid w:val="00364113"/>
    <w:rsid w:val="003643E4"/>
    <w:rsid w:val="003645D6"/>
    <w:rsid w:val="003647FA"/>
    <w:rsid w:val="00365172"/>
    <w:rsid w:val="00365709"/>
    <w:rsid w:val="003659FF"/>
    <w:rsid w:val="00365E14"/>
    <w:rsid w:val="00365EF2"/>
    <w:rsid w:val="00366F52"/>
    <w:rsid w:val="0036706F"/>
    <w:rsid w:val="003674DA"/>
    <w:rsid w:val="00367892"/>
    <w:rsid w:val="00367C47"/>
    <w:rsid w:val="00367F5F"/>
    <w:rsid w:val="003704CF"/>
    <w:rsid w:val="00370665"/>
    <w:rsid w:val="00371696"/>
    <w:rsid w:val="00371E2C"/>
    <w:rsid w:val="00372D72"/>
    <w:rsid w:val="00373690"/>
    <w:rsid w:val="003736BB"/>
    <w:rsid w:val="00373BE0"/>
    <w:rsid w:val="00373F2F"/>
    <w:rsid w:val="003744D5"/>
    <w:rsid w:val="0037452C"/>
    <w:rsid w:val="00374F55"/>
    <w:rsid w:val="003752DB"/>
    <w:rsid w:val="00375389"/>
    <w:rsid w:val="00375435"/>
    <w:rsid w:val="00375738"/>
    <w:rsid w:val="003759B6"/>
    <w:rsid w:val="00375A47"/>
    <w:rsid w:val="00375D4F"/>
    <w:rsid w:val="00375F08"/>
    <w:rsid w:val="003760C5"/>
    <w:rsid w:val="003764B4"/>
    <w:rsid w:val="00376568"/>
    <w:rsid w:val="00376ACD"/>
    <w:rsid w:val="003772A1"/>
    <w:rsid w:val="003776A1"/>
    <w:rsid w:val="00377F73"/>
    <w:rsid w:val="0038029B"/>
    <w:rsid w:val="003803B6"/>
    <w:rsid w:val="00380794"/>
    <w:rsid w:val="003807F7"/>
    <w:rsid w:val="00380949"/>
    <w:rsid w:val="0038129F"/>
    <w:rsid w:val="0038197B"/>
    <w:rsid w:val="00381ACA"/>
    <w:rsid w:val="00381D04"/>
    <w:rsid w:val="00382117"/>
    <w:rsid w:val="00382168"/>
    <w:rsid w:val="00382459"/>
    <w:rsid w:val="0038396E"/>
    <w:rsid w:val="00383BA4"/>
    <w:rsid w:val="00383C41"/>
    <w:rsid w:val="00383C4E"/>
    <w:rsid w:val="00384104"/>
    <w:rsid w:val="0038476E"/>
    <w:rsid w:val="0038488B"/>
    <w:rsid w:val="00384920"/>
    <w:rsid w:val="00384954"/>
    <w:rsid w:val="003849B5"/>
    <w:rsid w:val="00384B64"/>
    <w:rsid w:val="00384C95"/>
    <w:rsid w:val="00384FD0"/>
    <w:rsid w:val="00385CC0"/>
    <w:rsid w:val="003862C2"/>
    <w:rsid w:val="003864DF"/>
    <w:rsid w:val="00386D64"/>
    <w:rsid w:val="00386FBF"/>
    <w:rsid w:val="00386FDB"/>
    <w:rsid w:val="00387521"/>
    <w:rsid w:val="003901A2"/>
    <w:rsid w:val="003901F8"/>
    <w:rsid w:val="00391483"/>
    <w:rsid w:val="00391872"/>
    <w:rsid w:val="00391897"/>
    <w:rsid w:val="003918FC"/>
    <w:rsid w:val="00391B5A"/>
    <w:rsid w:val="00391BDA"/>
    <w:rsid w:val="00393060"/>
    <w:rsid w:val="003935E9"/>
    <w:rsid w:val="003939A7"/>
    <w:rsid w:val="003939FD"/>
    <w:rsid w:val="00393B44"/>
    <w:rsid w:val="00394110"/>
    <w:rsid w:val="003941F5"/>
    <w:rsid w:val="00394F07"/>
    <w:rsid w:val="00395300"/>
    <w:rsid w:val="0039542E"/>
    <w:rsid w:val="003955FF"/>
    <w:rsid w:val="003956A2"/>
    <w:rsid w:val="00395AEB"/>
    <w:rsid w:val="00395D82"/>
    <w:rsid w:val="0039634F"/>
    <w:rsid w:val="00396460"/>
    <w:rsid w:val="00396476"/>
    <w:rsid w:val="003967BC"/>
    <w:rsid w:val="00396857"/>
    <w:rsid w:val="00396D82"/>
    <w:rsid w:val="00396DE9"/>
    <w:rsid w:val="00396ED9"/>
    <w:rsid w:val="00396FF1"/>
    <w:rsid w:val="003972EC"/>
    <w:rsid w:val="003A0219"/>
    <w:rsid w:val="003A04EE"/>
    <w:rsid w:val="003A0531"/>
    <w:rsid w:val="003A0664"/>
    <w:rsid w:val="003A08C7"/>
    <w:rsid w:val="003A09D9"/>
    <w:rsid w:val="003A0ECF"/>
    <w:rsid w:val="003A1152"/>
    <w:rsid w:val="003A169B"/>
    <w:rsid w:val="003A1764"/>
    <w:rsid w:val="003A183E"/>
    <w:rsid w:val="003A1A3C"/>
    <w:rsid w:val="003A1C6B"/>
    <w:rsid w:val="003A277F"/>
    <w:rsid w:val="003A2D5B"/>
    <w:rsid w:val="003A3193"/>
    <w:rsid w:val="003A32C9"/>
    <w:rsid w:val="003A39D8"/>
    <w:rsid w:val="003A3BC5"/>
    <w:rsid w:val="003A405F"/>
    <w:rsid w:val="003A4245"/>
    <w:rsid w:val="003A5627"/>
    <w:rsid w:val="003A58CF"/>
    <w:rsid w:val="003A595F"/>
    <w:rsid w:val="003A5B3F"/>
    <w:rsid w:val="003A61FC"/>
    <w:rsid w:val="003A6DB8"/>
    <w:rsid w:val="003A76A9"/>
    <w:rsid w:val="003A7A72"/>
    <w:rsid w:val="003A7E21"/>
    <w:rsid w:val="003B06DC"/>
    <w:rsid w:val="003B0B48"/>
    <w:rsid w:val="003B0C6A"/>
    <w:rsid w:val="003B0EF5"/>
    <w:rsid w:val="003B0F9A"/>
    <w:rsid w:val="003B169C"/>
    <w:rsid w:val="003B199A"/>
    <w:rsid w:val="003B1C42"/>
    <w:rsid w:val="003B1CB4"/>
    <w:rsid w:val="003B24AE"/>
    <w:rsid w:val="003B261A"/>
    <w:rsid w:val="003B267D"/>
    <w:rsid w:val="003B2949"/>
    <w:rsid w:val="003B2FB2"/>
    <w:rsid w:val="003B30EB"/>
    <w:rsid w:val="003B3103"/>
    <w:rsid w:val="003B4516"/>
    <w:rsid w:val="003B4569"/>
    <w:rsid w:val="003B49BC"/>
    <w:rsid w:val="003B4D80"/>
    <w:rsid w:val="003B5C32"/>
    <w:rsid w:val="003B604D"/>
    <w:rsid w:val="003B70F7"/>
    <w:rsid w:val="003B76D5"/>
    <w:rsid w:val="003B7F2C"/>
    <w:rsid w:val="003B7FD1"/>
    <w:rsid w:val="003C0AB0"/>
    <w:rsid w:val="003C0ABB"/>
    <w:rsid w:val="003C0B9E"/>
    <w:rsid w:val="003C0E45"/>
    <w:rsid w:val="003C1112"/>
    <w:rsid w:val="003C1CEE"/>
    <w:rsid w:val="003C21B4"/>
    <w:rsid w:val="003C2349"/>
    <w:rsid w:val="003C269E"/>
    <w:rsid w:val="003C2740"/>
    <w:rsid w:val="003C2901"/>
    <w:rsid w:val="003C2A96"/>
    <w:rsid w:val="003C2FF0"/>
    <w:rsid w:val="003C3085"/>
    <w:rsid w:val="003C3326"/>
    <w:rsid w:val="003C3857"/>
    <w:rsid w:val="003C3CA5"/>
    <w:rsid w:val="003C3EE7"/>
    <w:rsid w:val="003C417B"/>
    <w:rsid w:val="003C468C"/>
    <w:rsid w:val="003C46E3"/>
    <w:rsid w:val="003C4BDB"/>
    <w:rsid w:val="003C4F8C"/>
    <w:rsid w:val="003C573F"/>
    <w:rsid w:val="003C5762"/>
    <w:rsid w:val="003C5973"/>
    <w:rsid w:val="003C5B49"/>
    <w:rsid w:val="003C5BFA"/>
    <w:rsid w:val="003C5F5A"/>
    <w:rsid w:val="003C6065"/>
    <w:rsid w:val="003C61A4"/>
    <w:rsid w:val="003C6332"/>
    <w:rsid w:val="003C65B2"/>
    <w:rsid w:val="003C6DA0"/>
    <w:rsid w:val="003C6E1B"/>
    <w:rsid w:val="003C7292"/>
    <w:rsid w:val="003C72F0"/>
    <w:rsid w:val="003C76A3"/>
    <w:rsid w:val="003C7716"/>
    <w:rsid w:val="003D001F"/>
    <w:rsid w:val="003D1185"/>
    <w:rsid w:val="003D126D"/>
    <w:rsid w:val="003D135F"/>
    <w:rsid w:val="003D1484"/>
    <w:rsid w:val="003D1D8A"/>
    <w:rsid w:val="003D2476"/>
    <w:rsid w:val="003D2730"/>
    <w:rsid w:val="003D297D"/>
    <w:rsid w:val="003D2A1E"/>
    <w:rsid w:val="003D2C95"/>
    <w:rsid w:val="003D2F6F"/>
    <w:rsid w:val="003D304B"/>
    <w:rsid w:val="003D3DDF"/>
    <w:rsid w:val="003D3FF6"/>
    <w:rsid w:val="003D430A"/>
    <w:rsid w:val="003D43DC"/>
    <w:rsid w:val="003D4727"/>
    <w:rsid w:val="003D49AA"/>
    <w:rsid w:val="003D4F95"/>
    <w:rsid w:val="003D5036"/>
    <w:rsid w:val="003D5223"/>
    <w:rsid w:val="003D5436"/>
    <w:rsid w:val="003D56E7"/>
    <w:rsid w:val="003D580E"/>
    <w:rsid w:val="003D5B7B"/>
    <w:rsid w:val="003D668B"/>
    <w:rsid w:val="003D6EF9"/>
    <w:rsid w:val="003D7079"/>
    <w:rsid w:val="003D7A1A"/>
    <w:rsid w:val="003E000A"/>
    <w:rsid w:val="003E00C7"/>
    <w:rsid w:val="003E0A1D"/>
    <w:rsid w:val="003E1025"/>
    <w:rsid w:val="003E10BD"/>
    <w:rsid w:val="003E136E"/>
    <w:rsid w:val="003E164D"/>
    <w:rsid w:val="003E1762"/>
    <w:rsid w:val="003E1A30"/>
    <w:rsid w:val="003E1B28"/>
    <w:rsid w:val="003E20DA"/>
    <w:rsid w:val="003E26A1"/>
    <w:rsid w:val="003E29D0"/>
    <w:rsid w:val="003E2BC9"/>
    <w:rsid w:val="003E2CFA"/>
    <w:rsid w:val="003E2FC0"/>
    <w:rsid w:val="003E30EB"/>
    <w:rsid w:val="003E342E"/>
    <w:rsid w:val="003E3CD2"/>
    <w:rsid w:val="003E424F"/>
    <w:rsid w:val="003E4C71"/>
    <w:rsid w:val="003E4C95"/>
    <w:rsid w:val="003E529E"/>
    <w:rsid w:val="003E59D7"/>
    <w:rsid w:val="003E5B3A"/>
    <w:rsid w:val="003E5D6E"/>
    <w:rsid w:val="003E5F98"/>
    <w:rsid w:val="003E6800"/>
    <w:rsid w:val="003E6990"/>
    <w:rsid w:val="003E7615"/>
    <w:rsid w:val="003F004B"/>
    <w:rsid w:val="003F0686"/>
    <w:rsid w:val="003F0AD3"/>
    <w:rsid w:val="003F0B4D"/>
    <w:rsid w:val="003F0E08"/>
    <w:rsid w:val="003F1361"/>
    <w:rsid w:val="003F143E"/>
    <w:rsid w:val="003F15BB"/>
    <w:rsid w:val="003F167D"/>
    <w:rsid w:val="003F1A51"/>
    <w:rsid w:val="003F1B39"/>
    <w:rsid w:val="003F221C"/>
    <w:rsid w:val="003F2324"/>
    <w:rsid w:val="003F2D92"/>
    <w:rsid w:val="003F3134"/>
    <w:rsid w:val="003F3403"/>
    <w:rsid w:val="003F3413"/>
    <w:rsid w:val="003F3590"/>
    <w:rsid w:val="003F3973"/>
    <w:rsid w:val="003F3BFC"/>
    <w:rsid w:val="003F3FED"/>
    <w:rsid w:val="003F4136"/>
    <w:rsid w:val="003F4865"/>
    <w:rsid w:val="003F49B5"/>
    <w:rsid w:val="003F49BA"/>
    <w:rsid w:val="003F4A03"/>
    <w:rsid w:val="003F51B8"/>
    <w:rsid w:val="003F5A38"/>
    <w:rsid w:val="003F68E2"/>
    <w:rsid w:val="003F6938"/>
    <w:rsid w:val="003F719D"/>
    <w:rsid w:val="003F7305"/>
    <w:rsid w:val="003F73E7"/>
    <w:rsid w:val="003F755E"/>
    <w:rsid w:val="003F75E6"/>
    <w:rsid w:val="003F7908"/>
    <w:rsid w:val="003F7AA0"/>
    <w:rsid w:val="003F7AB7"/>
    <w:rsid w:val="003F7C1C"/>
    <w:rsid w:val="003F7E0A"/>
    <w:rsid w:val="00400280"/>
    <w:rsid w:val="004008E7"/>
    <w:rsid w:val="00400963"/>
    <w:rsid w:val="00400B8D"/>
    <w:rsid w:val="004010B9"/>
    <w:rsid w:val="0040115C"/>
    <w:rsid w:val="00401473"/>
    <w:rsid w:val="00401D4A"/>
    <w:rsid w:val="00402072"/>
    <w:rsid w:val="004025D5"/>
    <w:rsid w:val="00402614"/>
    <w:rsid w:val="00402CFD"/>
    <w:rsid w:val="00402F71"/>
    <w:rsid w:val="004034AB"/>
    <w:rsid w:val="0040371B"/>
    <w:rsid w:val="00403A68"/>
    <w:rsid w:val="00403E7C"/>
    <w:rsid w:val="004041DB"/>
    <w:rsid w:val="004044BF"/>
    <w:rsid w:val="00404772"/>
    <w:rsid w:val="00404A3C"/>
    <w:rsid w:val="00404B1D"/>
    <w:rsid w:val="004054AC"/>
    <w:rsid w:val="00405AFE"/>
    <w:rsid w:val="00406331"/>
    <w:rsid w:val="0040658C"/>
    <w:rsid w:val="00406602"/>
    <w:rsid w:val="00406735"/>
    <w:rsid w:val="00406765"/>
    <w:rsid w:val="00406791"/>
    <w:rsid w:val="004067EF"/>
    <w:rsid w:val="0040692C"/>
    <w:rsid w:val="00406B4E"/>
    <w:rsid w:val="00406DFF"/>
    <w:rsid w:val="00406E23"/>
    <w:rsid w:val="00407028"/>
    <w:rsid w:val="004072E9"/>
    <w:rsid w:val="00407766"/>
    <w:rsid w:val="004077D3"/>
    <w:rsid w:val="00407850"/>
    <w:rsid w:val="0040796E"/>
    <w:rsid w:val="00407FF4"/>
    <w:rsid w:val="004101F7"/>
    <w:rsid w:val="004102D1"/>
    <w:rsid w:val="004103FD"/>
    <w:rsid w:val="00410531"/>
    <w:rsid w:val="00410A89"/>
    <w:rsid w:val="00410C6F"/>
    <w:rsid w:val="00410C7D"/>
    <w:rsid w:val="00410E96"/>
    <w:rsid w:val="0041249D"/>
    <w:rsid w:val="0041260E"/>
    <w:rsid w:val="0041278F"/>
    <w:rsid w:val="004127C7"/>
    <w:rsid w:val="004128C8"/>
    <w:rsid w:val="00412D29"/>
    <w:rsid w:val="004132FF"/>
    <w:rsid w:val="00413A33"/>
    <w:rsid w:val="00413C98"/>
    <w:rsid w:val="004152B1"/>
    <w:rsid w:val="0041535F"/>
    <w:rsid w:val="00415423"/>
    <w:rsid w:val="00415996"/>
    <w:rsid w:val="00415A33"/>
    <w:rsid w:val="00415BEA"/>
    <w:rsid w:val="00415C56"/>
    <w:rsid w:val="0041606C"/>
    <w:rsid w:val="004166ED"/>
    <w:rsid w:val="004167B7"/>
    <w:rsid w:val="004167ED"/>
    <w:rsid w:val="004168C8"/>
    <w:rsid w:val="00416E0C"/>
    <w:rsid w:val="004170E5"/>
    <w:rsid w:val="004174CE"/>
    <w:rsid w:val="00417A4C"/>
    <w:rsid w:val="00417A69"/>
    <w:rsid w:val="00420031"/>
    <w:rsid w:val="0042040F"/>
    <w:rsid w:val="00420C65"/>
    <w:rsid w:val="0042160A"/>
    <w:rsid w:val="0042185E"/>
    <w:rsid w:val="004218F7"/>
    <w:rsid w:val="00421CDF"/>
    <w:rsid w:val="00421D98"/>
    <w:rsid w:val="0042215C"/>
    <w:rsid w:val="0042217F"/>
    <w:rsid w:val="004224E6"/>
    <w:rsid w:val="00422981"/>
    <w:rsid w:val="00422BD8"/>
    <w:rsid w:val="004236AA"/>
    <w:rsid w:val="00423779"/>
    <w:rsid w:val="00423CF2"/>
    <w:rsid w:val="00423E9B"/>
    <w:rsid w:val="004241B7"/>
    <w:rsid w:val="00424308"/>
    <w:rsid w:val="00424B1E"/>
    <w:rsid w:val="00424B42"/>
    <w:rsid w:val="00424F98"/>
    <w:rsid w:val="004267FA"/>
    <w:rsid w:val="004269F0"/>
    <w:rsid w:val="004273EB"/>
    <w:rsid w:val="0042744E"/>
    <w:rsid w:val="004274DC"/>
    <w:rsid w:val="004278F8"/>
    <w:rsid w:val="00427E4B"/>
    <w:rsid w:val="00427F36"/>
    <w:rsid w:val="004300C8"/>
    <w:rsid w:val="004305FE"/>
    <w:rsid w:val="00430940"/>
    <w:rsid w:val="00430969"/>
    <w:rsid w:val="00431161"/>
    <w:rsid w:val="00431C9D"/>
    <w:rsid w:val="00431CC3"/>
    <w:rsid w:val="004321C6"/>
    <w:rsid w:val="00432293"/>
    <w:rsid w:val="00432442"/>
    <w:rsid w:val="004325BE"/>
    <w:rsid w:val="004326AD"/>
    <w:rsid w:val="00432CDD"/>
    <w:rsid w:val="00432E77"/>
    <w:rsid w:val="00433222"/>
    <w:rsid w:val="00433DE6"/>
    <w:rsid w:val="00434054"/>
    <w:rsid w:val="00434123"/>
    <w:rsid w:val="00434D3D"/>
    <w:rsid w:val="00434EF8"/>
    <w:rsid w:val="00434F0F"/>
    <w:rsid w:val="0043563E"/>
    <w:rsid w:val="004357AF"/>
    <w:rsid w:val="004359DB"/>
    <w:rsid w:val="00435A64"/>
    <w:rsid w:val="00436114"/>
    <w:rsid w:val="0043635F"/>
    <w:rsid w:val="00436CEB"/>
    <w:rsid w:val="00436CF5"/>
    <w:rsid w:val="00437115"/>
    <w:rsid w:val="00437C4F"/>
    <w:rsid w:val="00437EE9"/>
    <w:rsid w:val="00440135"/>
    <w:rsid w:val="00440234"/>
    <w:rsid w:val="00440B6E"/>
    <w:rsid w:val="00440D9F"/>
    <w:rsid w:val="00441116"/>
    <w:rsid w:val="0044142A"/>
    <w:rsid w:val="00441636"/>
    <w:rsid w:val="00441743"/>
    <w:rsid w:val="004418AC"/>
    <w:rsid w:val="00441C10"/>
    <w:rsid w:val="00442E8E"/>
    <w:rsid w:val="004430BF"/>
    <w:rsid w:val="00443895"/>
    <w:rsid w:val="00443981"/>
    <w:rsid w:val="0044443B"/>
    <w:rsid w:val="00444457"/>
    <w:rsid w:val="00445B86"/>
    <w:rsid w:val="00445DFD"/>
    <w:rsid w:val="0044612B"/>
    <w:rsid w:val="0044669C"/>
    <w:rsid w:val="00446776"/>
    <w:rsid w:val="004468C0"/>
    <w:rsid w:val="00446D88"/>
    <w:rsid w:val="00447A2C"/>
    <w:rsid w:val="00447B0E"/>
    <w:rsid w:val="00447DDC"/>
    <w:rsid w:val="00447EDA"/>
    <w:rsid w:val="004500F1"/>
    <w:rsid w:val="00450721"/>
    <w:rsid w:val="00450911"/>
    <w:rsid w:val="00450C0C"/>
    <w:rsid w:val="00450C50"/>
    <w:rsid w:val="00451808"/>
    <w:rsid w:val="00451E30"/>
    <w:rsid w:val="00452137"/>
    <w:rsid w:val="00452C15"/>
    <w:rsid w:val="00453275"/>
    <w:rsid w:val="00453544"/>
    <w:rsid w:val="00453F37"/>
    <w:rsid w:val="00454415"/>
    <w:rsid w:val="004545A6"/>
    <w:rsid w:val="00455037"/>
    <w:rsid w:val="00455412"/>
    <w:rsid w:val="004554A1"/>
    <w:rsid w:val="004555CA"/>
    <w:rsid w:val="00456017"/>
    <w:rsid w:val="0045633F"/>
    <w:rsid w:val="00456D96"/>
    <w:rsid w:val="00457160"/>
    <w:rsid w:val="0045746C"/>
    <w:rsid w:val="00457AC3"/>
    <w:rsid w:val="00457BF0"/>
    <w:rsid w:val="00457FC8"/>
    <w:rsid w:val="004602A4"/>
    <w:rsid w:val="00460A89"/>
    <w:rsid w:val="00460AE1"/>
    <w:rsid w:val="004613E1"/>
    <w:rsid w:val="004618A5"/>
    <w:rsid w:val="00461C41"/>
    <w:rsid w:val="00462171"/>
    <w:rsid w:val="004631AB"/>
    <w:rsid w:val="00463C1E"/>
    <w:rsid w:val="00463CBE"/>
    <w:rsid w:val="00463D23"/>
    <w:rsid w:val="004649E2"/>
    <w:rsid w:val="00464A25"/>
    <w:rsid w:val="00464D4C"/>
    <w:rsid w:val="004657E2"/>
    <w:rsid w:val="00465BA0"/>
    <w:rsid w:val="00465F2A"/>
    <w:rsid w:val="00466060"/>
    <w:rsid w:val="004661BD"/>
    <w:rsid w:val="0046623B"/>
    <w:rsid w:val="004662F5"/>
    <w:rsid w:val="00466324"/>
    <w:rsid w:val="00466CAC"/>
    <w:rsid w:val="00466DA5"/>
    <w:rsid w:val="004671D8"/>
    <w:rsid w:val="004671DE"/>
    <w:rsid w:val="00467536"/>
    <w:rsid w:val="00467622"/>
    <w:rsid w:val="00467854"/>
    <w:rsid w:val="0047008B"/>
    <w:rsid w:val="004704BE"/>
    <w:rsid w:val="00471C57"/>
    <w:rsid w:val="00472010"/>
    <w:rsid w:val="0047267E"/>
    <w:rsid w:val="00472DE7"/>
    <w:rsid w:val="0047317B"/>
    <w:rsid w:val="004735CE"/>
    <w:rsid w:val="00473CDC"/>
    <w:rsid w:val="00474105"/>
    <w:rsid w:val="0047436E"/>
    <w:rsid w:val="004747F7"/>
    <w:rsid w:val="00474C93"/>
    <w:rsid w:val="00475074"/>
    <w:rsid w:val="00475183"/>
    <w:rsid w:val="0047566B"/>
    <w:rsid w:val="00475E46"/>
    <w:rsid w:val="004767C2"/>
    <w:rsid w:val="004775AF"/>
    <w:rsid w:val="004800BA"/>
    <w:rsid w:val="004801C3"/>
    <w:rsid w:val="004804B8"/>
    <w:rsid w:val="00480A87"/>
    <w:rsid w:val="004813F8"/>
    <w:rsid w:val="0048158C"/>
    <w:rsid w:val="00481A5D"/>
    <w:rsid w:val="00481BE3"/>
    <w:rsid w:val="00481C04"/>
    <w:rsid w:val="0048213D"/>
    <w:rsid w:val="004822D7"/>
    <w:rsid w:val="00482307"/>
    <w:rsid w:val="00483C0B"/>
    <w:rsid w:val="004845D6"/>
    <w:rsid w:val="004846F5"/>
    <w:rsid w:val="00484C55"/>
    <w:rsid w:val="00484CC4"/>
    <w:rsid w:val="00484F55"/>
    <w:rsid w:val="004852DB"/>
    <w:rsid w:val="00486233"/>
    <w:rsid w:val="004865BC"/>
    <w:rsid w:val="0048691E"/>
    <w:rsid w:val="004871FA"/>
    <w:rsid w:val="00487489"/>
    <w:rsid w:val="004875AF"/>
    <w:rsid w:val="0048775F"/>
    <w:rsid w:val="00487C06"/>
    <w:rsid w:val="00490450"/>
    <w:rsid w:val="00490F94"/>
    <w:rsid w:val="00491275"/>
    <w:rsid w:val="004919B6"/>
    <w:rsid w:val="00491C18"/>
    <w:rsid w:val="00491EE5"/>
    <w:rsid w:val="00492538"/>
    <w:rsid w:val="00492FAC"/>
    <w:rsid w:val="00493191"/>
    <w:rsid w:val="004932E4"/>
    <w:rsid w:val="004938F9"/>
    <w:rsid w:val="00493B03"/>
    <w:rsid w:val="004940FF"/>
    <w:rsid w:val="00494A51"/>
    <w:rsid w:val="00494BF6"/>
    <w:rsid w:val="00494D0D"/>
    <w:rsid w:val="00494FFB"/>
    <w:rsid w:val="004972CB"/>
    <w:rsid w:val="004973B6"/>
    <w:rsid w:val="00497B46"/>
    <w:rsid w:val="00497C85"/>
    <w:rsid w:val="00497C92"/>
    <w:rsid w:val="00497E06"/>
    <w:rsid w:val="00497E39"/>
    <w:rsid w:val="004A00AA"/>
    <w:rsid w:val="004A039C"/>
    <w:rsid w:val="004A060C"/>
    <w:rsid w:val="004A0675"/>
    <w:rsid w:val="004A0DEF"/>
    <w:rsid w:val="004A11D1"/>
    <w:rsid w:val="004A11ED"/>
    <w:rsid w:val="004A2112"/>
    <w:rsid w:val="004A2450"/>
    <w:rsid w:val="004A272C"/>
    <w:rsid w:val="004A2757"/>
    <w:rsid w:val="004A27E9"/>
    <w:rsid w:val="004A3578"/>
    <w:rsid w:val="004A3CF8"/>
    <w:rsid w:val="004A438C"/>
    <w:rsid w:val="004A446C"/>
    <w:rsid w:val="004A4537"/>
    <w:rsid w:val="004A50F9"/>
    <w:rsid w:val="004A5400"/>
    <w:rsid w:val="004A57A2"/>
    <w:rsid w:val="004A5DDE"/>
    <w:rsid w:val="004A601E"/>
    <w:rsid w:val="004A60A2"/>
    <w:rsid w:val="004A6404"/>
    <w:rsid w:val="004A67A9"/>
    <w:rsid w:val="004A6EF5"/>
    <w:rsid w:val="004A6FD9"/>
    <w:rsid w:val="004A738D"/>
    <w:rsid w:val="004A73C2"/>
    <w:rsid w:val="004A7D45"/>
    <w:rsid w:val="004B0074"/>
    <w:rsid w:val="004B01AB"/>
    <w:rsid w:val="004B053A"/>
    <w:rsid w:val="004B066E"/>
    <w:rsid w:val="004B067C"/>
    <w:rsid w:val="004B0E20"/>
    <w:rsid w:val="004B0F01"/>
    <w:rsid w:val="004B0F07"/>
    <w:rsid w:val="004B12A4"/>
    <w:rsid w:val="004B15CC"/>
    <w:rsid w:val="004B1970"/>
    <w:rsid w:val="004B1E8E"/>
    <w:rsid w:val="004B1EC4"/>
    <w:rsid w:val="004B1F77"/>
    <w:rsid w:val="004B2143"/>
    <w:rsid w:val="004B34E2"/>
    <w:rsid w:val="004B3633"/>
    <w:rsid w:val="004B3676"/>
    <w:rsid w:val="004B37EC"/>
    <w:rsid w:val="004B3AD7"/>
    <w:rsid w:val="004B3F9E"/>
    <w:rsid w:val="004B4DCB"/>
    <w:rsid w:val="004B537C"/>
    <w:rsid w:val="004B56E0"/>
    <w:rsid w:val="004B5BFD"/>
    <w:rsid w:val="004B6734"/>
    <w:rsid w:val="004B70C7"/>
    <w:rsid w:val="004B75DB"/>
    <w:rsid w:val="004B7942"/>
    <w:rsid w:val="004B7F39"/>
    <w:rsid w:val="004C007D"/>
    <w:rsid w:val="004C07AE"/>
    <w:rsid w:val="004C0A35"/>
    <w:rsid w:val="004C0BE8"/>
    <w:rsid w:val="004C0D27"/>
    <w:rsid w:val="004C1BAD"/>
    <w:rsid w:val="004C1C74"/>
    <w:rsid w:val="004C1D43"/>
    <w:rsid w:val="004C26C6"/>
    <w:rsid w:val="004C2874"/>
    <w:rsid w:val="004C3114"/>
    <w:rsid w:val="004C32E6"/>
    <w:rsid w:val="004C3833"/>
    <w:rsid w:val="004C3C6D"/>
    <w:rsid w:val="004C3ED2"/>
    <w:rsid w:val="004C4376"/>
    <w:rsid w:val="004C468C"/>
    <w:rsid w:val="004C4765"/>
    <w:rsid w:val="004C5B66"/>
    <w:rsid w:val="004C5B97"/>
    <w:rsid w:val="004C5D4E"/>
    <w:rsid w:val="004C6882"/>
    <w:rsid w:val="004C6AC6"/>
    <w:rsid w:val="004C6B49"/>
    <w:rsid w:val="004C6C57"/>
    <w:rsid w:val="004C7345"/>
    <w:rsid w:val="004C74B9"/>
    <w:rsid w:val="004D04DF"/>
    <w:rsid w:val="004D08CA"/>
    <w:rsid w:val="004D1A69"/>
    <w:rsid w:val="004D1F53"/>
    <w:rsid w:val="004D204E"/>
    <w:rsid w:val="004D23F1"/>
    <w:rsid w:val="004D2EC2"/>
    <w:rsid w:val="004D2F68"/>
    <w:rsid w:val="004D3348"/>
    <w:rsid w:val="004D38B4"/>
    <w:rsid w:val="004D3C2E"/>
    <w:rsid w:val="004D433D"/>
    <w:rsid w:val="004D4D24"/>
    <w:rsid w:val="004D4EAF"/>
    <w:rsid w:val="004D55A7"/>
    <w:rsid w:val="004D5743"/>
    <w:rsid w:val="004D5A66"/>
    <w:rsid w:val="004D5F9C"/>
    <w:rsid w:val="004D7015"/>
    <w:rsid w:val="004D7924"/>
    <w:rsid w:val="004D7FF8"/>
    <w:rsid w:val="004E0405"/>
    <w:rsid w:val="004E05CC"/>
    <w:rsid w:val="004E077A"/>
    <w:rsid w:val="004E1137"/>
    <w:rsid w:val="004E1450"/>
    <w:rsid w:val="004E1A25"/>
    <w:rsid w:val="004E1B30"/>
    <w:rsid w:val="004E1DD4"/>
    <w:rsid w:val="004E2174"/>
    <w:rsid w:val="004E26F0"/>
    <w:rsid w:val="004E2A49"/>
    <w:rsid w:val="004E2F1C"/>
    <w:rsid w:val="004E31EE"/>
    <w:rsid w:val="004E4403"/>
    <w:rsid w:val="004E4620"/>
    <w:rsid w:val="004E530F"/>
    <w:rsid w:val="004E5B7D"/>
    <w:rsid w:val="004E5CBF"/>
    <w:rsid w:val="004E5FA1"/>
    <w:rsid w:val="004E60AF"/>
    <w:rsid w:val="004E6382"/>
    <w:rsid w:val="004E6840"/>
    <w:rsid w:val="004E6A5C"/>
    <w:rsid w:val="004E71F9"/>
    <w:rsid w:val="004E7D0C"/>
    <w:rsid w:val="004F0096"/>
    <w:rsid w:val="004F0962"/>
    <w:rsid w:val="004F0AF9"/>
    <w:rsid w:val="004F19D3"/>
    <w:rsid w:val="004F1BA5"/>
    <w:rsid w:val="004F1ED7"/>
    <w:rsid w:val="004F2474"/>
    <w:rsid w:val="004F26BF"/>
    <w:rsid w:val="004F2C40"/>
    <w:rsid w:val="004F421E"/>
    <w:rsid w:val="004F4D07"/>
    <w:rsid w:val="004F55DF"/>
    <w:rsid w:val="004F55E7"/>
    <w:rsid w:val="004F57FA"/>
    <w:rsid w:val="004F5AE8"/>
    <w:rsid w:val="004F64C2"/>
    <w:rsid w:val="004F6549"/>
    <w:rsid w:val="004F6728"/>
    <w:rsid w:val="004F6E6E"/>
    <w:rsid w:val="004F7FE9"/>
    <w:rsid w:val="00500268"/>
    <w:rsid w:val="00500541"/>
    <w:rsid w:val="00500870"/>
    <w:rsid w:val="005009CB"/>
    <w:rsid w:val="005009EB"/>
    <w:rsid w:val="00500A74"/>
    <w:rsid w:val="00500F56"/>
    <w:rsid w:val="005011C8"/>
    <w:rsid w:val="00501327"/>
    <w:rsid w:val="0050143E"/>
    <w:rsid w:val="00501777"/>
    <w:rsid w:val="0050182C"/>
    <w:rsid w:val="005029A9"/>
    <w:rsid w:val="00502A02"/>
    <w:rsid w:val="00502A6B"/>
    <w:rsid w:val="00502B68"/>
    <w:rsid w:val="00502EEB"/>
    <w:rsid w:val="00502F27"/>
    <w:rsid w:val="00503147"/>
    <w:rsid w:val="0050351B"/>
    <w:rsid w:val="005035F7"/>
    <w:rsid w:val="005036EE"/>
    <w:rsid w:val="0050397B"/>
    <w:rsid w:val="0050415C"/>
    <w:rsid w:val="00504256"/>
    <w:rsid w:val="00504E60"/>
    <w:rsid w:val="005050B2"/>
    <w:rsid w:val="0050571D"/>
    <w:rsid w:val="005059DD"/>
    <w:rsid w:val="00505B10"/>
    <w:rsid w:val="00505B29"/>
    <w:rsid w:val="00505E41"/>
    <w:rsid w:val="00505F47"/>
    <w:rsid w:val="005060C6"/>
    <w:rsid w:val="00506CEF"/>
    <w:rsid w:val="00506E8F"/>
    <w:rsid w:val="0050732C"/>
    <w:rsid w:val="005104EB"/>
    <w:rsid w:val="005108EC"/>
    <w:rsid w:val="00510921"/>
    <w:rsid w:val="005109CD"/>
    <w:rsid w:val="0051113B"/>
    <w:rsid w:val="005114A7"/>
    <w:rsid w:val="005114BE"/>
    <w:rsid w:val="00511DD9"/>
    <w:rsid w:val="00512507"/>
    <w:rsid w:val="00512C70"/>
    <w:rsid w:val="00512C7B"/>
    <w:rsid w:val="00512C7C"/>
    <w:rsid w:val="0051421A"/>
    <w:rsid w:val="005144AF"/>
    <w:rsid w:val="005144E5"/>
    <w:rsid w:val="00514771"/>
    <w:rsid w:val="00514842"/>
    <w:rsid w:val="00515087"/>
    <w:rsid w:val="00515278"/>
    <w:rsid w:val="005156A4"/>
    <w:rsid w:val="00515A4F"/>
    <w:rsid w:val="00515AB7"/>
    <w:rsid w:val="00515B0F"/>
    <w:rsid w:val="00515C46"/>
    <w:rsid w:val="00515C82"/>
    <w:rsid w:val="00516A67"/>
    <w:rsid w:val="00516B24"/>
    <w:rsid w:val="00517261"/>
    <w:rsid w:val="005173BF"/>
    <w:rsid w:val="0051748A"/>
    <w:rsid w:val="00517590"/>
    <w:rsid w:val="00517B9E"/>
    <w:rsid w:val="005200C6"/>
    <w:rsid w:val="0052021E"/>
    <w:rsid w:val="0052067F"/>
    <w:rsid w:val="00520756"/>
    <w:rsid w:val="005207AE"/>
    <w:rsid w:val="00520C36"/>
    <w:rsid w:val="0052174A"/>
    <w:rsid w:val="00521D65"/>
    <w:rsid w:val="00521FCF"/>
    <w:rsid w:val="00522079"/>
    <w:rsid w:val="00522452"/>
    <w:rsid w:val="00522A93"/>
    <w:rsid w:val="005237EA"/>
    <w:rsid w:val="00523822"/>
    <w:rsid w:val="00523B1D"/>
    <w:rsid w:val="00523CE0"/>
    <w:rsid w:val="00523FD5"/>
    <w:rsid w:val="0052419A"/>
    <w:rsid w:val="00524D59"/>
    <w:rsid w:val="005255C7"/>
    <w:rsid w:val="0052583E"/>
    <w:rsid w:val="005258C6"/>
    <w:rsid w:val="0052654B"/>
    <w:rsid w:val="00526675"/>
    <w:rsid w:val="00526AB2"/>
    <w:rsid w:val="005270DE"/>
    <w:rsid w:val="00527B11"/>
    <w:rsid w:val="00527C6E"/>
    <w:rsid w:val="0053011C"/>
    <w:rsid w:val="00530417"/>
    <w:rsid w:val="00530CCB"/>
    <w:rsid w:val="00530E15"/>
    <w:rsid w:val="00530EE3"/>
    <w:rsid w:val="0053130C"/>
    <w:rsid w:val="005313E9"/>
    <w:rsid w:val="005314E6"/>
    <w:rsid w:val="00531866"/>
    <w:rsid w:val="00531A20"/>
    <w:rsid w:val="00531C4A"/>
    <w:rsid w:val="00531DB1"/>
    <w:rsid w:val="00532286"/>
    <w:rsid w:val="005323DC"/>
    <w:rsid w:val="0053250A"/>
    <w:rsid w:val="00532A5E"/>
    <w:rsid w:val="00532E4B"/>
    <w:rsid w:val="0053328F"/>
    <w:rsid w:val="00533900"/>
    <w:rsid w:val="00533D19"/>
    <w:rsid w:val="00533E07"/>
    <w:rsid w:val="00533FD8"/>
    <w:rsid w:val="005341CE"/>
    <w:rsid w:val="00534792"/>
    <w:rsid w:val="005348F1"/>
    <w:rsid w:val="00534ABB"/>
    <w:rsid w:val="00535142"/>
    <w:rsid w:val="00535B9B"/>
    <w:rsid w:val="005360E0"/>
    <w:rsid w:val="00536C7E"/>
    <w:rsid w:val="0053708E"/>
    <w:rsid w:val="00537929"/>
    <w:rsid w:val="00537962"/>
    <w:rsid w:val="005379FA"/>
    <w:rsid w:val="005408B8"/>
    <w:rsid w:val="00540C47"/>
    <w:rsid w:val="00540EE9"/>
    <w:rsid w:val="00540FE5"/>
    <w:rsid w:val="005412BA"/>
    <w:rsid w:val="00541698"/>
    <w:rsid w:val="005416C2"/>
    <w:rsid w:val="00541E05"/>
    <w:rsid w:val="00541E83"/>
    <w:rsid w:val="00541FD1"/>
    <w:rsid w:val="005424B1"/>
    <w:rsid w:val="00542735"/>
    <w:rsid w:val="0054283C"/>
    <w:rsid w:val="00542D25"/>
    <w:rsid w:val="00542E19"/>
    <w:rsid w:val="00542F92"/>
    <w:rsid w:val="00543532"/>
    <w:rsid w:val="00543C70"/>
    <w:rsid w:val="00543D4D"/>
    <w:rsid w:val="00543E0C"/>
    <w:rsid w:val="005441B1"/>
    <w:rsid w:val="005449E6"/>
    <w:rsid w:val="00545725"/>
    <w:rsid w:val="005461FE"/>
    <w:rsid w:val="00546508"/>
    <w:rsid w:val="0054685A"/>
    <w:rsid w:val="005471FC"/>
    <w:rsid w:val="00547602"/>
    <w:rsid w:val="00547A51"/>
    <w:rsid w:val="00547EDF"/>
    <w:rsid w:val="00550173"/>
    <w:rsid w:val="005501C2"/>
    <w:rsid w:val="00550736"/>
    <w:rsid w:val="0055085A"/>
    <w:rsid w:val="00550A90"/>
    <w:rsid w:val="00550CE8"/>
    <w:rsid w:val="00550E66"/>
    <w:rsid w:val="00550E8D"/>
    <w:rsid w:val="00550FB7"/>
    <w:rsid w:val="0055139F"/>
    <w:rsid w:val="00551FB3"/>
    <w:rsid w:val="00552CDB"/>
    <w:rsid w:val="00553F78"/>
    <w:rsid w:val="00554495"/>
    <w:rsid w:val="005556AC"/>
    <w:rsid w:val="005556ED"/>
    <w:rsid w:val="005558CF"/>
    <w:rsid w:val="00555AF8"/>
    <w:rsid w:val="00555DDB"/>
    <w:rsid w:val="00556625"/>
    <w:rsid w:val="00556758"/>
    <w:rsid w:val="00556809"/>
    <w:rsid w:val="00556ACA"/>
    <w:rsid w:val="00556B9F"/>
    <w:rsid w:val="005571FB"/>
    <w:rsid w:val="0055751B"/>
    <w:rsid w:val="00557A34"/>
    <w:rsid w:val="00557C69"/>
    <w:rsid w:val="0056040E"/>
    <w:rsid w:val="005627EE"/>
    <w:rsid w:val="00562DD7"/>
    <w:rsid w:val="00562E40"/>
    <w:rsid w:val="00563108"/>
    <w:rsid w:val="00563204"/>
    <w:rsid w:val="00563645"/>
    <w:rsid w:val="005637B7"/>
    <w:rsid w:val="00563A8C"/>
    <w:rsid w:val="00563AFD"/>
    <w:rsid w:val="00563EA9"/>
    <w:rsid w:val="0056419A"/>
    <w:rsid w:val="00564985"/>
    <w:rsid w:val="00564B07"/>
    <w:rsid w:val="00564D2E"/>
    <w:rsid w:val="005653AA"/>
    <w:rsid w:val="005655C6"/>
    <w:rsid w:val="00565629"/>
    <w:rsid w:val="005657C0"/>
    <w:rsid w:val="005659AC"/>
    <w:rsid w:val="00565B2C"/>
    <w:rsid w:val="00565C73"/>
    <w:rsid w:val="00565FBF"/>
    <w:rsid w:val="005666C8"/>
    <w:rsid w:val="00566F23"/>
    <w:rsid w:val="005671F7"/>
    <w:rsid w:val="00567EAC"/>
    <w:rsid w:val="0057062A"/>
    <w:rsid w:val="00570CA4"/>
    <w:rsid w:val="0057120A"/>
    <w:rsid w:val="0057132F"/>
    <w:rsid w:val="005713CD"/>
    <w:rsid w:val="005714D1"/>
    <w:rsid w:val="005719AD"/>
    <w:rsid w:val="00571E23"/>
    <w:rsid w:val="00571EF5"/>
    <w:rsid w:val="00572001"/>
    <w:rsid w:val="00572079"/>
    <w:rsid w:val="00572400"/>
    <w:rsid w:val="00572780"/>
    <w:rsid w:val="005728B5"/>
    <w:rsid w:val="005728D3"/>
    <w:rsid w:val="005732A2"/>
    <w:rsid w:val="005732B1"/>
    <w:rsid w:val="00573AD3"/>
    <w:rsid w:val="00573C72"/>
    <w:rsid w:val="00574B3D"/>
    <w:rsid w:val="00574FB6"/>
    <w:rsid w:val="00574FDC"/>
    <w:rsid w:val="005751F3"/>
    <w:rsid w:val="00575B5B"/>
    <w:rsid w:val="005760E2"/>
    <w:rsid w:val="00576251"/>
    <w:rsid w:val="00576344"/>
    <w:rsid w:val="00576E55"/>
    <w:rsid w:val="005771D3"/>
    <w:rsid w:val="00577959"/>
    <w:rsid w:val="00577D47"/>
    <w:rsid w:val="00577E53"/>
    <w:rsid w:val="0058010C"/>
    <w:rsid w:val="00580197"/>
    <w:rsid w:val="005801C3"/>
    <w:rsid w:val="0058089C"/>
    <w:rsid w:val="00580AA3"/>
    <w:rsid w:val="00580F4A"/>
    <w:rsid w:val="00581B36"/>
    <w:rsid w:val="00582309"/>
    <w:rsid w:val="005828CF"/>
    <w:rsid w:val="005828FE"/>
    <w:rsid w:val="00582A03"/>
    <w:rsid w:val="00582A79"/>
    <w:rsid w:val="00582D68"/>
    <w:rsid w:val="00582F57"/>
    <w:rsid w:val="005830F7"/>
    <w:rsid w:val="00583A91"/>
    <w:rsid w:val="00583E61"/>
    <w:rsid w:val="0058404C"/>
    <w:rsid w:val="005841A9"/>
    <w:rsid w:val="0058432A"/>
    <w:rsid w:val="00585014"/>
    <w:rsid w:val="00585179"/>
    <w:rsid w:val="00585866"/>
    <w:rsid w:val="0058595D"/>
    <w:rsid w:val="00585A84"/>
    <w:rsid w:val="00585B96"/>
    <w:rsid w:val="00585C4B"/>
    <w:rsid w:val="0058617D"/>
    <w:rsid w:val="005866FF"/>
    <w:rsid w:val="0058678A"/>
    <w:rsid w:val="00586A48"/>
    <w:rsid w:val="00586ACA"/>
    <w:rsid w:val="005879EE"/>
    <w:rsid w:val="00587B33"/>
    <w:rsid w:val="00587EA9"/>
    <w:rsid w:val="0059030E"/>
    <w:rsid w:val="00590712"/>
    <w:rsid w:val="00590DA2"/>
    <w:rsid w:val="00590E10"/>
    <w:rsid w:val="005918D9"/>
    <w:rsid w:val="00591903"/>
    <w:rsid w:val="00591F6B"/>
    <w:rsid w:val="005921A8"/>
    <w:rsid w:val="0059235E"/>
    <w:rsid w:val="00592391"/>
    <w:rsid w:val="0059243F"/>
    <w:rsid w:val="0059247D"/>
    <w:rsid w:val="00592584"/>
    <w:rsid w:val="0059275B"/>
    <w:rsid w:val="00593084"/>
    <w:rsid w:val="005935CA"/>
    <w:rsid w:val="005936E7"/>
    <w:rsid w:val="00593BC0"/>
    <w:rsid w:val="00594388"/>
    <w:rsid w:val="005943FE"/>
    <w:rsid w:val="005950B7"/>
    <w:rsid w:val="00595877"/>
    <w:rsid w:val="00595E26"/>
    <w:rsid w:val="00595FCF"/>
    <w:rsid w:val="00595FE3"/>
    <w:rsid w:val="005962C7"/>
    <w:rsid w:val="00596429"/>
    <w:rsid w:val="00596446"/>
    <w:rsid w:val="00596771"/>
    <w:rsid w:val="00596FBE"/>
    <w:rsid w:val="00597441"/>
    <w:rsid w:val="005975DA"/>
    <w:rsid w:val="00597603"/>
    <w:rsid w:val="00597CAE"/>
    <w:rsid w:val="005A0222"/>
    <w:rsid w:val="005A08DB"/>
    <w:rsid w:val="005A0A2E"/>
    <w:rsid w:val="005A0B15"/>
    <w:rsid w:val="005A0F07"/>
    <w:rsid w:val="005A1261"/>
    <w:rsid w:val="005A1A8B"/>
    <w:rsid w:val="005A2785"/>
    <w:rsid w:val="005A2C3D"/>
    <w:rsid w:val="005A2C62"/>
    <w:rsid w:val="005A2C9D"/>
    <w:rsid w:val="005A3623"/>
    <w:rsid w:val="005A36E1"/>
    <w:rsid w:val="005A3D52"/>
    <w:rsid w:val="005A41CA"/>
    <w:rsid w:val="005A42A0"/>
    <w:rsid w:val="005A42E1"/>
    <w:rsid w:val="005A4461"/>
    <w:rsid w:val="005A480B"/>
    <w:rsid w:val="005A4984"/>
    <w:rsid w:val="005A4DEE"/>
    <w:rsid w:val="005A5005"/>
    <w:rsid w:val="005A5116"/>
    <w:rsid w:val="005A5ADC"/>
    <w:rsid w:val="005A5D11"/>
    <w:rsid w:val="005A6089"/>
    <w:rsid w:val="005A6209"/>
    <w:rsid w:val="005A6486"/>
    <w:rsid w:val="005A6526"/>
    <w:rsid w:val="005A6700"/>
    <w:rsid w:val="005A6A67"/>
    <w:rsid w:val="005A7A84"/>
    <w:rsid w:val="005A7DEA"/>
    <w:rsid w:val="005B0255"/>
    <w:rsid w:val="005B02AC"/>
    <w:rsid w:val="005B158C"/>
    <w:rsid w:val="005B17FC"/>
    <w:rsid w:val="005B180D"/>
    <w:rsid w:val="005B1A24"/>
    <w:rsid w:val="005B20FD"/>
    <w:rsid w:val="005B2439"/>
    <w:rsid w:val="005B2563"/>
    <w:rsid w:val="005B26DF"/>
    <w:rsid w:val="005B4647"/>
    <w:rsid w:val="005B4AB2"/>
    <w:rsid w:val="005B549D"/>
    <w:rsid w:val="005B5755"/>
    <w:rsid w:val="005B60A5"/>
    <w:rsid w:val="005B6401"/>
    <w:rsid w:val="005B687B"/>
    <w:rsid w:val="005B6FF6"/>
    <w:rsid w:val="005C13C0"/>
    <w:rsid w:val="005C1440"/>
    <w:rsid w:val="005C14E5"/>
    <w:rsid w:val="005C1AE4"/>
    <w:rsid w:val="005C1B3F"/>
    <w:rsid w:val="005C1BB5"/>
    <w:rsid w:val="005C1D78"/>
    <w:rsid w:val="005C25F9"/>
    <w:rsid w:val="005C2B2D"/>
    <w:rsid w:val="005C2F8C"/>
    <w:rsid w:val="005C34EC"/>
    <w:rsid w:val="005C3B2E"/>
    <w:rsid w:val="005C3E8E"/>
    <w:rsid w:val="005C4512"/>
    <w:rsid w:val="005C477E"/>
    <w:rsid w:val="005C4953"/>
    <w:rsid w:val="005C4AC5"/>
    <w:rsid w:val="005C4EA3"/>
    <w:rsid w:val="005C5053"/>
    <w:rsid w:val="005C5414"/>
    <w:rsid w:val="005C5A9A"/>
    <w:rsid w:val="005C5BB9"/>
    <w:rsid w:val="005C5E5A"/>
    <w:rsid w:val="005C63F4"/>
    <w:rsid w:val="005C6736"/>
    <w:rsid w:val="005C78FC"/>
    <w:rsid w:val="005C7AD0"/>
    <w:rsid w:val="005C7C1C"/>
    <w:rsid w:val="005C7D74"/>
    <w:rsid w:val="005D0A44"/>
    <w:rsid w:val="005D1A19"/>
    <w:rsid w:val="005D1A87"/>
    <w:rsid w:val="005D1F6E"/>
    <w:rsid w:val="005D2189"/>
    <w:rsid w:val="005D2273"/>
    <w:rsid w:val="005D24F1"/>
    <w:rsid w:val="005D366E"/>
    <w:rsid w:val="005D3D88"/>
    <w:rsid w:val="005D3FFB"/>
    <w:rsid w:val="005D4010"/>
    <w:rsid w:val="005D52F8"/>
    <w:rsid w:val="005D5472"/>
    <w:rsid w:val="005D5834"/>
    <w:rsid w:val="005D5FE0"/>
    <w:rsid w:val="005D6060"/>
    <w:rsid w:val="005D68DB"/>
    <w:rsid w:val="005D6C0D"/>
    <w:rsid w:val="005D6C8A"/>
    <w:rsid w:val="005D6D3E"/>
    <w:rsid w:val="005D717C"/>
    <w:rsid w:val="005D7A39"/>
    <w:rsid w:val="005D7AFF"/>
    <w:rsid w:val="005D7C6F"/>
    <w:rsid w:val="005D7CAD"/>
    <w:rsid w:val="005E052E"/>
    <w:rsid w:val="005E0928"/>
    <w:rsid w:val="005E0AA6"/>
    <w:rsid w:val="005E0DBA"/>
    <w:rsid w:val="005E1152"/>
    <w:rsid w:val="005E146D"/>
    <w:rsid w:val="005E170C"/>
    <w:rsid w:val="005E1BA7"/>
    <w:rsid w:val="005E2168"/>
    <w:rsid w:val="005E216F"/>
    <w:rsid w:val="005E257F"/>
    <w:rsid w:val="005E2882"/>
    <w:rsid w:val="005E2AD3"/>
    <w:rsid w:val="005E3534"/>
    <w:rsid w:val="005E39D8"/>
    <w:rsid w:val="005E3AE1"/>
    <w:rsid w:val="005E3DF6"/>
    <w:rsid w:val="005E45B0"/>
    <w:rsid w:val="005E510B"/>
    <w:rsid w:val="005E57A8"/>
    <w:rsid w:val="005E5D06"/>
    <w:rsid w:val="005E6435"/>
    <w:rsid w:val="005E6802"/>
    <w:rsid w:val="005E6B76"/>
    <w:rsid w:val="005E77D4"/>
    <w:rsid w:val="005E7ED4"/>
    <w:rsid w:val="005F03CE"/>
    <w:rsid w:val="005F070D"/>
    <w:rsid w:val="005F11E7"/>
    <w:rsid w:val="005F1726"/>
    <w:rsid w:val="005F1998"/>
    <w:rsid w:val="005F1B29"/>
    <w:rsid w:val="005F1EAF"/>
    <w:rsid w:val="005F20D7"/>
    <w:rsid w:val="005F2109"/>
    <w:rsid w:val="005F250C"/>
    <w:rsid w:val="005F25CC"/>
    <w:rsid w:val="005F26C7"/>
    <w:rsid w:val="005F281A"/>
    <w:rsid w:val="005F28D9"/>
    <w:rsid w:val="005F30C4"/>
    <w:rsid w:val="005F36F6"/>
    <w:rsid w:val="005F37A4"/>
    <w:rsid w:val="005F37E6"/>
    <w:rsid w:val="005F3B66"/>
    <w:rsid w:val="005F3B88"/>
    <w:rsid w:val="005F3C06"/>
    <w:rsid w:val="005F3DCA"/>
    <w:rsid w:val="005F3F25"/>
    <w:rsid w:val="005F4453"/>
    <w:rsid w:val="005F4629"/>
    <w:rsid w:val="005F4DB3"/>
    <w:rsid w:val="005F4E46"/>
    <w:rsid w:val="005F4F25"/>
    <w:rsid w:val="005F5357"/>
    <w:rsid w:val="005F55AE"/>
    <w:rsid w:val="005F5614"/>
    <w:rsid w:val="005F58CC"/>
    <w:rsid w:val="005F5BB4"/>
    <w:rsid w:val="005F61CB"/>
    <w:rsid w:val="005F69F0"/>
    <w:rsid w:val="005F6BC3"/>
    <w:rsid w:val="005F724B"/>
    <w:rsid w:val="005F72EF"/>
    <w:rsid w:val="005F739B"/>
    <w:rsid w:val="005F7476"/>
    <w:rsid w:val="005F7502"/>
    <w:rsid w:val="005F7646"/>
    <w:rsid w:val="005F7FA4"/>
    <w:rsid w:val="00600440"/>
    <w:rsid w:val="00600F4A"/>
    <w:rsid w:val="006016BD"/>
    <w:rsid w:val="00601965"/>
    <w:rsid w:val="00601A82"/>
    <w:rsid w:val="00601CF4"/>
    <w:rsid w:val="00602561"/>
    <w:rsid w:val="00602830"/>
    <w:rsid w:val="00602AC8"/>
    <w:rsid w:val="0060336D"/>
    <w:rsid w:val="0060354E"/>
    <w:rsid w:val="00603AB2"/>
    <w:rsid w:val="00603B00"/>
    <w:rsid w:val="00603E12"/>
    <w:rsid w:val="0060456D"/>
    <w:rsid w:val="00604D06"/>
    <w:rsid w:val="00604EBA"/>
    <w:rsid w:val="00605BF4"/>
    <w:rsid w:val="00605F78"/>
    <w:rsid w:val="006062D6"/>
    <w:rsid w:val="006064EA"/>
    <w:rsid w:val="00606E66"/>
    <w:rsid w:val="006073F0"/>
    <w:rsid w:val="0060796E"/>
    <w:rsid w:val="006101C2"/>
    <w:rsid w:val="00610382"/>
    <w:rsid w:val="006104CC"/>
    <w:rsid w:val="00610C6F"/>
    <w:rsid w:val="00610D85"/>
    <w:rsid w:val="00610E8E"/>
    <w:rsid w:val="0061156C"/>
    <w:rsid w:val="0061173A"/>
    <w:rsid w:val="00611896"/>
    <w:rsid w:val="006118BD"/>
    <w:rsid w:val="006118E8"/>
    <w:rsid w:val="00611C41"/>
    <w:rsid w:val="00612545"/>
    <w:rsid w:val="006125DF"/>
    <w:rsid w:val="00612701"/>
    <w:rsid w:val="006130FF"/>
    <w:rsid w:val="00613491"/>
    <w:rsid w:val="00613F82"/>
    <w:rsid w:val="00614043"/>
    <w:rsid w:val="00614303"/>
    <w:rsid w:val="006149FD"/>
    <w:rsid w:val="00614AA3"/>
    <w:rsid w:val="00614E0F"/>
    <w:rsid w:val="006153E3"/>
    <w:rsid w:val="006153F7"/>
    <w:rsid w:val="00615676"/>
    <w:rsid w:val="006161E2"/>
    <w:rsid w:val="006167D4"/>
    <w:rsid w:val="00617450"/>
    <w:rsid w:val="00617712"/>
    <w:rsid w:val="00617964"/>
    <w:rsid w:val="00617C15"/>
    <w:rsid w:val="00617C17"/>
    <w:rsid w:val="00620B1E"/>
    <w:rsid w:val="0062108E"/>
    <w:rsid w:val="00621422"/>
    <w:rsid w:val="00621CF8"/>
    <w:rsid w:val="00621F9F"/>
    <w:rsid w:val="00622BC7"/>
    <w:rsid w:val="006237A3"/>
    <w:rsid w:val="00623A06"/>
    <w:rsid w:val="00623CDE"/>
    <w:rsid w:val="00624450"/>
    <w:rsid w:val="00624777"/>
    <w:rsid w:val="00624A5A"/>
    <w:rsid w:val="00624A8D"/>
    <w:rsid w:val="00624B28"/>
    <w:rsid w:val="00624F41"/>
    <w:rsid w:val="006254CF"/>
    <w:rsid w:val="006256C1"/>
    <w:rsid w:val="006265B1"/>
    <w:rsid w:val="006265BE"/>
    <w:rsid w:val="00626BBD"/>
    <w:rsid w:val="006273D6"/>
    <w:rsid w:val="006277FF"/>
    <w:rsid w:val="00627B7B"/>
    <w:rsid w:val="00627D67"/>
    <w:rsid w:val="00627DDF"/>
    <w:rsid w:val="006300FA"/>
    <w:rsid w:val="00630CEC"/>
    <w:rsid w:val="0063115C"/>
    <w:rsid w:val="006316DB"/>
    <w:rsid w:val="0063186F"/>
    <w:rsid w:val="00631B58"/>
    <w:rsid w:val="00631E78"/>
    <w:rsid w:val="00631F67"/>
    <w:rsid w:val="0063267C"/>
    <w:rsid w:val="006329AB"/>
    <w:rsid w:val="00633A7C"/>
    <w:rsid w:val="00633C29"/>
    <w:rsid w:val="00633F27"/>
    <w:rsid w:val="00634ACD"/>
    <w:rsid w:val="00634C64"/>
    <w:rsid w:val="00634CBA"/>
    <w:rsid w:val="0063503F"/>
    <w:rsid w:val="00635C24"/>
    <w:rsid w:val="00635DCF"/>
    <w:rsid w:val="006360F6"/>
    <w:rsid w:val="00636365"/>
    <w:rsid w:val="006364BA"/>
    <w:rsid w:val="006364C9"/>
    <w:rsid w:val="006369EB"/>
    <w:rsid w:val="00636A73"/>
    <w:rsid w:val="00636EA8"/>
    <w:rsid w:val="00637668"/>
    <w:rsid w:val="00637944"/>
    <w:rsid w:val="00637A28"/>
    <w:rsid w:val="00640265"/>
    <w:rsid w:val="00640314"/>
    <w:rsid w:val="00640B6B"/>
    <w:rsid w:val="00640B8B"/>
    <w:rsid w:val="00640D89"/>
    <w:rsid w:val="00641133"/>
    <w:rsid w:val="006412C5"/>
    <w:rsid w:val="0064173E"/>
    <w:rsid w:val="006424B3"/>
    <w:rsid w:val="006425AF"/>
    <w:rsid w:val="00642EFF"/>
    <w:rsid w:val="00643140"/>
    <w:rsid w:val="006431A0"/>
    <w:rsid w:val="0064345A"/>
    <w:rsid w:val="006437BF"/>
    <w:rsid w:val="006438A9"/>
    <w:rsid w:val="00643DF5"/>
    <w:rsid w:val="0064412F"/>
    <w:rsid w:val="006441C5"/>
    <w:rsid w:val="00644AE2"/>
    <w:rsid w:val="006453E5"/>
    <w:rsid w:val="006455EA"/>
    <w:rsid w:val="00645932"/>
    <w:rsid w:val="006463E9"/>
    <w:rsid w:val="006466E9"/>
    <w:rsid w:val="006467E9"/>
    <w:rsid w:val="00647664"/>
    <w:rsid w:val="00647808"/>
    <w:rsid w:val="00647900"/>
    <w:rsid w:val="00647A75"/>
    <w:rsid w:val="00647AC6"/>
    <w:rsid w:val="00647C5D"/>
    <w:rsid w:val="00647D0B"/>
    <w:rsid w:val="00647EDA"/>
    <w:rsid w:val="006507AD"/>
    <w:rsid w:val="006507F1"/>
    <w:rsid w:val="006510EE"/>
    <w:rsid w:val="0065126F"/>
    <w:rsid w:val="0065160B"/>
    <w:rsid w:val="00651D9F"/>
    <w:rsid w:val="006521B3"/>
    <w:rsid w:val="006522A9"/>
    <w:rsid w:val="006527F3"/>
    <w:rsid w:val="0065295C"/>
    <w:rsid w:val="00653815"/>
    <w:rsid w:val="00654070"/>
    <w:rsid w:val="006545C9"/>
    <w:rsid w:val="0065524D"/>
    <w:rsid w:val="00655962"/>
    <w:rsid w:val="00655D72"/>
    <w:rsid w:val="00655EFD"/>
    <w:rsid w:val="006562E1"/>
    <w:rsid w:val="00657150"/>
    <w:rsid w:val="0065749D"/>
    <w:rsid w:val="00657630"/>
    <w:rsid w:val="00657DE6"/>
    <w:rsid w:val="0066057E"/>
    <w:rsid w:val="00661715"/>
    <w:rsid w:val="00661721"/>
    <w:rsid w:val="006618CF"/>
    <w:rsid w:val="00662E25"/>
    <w:rsid w:val="006635F0"/>
    <w:rsid w:val="006638D1"/>
    <w:rsid w:val="00663AF8"/>
    <w:rsid w:val="00663C06"/>
    <w:rsid w:val="00663F41"/>
    <w:rsid w:val="00664231"/>
    <w:rsid w:val="006647FC"/>
    <w:rsid w:val="00664D09"/>
    <w:rsid w:val="00665A8C"/>
    <w:rsid w:val="00665E6A"/>
    <w:rsid w:val="006661AC"/>
    <w:rsid w:val="006663FE"/>
    <w:rsid w:val="00666709"/>
    <w:rsid w:val="0066686C"/>
    <w:rsid w:val="00666EBA"/>
    <w:rsid w:val="00667398"/>
    <w:rsid w:val="0066776C"/>
    <w:rsid w:val="00667E2B"/>
    <w:rsid w:val="00667FE8"/>
    <w:rsid w:val="006705EC"/>
    <w:rsid w:val="006706CE"/>
    <w:rsid w:val="00670BAF"/>
    <w:rsid w:val="00670E85"/>
    <w:rsid w:val="00670FFC"/>
    <w:rsid w:val="00671461"/>
    <w:rsid w:val="00671560"/>
    <w:rsid w:val="00671BE8"/>
    <w:rsid w:val="00671C33"/>
    <w:rsid w:val="00671F51"/>
    <w:rsid w:val="00671FB1"/>
    <w:rsid w:val="0067245E"/>
    <w:rsid w:val="0067281B"/>
    <w:rsid w:val="0067298A"/>
    <w:rsid w:val="00672D11"/>
    <w:rsid w:val="00673139"/>
    <w:rsid w:val="00673686"/>
    <w:rsid w:val="00673A0E"/>
    <w:rsid w:val="00673DBB"/>
    <w:rsid w:val="00674046"/>
    <w:rsid w:val="0067406E"/>
    <w:rsid w:val="00674178"/>
    <w:rsid w:val="0067426F"/>
    <w:rsid w:val="006748A4"/>
    <w:rsid w:val="00674F49"/>
    <w:rsid w:val="00674FF6"/>
    <w:rsid w:val="00674FF8"/>
    <w:rsid w:val="00675179"/>
    <w:rsid w:val="00675309"/>
    <w:rsid w:val="00675753"/>
    <w:rsid w:val="0067586B"/>
    <w:rsid w:val="00676FED"/>
    <w:rsid w:val="006776C8"/>
    <w:rsid w:val="00677B30"/>
    <w:rsid w:val="00681041"/>
    <w:rsid w:val="00681B45"/>
    <w:rsid w:val="00681EA3"/>
    <w:rsid w:val="00681FDB"/>
    <w:rsid w:val="00682D56"/>
    <w:rsid w:val="006834F5"/>
    <w:rsid w:val="0068385C"/>
    <w:rsid w:val="00683E56"/>
    <w:rsid w:val="00683EF5"/>
    <w:rsid w:val="00684503"/>
    <w:rsid w:val="00684708"/>
    <w:rsid w:val="00684AAA"/>
    <w:rsid w:val="00684F80"/>
    <w:rsid w:val="00685303"/>
    <w:rsid w:val="0068538B"/>
    <w:rsid w:val="006855F5"/>
    <w:rsid w:val="006856F5"/>
    <w:rsid w:val="00685AC2"/>
    <w:rsid w:val="00685B2F"/>
    <w:rsid w:val="006861C2"/>
    <w:rsid w:val="00686897"/>
    <w:rsid w:val="00686B5A"/>
    <w:rsid w:val="00687055"/>
    <w:rsid w:val="006871A0"/>
    <w:rsid w:val="006873EF"/>
    <w:rsid w:val="0068783E"/>
    <w:rsid w:val="00690074"/>
    <w:rsid w:val="00690313"/>
    <w:rsid w:val="006903C5"/>
    <w:rsid w:val="00690604"/>
    <w:rsid w:val="00690D1C"/>
    <w:rsid w:val="0069103F"/>
    <w:rsid w:val="00691108"/>
    <w:rsid w:val="006916CC"/>
    <w:rsid w:val="00691A6A"/>
    <w:rsid w:val="00691E96"/>
    <w:rsid w:val="006922A7"/>
    <w:rsid w:val="00692656"/>
    <w:rsid w:val="00692AAD"/>
    <w:rsid w:val="00692BC3"/>
    <w:rsid w:val="0069365F"/>
    <w:rsid w:val="006938AD"/>
    <w:rsid w:val="00694516"/>
    <w:rsid w:val="006945CB"/>
    <w:rsid w:val="0069466C"/>
    <w:rsid w:val="00694B57"/>
    <w:rsid w:val="00694BA6"/>
    <w:rsid w:val="00694C8D"/>
    <w:rsid w:val="00694DA5"/>
    <w:rsid w:val="00694F01"/>
    <w:rsid w:val="00695209"/>
    <w:rsid w:val="006957F4"/>
    <w:rsid w:val="00695A41"/>
    <w:rsid w:val="00695E7A"/>
    <w:rsid w:val="00696E13"/>
    <w:rsid w:val="00697D90"/>
    <w:rsid w:val="006A0530"/>
    <w:rsid w:val="006A1268"/>
    <w:rsid w:val="006A1535"/>
    <w:rsid w:val="006A173A"/>
    <w:rsid w:val="006A296A"/>
    <w:rsid w:val="006A3037"/>
    <w:rsid w:val="006A360C"/>
    <w:rsid w:val="006A3733"/>
    <w:rsid w:val="006A3AE7"/>
    <w:rsid w:val="006A4152"/>
    <w:rsid w:val="006A42A6"/>
    <w:rsid w:val="006A42EB"/>
    <w:rsid w:val="006A474F"/>
    <w:rsid w:val="006A4A03"/>
    <w:rsid w:val="006A5279"/>
    <w:rsid w:val="006A55FB"/>
    <w:rsid w:val="006A5ABC"/>
    <w:rsid w:val="006A5AE1"/>
    <w:rsid w:val="006A5F50"/>
    <w:rsid w:val="006A61D6"/>
    <w:rsid w:val="006A658C"/>
    <w:rsid w:val="006A65C5"/>
    <w:rsid w:val="006A66B2"/>
    <w:rsid w:val="006A6AC4"/>
    <w:rsid w:val="006A6DD7"/>
    <w:rsid w:val="006A741D"/>
    <w:rsid w:val="006A7425"/>
    <w:rsid w:val="006A79AD"/>
    <w:rsid w:val="006B0215"/>
    <w:rsid w:val="006B048A"/>
    <w:rsid w:val="006B085F"/>
    <w:rsid w:val="006B0B07"/>
    <w:rsid w:val="006B1217"/>
    <w:rsid w:val="006B192D"/>
    <w:rsid w:val="006B1D57"/>
    <w:rsid w:val="006B2DBD"/>
    <w:rsid w:val="006B33E0"/>
    <w:rsid w:val="006B3A43"/>
    <w:rsid w:val="006B3AED"/>
    <w:rsid w:val="006B3D0F"/>
    <w:rsid w:val="006B3D51"/>
    <w:rsid w:val="006B3EB4"/>
    <w:rsid w:val="006B4FCF"/>
    <w:rsid w:val="006B52E1"/>
    <w:rsid w:val="006B5E9D"/>
    <w:rsid w:val="006B5ECE"/>
    <w:rsid w:val="006B6716"/>
    <w:rsid w:val="006B6BB5"/>
    <w:rsid w:val="006B774C"/>
    <w:rsid w:val="006B7C03"/>
    <w:rsid w:val="006C1069"/>
    <w:rsid w:val="006C1359"/>
    <w:rsid w:val="006C1648"/>
    <w:rsid w:val="006C1734"/>
    <w:rsid w:val="006C18E0"/>
    <w:rsid w:val="006C1E1A"/>
    <w:rsid w:val="006C1F9F"/>
    <w:rsid w:val="006C2080"/>
    <w:rsid w:val="006C2402"/>
    <w:rsid w:val="006C296C"/>
    <w:rsid w:val="006C2C07"/>
    <w:rsid w:val="006C3121"/>
    <w:rsid w:val="006C3310"/>
    <w:rsid w:val="006C3FC5"/>
    <w:rsid w:val="006C426F"/>
    <w:rsid w:val="006C459F"/>
    <w:rsid w:val="006C4882"/>
    <w:rsid w:val="006C48E7"/>
    <w:rsid w:val="006C673B"/>
    <w:rsid w:val="006C7056"/>
    <w:rsid w:val="006C7236"/>
    <w:rsid w:val="006C7620"/>
    <w:rsid w:val="006C7685"/>
    <w:rsid w:val="006C7A30"/>
    <w:rsid w:val="006D00F3"/>
    <w:rsid w:val="006D016A"/>
    <w:rsid w:val="006D073B"/>
    <w:rsid w:val="006D0E58"/>
    <w:rsid w:val="006D0F0A"/>
    <w:rsid w:val="006D18EA"/>
    <w:rsid w:val="006D1E59"/>
    <w:rsid w:val="006D20D6"/>
    <w:rsid w:val="006D23B4"/>
    <w:rsid w:val="006D272E"/>
    <w:rsid w:val="006D291F"/>
    <w:rsid w:val="006D2C01"/>
    <w:rsid w:val="006D2FB4"/>
    <w:rsid w:val="006D302C"/>
    <w:rsid w:val="006D3151"/>
    <w:rsid w:val="006D3173"/>
    <w:rsid w:val="006D3366"/>
    <w:rsid w:val="006D3A84"/>
    <w:rsid w:val="006D41BB"/>
    <w:rsid w:val="006D45EF"/>
    <w:rsid w:val="006D478A"/>
    <w:rsid w:val="006D4DDC"/>
    <w:rsid w:val="006D54FF"/>
    <w:rsid w:val="006D5D08"/>
    <w:rsid w:val="006D6520"/>
    <w:rsid w:val="006D6F3B"/>
    <w:rsid w:val="006D7389"/>
    <w:rsid w:val="006D7DBF"/>
    <w:rsid w:val="006D7EB8"/>
    <w:rsid w:val="006E003D"/>
    <w:rsid w:val="006E00A8"/>
    <w:rsid w:val="006E0294"/>
    <w:rsid w:val="006E0497"/>
    <w:rsid w:val="006E06D3"/>
    <w:rsid w:val="006E0756"/>
    <w:rsid w:val="006E07B1"/>
    <w:rsid w:val="006E080C"/>
    <w:rsid w:val="006E09B0"/>
    <w:rsid w:val="006E0A40"/>
    <w:rsid w:val="006E0B2F"/>
    <w:rsid w:val="006E0DBE"/>
    <w:rsid w:val="006E193A"/>
    <w:rsid w:val="006E2692"/>
    <w:rsid w:val="006E26D2"/>
    <w:rsid w:val="006E2F72"/>
    <w:rsid w:val="006E39D1"/>
    <w:rsid w:val="006E40FF"/>
    <w:rsid w:val="006E422C"/>
    <w:rsid w:val="006E44FE"/>
    <w:rsid w:val="006E4A04"/>
    <w:rsid w:val="006E4FD0"/>
    <w:rsid w:val="006E512A"/>
    <w:rsid w:val="006E59B1"/>
    <w:rsid w:val="006E627A"/>
    <w:rsid w:val="006E62EA"/>
    <w:rsid w:val="006E6417"/>
    <w:rsid w:val="006E6559"/>
    <w:rsid w:val="006E755F"/>
    <w:rsid w:val="006E782B"/>
    <w:rsid w:val="006E7BDC"/>
    <w:rsid w:val="006E7DA2"/>
    <w:rsid w:val="006F028D"/>
    <w:rsid w:val="006F02AD"/>
    <w:rsid w:val="006F05D5"/>
    <w:rsid w:val="006F07C2"/>
    <w:rsid w:val="006F0E69"/>
    <w:rsid w:val="006F1776"/>
    <w:rsid w:val="006F18B3"/>
    <w:rsid w:val="006F1E9D"/>
    <w:rsid w:val="006F1F39"/>
    <w:rsid w:val="006F2055"/>
    <w:rsid w:val="006F2150"/>
    <w:rsid w:val="006F2636"/>
    <w:rsid w:val="006F271D"/>
    <w:rsid w:val="006F2B53"/>
    <w:rsid w:val="006F3814"/>
    <w:rsid w:val="006F3871"/>
    <w:rsid w:val="006F39BB"/>
    <w:rsid w:val="006F437D"/>
    <w:rsid w:val="006F4687"/>
    <w:rsid w:val="006F474C"/>
    <w:rsid w:val="006F4939"/>
    <w:rsid w:val="006F4AB8"/>
    <w:rsid w:val="006F4E8F"/>
    <w:rsid w:val="006F502F"/>
    <w:rsid w:val="006F5C87"/>
    <w:rsid w:val="006F5E3F"/>
    <w:rsid w:val="006F6322"/>
    <w:rsid w:val="006F64AB"/>
    <w:rsid w:val="006F658B"/>
    <w:rsid w:val="006F6BBC"/>
    <w:rsid w:val="006F6D22"/>
    <w:rsid w:val="006F7376"/>
    <w:rsid w:val="006F7CEE"/>
    <w:rsid w:val="007007DA"/>
    <w:rsid w:val="007008D1"/>
    <w:rsid w:val="0070157C"/>
    <w:rsid w:val="00701BBD"/>
    <w:rsid w:val="00701C45"/>
    <w:rsid w:val="00701EDE"/>
    <w:rsid w:val="00701F81"/>
    <w:rsid w:val="00702E7F"/>
    <w:rsid w:val="0070346D"/>
    <w:rsid w:val="00703903"/>
    <w:rsid w:val="00703CC9"/>
    <w:rsid w:val="00703F70"/>
    <w:rsid w:val="00704421"/>
    <w:rsid w:val="0070482B"/>
    <w:rsid w:val="00704910"/>
    <w:rsid w:val="007058AC"/>
    <w:rsid w:val="007060CF"/>
    <w:rsid w:val="00706172"/>
    <w:rsid w:val="007063D9"/>
    <w:rsid w:val="00706FC6"/>
    <w:rsid w:val="00707538"/>
    <w:rsid w:val="007075E3"/>
    <w:rsid w:val="0070762F"/>
    <w:rsid w:val="00707E5D"/>
    <w:rsid w:val="00707FF9"/>
    <w:rsid w:val="007105DD"/>
    <w:rsid w:val="00711323"/>
    <w:rsid w:val="007113A0"/>
    <w:rsid w:val="007114CC"/>
    <w:rsid w:val="00711E2F"/>
    <w:rsid w:val="00711E36"/>
    <w:rsid w:val="00711E58"/>
    <w:rsid w:val="007123AE"/>
    <w:rsid w:val="00712562"/>
    <w:rsid w:val="007127A4"/>
    <w:rsid w:val="007129B9"/>
    <w:rsid w:val="00712A8D"/>
    <w:rsid w:val="00712B6C"/>
    <w:rsid w:val="00712C64"/>
    <w:rsid w:val="00714376"/>
    <w:rsid w:val="007147A0"/>
    <w:rsid w:val="007149BB"/>
    <w:rsid w:val="007154E0"/>
    <w:rsid w:val="00715756"/>
    <w:rsid w:val="00715827"/>
    <w:rsid w:val="00715CD4"/>
    <w:rsid w:val="00717039"/>
    <w:rsid w:val="0072047E"/>
    <w:rsid w:val="007205F2"/>
    <w:rsid w:val="0072078F"/>
    <w:rsid w:val="00720CC1"/>
    <w:rsid w:val="00720EB6"/>
    <w:rsid w:val="00721F05"/>
    <w:rsid w:val="0072239E"/>
    <w:rsid w:val="007223F1"/>
    <w:rsid w:val="0072249A"/>
    <w:rsid w:val="007227BD"/>
    <w:rsid w:val="00723427"/>
    <w:rsid w:val="007238DE"/>
    <w:rsid w:val="00723A9A"/>
    <w:rsid w:val="00723EBA"/>
    <w:rsid w:val="00724E0B"/>
    <w:rsid w:val="00724F03"/>
    <w:rsid w:val="007255B1"/>
    <w:rsid w:val="007259F4"/>
    <w:rsid w:val="007264C5"/>
    <w:rsid w:val="0072674B"/>
    <w:rsid w:val="00726B9A"/>
    <w:rsid w:val="00726C18"/>
    <w:rsid w:val="00726D7B"/>
    <w:rsid w:val="00726DBB"/>
    <w:rsid w:val="00726EB7"/>
    <w:rsid w:val="00727005"/>
    <w:rsid w:val="007274B8"/>
    <w:rsid w:val="00727803"/>
    <w:rsid w:val="007278F9"/>
    <w:rsid w:val="007279D0"/>
    <w:rsid w:val="00727B05"/>
    <w:rsid w:val="00727BF0"/>
    <w:rsid w:val="00730022"/>
    <w:rsid w:val="0073039C"/>
    <w:rsid w:val="007306DE"/>
    <w:rsid w:val="00730826"/>
    <w:rsid w:val="0073086A"/>
    <w:rsid w:val="00730878"/>
    <w:rsid w:val="00730ADE"/>
    <w:rsid w:val="00730D27"/>
    <w:rsid w:val="007310B7"/>
    <w:rsid w:val="0073149E"/>
    <w:rsid w:val="00731557"/>
    <w:rsid w:val="0073219D"/>
    <w:rsid w:val="007323D7"/>
    <w:rsid w:val="00733125"/>
    <w:rsid w:val="007331E2"/>
    <w:rsid w:val="0073383B"/>
    <w:rsid w:val="0073389E"/>
    <w:rsid w:val="0073440D"/>
    <w:rsid w:val="007347EF"/>
    <w:rsid w:val="00734891"/>
    <w:rsid w:val="00734E2A"/>
    <w:rsid w:val="0073532A"/>
    <w:rsid w:val="0073580A"/>
    <w:rsid w:val="007359D6"/>
    <w:rsid w:val="00735C95"/>
    <w:rsid w:val="007360EB"/>
    <w:rsid w:val="0073661B"/>
    <w:rsid w:val="00736799"/>
    <w:rsid w:val="0073688B"/>
    <w:rsid w:val="00736B41"/>
    <w:rsid w:val="0073756A"/>
    <w:rsid w:val="00737AAB"/>
    <w:rsid w:val="00737BDC"/>
    <w:rsid w:val="00737CE3"/>
    <w:rsid w:val="00737D2A"/>
    <w:rsid w:val="00740248"/>
    <w:rsid w:val="007402A6"/>
    <w:rsid w:val="007405F8"/>
    <w:rsid w:val="00740757"/>
    <w:rsid w:val="00740E73"/>
    <w:rsid w:val="00740EE7"/>
    <w:rsid w:val="00740FF0"/>
    <w:rsid w:val="007410CA"/>
    <w:rsid w:val="00741A38"/>
    <w:rsid w:val="00742177"/>
    <w:rsid w:val="00742314"/>
    <w:rsid w:val="0074284B"/>
    <w:rsid w:val="00742BFE"/>
    <w:rsid w:val="007432C4"/>
    <w:rsid w:val="00743681"/>
    <w:rsid w:val="00743989"/>
    <w:rsid w:val="00743BA9"/>
    <w:rsid w:val="00743D2A"/>
    <w:rsid w:val="007452F4"/>
    <w:rsid w:val="007453F4"/>
    <w:rsid w:val="007454E3"/>
    <w:rsid w:val="00745743"/>
    <w:rsid w:val="00745C7E"/>
    <w:rsid w:val="00746DB7"/>
    <w:rsid w:val="00747159"/>
    <w:rsid w:val="0074762C"/>
    <w:rsid w:val="00747878"/>
    <w:rsid w:val="00747953"/>
    <w:rsid w:val="00747C5D"/>
    <w:rsid w:val="00747C8D"/>
    <w:rsid w:val="00747D6E"/>
    <w:rsid w:val="0075066D"/>
    <w:rsid w:val="007506E9"/>
    <w:rsid w:val="00750862"/>
    <w:rsid w:val="00750B11"/>
    <w:rsid w:val="00750DE0"/>
    <w:rsid w:val="00751251"/>
    <w:rsid w:val="007515FD"/>
    <w:rsid w:val="00751826"/>
    <w:rsid w:val="00751950"/>
    <w:rsid w:val="00751B2E"/>
    <w:rsid w:val="00751D08"/>
    <w:rsid w:val="00751DE9"/>
    <w:rsid w:val="0075201F"/>
    <w:rsid w:val="0075206B"/>
    <w:rsid w:val="007522E6"/>
    <w:rsid w:val="00752487"/>
    <w:rsid w:val="0075255F"/>
    <w:rsid w:val="0075385B"/>
    <w:rsid w:val="007538FC"/>
    <w:rsid w:val="00753E07"/>
    <w:rsid w:val="00754776"/>
    <w:rsid w:val="00754857"/>
    <w:rsid w:val="007549C9"/>
    <w:rsid w:val="00754A28"/>
    <w:rsid w:val="00754D04"/>
    <w:rsid w:val="00755288"/>
    <w:rsid w:val="007555F0"/>
    <w:rsid w:val="00755B3B"/>
    <w:rsid w:val="00755B95"/>
    <w:rsid w:val="00755F6B"/>
    <w:rsid w:val="00756EA8"/>
    <w:rsid w:val="00760218"/>
    <w:rsid w:val="00760411"/>
    <w:rsid w:val="0076057F"/>
    <w:rsid w:val="00760983"/>
    <w:rsid w:val="007611CD"/>
    <w:rsid w:val="00761803"/>
    <w:rsid w:val="00761A2B"/>
    <w:rsid w:val="00761A96"/>
    <w:rsid w:val="007620BB"/>
    <w:rsid w:val="007622F1"/>
    <w:rsid w:val="00762453"/>
    <w:rsid w:val="00763086"/>
    <w:rsid w:val="00763D67"/>
    <w:rsid w:val="00763D8B"/>
    <w:rsid w:val="0076425D"/>
    <w:rsid w:val="0076453E"/>
    <w:rsid w:val="007649AB"/>
    <w:rsid w:val="00764DE6"/>
    <w:rsid w:val="0076533E"/>
    <w:rsid w:val="00765AC2"/>
    <w:rsid w:val="00765E39"/>
    <w:rsid w:val="00765F67"/>
    <w:rsid w:val="00765F93"/>
    <w:rsid w:val="00766366"/>
    <w:rsid w:val="007663D2"/>
    <w:rsid w:val="0076650D"/>
    <w:rsid w:val="00767134"/>
    <w:rsid w:val="0076738F"/>
    <w:rsid w:val="00767495"/>
    <w:rsid w:val="00767C5B"/>
    <w:rsid w:val="00767DB5"/>
    <w:rsid w:val="00767DFD"/>
    <w:rsid w:val="007705AD"/>
    <w:rsid w:val="007707E6"/>
    <w:rsid w:val="00771533"/>
    <w:rsid w:val="0077172A"/>
    <w:rsid w:val="007718A7"/>
    <w:rsid w:val="00771B44"/>
    <w:rsid w:val="00771E5F"/>
    <w:rsid w:val="0077288F"/>
    <w:rsid w:val="007736C3"/>
    <w:rsid w:val="00773B57"/>
    <w:rsid w:val="00773DBA"/>
    <w:rsid w:val="0077444C"/>
    <w:rsid w:val="0077486C"/>
    <w:rsid w:val="00774B65"/>
    <w:rsid w:val="00775250"/>
    <w:rsid w:val="00775B00"/>
    <w:rsid w:val="00775F54"/>
    <w:rsid w:val="007763D5"/>
    <w:rsid w:val="00776DF2"/>
    <w:rsid w:val="00776F72"/>
    <w:rsid w:val="0077706F"/>
    <w:rsid w:val="007770E4"/>
    <w:rsid w:val="0077747B"/>
    <w:rsid w:val="00777BAE"/>
    <w:rsid w:val="00777DCD"/>
    <w:rsid w:val="007800D8"/>
    <w:rsid w:val="00780D25"/>
    <w:rsid w:val="007810F8"/>
    <w:rsid w:val="00781448"/>
    <w:rsid w:val="007818BC"/>
    <w:rsid w:val="00781D04"/>
    <w:rsid w:val="00781D76"/>
    <w:rsid w:val="0078208A"/>
    <w:rsid w:val="007825C7"/>
    <w:rsid w:val="0078272C"/>
    <w:rsid w:val="00782AF4"/>
    <w:rsid w:val="00782B89"/>
    <w:rsid w:val="00782CFF"/>
    <w:rsid w:val="007832C7"/>
    <w:rsid w:val="007837CF"/>
    <w:rsid w:val="00783868"/>
    <w:rsid w:val="00783CBE"/>
    <w:rsid w:val="00784313"/>
    <w:rsid w:val="00784C16"/>
    <w:rsid w:val="00784DA7"/>
    <w:rsid w:val="00784FCF"/>
    <w:rsid w:val="0078553B"/>
    <w:rsid w:val="007859F6"/>
    <w:rsid w:val="00785A95"/>
    <w:rsid w:val="00785B5E"/>
    <w:rsid w:val="0078602D"/>
    <w:rsid w:val="00786289"/>
    <w:rsid w:val="0078666D"/>
    <w:rsid w:val="00786918"/>
    <w:rsid w:val="00786952"/>
    <w:rsid w:val="007872D0"/>
    <w:rsid w:val="00787766"/>
    <w:rsid w:val="00787BA6"/>
    <w:rsid w:val="007910FB"/>
    <w:rsid w:val="007911AE"/>
    <w:rsid w:val="00791894"/>
    <w:rsid w:val="007919E4"/>
    <w:rsid w:val="00791EF9"/>
    <w:rsid w:val="0079239A"/>
    <w:rsid w:val="007924EF"/>
    <w:rsid w:val="00792910"/>
    <w:rsid w:val="00792B11"/>
    <w:rsid w:val="00792D00"/>
    <w:rsid w:val="00792EFD"/>
    <w:rsid w:val="0079311D"/>
    <w:rsid w:val="007932B1"/>
    <w:rsid w:val="007932D5"/>
    <w:rsid w:val="007933BA"/>
    <w:rsid w:val="00793C2E"/>
    <w:rsid w:val="0079401C"/>
    <w:rsid w:val="00794095"/>
    <w:rsid w:val="0079419D"/>
    <w:rsid w:val="007941F4"/>
    <w:rsid w:val="00794756"/>
    <w:rsid w:val="0079482A"/>
    <w:rsid w:val="00794D5D"/>
    <w:rsid w:val="0079509A"/>
    <w:rsid w:val="00795477"/>
    <w:rsid w:val="00795486"/>
    <w:rsid w:val="007957A9"/>
    <w:rsid w:val="0079590C"/>
    <w:rsid w:val="00795D3D"/>
    <w:rsid w:val="00796520"/>
    <w:rsid w:val="00796573"/>
    <w:rsid w:val="007969C7"/>
    <w:rsid w:val="0079719F"/>
    <w:rsid w:val="00797A9D"/>
    <w:rsid w:val="00797ACA"/>
    <w:rsid w:val="00797B13"/>
    <w:rsid w:val="007A028D"/>
    <w:rsid w:val="007A049D"/>
    <w:rsid w:val="007A090F"/>
    <w:rsid w:val="007A0943"/>
    <w:rsid w:val="007A15BC"/>
    <w:rsid w:val="007A218C"/>
    <w:rsid w:val="007A21E3"/>
    <w:rsid w:val="007A2E44"/>
    <w:rsid w:val="007A2F55"/>
    <w:rsid w:val="007A3467"/>
    <w:rsid w:val="007A3C72"/>
    <w:rsid w:val="007A4208"/>
    <w:rsid w:val="007A44CE"/>
    <w:rsid w:val="007A4822"/>
    <w:rsid w:val="007A4CC8"/>
    <w:rsid w:val="007A542C"/>
    <w:rsid w:val="007A5D49"/>
    <w:rsid w:val="007A5D76"/>
    <w:rsid w:val="007A6D32"/>
    <w:rsid w:val="007A7697"/>
    <w:rsid w:val="007A7AED"/>
    <w:rsid w:val="007B0099"/>
    <w:rsid w:val="007B037D"/>
    <w:rsid w:val="007B0FBE"/>
    <w:rsid w:val="007B16DD"/>
    <w:rsid w:val="007B1FF2"/>
    <w:rsid w:val="007B238C"/>
    <w:rsid w:val="007B26AD"/>
    <w:rsid w:val="007B27A6"/>
    <w:rsid w:val="007B27BD"/>
    <w:rsid w:val="007B2894"/>
    <w:rsid w:val="007B29BA"/>
    <w:rsid w:val="007B364B"/>
    <w:rsid w:val="007B3B25"/>
    <w:rsid w:val="007B3E5B"/>
    <w:rsid w:val="007B408E"/>
    <w:rsid w:val="007B4C25"/>
    <w:rsid w:val="007B5380"/>
    <w:rsid w:val="007B539B"/>
    <w:rsid w:val="007B5A21"/>
    <w:rsid w:val="007B5CB9"/>
    <w:rsid w:val="007B5F45"/>
    <w:rsid w:val="007B6A33"/>
    <w:rsid w:val="007B6B09"/>
    <w:rsid w:val="007B6CDF"/>
    <w:rsid w:val="007B6E34"/>
    <w:rsid w:val="007B713C"/>
    <w:rsid w:val="007B75D6"/>
    <w:rsid w:val="007B7B63"/>
    <w:rsid w:val="007B7BB0"/>
    <w:rsid w:val="007B7EDF"/>
    <w:rsid w:val="007B7FC1"/>
    <w:rsid w:val="007C0C6D"/>
    <w:rsid w:val="007C1173"/>
    <w:rsid w:val="007C1714"/>
    <w:rsid w:val="007C1B48"/>
    <w:rsid w:val="007C1BB1"/>
    <w:rsid w:val="007C2330"/>
    <w:rsid w:val="007C240F"/>
    <w:rsid w:val="007C2918"/>
    <w:rsid w:val="007C294B"/>
    <w:rsid w:val="007C2998"/>
    <w:rsid w:val="007C2A7D"/>
    <w:rsid w:val="007C364D"/>
    <w:rsid w:val="007C3D09"/>
    <w:rsid w:val="007C3DA8"/>
    <w:rsid w:val="007C4831"/>
    <w:rsid w:val="007C4A3C"/>
    <w:rsid w:val="007C50E5"/>
    <w:rsid w:val="007C5698"/>
    <w:rsid w:val="007C5C76"/>
    <w:rsid w:val="007C5D03"/>
    <w:rsid w:val="007C5EA1"/>
    <w:rsid w:val="007C6251"/>
    <w:rsid w:val="007C6376"/>
    <w:rsid w:val="007C6576"/>
    <w:rsid w:val="007C6E82"/>
    <w:rsid w:val="007C73C9"/>
    <w:rsid w:val="007C7904"/>
    <w:rsid w:val="007C7BE7"/>
    <w:rsid w:val="007C7FB0"/>
    <w:rsid w:val="007D0085"/>
    <w:rsid w:val="007D07EB"/>
    <w:rsid w:val="007D0F02"/>
    <w:rsid w:val="007D158F"/>
    <w:rsid w:val="007D1785"/>
    <w:rsid w:val="007D19D9"/>
    <w:rsid w:val="007D1D35"/>
    <w:rsid w:val="007D1FA9"/>
    <w:rsid w:val="007D1FD2"/>
    <w:rsid w:val="007D1FDE"/>
    <w:rsid w:val="007D267A"/>
    <w:rsid w:val="007D2BC0"/>
    <w:rsid w:val="007D2ECC"/>
    <w:rsid w:val="007D2F47"/>
    <w:rsid w:val="007D3463"/>
    <w:rsid w:val="007D3842"/>
    <w:rsid w:val="007D3907"/>
    <w:rsid w:val="007D3AB0"/>
    <w:rsid w:val="007D3B49"/>
    <w:rsid w:val="007D3F4A"/>
    <w:rsid w:val="007D4101"/>
    <w:rsid w:val="007D428B"/>
    <w:rsid w:val="007D44B2"/>
    <w:rsid w:val="007D478F"/>
    <w:rsid w:val="007D4D07"/>
    <w:rsid w:val="007D4E9A"/>
    <w:rsid w:val="007D5073"/>
    <w:rsid w:val="007D50A5"/>
    <w:rsid w:val="007D527A"/>
    <w:rsid w:val="007D65AA"/>
    <w:rsid w:val="007D769F"/>
    <w:rsid w:val="007D78E5"/>
    <w:rsid w:val="007D796E"/>
    <w:rsid w:val="007D7D3E"/>
    <w:rsid w:val="007D7FBB"/>
    <w:rsid w:val="007E073E"/>
    <w:rsid w:val="007E091C"/>
    <w:rsid w:val="007E1111"/>
    <w:rsid w:val="007E138A"/>
    <w:rsid w:val="007E13E1"/>
    <w:rsid w:val="007E1513"/>
    <w:rsid w:val="007E1D62"/>
    <w:rsid w:val="007E2716"/>
    <w:rsid w:val="007E2724"/>
    <w:rsid w:val="007E2FF2"/>
    <w:rsid w:val="007E3A1B"/>
    <w:rsid w:val="007E3C46"/>
    <w:rsid w:val="007E48D6"/>
    <w:rsid w:val="007E4EFC"/>
    <w:rsid w:val="007E52C1"/>
    <w:rsid w:val="007E5435"/>
    <w:rsid w:val="007E543F"/>
    <w:rsid w:val="007E5526"/>
    <w:rsid w:val="007E5931"/>
    <w:rsid w:val="007E5DE3"/>
    <w:rsid w:val="007E5F91"/>
    <w:rsid w:val="007E61EF"/>
    <w:rsid w:val="007E6B63"/>
    <w:rsid w:val="007E6D10"/>
    <w:rsid w:val="007E7431"/>
    <w:rsid w:val="007E753B"/>
    <w:rsid w:val="007E75AC"/>
    <w:rsid w:val="007E7C21"/>
    <w:rsid w:val="007E7C25"/>
    <w:rsid w:val="007F03E7"/>
    <w:rsid w:val="007F0971"/>
    <w:rsid w:val="007F0A28"/>
    <w:rsid w:val="007F0CFB"/>
    <w:rsid w:val="007F10D7"/>
    <w:rsid w:val="007F12FB"/>
    <w:rsid w:val="007F16FB"/>
    <w:rsid w:val="007F19C4"/>
    <w:rsid w:val="007F2236"/>
    <w:rsid w:val="007F2545"/>
    <w:rsid w:val="007F2B2B"/>
    <w:rsid w:val="007F3663"/>
    <w:rsid w:val="007F382B"/>
    <w:rsid w:val="007F3BF7"/>
    <w:rsid w:val="007F3E8F"/>
    <w:rsid w:val="007F4431"/>
    <w:rsid w:val="007F4720"/>
    <w:rsid w:val="007F4ADD"/>
    <w:rsid w:val="007F5662"/>
    <w:rsid w:val="007F5946"/>
    <w:rsid w:val="007F5EC9"/>
    <w:rsid w:val="007F6BBA"/>
    <w:rsid w:val="007F6C42"/>
    <w:rsid w:val="007F77E7"/>
    <w:rsid w:val="007F79DF"/>
    <w:rsid w:val="007F7A1A"/>
    <w:rsid w:val="00800222"/>
    <w:rsid w:val="00800CA1"/>
    <w:rsid w:val="00800CEA"/>
    <w:rsid w:val="008011DC"/>
    <w:rsid w:val="008012E5"/>
    <w:rsid w:val="00801485"/>
    <w:rsid w:val="00801C73"/>
    <w:rsid w:val="0080299A"/>
    <w:rsid w:val="00803001"/>
    <w:rsid w:val="008030A3"/>
    <w:rsid w:val="008039EA"/>
    <w:rsid w:val="00803B0C"/>
    <w:rsid w:val="00803ECC"/>
    <w:rsid w:val="008040F0"/>
    <w:rsid w:val="00804259"/>
    <w:rsid w:val="00804452"/>
    <w:rsid w:val="00804520"/>
    <w:rsid w:val="008047C8"/>
    <w:rsid w:val="00804AE1"/>
    <w:rsid w:val="00804B3E"/>
    <w:rsid w:val="00804D46"/>
    <w:rsid w:val="00804F44"/>
    <w:rsid w:val="00804F4F"/>
    <w:rsid w:val="008053D5"/>
    <w:rsid w:val="00805B89"/>
    <w:rsid w:val="00805D30"/>
    <w:rsid w:val="00805D47"/>
    <w:rsid w:val="00805DEB"/>
    <w:rsid w:val="00805FBC"/>
    <w:rsid w:val="008060A9"/>
    <w:rsid w:val="0080661D"/>
    <w:rsid w:val="00806AAF"/>
    <w:rsid w:val="00806B80"/>
    <w:rsid w:val="00806DC8"/>
    <w:rsid w:val="00807308"/>
    <w:rsid w:val="008074E9"/>
    <w:rsid w:val="0080766F"/>
    <w:rsid w:val="00807813"/>
    <w:rsid w:val="00807BF9"/>
    <w:rsid w:val="00807C7E"/>
    <w:rsid w:val="00807CE3"/>
    <w:rsid w:val="00807E2B"/>
    <w:rsid w:val="00810681"/>
    <w:rsid w:val="008108EE"/>
    <w:rsid w:val="00810929"/>
    <w:rsid w:val="00810F30"/>
    <w:rsid w:val="00811CDB"/>
    <w:rsid w:val="008120AF"/>
    <w:rsid w:val="008126A9"/>
    <w:rsid w:val="0081270C"/>
    <w:rsid w:val="00812A92"/>
    <w:rsid w:val="00812DCB"/>
    <w:rsid w:val="00812FA1"/>
    <w:rsid w:val="008131CD"/>
    <w:rsid w:val="008133C0"/>
    <w:rsid w:val="008135DB"/>
    <w:rsid w:val="008140EE"/>
    <w:rsid w:val="008142D2"/>
    <w:rsid w:val="008145B1"/>
    <w:rsid w:val="008145B3"/>
    <w:rsid w:val="008152F8"/>
    <w:rsid w:val="0081580C"/>
    <w:rsid w:val="00815A57"/>
    <w:rsid w:val="008166E3"/>
    <w:rsid w:val="0081701E"/>
    <w:rsid w:val="00817054"/>
    <w:rsid w:val="00817379"/>
    <w:rsid w:val="008177F4"/>
    <w:rsid w:val="00817AED"/>
    <w:rsid w:val="00820500"/>
    <w:rsid w:val="00820D8A"/>
    <w:rsid w:val="00820ED3"/>
    <w:rsid w:val="00820EF1"/>
    <w:rsid w:val="00821097"/>
    <w:rsid w:val="00821387"/>
    <w:rsid w:val="0082147D"/>
    <w:rsid w:val="008215EE"/>
    <w:rsid w:val="00821A4E"/>
    <w:rsid w:val="008223A7"/>
    <w:rsid w:val="00822635"/>
    <w:rsid w:val="0082276B"/>
    <w:rsid w:val="00822E3B"/>
    <w:rsid w:val="00823896"/>
    <w:rsid w:val="008241CE"/>
    <w:rsid w:val="0082464E"/>
    <w:rsid w:val="00824A30"/>
    <w:rsid w:val="00824F91"/>
    <w:rsid w:val="008252FC"/>
    <w:rsid w:val="0082615A"/>
    <w:rsid w:val="0082672E"/>
    <w:rsid w:val="00826B5B"/>
    <w:rsid w:val="00827291"/>
    <w:rsid w:val="00827410"/>
    <w:rsid w:val="0082749F"/>
    <w:rsid w:val="008277D8"/>
    <w:rsid w:val="008279D0"/>
    <w:rsid w:val="00827CC5"/>
    <w:rsid w:val="00827CF2"/>
    <w:rsid w:val="00830239"/>
    <w:rsid w:val="008305FE"/>
    <w:rsid w:val="00830980"/>
    <w:rsid w:val="00830D6C"/>
    <w:rsid w:val="00830DA5"/>
    <w:rsid w:val="00831086"/>
    <w:rsid w:val="008310E3"/>
    <w:rsid w:val="008313CF"/>
    <w:rsid w:val="0083150A"/>
    <w:rsid w:val="00831B4B"/>
    <w:rsid w:val="00831BCC"/>
    <w:rsid w:val="00831CB5"/>
    <w:rsid w:val="00831E6D"/>
    <w:rsid w:val="0083209D"/>
    <w:rsid w:val="008322DA"/>
    <w:rsid w:val="008324E1"/>
    <w:rsid w:val="00832781"/>
    <w:rsid w:val="00832AB0"/>
    <w:rsid w:val="008334D5"/>
    <w:rsid w:val="00833831"/>
    <w:rsid w:val="008349D6"/>
    <w:rsid w:val="00834C20"/>
    <w:rsid w:val="00834ECC"/>
    <w:rsid w:val="00834F67"/>
    <w:rsid w:val="00835016"/>
    <w:rsid w:val="00835246"/>
    <w:rsid w:val="008353BA"/>
    <w:rsid w:val="00835570"/>
    <w:rsid w:val="008356F6"/>
    <w:rsid w:val="008359E3"/>
    <w:rsid w:val="00837320"/>
    <w:rsid w:val="0083748F"/>
    <w:rsid w:val="008378B0"/>
    <w:rsid w:val="00837CCB"/>
    <w:rsid w:val="00837D64"/>
    <w:rsid w:val="008403A8"/>
    <w:rsid w:val="008405AE"/>
    <w:rsid w:val="00841499"/>
    <w:rsid w:val="008414BB"/>
    <w:rsid w:val="00841D8A"/>
    <w:rsid w:val="00841E52"/>
    <w:rsid w:val="00842697"/>
    <w:rsid w:val="00842FD7"/>
    <w:rsid w:val="0084307D"/>
    <w:rsid w:val="008435B4"/>
    <w:rsid w:val="00843916"/>
    <w:rsid w:val="00843918"/>
    <w:rsid w:val="0084391E"/>
    <w:rsid w:val="00843B9E"/>
    <w:rsid w:val="00843E31"/>
    <w:rsid w:val="00844012"/>
    <w:rsid w:val="00844138"/>
    <w:rsid w:val="00844162"/>
    <w:rsid w:val="00844539"/>
    <w:rsid w:val="0084463E"/>
    <w:rsid w:val="008447A8"/>
    <w:rsid w:val="008448D9"/>
    <w:rsid w:val="00844E8C"/>
    <w:rsid w:val="008453F4"/>
    <w:rsid w:val="00845B84"/>
    <w:rsid w:val="008462B4"/>
    <w:rsid w:val="008462E5"/>
    <w:rsid w:val="00846338"/>
    <w:rsid w:val="008468F6"/>
    <w:rsid w:val="00846E21"/>
    <w:rsid w:val="0084736D"/>
    <w:rsid w:val="008474DD"/>
    <w:rsid w:val="00850347"/>
    <w:rsid w:val="008515E8"/>
    <w:rsid w:val="00851809"/>
    <w:rsid w:val="00852BA6"/>
    <w:rsid w:val="00852E5F"/>
    <w:rsid w:val="00852E7B"/>
    <w:rsid w:val="00852F8A"/>
    <w:rsid w:val="008532F1"/>
    <w:rsid w:val="008535DA"/>
    <w:rsid w:val="008536AF"/>
    <w:rsid w:val="008537E8"/>
    <w:rsid w:val="00853A50"/>
    <w:rsid w:val="00853D76"/>
    <w:rsid w:val="008541C5"/>
    <w:rsid w:val="008542B3"/>
    <w:rsid w:val="00854B26"/>
    <w:rsid w:val="00854F81"/>
    <w:rsid w:val="00855A50"/>
    <w:rsid w:val="00855A7F"/>
    <w:rsid w:val="00855F10"/>
    <w:rsid w:val="00856598"/>
    <w:rsid w:val="00856697"/>
    <w:rsid w:val="0085724C"/>
    <w:rsid w:val="0085738B"/>
    <w:rsid w:val="00857DBC"/>
    <w:rsid w:val="008604D0"/>
    <w:rsid w:val="00860B40"/>
    <w:rsid w:val="00860E97"/>
    <w:rsid w:val="00860EBF"/>
    <w:rsid w:val="0086105E"/>
    <w:rsid w:val="00861203"/>
    <w:rsid w:val="00861417"/>
    <w:rsid w:val="00861D16"/>
    <w:rsid w:val="00861DE1"/>
    <w:rsid w:val="00862149"/>
    <w:rsid w:val="008625C7"/>
    <w:rsid w:val="008625F3"/>
    <w:rsid w:val="00862A77"/>
    <w:rsid w:val="00862E54"/>
    <w:rsid w:val="0086307E"/>
    <w:rsid w:val="0086308A"/>
    <w:rsid w:val="008631B7"/>
    <w:rsid w:val="0086337C"/>
    <w:rsid w:val="00863806"/>
    <w:rsid w:val="00863A2D"/>
    <w:rsid w:val="00863D4E"/>
    <w:rsid w:val="0086408E"/>
    <w:rsid w:val="008645D8"/>
    <w:rsid w:val="0086478E"/>
    <w:rsid w:val="008649C8"/>
    <w:rsid w:val="0086581F"/>
    <w:rsid w:val="00865BF4"/>
    <w:rsid w:val="00865D9E"/>
    <w:rsid w:val="0086667A"/>
    <w:rsid w:val="0086697F"/>
    <w:rsid w:val="008669BB"/>
    <w:rsid w:val="008669C1"/>
    <w:rsid w:val="00867A0C"/>
    <w:rsid w:val="0087049D"/>
    <w:rsid w:val="008704B1"/>
    <w:rsid w:val="0087080D"/>
    <w:rsid w:val="00870933"/>
    <w:rsid w:val="00870BC1"/>
    <w:rsid w:val="008710AF"/>
    <w:rsid w:val="0087120F"/>
    <w:rsid w:val="0087139D"/>
    <w:rsid w:val="00872094"/>
    <w:rsid w:val="008721ED"/>
    <w:rsid w:val="00872336"/>
    <w:rsid w:val="008724A1"/>
    <w:rsid w:val="00872615"/>
    <w:rsid w:val="00872700"/>
    <w:rsid w:val="00872CB5"/>
    <w:rsid w:val="00873194"/>
    <w:rsid w:val="008734F3"/>
    <w:rsid w:val="0087372E"/>
    <w:rsid w:val="008739D2"/>
    <w:rsid w:val="00873FCE"/>
    <w:rsid w:val="008741A1"/>
    <w:rsid w:val="00874349"/>
    <w:rsid w:val="0087456E"/>
    <w:rsid w:val="00874AA2"/>
    <w:rsid w:val="0087508B"/>
    <w:rsid w:val="008750C4"/>
    <w:rsid w:val="0087514F"/>
    <w:rsid w:val="008754B9"/>
    <w:rsid w:val="0087565C"/>
    <w:rsid w:val="00876112"/>
    <w:rsid w:val="008762D5"/>
    <w:rsid w:val="00876928"/>
    <w:rsid w:val="0087758E"/>
    <w:rsid w:val="0087768E"/>
    <w:rsid w:val="008801C0"/>
    <w:rsid w:val="008801D1"/>
    <w:rsid w:val="00880530"/>
    <w:rsid w:val="00880E5D"/>
    <w:rsid w:val="00881236"/>
    <w:rsid w:val="00881491"/>
    <w:rsid w:val="00881840"/>
    <w:rsid w:val="00881A30"/>
    <w:rsid w:val="00881D98"/>
    <w:rsid w:val="008820C6"/>
    <w:rsid w:val="008820D9"/>
    <w:rsid w:val="00882FF9"/>
    <w:rsid w:val="008832E7"/>
    <w:rsid w:val="008835F6"/>
    <w:rsid w:val="00883751"/>
    <w:rsid w:val="0088388B"/>
    <w:rsid w:val="00883916"/>
    <w:rsid w:val="00883C76"/>
    <w:rsid w:val="00884895"/>
    <w:rsid w:val="0088537A"/>
    <w:rsid w:val="00885862"/>
    <w:rsid w:val="0088665C"/>
    <w:rsid w:val="00886724"/>
    <w:rsid w:val="00886E8B"/>
    <w:rsid w:val="008870F0"/>
    <w:rsid w:val="00887777"/>
    <w:rsid w:val="00887C3F"/>
    <w:rsid w:val="00887D15"/>
    <w:rsid w:val="008900A4"/>
    <w:rsid w:val="0089056D"/>
    <w:rsid w:val="00890A02"/>
    <w:rsid w:val="00891764"/>
    <w:rsid w:val="00891944"/>
    <w:rsid w:val="00891C05"/>
    <w:rsid w:val="00892612"/>
    <w:rsid w:val="008931A9"/>
    <w:rsid w:val="00893297"/>
    <w:rsid w:val="00893627"/>
    <w:rsid w:val="00893D2F"/>
    <w:rsid w:val="00893ED5"/>
    <w:rsid w:val="008941A8"/>
    <w:rsid w:val="0089442A"/>
    <w:rsid w:val="0089522B"/>
    <w:rsid w:val="00895502"/>
    <w:rsid w:val="00895516"/>
    <w:rsid w:val="00895731"/>
    <w:rsid w:val="00895EAD"/>
    <w:rsid w:val="00895F0B"/>
    <w:rsid w:val="00895F41"/>
    <w:rsid w:val="00896482"/>
    <w:rsid w:val="008964FE"/>
    <w:rsid w:val="00896697"/>
    <w:rsid w:val="00896F52"/>
    <w:rsid w:val="008977FF"/>
    <w:rsid w:val="008A0312"/>
    <w:rsid w:val="008A0A65"/>
    <w:rsid w:val="008A2041"/>
    <w:rsid w:val="008A24EA"/>
    <w:rsid w:val="008A26BF"/>
    <w:rsid w:val="008A2F58"/>
    <w:rsid w:val="008A373E"/>
    <w:rsid w:val="008A3CAF"/>
    <w:rsid w:val="008A5AF7"/>
    <w:rsid w:val="008A6343"/>
    <w:rsid w:val="008A635F"/>
    <w:rsid w:val="008A6536"/>
    <w:rsid w:val="008A665F"/>
    <w:rsid w:val="008A6C19"/>
    <w:rsid w:val="008A7127"/>
    <w:rsid w:val="008A7A1B"/>
    <w:rsid w:val="008B0116"/>
    <w:rsid w:val="008B134C"/>
    <w:rsid w:val="008B1A04"/>
    <w:rsid w:val="008B1ACB"/>
    <w:rsid w:val="008B1D99"/>
    <w:rsid w:val="008B2D78"/>
    <w:rsid w:val="008B2FB0"/>
    <w:rsid w:val="008B3004"/>
    <w:rsid w:val="008B3166"/>
    <w:rsid w:val="008B3334"/>
    <w:rsid w:val="008B37CF"/>
    <w:rsid w:val="008B37F3"/>
    <w:rsid w:val="008B3E2A"/>
    <w:rsid w:val="008B53FB"/>
    <w:rsid w:val="008B5621"/>
    <w:rsid w:val="008B5725"/>
    <w:rsid w:val="008B57EC"/>
    <w:rsid w:val="008B5AB7"/>
    <w:rsid w:val="008B6105"/>
    <w:rsid w:val="008B652E"/>
    <w:rsid w:val="008B6866"/>
    <w:rsid w:val="008B68F1"/>
    <w:rsid w:val="008B6A91"/>
    <w:rsid w:val="008B6DD3"/>
    <w:rsid w:val="008B7361"/>
    <w:rsid w:val="008B73B6"/>
    <w:rsid w:val="008B7924"/>
    <w:rsid w:val="008B7C69"/>
    <w:rsid w:val="008B7E6F"/>
    <w:rsid w:val="008C0A8C"/>
    <w:rsid w:val="008C0C0A"/>
    <w:rsid w:val="008C1240"/>
    <w:rsid w:val="008C1B57"/>
    <w:rsid w:val="008C21B8"/>
    <w:rsid w:val="008C2A35"/>
    <w:rsid w:val="008C2A97"/>
    <w:rsid w:val="008C2D90"/>
    <w:rsid w:val="008C315D"/>
    <w:rsid w:val="008C3213"/>
    <w:rsid w:val="008C4BCE"/>
    <w:rsid w:val="008C5302"/>
    <w:rsid w:val="008C543B"/>
    <w:rsid w:val="008C5463"/>
    <w:rsid w:val="008C58F4"/>
    <w:rsid w:val="008C5BC8"/>
    <w:rsid w:val="008C60B2"/>
    <w:rsid w:val="008C635E"/>
    <w:rsid w:val="008C6764"/>
    <w:rsid w:val="008C7829"/>
    <w:rsid w:val="008C7EFF"/>
    <w:rsid w:val="008D013D"/>
    <w:rsid w:val="008D01C1"/>
    <w:rsid w:val="008D04C0"/>
    <w:rsid w:val="008D0585"/>
    <w:rsid w:val="008D069F"/>
    <w:rsid w:val="008D0966"/>
    <w:rsid w:val="008D0D34"/>
    <w:rsid w:val="008D1039"/>
    <w:rsid w:val="008D11CF"/>
    <w:rsid w:val="008D1648"/>
    <w:rsid w:val="008D1E1F"/>
    <w:rsid w:val="008D20AD"/>
    <w:rsid w:val="008D2632"/>
    <w:rsid w:val="008D272B"/>
    <w:rsid w:val="008D2A49"/>
    <w:rsid w:val="008D33C9"/>
    <w:rsid w:val="008D38ED"/>
    <w:rsid w:val="008D3956"/>
    <w:rsid w:val="008D4353"/>
    <w:rsid w:val="008D4437"/>
    <w:rsid w:val="008D4CFE"/>
    <w:rsid w:val="008D532C"/>
    <w:rsid w:val="008D58A9"/>
    <w:rsid w:val="008D5A67"/>
    <w:rsid w:val="008D5A97"/>
    <w:rsid w:val="008D5AAD"/>
    <w:rsid w:val="008D5E8B"/>
    <w:rsid w:val="008D6097"/>
    <w:rsid w:val="008D67FF"/>
    <w:rsid w:val="008D68AC"/>
    <w:rsid w:val="008D68DF"/>
    <w:rsid w:val="008D6AB3"/>
    <w:rsid w:val="008D6BFE"/>
    <w:rsid w:val="008D6CF9"/>
    <w:rsid w:val="008D6F88"/>
    <w:rsid w:val="008D7556"/>
    <w:rsid w:val="008D79A8"/>
    <w:rsid w:val="008E058D"/>
    <w:rsid w:val="008E0A61"/>
    <w:rsid w:val="008E0F47"/>
    <w:rsid w:val="008E10E0"/>
    <w:rsid w:val="008E14F8"/>
    <w:rsid w:val="008E15F6"/>
    <w:rsid w:val="008E1933"/>
    <w:rsid w:val="008E1AB8"/>
    <w:rsid w:val="008E1ABF"/>
    <w:rsid w:val="008E2228"/>
    <w:rsid w:val="008E2475"/>
    <w:rsid w:val="008E2505"/>
    <w:rsid w:val="008E31EB"/>
    <w:rsid w:val="008E3635"/>
    <w:rsid w:val="008E3949"/>
    <w:rsid w:val="008E455E"/>
    <w:rsid w:val="008E4A38"/>
    <w:rsid w:val="008E55C3"/>
    <w:rsid w:val="008E5C11"/>
    <w:rsid w:val="008E5CDF"/>
    <w:rsid w:val="008E60B2"/>
    <w:rsid w:val="008E721C"/>
    <w:rsid w:val="008E7489"/>
    <w:rsid w:val="008E74DA"/>
    <w:rsid w:val="008E77F3"/>
    <w:rsid w:val="008E785E"/>
    <w:rsid w:val="008E7A02"/>
    <w:rsid w:val="008F0350"/>
    <w:rsid w:val="008F0429"/>
    <w:rsid w:val="008F0645"/>
    <w:rsid w:val="008F07B6"/>
    <w:rsid w:val="008F0DB9"/>
    <w:rsid w:val="008F0FC4"/>
    <w:rsid w:val="008F1141"/>
    <w:rsid w:val="008F16B7"/>
    <w:rsid w:val="008F1E35"/>
    <w:rsid w:val="008F21E6"/>
    <w:rsid w:val="008F236B"/>
    <w:rsid w:val="008F28FA"/>
    <w:rsid w:val="008F2E28"/>
    <w:rsid w:val="008F2EAE"/>
    <w:rsid w:val="008F34D8"/>
    <w:rsid w:val="008F3620"/>
    <w:rsid w:val="008F3C43"/>
    <w:rsid w:val="008F3CD9"/>
    <w:rsid w:val="008F40B3"/>
    <w:rsid w:val="008F428E"/>
    <w:rsid w:val="008F4ADE"/>
    <w:rsid w:val="008F560E"/>
    <w:rsid w:val="008F58D4"/>
    <w:rsid w:val="008F5DA0"/>
    <w:rsid w:val="008F5F83"/>
    <w:rsid w:val="008F61A2"/>
    <w:rsid w:val="008F6413"/>
    <w:rsid w:val="008F6655"/>
    <w:rsid w:val="008F670F"/>
    <w:rsid w:val="008F7141"/>
    <w:rsid w:val="008F71B6"/>
    <w:rsid w:val="008F7305"/>
    <w:rsid w:val="008F7504"/>
    <w:rsid w:val="008F760D"/>
    <w:rsid w:val="008F7AB2"/>
    <w:rsid w:val="00900663"/>
    <w:rsid w:val="009006C1"/>
    <w:rsid w:val="00900896"/>
    <w:rsid w:val="00900DB1"/>
    <w:rsid w:val="0090109B"/>
    <w:rsid w:val="009011C2"/>
    <w:rsid w:val="00901A55"/>
    <w:rsid w:val="00901BA1"/>
    <w:rsid w:val="009027C7"/>
    <w:rsid w:val="00902C1A"/>
    <w:rsid w:val="00902F8D"/>
    <w:rsid w:val="009030A2"/>
    <w:rsid w:val="0090326D"/>
    <w:rsid w:val="00903D31"/>
    <w:rsid w:val="00903DFC"/>
    <w:rsid w:val="00903E0D"/>
    <w:rsid w:val="00903F76"/>
    <w:rsid w:val="0090422E"/>
    <w:rsid w:val="009042EE"/>
    <w:rsid w:val="00904326"/>
    <w:rsid w:val="0090437A"/>
    <w:rsid w:val="00904B0A"/>
    <w:rsid w:val="00904E02"/>
    <w:rsid w:val="00904FB1"/>
    <w:rsid w:val="00905C50"/>
    <w:rsid w:val="00906786"/>
    <w:rsid w:val="00906969"/>
    <w:rsid w:val="009071F4"/>
    <w:rsid w:val="009079AC"/>
    <w:rsid w:val="00907EE2"/>
    <w:rsid w:val="0091037B"/>
    <w:rsid w:val="009108C7"/>
    <w:rsid w:val="00910AAF"/>
    <w:rsid w:val="00910D96"/>
    <w:rsid w:val="009116B2"/>
    <w:rsid w:val="00911881"/>
    <w:rsid w:val="009118EC"/>
    <w:rsid w:val="00911BA0"/>
    <w:rsid w:val="00911E54"/>
    <w:rsid w:val="00911F8C"/>
    <w:rsid w:val="00911FA7"/>
    <w:rsid w:val="00911FF1"/>
    <w:rsid w:val="00912445"/>
    <w:rsid w:val="0091246F"/>
    <w:rsid w:val="009128E7"/>
    <w:rsid w:val="00912C8E"/>
    <w:rsid w:val="00912D4D"/>
    <w:rsid w:val="0091331D"/>
    <w:rsid w:val="0091366E"/>
    <w:rsid w:val="009137E7"/>
    <w:rsid w:val="00913C00"/>
    <w:rsid w:val="00914046"/>
    <w:rsid w:val="00914438"/>
    <w:rsid w:val="00914564"/>
    <w:rsid w:val="00914C8E"/>
    <w:rsid w:val="00914D1D"/>
    <w:rsid w:val="00914DE1"/>
    <w:rsid w:val="00914DF8"/>
    <w:rsid w:val="00915352"/>
    <w:rsid w:val="00915919"/>
    <w:rsid w:val="00915D49"/>
    <w:rsid w:val="0091656A"/>
    <w:rsid w:val="0091671D"/>
    <w:rsid w:val="009168BA"/>
    <w:rsid w:val="00916FA1"/>
    <w:rsid w:val="009171C1"/>
    <w:rsid w:val="00917806"/>
    <w:rsid w:val="00917C7B"/>
    <w:rsid w:val="00917F4C"/>
    <w:rsid w:val="0092004C"/>
    <w:rsid w:val="00920151"/>
    <w:rsid w:val="00920C03"/>
    <w:rsid w:val="00920F62"/>
    <w:rsid w:val="00921A36"/>
    <w:rsid w:val="00921C14"/>
    <w:rsid w:val="00922CD5"/>
    <w:rsid w:val="00922D46"/>
    <w:rsid w:val="00923086"/>
    <w:rsid w:val="009235CB"/>
    <w:rsid w:val="00923671"/>
    <w:rsid w:val="00924148"/>
    <w:rsid w:val="009242B6"/>
    <w:rsid w:val="009243CC"/>
    <w:rsid w:val="0092482F"/>
    <w:rsid w:val="00924A3C"/>
    <w:rsid w:val="00924B8A"/>
    <w:rsid w:val="009254C8"/>
    <w:rsid w:val="009255BC"/>
    <w:rsid w:val="0092626A"/>
    <w:rsid w:val="0092635F"/>
    <w:rsid w:val="0092696C"/>
    <w:rsid w:val="00926C0D"/>
    <w:rsid w:val="00926DDD"/>
    <w:rsid w:val="00926DE8"/>
    <w:rsid w:val="0092718E"/>
    <w:rsid w:val="00927C3D"/>
    <w:rsid w:val="00930355"/>
    <w:rsid w:val="009303D1"/>
    <w:rsid w:val="00930515"/>
    <w:rsid w:val="00930696"/>
    <w:rsid w:val="009306F7"/>
    <w:rsid w:val="0093086E"/>
    <w:rsid w:val="00930A69"/>
    <w:rsid w:val="00930CEF"/>
    <w:rsid w:val="0093108D"/>
    <w:rsid w:val="00931134"/>
    <w:rsid w:val="0093150B"/>
    <w:rsid w:val="00931627"/>
    <w:rsid w:val="00931728"/>
    <w:rsid w:val="00931A87"/>
    <w:rsid w:val="0093223D"/>
    <w:rsid w:val="009323EC"/>
    <w:rsid w:val="0093241C"/>
    <w:rsid w:val="009324CB"/>
    <w:rsid w:val="0093250C"/>
    <w:rsid w:val="009325EE"/>
    <w:rsid w:val="009326BE"/>
    <w:rsid w:val="00932943"/>
    <w:rsid w:val="00932BA8"/>
    <w:rsid w:val="00932CBB"/>
    <w:rsid w:val="00932CC4"/>
    <w:rsid w:val="00932DA3"/>
    <w:rsid w:val="00933785"/>
    <w:rsid w:val="00933D64"/>
    <w:rsid w:val="00934098"/>
    <w:rsid w:val="0093456B"/>
    <w:rsid w:val="009347B2"/>
    <w:rsid w:val="00934FDC"/>
    <w:rsid w:val="00935142"/>
    <w:rsid w:val="009354D9"/>
    <w:rsid w:val="0093576D"/>
    <w:rsid w:val="00936692"/>
    <w:rsid w:val="00936893"/>
    <w:rsid w:val="00936AAE"/>
    <w:rsid w:val="00937157"/>
    <w:rsid w:val="009377D5"/>
    <w:rsid w:val="00937AE8"/>
    <w:rsid w:val="0094040D"/>
    <w:rsid w:val="0094063C"/>
    <w:rsid w:val="009407F2"/>
    <w:rsid w:val="00940A0E"/>
    <w:rsid w:val="00940CDC"/>
    <w:rsid w:val="009411F1"/>
    <w:rsid w:val="00941469"/>
    <w:rsid w:val="00941F89"/>
    <w:rsid w:val="00941FB7"/>
    <w:rsid w:val="00941FC3"/>
    <w:rsid w:val="009423E0"/>
    <w:rsid w:val="00942AB0"/>
    <w:rsid w:val="00942BA0"/>
    <w:rsid w:val="00942F99"/>
    <w:rsid w:val="00943514"/>
    <w:rsid w:val="00943EC9"/>
    <w:rsid w:val="00943F1F"/>
    <w:rsid w:val="00944596"/>
    <w:rsid w:val="009445AF"/>
    <w:rsid w:val="00944885"/>
    <w:rsid w:val="00944B94"/>
    <w:rsid w:val="00944FEC"/>
    <w:rsid w:val="0094534B"/>
    <w:rsid w:val="00945A78"/>
    <w:rsid w:val="00945BC4"/>
    <w:rsid w:val="00945CEB"/>
    <w:rsid w:val="009460C8"/>
    <w:rsid w:val="00946238"/>
    <w:rsid w:val="0094634C"/>
    <w:rsid w:val="009463D7"/>
    <w:rsid w:val="00946B64"/>
    <w:rsid w:val="00947038"/>
    <w:rsid w:val="009473FC"/>
    <w:rsid w:val="00947661"/>
    <w:rsid w:val="009501C3"/>
    <w:rsid w:val="00950541"/>
    <w:rsid w:val="0095078F"/>
    <w:rsid w:val="009507B3"/>
    <w:rsid w:val="00950AA5"/>
    <w:rsid w:val="00950BDC"/>
    <w:rsid w:val="00950BE8"/>
    <w:rsid w:val="00951CAE"/>
    <w:rsid w:val="0095206F"/>
    <w:rsid w:val="0095213C"/>
    <w:rsid w:val="0095238B"/>
    <w:rsid w:val="009525D0"/>
    <w:rsid w:val="0095273F"/>
    <w:rsid w:val="00952C07"/>
    <w:rsid w:val="00952C7B"/>
    <w:rsid w:val="00952C85"/>
    <w:rsid w:val="00952F27"/>
    <w:rsid w:val="00953284"/>
    <w:rsid w:val="00953286"/>
    <w:rsid w:val="00953333"/>
    <w:rsid w:val="00953375"/>
    <w:rsid w:val="0095342E"/>
    <w:rsid w:val="00953FA5"/>
    <w:rsid w:val="00954362"/>
    <w:rsid w:val="0095459F"/>
    <w:rsid w:val="009549BE"/>
    <w:rsid w:val="00954B80"/>
    <w:rsid w:val="00954EEB"/>
    <w:rsid w:val="009554B9"/>
    <w:rsid w:val="009555D7"/>
    <w:rsid w:val="00955C2E"/>
    <w:rsid w:val="00956928"/>
    <w:rsid w:val="00956AEF"/>
    <w:rsid w:val="00956BB2"/>
    <w:rsid w:val="00956EE5"/>
    <w:rsid w:val="009572D5"/>
    <w:rsid w:val="0095780F"/>
    <w:rsid w:val="00957954"/>
    <w:rsid w:val="00957AD1"/>
    <w:rsid w:val="00957CCD"/>
    <w:rsid w:val="00957F16"/>
    <w:rsid w:val="00957F4E"/>
    <w:rsid w:val="0096107D"/>
    <w:rsid w:val="00961144"/>
    <w:rsid w:val="009611E9"/>
    <w:rsid w:val="00961200"/>
    <w:rsid w:val="00961809"/>
    <w:rsid w:val="00961F0B"/>
    <w:rsid w:val="00962125"/>
    <w:rsid w:val="00962560"/>
    <w:rsid w:val="00962D2C"/>
    <w:rsid w:val="00962E43"/>
    <w:rsid w:val="009631B8"/>
    <w:rsid w:val="009632E9"/>
    <w:rsid w:val="00963580"/>
    <w:rsid w:val="00963985"/>
    <w:rsid w:val="00963DC9"/>
    <w:rsid w:val="00964348"/>
    <w:rsid w:val="00964EAC"/>
    <w:rsid w:val="00964FCA"/>
    <w:rsid w:val="00965005"/>
    <w:rsid w:val="00965295"/>
    <w:rsid w:val="00965518"/>
    <w:rsid w:val="009657A7"/>
    <w:rsid w:val="00965895"/>
    <w:rsid w:val="00965A8E"/>
    <w:rsid w:val="00965EEC"/>
    <w:rsid w:val="00966B4D"/>
    <w:rsid w:val="009670C2"/>
    <w:rsid w:val="00967743"/>
    <w:rsid w:val="009700A2"/>
    <w:rsid w:val="00970254"/>
    <w:rsid w:val="009703EE"/>
    <w:rsid w:val="0097044D"/>
    <w:rsid w:val="009705B9"/>
    <w:rsid w:val="00970642"/>
    <w:rsid w:val="00970770"/>
    <w:rsid w:val="009707C7"/>
    <w:rsid w:val="00970957"/>
    <w:rsid w:val="00970A46"/>
    <w:rsid w:val="00970AFB"/>
    <w:rsid w:val="0097116D"/>
    <w:rsid w:val="00971219"/>
    <w:rsid w:val="00971688"/>
    <w:rsid w:val="009716C5"/>
    <w:rsid w:val="00971755"/>
    <w:rsid w:val="00971C29"/>
    <w:rsid w:val="00971C68"/>
    <w:rsid w:val="00971F29"/>
    <w:rsid w:val="00972C54"/>
    <w:rsid w:val="00972DD8"/>
    <w:rsid w:val="00972E60"/>
    <w:rsid w:val="00972EB9"/>
    <w:rsid w:val="009730BC"/>
    <w:rsid w:val="009738E6"/>
    <w:rsid w:val="00973CF2"/>
    <w:rsid w:val="009749AE"/>
    <w:rsid w:val="00975014"/>
    <w:rsid w:val="00975180"/>
    <w:rsid w:val="00975350"/>
    <w:rsid w:val="00975480"/>
    <w:rsid w:val="009754F9"/>
    <w:rsid w:val="00975519"/>
    <w:rsid w:val="00975794"/>
    <w:rsid w:val="0097597E"/>
    <w:rsid w:val="00975B27"/>
    <w:rsid w:val="00975B9D"/>
    <w:rsid w:val="00975D6F"/>
    <w:rsid w:val="0097660D"/>
    <w:rsid w:val="00976A64"/>
    <w:rsid w:val="00976A93"/>
    <w:rsid w:val="00976EC5"/>
    <w:rsid w:val="00980865"/>
    <w:rsid w:val="00981439"/>
    <w:rsid w:val="00981A8C"/>
    <w:rsid w:val="0098216B"/>
    <w:rsid w:val="009827A8"/>
    <w:rsid w:val="00982867"/>
    <w:rsid w:val="00982B9B"/>
    <w:rsid w:val="00982CC1"/>
    <w:rsid w:val="00982E0A"/>
    <w:rsid w:val="00983A8F"/>
    <w:rsid w:val="00984004"/>
    <w:rsid w:val="009846C4"/>
    <w:rsid w:val="00984715"/>
    <w:rsid w:val="0098471B"/>
    <w:rsid w:val="00984805"/>
    <w:rsid w:val="00984DB7"/>
    <w:rsid w:val="00985230"/>
    <w:rsid w:val="009859CE"/>
    <w:rsid w:val="009861B6"/>
    <w:rsid w:val="00986404"/>
    <w:rsid w:val="00986438"/>
    <w:rsid w:val="0098668E"/>
    <w:rsid w:val="00986A30"/>
    <w:rsid w:val="00986D44"/>
    <w:rsid w:val="00987BE5"/>
    <w:rsid w:val="009905B4"/>
    <w:rsid w:val="00990B0F"/>
    <w:rsid w:val="009916E8"/>
    <w:rsid w:val="00991747"/>
    <w:rsid w:val="00991846"/>
    <w:rsid w:val="00991AB8"/>
    <w:rsid w:val="00991B4E"/>
    <w:rsid w:val="009920F5"/>
    <w:rsid w:val="009922F4"/>
    <w:rsid w:val="00992653"/>
    <w:rsid w:val="009926FD"/>
    <w:rsid w:val="00992999"/>
    <w:rsid w:val="00992B7C"/>
    <w:rsid w:val="00992C88"/>
    <w:rsid w:val="00992E69"/>
    <w:rsid w:val="00993DAA"/>
    <w:rsid w:val="00993F4E"/>
    <w:rsid w:val="0099486A"/>
    <w:rsid w:val="00994919"/>
    <w:rsid w:val="0099496D"/>
    <w:rsid w:val="0099519E"/>
    <w:rsid w:val="009953C4"/>
    <w:rsid w:val="00995E14"/>
    <w:rsid w:val="00995F40"/>
    <w:rsid w:val="0099714F"/>
    <w:rsid w:val="009977E5"/>
    <w:rsid w:val="00997EA6"/>
    <w:rsid w:val="009A0163"/>
    <w:rsid w:val="009A06FC"/>
    <w:rsid w:val="009A0FA1"/>
    <w:rsid w:val="009A14AF"/>
    <w:rsid w:val="009A18EE"/>
    <w:rsid w:val="009A19E0"/>
    <w:rsid w:val="009A1AA9"/>
    <w:rsid w:val="009A2245"/>
    <w:rsid w:val="009A2B36"/>
    <w:rsid w:val="009A3224"/>
    <w:rsid w:val="009A3F49"/>
    <w:rsid w:val="009A5086"/>
    <w:rsid w:val="009A5416"/>
    <w:rsid w:val="009A54DB"/>
    <w:rsid w:val="009A56D2"/>
    <w:rsid w:val="009A583A"/>
    <w:rsid w:val="009A58D9"/>
    <w:rsid w:val="009A5D0C"/>
    <w:rsid w:val="009A6047"/>
    <w:rsid w:val="009A65E2"/>
    <w:rsid w:val="009A6C4E"/>
    <w:rsid w:val="009A6C6C"/>
    <w:rsid w:val="009A7084"/>
    <w:rsid w:val="009A7700"/>
    <w:rsid w:val="009A7CA2"/>
    <w:rsid w:val="009B03D3"/>
    <w:rsid w:val="009B12B6"/>
    <w:rsid w:val="009B1628"/>
    <w:rsid w:val="009B19B7"/>
    <w:rsid w:val="009B1A22"/>
    <w:rsid w:val="009B24B8"/>
    <w:rsid w:val="009B28B2"/>
    <w:rsid w:val="009B2A19"/>
    <w:rsid w:val="009B2B13"/>
    <w:rsid w:val="009B30BE"/>
    <w:rsid w:val="009B3278"/>
    <w:rsid w:val="009B327C"/>
    <w:rsid w:val="009B32DA"/>
    <w:rsid w:val="009B366C"/>
    <w:rsid w:val="009B3AAC"/>
    <w:rsid w:val="009B3B91"/>
    <w:rsid w:val="009B5761"/>
    <w:rsid w:val="009B5A31"/>
    <w:rsid w:val="009B5A81"/>
    <w:rsid w:val="009B5BC2"/>
    <w:rsid w:val="009B5C10"/>
    <w:rsid w:val="009B5C48"/>
    <w:rsid w:val="009B5C5F"/>
    <w:rsid w:val="009B6D53"/>
    <w:rsid w:val="009B71B0"/>
    <w:rsid w:val="009B71CF"/>
    <w:rsid w:val="009B72BC"/>
    <w:rsid w:val="009B7786"/>
    <w:rsid w:val="009B7E00"/>
    <w:rsid w:val="009C06F1"/>
    <w:rsid w:val="009C0BBF"/>
    <w:rsid w:val="009C0E10"/>
    <w:rsid w:val="009C11AD"/>
    <w:rsid w:val="009C1680"/>
    <w:rsid w:val="009C1EF2"/>
    <w:rsid w:val="009C1EFB"/>
    <w:rsid w:val="009C24F3"/>
    <w:rsid w:val="009C2B90"/>
    <w:rsid w:val="009C2CA2"/>
    <w:rsid w:val="009C34DD"/>
    <w:rsid w:val="009C3516"/>
    <w:rsid w:val="009C3A32"/>
    <w:rsid w:val="009C3B68"/>
    <w:rsid w:val="009C451B"/>
    <w:rsid w:val="009C452B"/>
    <w:rsid w:val="009C48B1"/>
    <w:rsid w:val="009C4B62"/>
    <w:rsid w:val="009C4BB0"/>
    <w:rsid w:val="009C4F97"/>
    <w:rsid w:val="009C5A1F"/>
    <w:rsid w:val="009C5C52"/>
    <w:rsid w:val="009C5CAC"/>
    <w:rsid w:val="009C6423"/>
    <w:rsid w:val="009C6483"/>
    <w:rsid w:val="009C67F4"/>
    <w:rsid w:val="009C6881"/>
    <w:rsid w:val="009C6A18"/>
    <w:rsid w:val="009C6F69"/>
    <w:rsid w:val="009C7A86"/>
    <w:rsid w:val="009C7B7E"/>
    <w:rsid w:val="009D0019"/>
    <w:rsid w:val="009D0201"/>
    <w:rsid w:val="009D0261"/>
    <w:rsid w:val="009D04CF"/>
    <w:rsid w:val="009D059C"/>
    <w:rsid w:val="009D09F2"/>
    <w:rsid w:val="009D0DD8"/>
    <w:rsid w:val="009D0E8D"/>
    <w:rsid w:val="009D0F14"/>
    <w:rsid w:val="009D0F66"/>
    <w:rsid w:val="009D114A"/>
    <w:rsid w:val="009D1310"/>
    <w:rsid w:val="009D139D"/>
    <w:rsid w:val="009D1707"/>
    <w:rsid w:val="009D17AD"/>
    <w:rsid w:val="009D1E3E"/>
    <w:rsid w:val="009D1E97"/>
    <w:rsid w:val="009D23A2"/>
    <w:rsid w:val="009D25A4"/>
    <w:rsid w:val="009D316A"/>
    <w:rsid w:val="009D3E28"/>
    <w:rsid w:val="009D4000"/>
    <w:rsid w:val="009D4116"/>
    <w:rsid w:val="009D4136"/>
    <w:rsid w:val="009D4439"/>
    <w:rsid w:val="009D45F0"/>
    <w:rsid w:val="009D493B"/>
    <w:rsid w:val="009D4B31"/>
    <w:rsid w:val="009D4ED8"/>
    <w:rsid w:val="009D4F7D"/>
    <w:rsid w:val="009D5195"/>
    <w:rsid w:val="009D52EC"/>
    <w:rsid w:val="009D57FB"/>
    <w:rsid w:val="009D5824"/>
    <w:rsid w:val="009D611D"/>
    <w:rsid w:val="009D6191"/>
    <w:rsid w:val="009D66D4"/>
    <w:rsid w:val="009D6B37"/>
    <w:rsid w:val="009D6CB4"/>
    <w:rsid w:val="009D7695"/>
    <w:rsid w:val="009E0978"/>
    <w:rsid w:val="009E0A7C"/>
    <w:rsid w:val="009E1012"/>
    <w:rsid w:val="009E15C7"/>
    <w:rsid w:val="009E17C5"/>
    <w:rsid w:val="009E1AC7"/>
    <w:rsid w:val="009E1EDF"/>
    <w:rsid w:val="009E1F69"/>
    <w:rsid w:val="009E240A"/>
    <w:rsid w:val="009E29A5"/>
    <w:rsid w:val="009E3384"/>
    <w:rsid w:val="009E342B"/>
    <w:rsid w:val="009E3482"/>
    <w:rsid w:val="009E3C95"/>
    <w:rsid w:val="009E3F13"/>
    <w:rsid w:val="009E3F40"/>
    <w:rsid w:val="009E407D"/>
    <w:rsid w:val="009E449B"/>
    <w:rsid w:val="009E49B2"/>
    <w:rsid w:val="009E4FD8"/>
    <w:rsid w:val="009E51DF"/>
    <w:rsid w:val="009E573F"/>
    <w:rsid w:val="009E5F10"/>
    <w:rsid w:val="009E64FA"/>
    <w:rsid w:val="009E68F8"/>
    <w:rsid w:val="009E6CC5"/>
    <w:rsid w:val="009E7565"/>
    <w:rsid w:val="009E75DE"/>
    <w:rsid w:val="009E7A67"/>
    <w:rsid w:val="009E7E18"/>
    <w:rsid w:val="009F0073"/>
    <w:rsid w:val="009F0667"/>
    <w:rsid w:val="009F0A1E"/>
    <w:rsid w:val="009F0A95"/>
    <w:rsid w:val="009F0D97"/>
    <w:rsid w:val="009F1036"/>
    <w:rsid w:val="009F1455"/>
    <w:rsid w:val="009F18EE"/>
    <w:rsid w:val="009F1F76"/>
    <w:rsid w:val="009F2230"/>
    <w:rsid w:val="009F2283"/>
    <w:rsid w:val="009F2DCB"/>
    <w:rsid w:val="009F3367"/>
    <w:rsid w:val="009F33F4"/>
    <w:rsid w:val="009F34AC"/>
    <w:rsid w:val="009F36DD"/>
    <w:rsid w:val="009F3773"/>
    <w:rsid w:val="009F379F"/>
    <w:rsid w:val="009F3C70"/>
    <w:rsid w:val="009F41DC"/>
    <w:rsid w:val="009F62E6"/>
    <w:rsid w:val="009F645F"/>
    <w:rsid w:val="009F681E"/>
    <w:rsid w:val="009F6C77"/>
    <w:rsid w:val="009F6FCF"/>
    <w:rsid w:val="009F78BD"/>
    <w:rsid w:val="009F7F37"/>
    <w:rsid w:val="00A0041D"/>
    <w:rsid w:val="00A009C6"/>
    <w:rsid w:val="00A00CEF"/>
    <w:rsid w:val="00A00F39"/>
    <w:rsid w:val="00A0108D"/>
    <w:rsid w:val="00A01121"/>
    <w:rsid w:val="00A01246"/>
    <w:rsid w:val="00A018C8"/>
    <w:rsid w:val="00A01CB7"/>
    <w:rsid w:val="00A021AE"/>
    <w:rsid w:val="00A02260"/>
    <w:rsid w:val="00A02514"/>
    <w:rsid w:val="00A02660"/>
    <w:rsid w:val="00A02789"/>
    <w:rsid w:val="00A0372A"/>
    <w:rsid w:val="00A04011"/>
    <w:rsid w:val="00A044F7"/>
    <w:rsid w:val="00A04C04"/>
    <w:rsid w:val="00A04C26"/>
    <w:rsid w:val="00A05367"/>
    <w:rsid w:val="00A05430"/>
    <w:rsid w:val="00A0580F"/>
    <w:rsid w:val="00A058B4"/>
    <w:rsid w:val="00A059B0"/>
    <w:rsid w:val="00A05F48"/>
    <w:rsid w:val="00A06163"/>
    <w:rsid w:val="00A062A0"/>
    <w:rsid w:val="00A06650"/>
    <w:rsid w:val="00A068BC"/>
    <w:rsid w:val="00A06B0E"/>
    <w:rsid w:val="00A06B42"/>
    <w:rsid w:val="00A07665"/>
    <w:rsid w:val="00A07ADC"/>
    <w:rsid w:val="00A07CD5"/>
    <w:rsid w:val="00A07FB8"/>
    <w:rsid w:val="00A1000D"/>
    <w:rsid w:val="00A106AD"/>
    <w:rsid w:val="00A10BC4"/>
    <w:rsid w:val="00A10DC3"/>
    <w:rsid w:val="00A10EC7"/>
    <w:rsid w:val="00A11285"/>
    <w:rsid w:val="00A11B12"/>
    <w:rsid w:val="00A11C2B"/>
    <w:rsid w:val="00A12F20"/>
    <w:rsid w:val="00A13226"/>
    <w:rsid w:val="00A13490"/>
    <w:rsid w:val="00A1353F"/>
    <w:rsid w:val="00A13B43"/>
    <w:rsid w:val="00A13C7B"/>
    <w:rsid w:val="00A14AAB"/>
    <w:rsid w:val="00A150EB"/>
    <w:rsid w:val="00A15D25"/>
    <w:rsid w:val="00A168C7"/>
    <w:rsid w:val="00A1693C"/>
    <w:rsid w:val="00A16A15"/>
    <w:rsid w:val="00A1713F"/>
    <w:rsid w:val="00A1774B"/>
    <w:rsid w:val="00A17D32"/>
    <w:rsid w:val="00A202F5"/>
    <w:rsid w:val="00A20367"/>
    <w:rsid w:val="00A207B9"/>
    <w:rsid w:val="00A20E48"/>
    <w:rsid w:val="00A21387"/>
    <w:rsid w:val="00A214C7"/>
    <w:rsid w:val="00A21921"/>
    <w:rsid w:val="00A21FA1"/>
    <w:rsid w:val="00A22440"/>
    <w:rsid w:val="00A22A03"/>
    <w:rsid w:val="00A2343F"/>
    <w:rsid w:val="00A235F3"/>
    <w:rsid w:val="00A23693"/>
    <w:rsid w:val="00A23A58"/>
    <w:rsid w:val="00A241A2"/>
    <w:rsid w:val="00A24AD1"/>
    <w:rsid w:val="00A252E7"/>
    <w:rsid w:val="00A258AC"/>
    <w:rsid w:val="00A25FF4"/>
    <w:rsid w:val="00A26654"/>
    <w:rsid w:val="00A271D8"/>
    <w:rsid w:val="00A276D5"/>
    <w:rsid w:val="00A27BA2"/>
    <w:rsid w:val="00A3059C"/>
    <w:rsid w:val="00A311F5"/>
    <w:rsid w:val="00A3136E"/>
    <w:rsid w:val="00A31C55"/>
    <w:rsid w:val="00A321A9"/>
    <w:rsid w:val="00A3267E"/>
    <w:rsid w:val="00A327B5"/>
    <w:rsid w:val="00A32A23"/>
    <w:rsid w:val="00A32CA6"/>
    <w:rsid w:val="00A32FCC"/>
    <w:rsid w:val="00A330B0"/>
    <w:rsid w:val="00A33187"/>
    <w:rsid w:val="00A3340E"/>
    <w:rsid w:val="00A33958"/>
    <w:rsid w:val="00A339E1"/>
    <w:rsid w:val="00A33C4D"/>
    <w:rsid w:val="00A33D46"/>
    <w:rsid w:val="00A33DFF"/>
    <w:rsid w:val="00A3414C"/>
    <w:rsid w:val="00A353B0"/>
    <w:rsid w:val="00A3556C"/>
    <w:rsid w:val="00A35649"/>
    <w:rsid w:val="00A3572E"/>
    <w:rsid w:val="00A358BC"/>
    <w:rsid w:val="00A359BD"/>
    <w:rsid w:val="00A359D2"/>
    <w:rsid w:val="00A3630D"/>
    <w:rsid w:val="00A3653E"/>
    <w:rsid w:val="00A36A15"/>
    <w:rsid w:val="00A36D22"/>
    <w:rsid w:val="00A36F7B"/>
    <w:rsid w:val="00A37415"/>
    <w:rsid w:val="00A37443"/>
    <w:rsid w:val="00A37BE5"/>
    <w:rsid w:val="00A40344"/>
    <w:rsid w:val="00A40504"/>
    <w:rsid w:val="00A40CCB"/>
    <w:rsid w:val="00A40F9E"/>
    <w:rsid w:val="00A4124F"/>
    <w:rsid w:val="00A41788"/>
    <w:rsid w:val="00A42028"/>
    <w:rsid w:val="00A42030"/>
    <w:rsid w:val="00A42460"/>
    <w:rsid w:val="00A42672"/>
    <w:rsid w:val="00A42C1A"/>
    <w:rsid w:val="00A42EEF"/>
    <w:rsid w:val="00A43161"/>
    <w:rsid w:val="00A43738"/>
    <w:rsid w:val="00A43CC4"/>
    <w:rsid w:val="00A441B6"/>
    <w:rsid w:val="00A4421D"/>
    <w:rsid w:val="00A44447"/>
    <w:rsid w:val="00A445BB"/>
    <w:rsid w:val="00A4478D"/>
    <w:rsid w:val="00A44FB5"/>
    <w:rsid w:val="00A4571C"/>
    <w:rsid w:val="00A4598D"/>
    <w:rsid w:val="00A45DC9"/>
    <w:rsid w:val="00A45E40"/>
    <w:rsid w:val="00A4623C"/>
    <w:rsid w:val="00A462FC"/>
    <w:rsid w:val="00A467EC"/>
    <w:rsid w:val="00A46BA0"/>
    <w:rsid w:val="00A46E64"/>
    <w:rsid w:val="00A47AB1"/>
    <w:rsid w:val="00A47AEE"/>
    <w:rsid w:val="00A47ED7"/>
    <w:rsid w:val="00A47F60"/>
    <w:rsid w:val="00A50025"/>
    <w:rsid w:val="00A500E7"/>
    <w:rsid w:val="00A5042F"/>
    <w:rsid w:val="00A50839"/>
    <w:rsid w:val="00A50846"/>
    <w:rsid w:val="00A509B7"/>
    <w:rsid w:val="00A50F33"/>
    <w:rsid w:val="00A51ADD"/>
    <w:rsid w:val="00A52309"/>
    <w:rsid w:val="00A52478"/>
    <w:rsid w:val="00A52BC5"/>
    <w:rsid w:val="00A531BC"/>
    <w:rsid w:val="00A53459"/>
    <w:rsid w:val="00A53804"/>
    <w:rsid w:val="00A538BA"/>
    <w:rsid w:val="00A538CF"/>
    <w:rsid w:val="00A53A58"/>
    <w:rsid w:val="00A540CB"/>
    <w:rsid w:val="00A5485D"/>
    <w:rsid w:val="00A54B11"/>
    <w:rsid w:val="00A555FE"/>
    <w:rsid w:val="00A56180"/>
    <w:rsid w:val="00A562EC"/>
    <w:rsid w:val="00A56409"/>
    <w:rsid w:val="00A56488"/>
    <w:rsid w:val="00A5671B"/>
    <w:rsid w:val="00A56FE0"/>
    <w:rsid w:val="00A57123"/>
    <w:rsid w:val="00A573A5"/>
    <w:rsid w:val="00A57A9A"/>
    <w:rsid w:val="00A60605"/>
    <w:rsid w:val="00A607AE"/>
    <w:rsid w:val="00A609E5"/>
    <w:rsid w:val="00A60DD3"/>
    <w:rsid w:val="00A616FD"/>
    <w:rsid w:val="00A6177F"/>
    <w:rsid w:val="00A61C0A"/>
    <w:rsid w:val="00A61DEF"/>
    <w:rsid w:val="00A6260A"/>
    <w:rsid w:val="00A62849"/>
    <w:rsid w:val="00A62D20"/>
    <w:rsid w:val="00A62F5C"/>
    <w:rsid w:val="00A6318B"/>
    <w:rsid w:val="00A63318"/>
    <w:rsid w:val="00A633F5"/>
    <w:rsid w:val="00A63BB2"/>
    <w:rsid w:val="00A63FE4"/>
    <w:rsid w:val="00A643F9"/>
    <w:rsid w:val="00A64403"/>
    <w:rsid w:val="00A64DE0"/>
    <w:rsid w:val="00A65237"/>
    <w:rsid w:val="00A6547A"/>
    <w:rsid w:val="00A65C06"/>
    <w:rsid w:val="00A65C0D"/>
    <w:rsid w:val="00A65F7F"/>
    <w:rsid w:val="00A65FCB"/>
    <w:rsid w:val="00A66119"/>
    <w:rsid w:val="00A6617A"/>
    <w:rsid w:val="00A66202"/>
    <w:rsid w:val="00A666DF"/>
    <w:rsid w:val="00A66B80"/>
    <w:rsid w:val="00A66E5F"/>
    <w:rsid w:val="00A66EE6"/>
    <w:rsid w:val="00A66FD8"/>
    <w:rsid w:val="00A6705A"/>
    <w:rsid w:val="00A670EC"/>
    <w:rsid w:val="00A67AD1"/>
    <w:rsid w:val="00A701D4"/>
    <w:rsid w:val="00A70935"/>
    <w:rsid w:val="00A7096E"/>
    <w:rsid w:val="00A70BC1"/>
    <w:rsid w:val="00A70EE6"/>
    <w:rsid w:val="00A70F32"/>
    <w:rsid w:val="00A71099"/>
    <w:rsid w:val="00A710B4"/>
    <w:rsid w:val="00A71285"/>
    <w:rsid w:val="00A71A8C"/>
    <w:rsid w:val="00A71B9E"/>
    <w:rsid w:val="00A71C55"/>
    <w:rsid w:val="00A71E0B"/>
    <w:rsid w:val="00A72A6C"/>
    <w:rsid w:val="00A72DAB"/>
    <w:rsid w:val="00A73186"/>
    <w:rsid w:val="00A73370"/>
    <w:rsid w:val="00A7350D"/>
    <w:rsid w:val="00A73523"/>
    <w:rsid w:val="00A73662"/>
    <w:rsid w:val="00A7375A"/>
    <w:rsid w:val="00A74263"/>
    <w:rsid w:val="00A745B1"/>
    <w:rsid w:val="00A74C65"/>
    <w:rsid w:val="00A74F5C"/>
    <w:rsid w:val="00A75012"/>
    <w:rsid w:val="00A7549E"/>
    <w:rsid w:val="00A757AD"/>
    <w:rsid w:val="00A75B90"/>
    <w:rsid w:val="00A75E45"/>
    <w:rsid w:val="00A765B8"/>
    <w:rsid w:val="00A765C4"/>
    <w:rsid w:val="00A77082"/>
    <w:rsid w:val="00A77790"/>
    <w:rsid w:val="00A779E1"/>
    <w:rsid w:val="00A77B4C"/>
    <w:rsid w:val="00A800FB"/>
    <w:rsid w:val="00A804A4"/>
    <w:rsid w:val="00A804DB"/>
    <w:rsid w:val="00A808D8"/>
    <w:rsid w:val="00A80DBA"/>
    <w:rsid w:val="00A818BE"/>
    <w:rsid w:val="00A81BF1"/>
    <w:rsid w:val="00A81E39"/>
    <w:rsid w:val="00A82693"/>
    <w:rsid w:val="00A82A48"/>
    <w:rsid w:val="00A82D49"/>
    <w:rsid w:val="00A82FC9"/>
    <w:rsid w:val="00A8418C"/>
    <w:rsid w:val="00A842D7"/>
    <w:rsid w:val="00A8432E"/>
    <w:rsid w:val="00A84B71"/>
    <w:rsid w:val="00A84BF5"/>
    <w:rsid w:val="00A84DA5"/>
    <w:rsid w:val="00A84FD8"/>
    <w:rsid w:val="00A85641"/>
    <w:rsid w:val="00A85BB6"/>
    <w:rsid w:val="00A863C3"/>
    <w:rsid w:val="00A8690E"/>
    <w:rsid w:val="00A86C4C"/>
    <w:rsid w:val="00A86C7B"/>
    <w:rsid w:val="00A87071"/>
    <w:rsid w:val="00A8715C"/>
    <w:rsid w:val="00A87BE7"/>
    <w:rsid w:val="00A87C63"/>
    <w:rsid w:val="00A87E71"/>
    <w:rsid w:val="00A901DB"/>
    <w:rsid w:val="00A90556"/>
    <w:rsid w:val="00A913AE"/>
    <w:rsid w:val="00A91613"/>
    <w:rsid w:val="00A9187A"/>
    <w:rsid w:val="00A91970"/>
    <w:rsid w:val="00A9220A"/>
    <w:rsid w:val="00A92691"/>
    <w:rsid w:val="00A92F91"/>
    <w:rsid w:val="00A93121"/>
    <w:rsid w:val="00A94043"/>
    <w:rsid w:val="00A945D5"/>
    <w:rsid w:val="00A94918"/>
    <w:rsid w:val="00A94A63"/>
    <w:rsid w:val="00A94D68"/>
    <w:rsid w:val="00A94DD8"/>
    <w:rsid w:val="00A950BB"/>
    <w:rsid w:val="00A9668D"/>
    <w:rsid w:val="00A96A46"/>
    <w:rsid w:val="00A96ADC"/>
    <w:rsid w:val="00A96CED"/>
    <w:rsid w:val="00A96EE1"/>
    <w:rsid w:val="00A97180"/>
    <w:rsid w:val="00A97467"/>
    <w:rsid w:val="00AA066E"/>
    <w:rsid w:val="00AA0B28"/>
    <w:rsid w:val="00AA0C22"/>
    <w:rsid w:val="00AA15B7"/>
    <w:rsid w:val="00AA17A4"/>
    <w:rsid w:val="00AA1C65"/>
    <w:rsid w:val="00AA2328"/>
    <w:rsid w:val="00AA279A"/>
    <w:rsid w:val="00AA28E8"/>
    <w:rsid w:val="00AA2DF0"/>
    <w:rsid w:val="00AA2E6D"/>
    <w:rsid w:val="00AA370C"/>
    <w:rsid w:val="00AA399A"/>
    <w:rsid w:val="00AA3A38"/>
    <w:rsid w:val="00AA4A51"/>
    <w:rsid w:val="00AA51B4"/>
    <w:rsid w:val="00AA56A6"/>
    <w:rsid w:val="00AA56D2"/>
    <w:rsid w:val="00AA60CA"/>
    <w:rsid w:val="00AA626A"/>
    <w:rsid w:val="00AA6320"/>
    <w:rsid w:val="00AA755E"/>
    <w:rsid w:val="00AA7AC0"/>
    <w:rsid w:val="00AA7C2C"/>
    <w:rsid w:val="00AA7C37"/>
    <w:rsid w:val="00AA7C87"/>
    <w:rsid w:val="00AB013A"/>
    <w:rsid w:val="00AB0262"/>
    <w:rsid w:val="00AB053F"/>
    <w:rsid w:val="00AB066C"/>
    <w:rsid w:val="00AB1192"/>
    <w:rsid w:val="00AB1691"/>
    <w:rsid w:val="00AB1961"/>
    <w:rsid w:val="00AB1ABE"/>
    <w:rsid w:val="00AB1CCF"/>
    <w:rsid w:val="00AB1EBE"/>
    <w:rsid w:val="00AB25EA"/>
    <w:rsid w:val="00AB2756"/>
    <w:rsid w:val="00AB297E"/>
    <w:rsid w:val="00AB3387"/>
    <w:rsid w:val="00AB33D6"/>
    <w:rsid w:val="00AB3F04"/>
    <w:rsid w:val="00AB3F3D"/>
    <w:rsid w:val="00AB48E5"/>
    <w:rsid w:val="00AB51DF"/>
    <w:rsid w:val="00AB53ED"/>
    <w:rsid w:val="00AB564D"/>
    <w:rsid w:val="00AB567E"/>
    <w:rsid w:val="00AB5DE1"/>
    <w:rsid w:val="00AB6235"/>
    <w:rsid w:val="00AB6598"/>
    <w:rsid w:val="00AB66DA"/>
    <w:rsid w:val="00AB675E"/>
    <w:rsid w:val="00AB6CBD"/>
    <w:rsid w:val="00AB73F9"/>
    <w:rsid w:val="00AB75D9"/>
    <w:rsid w:val="00AB7904"/>
    <w:rsid w:val="00AB7B9C"/>
    <w:rsid w:val="00AB7D38"/>
    <w:rsid w:val="00AB7EEC"/>
    <w:rsid w:val="00AC001F"/>
    <w:rsid w:val="00AC01EC"/>
    <w:rsid w:val="00AC072C"/>
    <w:rsid w:val="00AC16B9"/>
    <w:rsid w:val="00AC2035"/>
    <w:rsid w:val="00AC23DE"/>
    <w:rsid w:val="00AC2478"/>
    <w:rsid w:val="00AC25EE"/>
    <w:rsid w:val="00AC2813"/>
    <w:rsid w:val="00AC2AEB"/>
    <w:rsid w:val="00AC2B59"/>
    <w:rsid w:val="00AC3287"/>
    <w:rsid w:val="00AC3886"/>
    <w:rsid w:val="00AC41A2"/>
    <w:rsid w:val="00AC4766"/>
    <w:rsid w:val="00AC49AC"/>
    <w:rsid w:val="00AC5495"/>
    <w:rsid w:val="00AC56FF"/>
    <w:rsid w:val="00AC61CC"/>
    <w:rsid w:val="00AC66DC"/>
    <w:rsid w:val="00AC6AD7"/>
    <w:rsid w:val="00AC6E43"/>
    <w:rsid w:val="00AC6F83"/>
    <w:rsid w:val="00AC754C"/>
    <w:rsid w:val="00AC77F3"/>
    <w:rsid w:val="00AC7F54"/>
    <w:rsid w:val="00AD0361"/>
    <w:rsid w:val="00AD05F0"/>
    <w:rsid w:val="00AD0A3C"/>
    <w:rsid w:val="00AD116B"/>
    <w:rsid w:val="00AD18D2"/>
    <w:rsid w:val="00AD1EA4"/>
    <w:rsid w:val="00AD2204"/>
    <w:rsid w:val="00AD2330"/>
    <w:rsid w:val="00AD281D"/>
    <w:rsid w:val="00AD2A0B"/>
    <w:rsid w:val="00AD30FA"/>
    <w:rsid w:val="00AD33B8"/>
    <w:rsid w:val="00AD37CA"/>
    <w:rsid w:val="00AD408D"/>
    <w:rsid w:val="00AD426E"/>
    <w:rsid w:val="00AD4DDB"/>
    <w:rsid w:val="00AD5373"/>
    <w:rsid w:val="00AD55D0"/>
    <w:rsid w:val="00AD5784"/>
    <w:rsid w:val="00AD5EC4"/>
    <w:rsid w:val="00AD5EFF"/>
    <w:rsid w:val="00AD6163"/>
    <w:rsid w:val="00AD6E76"/>
    <w:rsid w:val="00AD727C"/>
    <w:rsid w:val="00AD7301"/>
    <w:rsid w:val="00AD735C"/>
    <w:rsid w:val="00AD73E1"/>
    <w:rsid w:val="00AD7C88"/>
    <w:rsid w:val="00AE00B1"/>
    <w:rsid w:val="00AE0839"/>
    <w:rsid w:val="00AE0879"/>
    <w:rsid w:val="00AE0E5D"/>
    <w:rsid w:val="00AE1BE1"/>
    <w:rsid w:val="00AE1EF9"/>
    <w:rsid w:val="00AE2257"/>
    <w:rsid w:val="00AE2522"/>
    <w:rsid w:val="00AE3085"/>
    <w:rsid w:val="00AE369C"/>
    <w:rsid w:val="00AE446D"/>
    <w:rsid w:val="00AE44B0"/>
    <w:rsid w:val="00AE50A7"/>
    <w:rsid w:val="00AE5443"/>
    <w:rsid w:val="00AE568A"/>
    <w:rsid w:val="00AE5E06"/>
    <w:rsid w:val="00AE699B"/>
    <w:rsid w:val="00AE6B52"/>
    <w:rsid w:val="00AE6F76"/>
    <w:rsid w:val="00AE7307"/>
    <w:rsid w:val="00AE758E"/>
    <w:rsid w:val="00AF06E8"/>
    <w:rsid w:val="00AF17AD"/>
    <w:rsid w:val="00AF18CF"/>
    <w:rsid w:val="00AF1929"/>
    <w:rsid w:val="00AF1A82"/>
    <w:rsid w:val="00AF1C66"/>
    <w:rsid w:val="00AF2626"/>
    <w:rsid w:val="00AF2ACA"/>
    <w:rsid w:val="00AF2C50"/>
    <w:rsid w:val="00AF2D01"/>
    <w:rsid w:val="00AF2EEC"/>
    <w:rsid w:val="00AF2FE0"/>
    <w:rsid w:val="00AF2FF6"/>
    <w:rsid w:val="00AF351D"/>
    <w:rsid w:val="00AF3807"/>
    <w:rsid w:val="00AF3952"/>
    <w:rsid w:val="00AF496F"/>
    <w:rsid w:val="00AF4B65"/>
    <w:rsid w:val="00AF561E"/>
    <w:rsid w:val="00AF575A"/>
    <w:rsid w:val="00AF58B8"/>
    <w:rsid w:val="00AF5A2D"/>
    <w:rsid w:val="00AF5ADE"/>
    <w:rsid w:val="00AF5B06"/>
    <w:rsid w:val="00AF5F1B"/>
    <w:rsid w:val="00AF6127"/>
    <w:rsid w:val="00AF65E5"/>
    <w:rsid w:val="00AF6CC9"/>
    <w:rsid w:val="00AF6DD3"/>
    <w:rsid w:val="00AF733C"/>
    <w:rsid w:val="00AF735C"/>
    <w:rsid w:val="00AF737D"/>
    <w:rsid w:val="00AF742A"/>
    <w:rsid w:val="00AF7757"/>
    <w:rsid w:val="00AF7768"/>
    <w:rsid w:val="00AF792D"/>
    <w:rsid w:val="00AF79F5"/>
    <w:rsid w:val="00B0033F"/>
    <w:rsid w:val="00B00B23"/>
    <w:rsid w:val="00B00D19"/>
    <w:rsid w:val="00B01164"/>
    <w:rsid w:val="00B01970"/>
    <w:rsid w:val="00B01ABB"/>
    <w:rsid w:val="00B01D49"/>
    <w:rsid w:val="00B01D77"/>
    <w:rsid w:val="00B0225A"/>
    <w:rsid w:val="00B023C6"/>
    <w:rsid w:val="00B02D05"/>
    <w:rsid w:val="00B03128"/>
    <w:rsid w:val="00B03BBA"/>
    <w:rsid w:val="00B03C86"/>
    <w:rsid w:val="00B03E4F"/>
    <w:rsid w:val="00B03E9A"/>
    <w:rsid w:val="00B03F1C"/>
    <w:rsid w:val="00B0483F"/>
    <w:rsid w:val="00B0488D"/>
    <w:rsid w:val="00B04990"/>
    <w:rsid w:val="00B0509F"/>
    <w:rsid w:val="00B0598F"/>
    <w:rsid w:val="00B05EFA"/>
    <w:rsid w:val="00B060BF"/>
    <w:rsid w:val="00B0653E"/>
    <w:rsid w:val="00B065BC"/>
    <w:rsid w:val="00B06612"/>
    <w:rsid w:val="00B06945"/>
    <w:rsid w:val="00B06A93"/>
    <w:rsid w:val="00B06B1C"/>
    <w:rsid w:val="00B06F27"/>
    <w:rsid w:val="00B10163"/>
    <w:rsid w:val="00B1029D"/>
    <w:rsid w:val="00B10D9C"/>
    <w:rsid w:val="00B1118C"/>
    <w:rsid w:val="00B11206"/>
    <w:rsid w:val="00B113AF"/>
    <w:rsid w:val="00B113CC"/>
    <w:rsid w:val="00B1147C"/>
    <w:rsid w:val="00B11CCC"/>
    <w:rsid w:val="00B12560"/>
    <w:rsid w:val="00B12BA0"/>
    <w:rsid w:val="00B12C1E"/>
    <w:rsid w:val="00B12CC7"/>
    <w:rsid w:val="00B131BA"/>
    <w:rsid w:val="00B13461"/>
    <w:rsid w:val="00B13658"/>
    <w:rsid w:val="00B136E9"/>
    <w:rsid w:val="00B13D12"/>
    <w:rsid w:val="00B13EA2"/>
    <w:rsid w:val="00B13EE6"/>
    <w:rsid w:val="00B153AC"/>
    <w:rsid w:val="00B15596"/>
    <w:rsid w:val="00B15F61"/>
    <w:rsid w:val="00B162DC"/>
    <w:rsid w:val="00B169B5"/>
    <w:rsid w:val="00B16A6E"/>
    <w:rsid w:val="00B16A9E"/>
    <w:rsid w:val="00B16B11"/>
    <w:rsid w:val="00B16CFA"/>
    <w:rsid w:val="00B16D89"/>
    <w:rsid w:val="00B16FD3"/>
    <w:rsid w:val="00B17349"/>
    <w:rsid w:val="00B17966"/>
    <w:rsid w:val="00B200F9"/>
    <w:rsid w:val="00B20428"/>
    <w:rsid w:val="00B2081A"/>
    <w:rsid w:val="00B20AED"/>
    <w:rsid w:val="00B20DF9"/>
    <w:rsid w:val="00B20F7F"/>
    <w:rsid w:val="00B212FD"/>
    <w:rsid w:val="00B21346"/>
    <w:rsid w:val="00B21484"/>
    <w:rsid w:val="00B216B8"/>
    <w:rsid w:val="00B217E6"/>
    <w:rsid w:val="00B2182A"/>
    <w:rsid w:val="00B21852"/>
    <w:rsid w:val="00B21C8A"/>
    <w:rsid w:val="00B21D34"/>
    <w:rsid w:val="00B227BD"/>
    <w:rsid w:val="00B22B34"/>
    <w:rsid w:val="00B22E50"/>
    <w:rsid w:val="00B22E72"/>
    <w:rsid w:val="00B2308D"/>
    <w:rsid w:val="00B23141"/>
    <w:rsid w:val="00B236DA"/>
    <w:rsid w:val="00B23928"/>
    <w:rsid w:val="00B2393E"/>
    <w:rsid w:val="00B23C2D"/>
    <w:rsid w:val="00B23D4D"/>
    <w:rsid w:val="00B23FDC"/>
    <w:rsid w:val="00B2419D"/>
    <w:rsid w:val="00B242DA"/>
    <w:rsid w:val="00B24C4C"/>
    <w:rsid w:val="00B257CF"/>
    <w:rsid w:val="00B25888"/>
    <w:rsid w:val="00B258D1"/>
    <w:rsid w:val="00B2673D"/>
    <w:rsid w:val="00B26951"/>
    <w:rsid w:val="00B26F4A"/>
    <w:rsid w:val="00B26F93"/>
    <w:rsid w:val="00B27189"/>
    <w:rsid w:val="00B27F84"/>
    <w:rsid w:val="00B3094F"/>
    <w:rsid w:val="00B30B9A"/>
    <w:rsid w:val="00B30D97"/>
    <w:rsid w:val="00B31045"/>
    <w:rsid w:val="00B3139D"/>
    <w:rsid w:val="00B31518"/>
    <w:rsid w:val="00B31685"/>
    <w:rsid w:val="00B31747"/>
    <w:rsid w:val="00B31778"/>
    <w:rsid w:val="00B31A8D"/>
    <w:rsid w:val="00B32576"/>
    <w:rsid w:val="00B32B51"/>
    <w:rsid w:val="00B330FA"/>
    <w:rsid w:val="00B33303"/>
    <w:rsid w:val="00B338B0"/>
    <w:rsid w:val="00B340AF"/>
    <w:rsid w:val="00B3440D"/>
    <w:rsid w:val="00B3460C"/>
    <w:rsid w:val="00B346CD"/>
    <w:rsid w:val="00B34D8B"/>
    <w:rsid w:val="00B3559F"/>
    <w:rsid w:val="00B35B48"/>
    <w:rsid w:val="00B35CBE"/>
    <w:rsid w:val="00B3649C"/>
    <w:rsid w:val="00B3676F"/>
    <w:rsid w:val="00B36771"/>
    <w:rsid w:val="00B36979"/>
    <w:rsid w:val="00B36CD2"/>
    <w:rsid w:val="00B36FAF"/>
    <w:rsid w:val="00B3766A"/>
    <w:rsid w:val="00B378D2"/>
    <w:rsid w:val="00B40B8E"/>
    <w:rsid w:val="00B40D69"/>
    <w:rsid w:val="00B40ECF"/>
    <w:rsid w:val="00B413E1"/>
    <w:rsid w:val="00B41739"/>
    <w:rsid w:val="00B4178C"/>
    <w:rsid w:val="00B42A76"/>
    <w:rsid w:val="00B435D8"/>
    <w:rsid w:val="00B43B89"/>
    <w:rsid w:val="00B43FF2"/>
    <w:rsid w:val="00B44369"/>
    <w:rsid w:val="00B44947"/>
    <w:rsid w:val="00B44A48"/>
    <w:rsid w:val="00B44A91"/>
    <w:rsid w:val="00B44E3F"/>
    <w:rsid w:val="00B456F0"/>
    <w:rsid w:val="00B45A6D"/>
    <w:rsid w:val="00B46271"/>
    <w:rsid w:val="00B4657D"/>
    <w:rsid w:val="00B46885"/>
    <w:rsid w:val="00B46A89"/>
    <w:rsid w:val="00B47701"/>
    <w:rsid w:val="00B47D2A"/>
    <w:rsid w:val="00B47F10"/>
    <w:rsid w:val="00B5067A"/>
    <w:rsid w:val="00B50751"/>
    <w:rsid w:val="00B50D40"/>
    <w:rsid w:val="00B51B76"/>
    <w:rsid w:val="00B52151"/>
    <w:rsid w:val="00B524CE"/>
    <w:rsid w:val="00B525AC"/>
    <w:rsid w:val="00B52A7B"/>
    <w:rsid w:val="00B52CB3"/>
    <w:rsid w:val="00B52FD9"/>
    <w:rsid w:val="00B532D6"/>
    <w:rsid w:val="00B53929"/>
    <w:rsid w:val="00B53A5E"/>
    <w:rsid w:val="00B54CC1"/>
    <w:rsid w:val="00B55211"/>
    <w:rsid w:val="00B55403"/>
    <w:rsid w:val="00B55B00"/>
    <w:rsid w:val="00B55B6A"/>
    <w:rsid w:val="00B561ED"/>
    <w:rsid w:val="00B56520"/>
    <w:rsid w:val="00B56CA4"/>
    <w:rsid w:val="00B570A6"/>
    <w:rsid w:val="00B57532"/>
    <w:rsid w:val="00B57AED"/>
    <w:rsid w:val="00B57B48"/>
    <w:rsid w:val="00B57CDD"/>
    <w:rsid w:val="00B57FDB"/>
    <w:rsid w:val="00B608DC"/>
    <w:rsid w:val="00B60BDE"/>
    <w:rsid w:val="00B60EC5"/>
    <w:rsid w:val="00B61058"/>
    <w:rsid w:val="00B61090"/>
    <w:rsid w:val="00B611D7"/>
    <w:rsid w:val="00B61C69"/>
    <w:rsid w:val="00B62171"/>
    <w:rsid w:val="00B621CB"/>
    <w:rsid w:val="00B624EB"/>
    <w:rsid w:val="00B627F9"/>
    <w:rsid w:val="00B629EC"/>
    <w:rsid w:val="00B62A18"/>
    <w:rsid w:val="00B62E5F"/>
    <w:rsid w:val="00B62ED7"/>
    <w:rsid w:val="00B6327F"/>
    <w:rsid w:val="00B63531"/>
    <w:rsid w:val="00B63EF0"/>
    <w:rsid w:val="00B64083"/>
    <w:rsid w:val="00B64581"/>
    <w:rsid w:val="00B64855"/>
    <w:rsid w:val="00B64CBC"/>
    <w:rsid w:val="00B64CDF"/>
    <w:rsid w:val="00B64F54"/>
    <w:rsid w:val="00B65547"/>
    <w:rsid w:val="00B655CE"/>
    <w:rsid w:val="00B655E7"/>
    <w:rsid w:val="00B65727"/>
    <w:rsid w:val="00B6584F"/>
    <w:rsid w:val="00B65AC0"/>
    <w:rsid w:val="00B65D21"/>
    <w:rsid w:val="00B65F34"/>
    <w:rsid w:val="00B66524"/>
    <w:rsid w:val="00B66A3E"/>
    <w:rsid w:val="00B66B7D"/>
    <w:rsid w:val="00B6781D"/>
    <w:rsid w:val="00B70327"/>
    <w:rsid w:val="00B703C6"/>
    <w:rsid w:val="00B710B5"/>
    <w:rsid w:val="00B715AC"/>
    <w:rsid w:val="00B716F7"/>
    <w:rsid w:val="00B7177A"/>
    <w:rsid w:val="00B71A47"/>
    <w:rsid w:val="00B71A6E"/>
    <w:rsid w:val="00B71D01"/>
    <w:rsid w:val="00B71D0C"/>
    <w:rsid w:val="00B723D2"/>
    <w:rsid w:val="00B7241F"/>
    <w:rsid w:val="00B7262F"/>
    <w:rsid w:val="00B72713"/>
    <w:rsid w:val="00B72DF8"/>
    <w:rsid w:val="00B732AB"/>
    <w:rsid w:val="00B73921"/>
    <w:rsid w:val="00B739CC"/>
    <w:rsid w:val="00B7413B"/>
    <w:rsid w:val="00B7418B"/>
    <w:rsid w:val="00B743C0"/>
    <w:rsid w:val="00B746F9"/>
    <w:rsid w:val="00B74F4F"/>
    <w:rsid w:val="00B7511D"/>
    <w:rsid w:val="00B753D7"/>
    <w:rsid w:val="00B757FB"/>
    <w:rsid w:val="00B7611F"/>
    <w:rsid w:val="00B76520"/>
    <w:rsid w:val="00B76539"/>
    <w:rsid w:val="00B769B2"/>
    <w:rsid w:val="00B76F6D"/>
    <w:rsid w:val="00B77389"/>
    <w:rsid w:val="00B77449"/>
    <w:rsid w:val="00B77782"/>
    <w:rsid w:val="00B77BAC"/>
    <w:rsid w:val="00B77D7E"/>
    <w:rsid w:val="00B77E27"/>
    <w:rsid w:val="00B77F3E"/>
    <w:rsid w:val="00B77F6C"/>
    <w:rsid w:val="00B77FCB"/>
    <w:rsid w:val="00B8085F"/>
    <w:rsid w:val="00B808B4"/>
    <w:rsid w:val="00B80AEE"/>
    <w:rsid w:val="00B80EE8"/>
    <w:rsid w:val="00B80EF5"/>
    <w:rsid w:val="00B81823"/>
    <w:rsid w:val="00B81A36"/>
    <w:rsid w:val="00B8259A"/>
    <w:rsid w:val="00B82850"/>
    <w:rsid w:val="00B82EE6"/>
    <w:rsid w:val="00B82FFB"/>
    <w:rsid w:val="00B8345C"/>
    <w:rsid w:val="00B83613"/>
    <w:rsid w:val="00B83A85"/>
    <w:rsid w:val="00B83B24"/>
    <w:rsid w:val="00B83BD2"/>
    <w:rsid w:val="00B83F12"/>
    <w:rsid w:val="00B84A43"/>
    <w:rsid w:val="00B84C39"/>
    <w:rsid w:val="00B852DD"/>
    <w:rsid w:val="00B8551C"/>
    <w:rsid w:val="00B85A3C"/>
    <w:rsid w:val="00B85D76"/>
    <w:rsid w:val="00B85E59"/>
    <w:rsid w:val="00B85EE4"/>
    <w:rsid w:val="00B86007"/>
    <w:rsid w:val="00B8642F"/>
    <w:rsid w:val="00B867A1"/>
    <w:rsid w:val="00B8709A"/>
    <w:rsid w:val="00B8744C"/>
    <w:rsid w:val="00B87653"/>
    <w:rsid w:val="00B878F6"/>
    <w:rsid w:val="00B8797D"/>
    <w:rsid w:val="00B87C9B"/>
    <w:rsid w:val="00B903FB"/>
    <w:rsid w:val="00B90948"/>
    <w:rsid w:val="00B90D77"/>
    <w:rsid w:val="00B90FC5"/>
    <w:rsid w:val="00B9103C"/>
    <w:rsid w:val="00B912FB"/>
    <w:rsid w:val="00B91397"/>
    <w:rsid w:val="00B91B6D"/>
    <w:rsid w:val="00B91E36"/>
    <w:rsid w:val="00B91F67"/>
    <w:rsid w:val="00B92226"/>
    <w:rsid w:val="00B92865"/>
    <w:rsid w:val="00B93E99"/>
    <w:rsid w:val="00B942A4"/>
    <w:rsid w:val="00B94383"/>
    <w:rsid w:val="00B94437"/>
    <w:rsid w:val="00B9453D"/>
    <w:rsid w:val="00B94B40"/>
    <w:rsid w:val="00B94B83"/>
    <w:rsid w:val="00B95304"/>
    <w:rsid w:val="00B95357"/>
    <w:rsid w:val="00B95FB2"/>
    <w:rsid w:val="00B96075"/>
    <w:rsid w:val="00B96D2B"/>
    <w:rsid w:val="00B970DF"/>
    <w:rsid w:val="00B97472"/>
    <w:rsid w:val="00B97878"/>
    <w:rsid w:val="00B97CB7"/>
    <w:rsid w:val="00B97F00"/>
    <w:rsid w:val="00BA05CA"/>
    <w:rsid w:val="00BA05D8"/>
    <w:rsid w:val="00BA08F5"/>
    <w:rsid w:val="00BA0B5C"/>
    <w:rsid w:val="00BA0C7A"/>
    <w:rsid w:val="00BA0CB9"/>
    <w:rsid w:val="00BA0D3F"/>
    <w:rsid w:val="00BA106E"/>
    <w:rsid w:val="00BA188A"/>
    <w:rsid w:val="00BA2046"/>
    <w:rsid w:val="00BA2222"/>
    <w:rsid w:val="00BA24BF"/>
    <w:rsid w:val="00BA2547"/>
    <w:rsid w:val="00BA257F"/>
    <w:rsid w:val="00BA2655"/>
    <w:rsid w:val="00BA28D0"/>
    <w:rsid w:val="00BA2AF0"/>
    <w:rsid w:val="00BA2C86"/>
    <w:rsid w:val="00BA336A"/>
    <w:rsid w:val="00BA339A"/>
    <w:rsid w:val="00BA3543"/>
    <w:rsid w:val="00BA372F"/>
    <w:rsid w:val="00BA4602"/>
    <w:rsid w:val="00BA4824"/>
    <w:rsid w:val="00BA4C8C"/>
    <w:rsid w:val="00BA4DD7"/>
    <w:rsid w:val="00BA4F4D"/>
    <w:rsid w:val="00BA5503"/>
    <w:rsid w:val="00BA5656"/>
    <w:rsid w:val="00BA6055"/>
    <w:rsid w:val="00BA60C8"/>
    <w:rsid w:val="00BA645B"/>
    <w:rsid w:val="00BA6A84"/>
    <w:rsid w:val="00BA6C6A"/>
    <w:rsid w:val="00BA6E1E"/>
    <w:rsid w:val="00BA75E7"/>
    <w:rsid w:val="00BA789C"/>
    <w:rsid w:val="00BA7A08"/>
    <w:rsid w:val="00BA7DC9"/>
    <w:rsid w:val="00BA7E94"/>
    <w:rsid w:val="00BB0409"/>
    <w:rsid w:val="00BB0968"/>
    <w:rsid w:val="00BB0996"/>
    <w:rsid w:val="00BB11B7"/>
    <w:rsid w:val="00BB11FD"/>
    <w:rsid w:val="00BB1481"/>
    <w:rsid w:val="00BB14D1"/>
    <w:rsid w:val="00BB19FB"/>
    <w:rsid w:val="00BB1BB3"/>
    <w:rsid w:val="00BB23A4"/>
    <w:rsid w:val="00BB28F3"/>
    <w:rsid w:val="00BB2901"/>
    <w:rsid w:val="00BB2DC4"/>
    <w:rsid w:val="00BB30C0"/>
    <w:rsid w:val="00BB3163"/>
    <w:rsid w:val="00BB367A"/>
    <w:rsid w:val="00BB3A62"/>
    <w:rsid w:val="00BB4804"/>
    <w:rsid w:val="00BB4ACC"/>
    <w:rsid w:val="00BB4B57"/>
    <w:rsid w:val="00BB4EC3"/>
    <w:rsid w:val="00BB4EF6"/>
    <w:rsid w:val="00BB5D34"/>
    <w:rsid w:val="00BB7031"/>
    <w:rsid w:val="00BB7353"/>
    <w:rsid w:val="00BB7653"/>
    <w:rsid w:val="00BB77DF"/>
    <w:rsid w:val="00BC016A"/>
    <w:rsid w:val="00BC0875"/>
    <w:rsid w:val="00BC0AE5"/>
    <w:rsid w:val="00BC0F01"/>
    <w:rsid w:val="00BC0F08"/>
    <w:rsid w:val="00BC1468"/>
    <w:rsid w:val="00BC190D"/>
    <w:rsid w:val="00BC1CBB"/>
    <w:rsid w:val="00BC2569"/>
    <w:rsid w:val="00BC29B1"/>
    <w:rsid w:val="00BC3346"/>
    <w:rsid w:val="00BC354E"/>
    <w:rsid w:val="00BC4076"/>
    <w:rsid w:val="00BC4E2B"/>
    <w:rsid w:val="00BC4EE5"/>
    <w:rsid w:val="00BC5590"/>
    <w:rsid w:val="00BC59EA"/>
    <w:rsid w:val="00BC62A6"/>
    <w:rsid w:val="00BC63D2"/>
    <w:rsid w:val="00BC6A1C"/>
    <w:rsid w:val="00BC6B9B"/>
    <w:rsid w:val="00BC6C4F"/>
    <w:rsid w:val="00BC6FC0"/>
    <w:rsid w:val="00BC718D"/>
    <w:rsid w:val="00BC7C8C"/>
    <w:rsid w:val="00BC7FE7"/>
    <w:rsid w:val="00BD069C"/>
    <w:rsid w:val="00BD0C74"/>
    <w:rsid w:val="00BD2255"/>
    <w:rsid w:val="00BD2496"/>
    <w:rsid w:val="00BD2AC0"/>
    <w:rsid w:val="00BD2D39"/>
    <w:rsid w:val="00BD2FC7"/>
    <w:rsid w:val="00BD2FDD"/>
    <w:rsid w:val="00BD3116"/>
    <w:rsid w:val="00BD3388"/>
    <w:rsid w:val="00BD365D"/>
    <w:rsid w:val="00BD36F9"/>
    <w:rsid w:val="00BD3C1E"/>
    <w:rsid w:val="00BD3D81"/>
    <w:rsid w:val="00BD3E9C"/>
    <w:rsid w:val="00BD481F"/>
    <w:rsid w:val="00BD4CC3"/>
    <w:rsid w:val="00BD4EEE"/>
    <w:rsid w:val="00BD50ED"/>
    <w:rsid w:val="00BD51B2"/>
    <w:rsid w:val="00BD55EC"/>
    <w:rsid w:val="00BD582A"/>
    <w:rsid w:val="00BD5B07"/>
    <w:rsid w:val="00BD5CE9"/>
    <w:rsid w:val="00BD5FD0"/>
    <w:rsid w:val="00BD6161"/>
    <w:rsid w:val="00BD626B"/>
    <w:rsid w:val="00BD746E"/>
    <w:rsid w:val="00BD7535"/>
    <w:rsid w:val="00BD768F"/>
    <w:rsid w:val="00BD7926"/>
    <w:rsid w:val="00BD7A5B"/>
    <w:rsid w:val="00BD7E0A"/>
    <w:rsid w:val="00BD7E65"/>
    <w:rsid w:val="00BE07D1"/>
    <w:rsid w:val="00BE1236"/>
    <w:rsid w:val="00BE17F8"/>
    <w:rsid w:val="00BE21A6"/>
    <w:rsid w:val="00BE21B6"/>
    <w:rsid w:val="00BE2771"/>
    <w:rsid w:val="00BE279C"/>
    <w:rsid w:val="00BE27E4"/>
    <w:rsid w:val="00BE2C61"/>
    <w:rsid w:val="00BE2C79"/>
    <w:rsid w:val="00BE2E75"/>
    <w:rsid w:val="00BE32A2"/>
    <w:rsid w:val="00BE3693"/>
    <w:rsid w:val="00BE3774"/>
    <w:rsid w:val="00BE3979"/>
    <w:rsid w:val="00BE3FA7"/>
    <w:rsid w:val="00BE3FBB"/>
    <w:rsid w:val="00BE4423"/>
    <w:rsid w:val="00BE4E58"/>
    <w:rsid w:val="00BE594D"/>
    <w:rsid w:val="00BE5A70"/>
    <w:rsid w:val="00BE5B2C"/>
    <w:rsid w:val="00BE5D44"/>
    <w:rsid w:val="00BE6B66"/>
    <w:rsid w:val="00BE6F2B"/>
    <w:rsid w:val="00BE702F"/>
    <w:rsid w:val="00BE70AD"/>
    <w:rsid w:val="00BE760C"/>
    <w:rsid w:val="00BF0432"/>
    <w:rsid w:val="00BF06DA"/>
    <w:rsid w:val="00BF0AA7"/>
    <w:rsid w:val="00BF1AB8"/>
    <w:rsid w:val="00BF1E1D"/>
    <w:rsid w:val="00BF1E1E"/>
    <w:rsid w:val="00BF24A9"/>
    <w:rsid w:val="00BF2581"/>
    <w:rsid w:val="00BF26E0"/>
    <w:rsid w:val="00BF2B98"/>
    <w:rsid w:val="00BF2CFB"/>
    <w:rsid w:val="00BF3163"/>
    <w:rsid w:val="00BF342A"/>
    <w:rsid w:val="00BF35D8"/>
    <w:rsid w:val="00BF3CDF"/>
    <w:rsid w:val="00BF41AF"/>
    <w:rsid w:val="00BF4497"/>
    <w:rsid w:val="00BF4714"/>
    <w:rsid w:val="00BF4994"/>
    <w:rsid w:val="00BF4F19"/>
    <w:rsid w:val="00BF58A8"/>
    <w:rsid w:val="00BF62A5"/>
    <w:rsid w:val="00BF6473"/>
    <w:rsid w:val="00BF64F5"/>
    <w:rsid w:val="00BF6591"/>
    <w:rsid w:val="00BF67F0"/>
    <w:rsid w:val="00BF6C55"/>
    <w:rsid w:val="00BF6DE4"/>
    <w:rsid w:val="00BF6E53"/>
    <w:rsid w:val="00BF7298"/>
    <w:rsid w:val="00BF7DEF"/>
    <w:rsid w:val="00BF7E29"/>
    <w:rsid w:val="00C0050C"/>
    <w:rsid w:val="00C0053B"/>
    <w:rsid w:val="00C005E0"/>
    <w:rsid w:val="00C00B8A"/>
    <w:rsid w:val="00C00BB6"/>
    <w:rsid w:val="00C0135E"/>
    <w:rsid w:val="00C01721"/>
    <w:rsid w:val="00C01A21"/>
    <w:rsid w:val="00C030AC"/>
    <w:rsid w:val="00C03446"/>
    <w:rsid w:val="00C0361F"/>
    <w:rsid w:val="00C03679"/>
    <w:rsid w:val="00C0384C"/>
    <w:rsid w:val="00C041FA"/>
    <w:rsid w:val="00C04AB6"/>
    <w:rsid w:val="00C04B04"/>
    <w:rsid w:val="00C04B0F"/>
    <w:rsid w:val="00C050C1"/>
    <w:rsid w:val="00C05244"/>
    <w:rsid w:val="00C05BCC"/>
    <w:rsid w:val="00C05E84"/>
    <w:rsid w:val="00C065E5"/>
    <w:rsid w:val="00C069B0"/>
    <w:rsid w:val="00C06E82"/>
    <w:rsid w:val="00C06EBC"/>
    <w:rsid w:val="00C07767"/>
    <w:rsid w:val="00C100DA"/>
    <w:rsid w:val="00C10211"/>
    <w:rsid w:val="00C10246"/>
    <w:rsid w:val="00C10361"/>
    <w:rsid w:val="00C1097D"/>
    <w:rsid w:val="00C11501"/>
    <w:rsid w:val="00C1161C"/>
    <w:rsid w:val="00C1161F"/>
    <w:rsid w:val="00C11772"/>
    <w:rsid w:val="00C118EB"/>
    <w:rsid w:val="00C11987"/>
    <w:rsid w:val="00C121B8"/>
    <w:rsid w:val="00C124F4"/>
    <w:rsid w:val="00C12B3E"/>
    <w:rsid w:val="00C12B96"/>
    <w:rsid w:val="00C12CC5"/>
    <w:rsid w:val="00C12F15"/>
    <w:rsid w:val="00C13006"/>
    <w:rsid w:val="00C132D1"/>
    <w:rsid w:val="00C132E2"/>
    <w:rsid w:val="00C135FD"/>
    <w:rsid w:val="00C137F7"/>
    <w:rsid w:val="00C1390C"/>
    <w:rsid w:val="00C139E5"/>
    <w:rsid w:val="00C13CB9"/>
    <w:rsid w:val="00C13CC2"/>
    <w:rsid w:val="00C13FE2"/>
    <w:rsid w:val="00C142B0"/>
    <w:rsid w:val="00C1473F"/>
    <w:rsid w:val="00C14813"/>
    <w:rsid w:val="00C158A8"/>
    <w:rsid w:val="00C15E32"/>
    <w:rsid w:val="00C16A01"/>
    <w:rsid w:val="00C1751B"/>
    <w:rsid w:val="00C17923"/>
    <w:rsid w:val="00C17A83"/>
    <w:rsid w:val="00C17CFC"/>
    <w:rsid w:val="00C2006B"/>
    <w:rsid w:val="00C20A75"/>
    <w:rsid w:val="00C20E15"/>
    <w:rsid w:val="00C213DF"/>
    <w:rsid w:val="00C21511"/>
    <w:rsid w:val="00C223A3"/>
    <w:rsid w:val="00C2286D"/>
    <w:rsid w:val="00C22FAF"/>
    <w:rsid w:val="00C23267"/>
    <w:rsid w:val="00C2347F"/>
    <w:rsid w:val="00C23AA2"/>
    <w:rsid w:val="00C2417A"/>
    <w:rsid w:val="00C245E6"/>
    <w:rsid w:val="00C2488C"/>
    <w:rsid w:val="00C24E75"/>
    <w:rsid w:val="00C2599A"/>
    <w:rsid w:val="00C259FF"/>
    <w:rsid w:val="00C25A58"/>
    <w:rsid w:val="00C25DCA"/>
    <w:rsid w:val="00C26D55"/>
    <w:rsid w:val="00C2713E"/>
    <w:rsid w:val="00C2744D"/>
    <w:rsid w:val="00C30868"/>
    <w:rsid w:val="00C30EB9"/>
    <w:rsid w:val="00C30FFE"/>
    <w:rsid w:val="00C319A4"/>
    <w:rsid w:val="00C31D7E"/>
    <w:rsid w:val="00C322AD"/>
    <w:rsid w:val="00C3263B"/>
    <w:rsid w:val="00C327B5"/>
    <w:rsid w:val="00C32D5B"/>
    <w:rsid w:val="00C33534"/>
    <w:rsid w:val="00C33836"/>
    <w:rsid w:val="00C339A0"/>
    <w:rsid w:val="00C339AA"/>
    <w:rsid w:val="00C33ED8"/>
    <w:rsid w:val="00C33F4E"/>
    <w:rsid w:val="00C33F88"/>
    <w:rsid w:val="00C3406A"/>
    <w:rsid w:val="00C3484E"/>
    <w:rsid w:val="00C34912"/>
    <w:rsid w:val="00C34BB5"/>
    <w:rsid w:val="00C350A2"/>
    <w:rsid w:val="00C356E6"/>
    <w:rsid w:val="00C358EB"/>
    <w:rsid w:val="00C35E94"/>
    <w:rsid w:val="00C363F5"/>
    <w:rsid w:val="00C372CA"/>
    <w:rsid w:val="00C3734B"/>
    <w:rsid w:val="00C3765E"/>
    <w:rsid w:val="00C37A22"/>
    <w:rsid w:val="00C37E0B"/>
    <w:rsid w:val="00C37F13"/>
    <w:rsid w:val="00C405B9"/>
    <w:rsid w:val="00C40E35"/>
    <w:rsid w:val="00C41010"/>
    <w:rsid w:val="00C412C7"/>
    <w:rsid w:val="00C4150A"/>
    <w:rsid w:val="00C41666"/>
    <w:rsid w:val="00C418AE"/>
    <w:rsid w:val="00C4193F"/>
    <w:rsid w:val="00C41A1F"/>
    <w:rsid w:val="00C41E61"/>
    <w:rsid w:val="00C421B1"/>
    <w:rsid w:val="00C422DF"/>
    <w:rsid w:val="00C42AA4"/>
    <w:rsid w:val="00C42FDF"/>
    <w:rsid w:val="00C43340"/>
    <w:rsid w:val="00C435DC"/>
    <w:rsid w:val="00C438C7"/>
    <w:rsid w:val="00C43D96"/>
    <w:rsid w:val="00C44AC4"/>
    <w:rsid w:val="00C44B5C"/>
    <w:rsid w:val="00C45B5F"/>
    <w:rsid w:val="00C4633E"/>
    <w:rsid w:val="00C46A53"/>
    <w:rsid w:val="00C479D9"/>
    <w:rsid w:val="00C47A0C"/>
    <w:rsid w:val="00C47A3E"/>
    <w:rsid w:val="00C47A86"/>
    <w:rsid w:val="00C47E18"/>
    <w:rsid w:val="00C47FA2"/>
    <w:rsid w:val="00C50803"/>
    <w:rsid w:val="00C509C7"/>
    <w:rsid w:val="00C50C59"/>
    <w:rsid w:val="00C50DA4"/>
    <w:rsid w:val="00C512A1"/>
    <w:rsid w:val="00C51C43"/>
    <w:rsid w:val="00C51CBA"/>
    <w:rsid w:val="00C52019"/>
    <w:rsid w:val="00C521AB"/>
    <w:rsid w:val="00C524B6"/>
    <w:rsid w:val="00C527A3"/>
    <w:rsid w:val="00C52DFC"/>
    <w:rsid w:val="00C52F0F"/>
    <w:rsid w:val="00C530E0"/>
    <w:rsid w:val="00C53579"/>
    <w:rsid w:val="00C536FD"/>
    <w:rsid w:val="00C540F7"/>
    <w:rsid w:val="00C5476B"/>
    <w:rsid w:val="00C54FDB"/>
    <w:rsid w:val="00C5539D"/>
    <w:rsid w:val="00C5613B"/>
    <w:rsid w:val="00C56567"/>
    <w:rsid w:val="00C567E1"/>
    <w:rsid w:val="00C56937"/>
    <w:rsid w:val="00C56A89"/>
    <w:rsid w:val="00C56AEA"/>
    <w:rsid w:val="00C57AA9"/>
    <w:rsid w:val="00C60530"/>
    <w:rsid w:val="00C616FA"/>
    <w:rsid w:val="00C61D1A"/>
    <w:rsid w:val="00C61DC3"/>
    <w:rsid w:val="00C61E77"/>
    <w:rsid w:val="00C620BD"/>
    <w:rsid w:val="00C620DD"/>
    <w:rsid w:val="00C624AD"/>
    <w:rsid w:val="00C6259D"/>
    <w:rsid w:val="00C625E0"/>
    <w:rsid w:val="00C627AD"/>
    <w:rsid w:val="00C6281B"/>
    <w:rsid w:val="00C629CF"/>
    <w:rsid w:val="00C63C48"/>
    <w:rsid w:val="00C63C60"/>
    <w:rsid w:val="00C63C65"/>
    <w:rsid w:val="00C64118"/>
    <w:rsid w:val="00C647C8"/>
    <w:rsid w:val="00C64D67"/>
    <w:rsid w:val="00C6542D"/>
    <w:rsid w:val="00C654E0"/>
    <w:rsid w:val="00C65731"/>
    <w:rsid w:val="00C65758"/>
    <w:rsid w:val="00C65786"/>
    <w:rsid w:val="00C65E37"/>
    <w:rsid w:val="00C6608C"/>
    <w:rsid w:val="00C6657F"/>
    <w:rsid w:val="00C668FA"/>
    <w:rsid w:val="00C66B78"/>
    <w:rsid w:val="00C67186"/>
    <w:rsid w:val="00C673CD"/>
    <w:rsid w:val="00C67741"/>
    <w:rsid w:val="00C67959"/>
    <w:rsid w:val="00C67C6B"/>
    <w:rsid w:val="00C7002C"/>
    <w:rsid w:val="00C70352"/>
    <w:rsid w:val="00C709C5"/>
    <w:rsid w:val="00C70BC9"/>
    <w:rsid w:val="00C70D7C"/>
    <w:rsid w:val="00C70DCC"/>
    <w:rsid w:val="00C71F9B"/>
    <w:rsid w:val="00C721D8"/>
    <w:rsid w:val="00C72954"/>
    <w:rsid w:val="00C73290"/>
    <w:rsid w:val="00C73371"/>
    <w:rsid w:val="00C73806"/>
    <w:rsid w:val="00C7386E"/>
    <w:rsid w:val="00C73C1A"/>
    <w:rsid w:val="00C73EE4"/>
    <w:rsid w:val="00C745B5"/>
    <w:rsid w:val="00C746FE"/>
    <w:rsid w:val="00C74883"/>
    <w:rsid w:val="00C75214"/>
    <w:rsid w:val="00C755A1"/>
    <w:rsid w:val="00C75D6C"/>
    <w:rsid w:val="00C76489"/>
    <w:rsid w:val="00C76A4F"/>
    <w:rsid w:val="00C76D2C"/>
    <w:rsid w:val="00C76D57"/>
    <w:rsid w:val="00C770EC"/>
    <w:rsid w:val="00C7713D"/>
    <w:rsid w:val="00C77F1D"/>
    <w:rsid w:val="00C802B5"/>
    <w:rsid w:val="00C804E3"/>
    <w:rsid w:val="00C80507"/>
    <w:rsid w:val="00C80550"/>
    <w:rsid w:val="00C806E5"/>
    <w:rsid w:val="00C8077F"/>
    <w:rsid w:val="00C8088F"/>
    <w:rsid w:val="00C80CB4"/>
    <w:rsid w:val="00C80F16"/>
    <w:rsid w:val="00C817F0"/>
    <w:rsid w:val="00C81856"/>
    <w:rsid w:val="00C81903"/>
    <w:rsid w:val="00C81AD8"/>
    <w:rsid w:val="00C81ADD"/>
    <w:rsid w:val="00C81C57"/>
    <w:rsid w:val="00C81ED4"/>
    <w:rsid w:val="00C82727"/>
    <w:rsid w:val="00C82B38"/>
    <w:rsid w:val="00C82BB1"/>
    <w:rsid w:val="00C83031"/>
    <w:rsid w:val="00C832CA"/>
    <w:rsid w:val="00C83415"/>
    <w:rsid w:val="00C83CDA"/>
    <w:rsid w:val="00C83D7C"/>
    <w:rsid w:val="00C84472"/>
    <w:rsid w:val="00C84B62"/>
    <w:rsid w:val="00C84F97"/>
    <w:rsid w:val="00C85319"/>
    <w:rsid w:val="00C8568D"/>
    <w:rsid w:val="00C859ED"/>
    <w:rsid w:val="00C85FEE"/>
    <w:rsid w:val="00C86156"/>
    <w:rsid w:val="00C863A1"/>
    <w:rsid w:val="00C8647E"/>
    <w:rsid w:val="00C867FF"/>
    <w:rsid w:val="00C86906"/>
    <w:rsid w:val="00C86A41"/>
    <w:rsid w:val="00C86D86"/>
    <w:rsid w:val="00C86EE8"/>
    <w:rsid w:val="00C873B1"/>
    <w:rsid w:val="00C873C9"/>
    <w:rsid w:val="00C873E2"/>
    <w:rsid w:val="00C874F1"/>
    <w:rsid w:val="00C87717"/>
    <w:rsid w:val="00C87BCD"/>
    <w:rsid w:val="00C901F2"/>
    <w:rsid w:val="00C90AD0"/>
    <w:rsid w:val="00C90B07"/>
    <w:rsid w:val="00C91164"/>
    <w:rsid w:val="00C91861"/>
    <w:rsid w:val="00C91A53"/>
    <w:rsid w:val="00C91EBE"/>
    <w:rsid w:val="00C92107"/>
    <w:rsid w:val="00C92F13"/>
    <w:rsid w:val="00C935F9"/>
    <w:rsid w:val="00C93F48"/>
    <w:rsid w:val="00C9427A"/>
    <w:rsid w:val="00C94ED7"/>
    <w:rsid w:val="00C94F7E"/>
    <w:rsid w:val="00C95646"/>
    <w:rsid w:val="00C95881"/>
    <w:rsid w:val="00C9599A"/>
    <w:rsid w:val="00C9652A"/>
    <w:rsid w:val="00C96604"/>
    <w:rsid w:val="00C96A99"/>
    <w:rsid w:val="00C96ABD"/>
    <w:rsid w:val="00C96EE7"/>
    <w:rsid w:val="00C97034"/>
    <w:rsid w:val="00C97586"/>
    <w:rsid w:val="00C97721"/>
    <w:rsid w:val="00C978EF"/>
    <w:rsid w:val="00C979CE"/>
    <w:rsid w:val="00C97AAC"/>
    <w:rsid w:val="00C97F7A"/>
    <w:rsid w:val="00CA02A5"/>
    <w:rsid w:val="00CA0380"/>
    <w:rsid w:val="00CA09AD"/>
    <w:rsid w:val="00CA0BFA"/>
    <w:rsid w:val="00CA0F59"/>
    <w:rsid w:val="00CA121E"/>
    <w:rsid w:val="00CA1311"/>
    <w:rsid w:val="00CA1F32"/>
    <w:rsid w:val="00CA1FEE"/>
    <w:rsid w:val="00CA21ED"/>
    <w:rsid w:val="00CA2327"/>
    <w:rsid w:val="00CA26E9"/>
    <w:rsid w:val="00CA2871"/>
    <w:rsid w:val="00CA2D54"/>
    <w:rsid w:val="00CA2EAA"/>
    <w:rsid w:val="00CA339D"/>
    <w:rsid w:val="00CA44D1"/>
    <w:rsid w:val="00CA4BA6"/>
    <w:rsid w:val="00CA5782"/>
    <w:rsid w:val="00CA5BBF"/>
    <w:rsid w:val="00CA5D52"/>
    <w:rsid w:val="00CA629E"/>
    <w:rsid w:val="00CA66FC"/>
    <w:rsid w:val="00CA6AC4"/>
    <w:rsid w:val="00CA7465"/>
    <w:rsid w:val="00CA7739"/>
    <w:rsid w:val="00CA7BB7"/>
    <w:rsid w:val="00CA7E16"/>
    <w:rsid w:val="00CA7EEA"/>
    <w:rsid w:val="00CB02E8"/>
    <w:rsid w:val="00CB0317"/>
    <w:rsid w:val="00CB0358"/>
    <w:rsid w:val="00CB036A"/>
    <w:rsid w:val="00CB0759"/>
    <w:rsid w:val="00CB0F3E"/>
    <w:rsid w:val="00CB1447"/>
    <w:rsid w:val="00CB15CE"/>
    <w:rsid w:val="00CB1A14"/>
    <w:rsid w:val="00CB1B86"/>
    <w:rsid w:val="00CB1EEE"/>
    <w:rsid w:val="00CB2169"/>
    <w:rsid w:val="00CB21E5"/>
    <w:rsid w:val="00CB2208"/>
    <w:rsid w:val="00CB261F"/>
    <w:rsid w:val="00CB26FF"/>
    <w:rsid w:val="00CB30DA"/>
    <w:rsid w:val="00CB313B"/>
    <w:rsid w:val="00CB4C2F"/>
    <w:rsid w:val="00CB4DA5"/>
    <w:rsid w:val="00CB5358"/>
    <w:rsid w:val="00CB5860"/>
    <w:rsid w:val="00CB5EA7"/>
    <w:rsid w:val="00CB6C34"/>
    <w:rsid w:val="00CB6D4D"/>
    <w:rsid w:val="00CB727F"/>
    <w:rsid w:val="00CB7638"/>
    <w:rsid w:val="00CB7769"/>
    <w:rsid w:val="00CB78E3"/>
    <w:rsid w:val="00CB7A5B"/>
    <w:rsid w:val="00CB7AD8"/>
    <w:rsid w:val="00CB7E69"/>
    <w:rsid w:val="00CC0422"/>
    <w:rsid w:val="00CC1272"/>
    <w:rsid w:val="00CC1A10"/>
    <w:rsid w:val="00CC1C90"/>
    <w:rsid w:val="00CC1D7A"/>
    <w:rsid w:val="00CC23CC"/>
    <w:rsid w:val="00CC24C3"/>
    <w:rsid w:val="00CC2B8E"/>
    <w:rsid w:val="00CC32C2"/>
    <w:rsid w:val="00CC3692"/>
    <w:rsid w:val="00CC3B9D"/>
    <w:rsid w:val="00CC3F64"/>
    <w:rsid w:val="00CC3FC6"/>
    <w:rsid w:val="00CC4229"/>
    <w:rsid w:val="00CC448F"/>
    <w:rsid w:val="00CC44BD"/>
    <w:rsid w:val="00CC4E5C"/>
    <w:rsid w:val="00CC4EDB"/>
    <w:rsid w:val="00CC5859"/>
    <w:rsid w:val="00CC5BFE"/>
    <w:rsid w:val="00CC60ED"/>
    <w:rsid w:val="00CC644D"/>
    <w:rsid w:val="00CC6BAD"/>
    <w:rsid w:val="00CC71F9"/>
    <w:rsid w:val="00CC7224"/>
    <w:rsid w:val="00CC7241"/>
    <w:rsid w:val="00CC7C85"/>
    <w:rsid w:val="00CC7CAA"/>
    <w:rsid w:val="00CC7E47"/>
    <w:rsid w:val="00CD0642"/>
    <w:rsid w:val="00CD08EB"/>
    <w:rsid w:val="00CD09B0"/>
    <w:rsid w:val="00CD0FF7"/>
    <w:rsid w:val="00CD10F7"/>
    <w:rsid w:val="00CD14F2"/>
    <w:rsid w:val="00CD17CC"/>
    <w:rsid w:val="00CD1B33"/>
    <w:rsid w:val="00CD20ED"/>
    <w:rsid w:val="00CD2139"/>
    <w:rsid w:val="00CD236D"/>
    <w:rsid w:val="00CD31C9"/>
    <w:rsid w:val="00CD36DD"/>
    <w:rsid w:val="00CD37C8"/>
    <w:rsid w:val="00CD392B"/>
    <w:rsid w:val="00CD3CDC"/>
    <w:rsid w:val="00CD484A"/>
    <w:rsid w:val="00CD4DDB"/>
    <w:rsid w:val="00CD4E45"/>
    <w:rsid w:val="00CD500D"/>
    <w:rsid w:val="00CD5214"/>
    <w:rsid w:val="00CD601F"/>
    <w:rsid w:val="00CD6538"/>
    <w:rsid w:val="00CD6A0A"/>
    <w:rsid w:val="00CD6B64"/>
    <w:rsid w:val="00CD6C37"/>
    <w:rsid w:val="00CD6DA2"/>
    <w:rsid w:val="00CD7410"/>
    <w:rsid w:val="00CD755C"/>
    <w:rsid w:val="00CD76A9"/>
    <w:rsid w:val="00CD7D61"/>
    <w:rsid w:val="00CE01B5"/>
    <w:rsid w:val="00CE02FA"/>
    <w:rsid w:val="00CE03A6"/>
    <w:rsid w:val="00CE040A"/>
    <w:rsid w:val="00CE0557"/>
    <w:rsid w:val="00CE05E7"/>
    <w:rsid w:val="00CE0CEF"/>
    <w:rsid w:val="00CE1264"/>
    <w:rsid w:val="00CE14B3"/>
    <w:rsid w:val="00CE1B26"/>
    <w:rsid w:val="00CE1F77"/>
    <w:rsid w:val="00CE26E6"/>
    <w:rsid w:val="00CE2AF9"/>
    <w:rsid w:val="00CE2E5D"/>
    <w:rsid w:val="00CE34A9"/>
    <w:rsid w:val="00CE3604"/>
    <w:rsid w:val="00CE361E"/>
    <w:rsid w:val="00CE36FD"/>
    <w:rsid w:val="00CE40DA"/>
    <w:rsid w:val="00CE4AA6"/>
    <w:rsid w:val="00CE4FB4"/>
    <w:rsid w:val="00CE50F4"/>
    <w:rsid w:val="00CE51A5"/>
    <w:rsid w:val="00CE59EE"/>
    <w:rsid w:val="00CE6207"/>
    <w:rsid w:val="00CE66C6"/>
    <w:rsid w:val="00CE6952"/>
    <w:rsid w:val="00CE6A52"/>
    <w:rsid w:val="00CE6BB3"/>
    <w:rsid w:val="00CE6C38"/>
    <w:rsid w:val="00CE7088"/>
    <w:rsid w:val="00CF08AE"/>
    <w:rsid w:val="00CF0B3C"/>
    <w:rsid w:val="00CF1260"/>
    <w:rsid w:val="00CF14D1"/>
    <w:rsid w:val="00CF1617"/>
    <w:rsid w:val="00CF16DC"/>
    <w:rsid w:val="00CF176B"/>
    <w:rsid w:val="00CF1B34"/>
    <w:rsid w:val="00CF1D02"/>
    <w:rsid w:val="00CF1F31"/>
    <w:rsid w:val="00CF2392"/>
    <w:rsid w:val="00CF2397"/>
    <w:rsid w:val="00CF27EC"/>
    <w:rsid w:val="00CF2BAE"/>
    <w:rsid w:val="00CF2F94"/>
    <w:rsid w:val="00CF3554"/>
    <w:rsid w:val="00CF37EC"/>
    <w:rsid w:val="00CF39B8"/>
    <w:rsid w:val="00CF39C4"/>
    <w:rsid w:val="00CF39EC"/>
    <w:rsid w:val="00CF3E37"/>
    <w:rsid w:val="00CF4167"/>
    <w:rsid w:val="00CF4776"/>
    <w:rsid w:val="00CF57C7"/>
    <w:rsid w:val="00CF5CD8"/>
    <w:rsid w:val="00CF6074"/>
    <w:rsid w:val="00CF63F3"/>
    <w:rsid w:val="00CF659D"/>
    <w:rsid w:val="00CF665B"/>
    <w:rsid w:val="00CF6746"/>
    <w:rsid w:val="00CF69CD"/>
    <w:rsid w:val="00CF6B0D"/>
    <w:rsid w:val="00CF6DDC"/>
    <w:rsid w:val="00CF72E5"/>
    <w:rsid w:val="00CF7855"/>
    <w:rsid w:val="00D00246"/>
    <w:rsid w:val="00D002FB"/>
    <w:rsid w:val="00D00340"/>
    <w:rsid w:val="00D00644"/>
    <w:rsid w:val="00D0112D"/>
    <w:rsid w:val="00D019F3"/>
    <w:rsid w:val="00D023FD"/>
    <w:rsid w:val="00D0250F"/>
    <w:rsid w:val="00D0276C"/>
    <w:rsid w:val="00D02E2E"/>
    <w:rsid w:val="00D03026"/>
    <w:rsid w:val="00D031D9"/>
    <w:rsid w:val="00D04117"/>
    <w:rsid w:val="00D0416B"/>
    <w:rsid w:val="00D04BE4"/>
    <w:rsid w:val="00D04D6D"/>
    <w:rsid w:val="00D05191"/>
    <w:rsid w:val="00D05284"/>
    <w:rsid w:val="00D058C8"/>
    <w:rsid w:val="00D05B1E"/>
    <w:rsid w:val="00D06372"/>
    <w:rsid w:val="00D06DFF"/>
    <w:rsid w:val="00D07174"/>
    <w:rsid w:val="00D071C5"/>
    <w:rsid w:val="00D10134"/>
    <w:rsid w:val="00D107E2"/>
    <w:rsid w:val="00D110D0"/>
    <w:rsid w:val="00D11142"/>
    <w:rsid w:val="00D1284A"/>
    <w:rsid w:val="00D1317D"/>
    <w:rsid w:val="00D13230"/>
    <w:rsid w:val="00D14555"/>
    <w:rsid w:val="00D1458D"/>
    <w:rsid w:val="00D14A22"/>
    <w:rsid w:val="00D14F0C"/>
    <w:rsid w:val="00D15322"/>
    <w:rsid w:val="00D15768"/>
    <w:rsid w:val="00D15A53"/>
    <w:rsid w:val="00D15CFA"/>
    <w:rsid w:val="00D15D51"/>
    <w:rsid w:val="00D15E28"/>
    <w:rsid w:val="00D16976"/>
    <w:rsid w:val="00D1706B"/>
    <w:rsid w:val="00D1730F"/>
    <w:rsid w:val="00D1740C"/>
    <w:rsid w:val="00D17C05"/>
    <w:rsid w:val="00D17CE7"/>
    <w:rsid w:val="00D201E9"/>
    <w:rsid w:val="00D20E61"/>
    <w:rsid w:val="00D21317"/>
    <w:rsid w:val="00D21599"/>
    <w:rsid w:val="00D21B51"/>
    <w:rsid w:val="00D21FFB"/>
    <w:rsid w:val="00D2215A"/>
    <w:rsid w:val="00D22517"/>
    <w:rsid w:val="00D22555"/>
    <w:rsid w:val="00D2260B"/>
    <w:rsid w:val="00D226C2"/>
    <w:rsid w:val="00D227EE"/>
    <w:rsid w:val="00D22F51"/>
    <w:rsid w:val="00D23071"/>
    <w:rsid w:val="00D2312E"/>
    <w:rsid w:val="00D23195"/>
    <w:rsid w:val="00D2331F"/>
    <w:rsid w:val="00D24106"/>
    <w:rsid w:val="00D24213"/>
    <w:rsid w:val="00D2534B"/>
    <w:rsid w:val="00D25564"/>
    <w:rsid w:val="00D257EF"/>
    <w:rsid w:val="00D25BFD"/>
    <w:rsid w:val="00D25F85"/>
    <w:rsid w:val="00D26520"/>
    <w:rsid w:val="00D26576"/>
    <w:rsid w:val="00D26577"/>
    <w:rsid w:val="00D266D4"/>
    <w:rsid w:val="00D266E6"/>
    <w:rsid w:val="00D26871"/>
    <w:rsid w:val="00D26E3F"/>
    <w:rsid w:val="00D26FB4"/>
    <w:rsid w:val="00D27054"/>
    <w:rsid w:val="00D2762B"/>
    <w:rsid w:val="00D276E5"/>
    <w:rsid w:val="00D276FD"/>
    <w:rsid w:val="00D27989"/>
    <w:rsid w:val="00D3033A"/>
    <w:rsid w:val="00D30455"/>
    <w:rsid w:val="00D30F88"/>
    <w:rsid w:val="00D31332"/>
    <w:rsid w:val="00D3157E"/>
    <w:rsid w:val="00D31AFD"/>
    <w:rsid w:val="00D32658"/>
    <w:rsid w:val="00D32DDC"/>
    <w:rsid w:val="00D332E2"/>
    <w:rsid w:val="00D3369D"/>
    <w:rsid w:val="00D33F35"/>
    <w:rsid w:val="00D340A0"/>
    <w:rsid w:val="00D3474C"/>
    <w:rsid w:val="00D34CC0"/>
    <w:rsid w:val="00D34FE7"/>
    <w:rsid w:val="00D35100"/>
    <w:rsid w:val="00D354B8"/>
    <w:rsid w:val="00D356AE"/>
    <w:rsid w:val="00D36127"/>
    <w:rsid w:val="00D36BFB"/>
    <w:rsid w:val="00D36CA7"/>
    <w:rsid w:val="00D372AC"/>
    <w:rsid w:val="00D374C4"/>
    <w:rsid w:val="00D37E9D"/>
    <w:rsid w:val="00D4039C"/>
    <w:rsid w:val="00D40B38"/>
    <w:rsid w:val="00D40ECA"/>
    <w:rsid w:val="00D411AE"/>
    <w:rsid w:val="00D412B8"/>
    <w:rsid w:val="00D427C2"/>
    <w:rsid w:val="00D42BCE"/>
    <w:rsid w:val="00D42C42"/>
    <w:rsid w:val="00D439B2"/>
    <w:rsid w:val="00D439F1"/>
    <w:rsid w:val="00D43E18"/>
    <w:rsid w:val="00D444C5"/>
    <w:rsid w:val="00D44514"/>
    <w:rsid w:val="00D44521"/>
    <w:rsid w:val="00D44565"/>
    <w:rsid w:val="00D45212"/>
    <w:rsid w:val="00D454BA"/>
    <w:rsid w:val="00D455B6"/>
    <w:rsid w:val="00D456DC"/>
    <w:rsid w:val="00D45718"/>
    <w:rsid w:val="00D45A49"/>
    <w:rsid w:val="00D45E23"/>
    <w:rsid w:val="00D460E4"/>
    <w:rsid w:val="00D46461"/>
    <w:rsid w:val="00D4683E"/>
    <w:rsid w:val="00D469DE"/>
    <w:rsid w:val="00D4702A"/>
    <w:rsid w:val="00D470D5"/>
    <w:rsid w:val="00D47824"/>
    <w:rsid w:val="00D47FEC"/>
    <w:rsid w:val="00D5027E"/>
    <w:rsid w:val="00D502DB"/>
    <w:rsid w:val="00D50444"/>
    <w:rsid w:val="00D5053B"/>
    <w:rsid w:val="00D50766"/>
    <w:rsid w:val="00D50980"/>
    <w:rsid w:val="00D50DA4"/>
    <w:rsid w:val="00D50FCA"/>
    <w:rsid w:val="00D51419"/>
    <w:rsid w:val="00D52999"/>
    <w:rsid w:val="00D52AAF"/>
    <w:rsid w:val="00D53CCF"/>
    <w:rsid w:val="00D53E42"/>
    <w:rsid w:val="00D54608"/>
    <w:rsid w:val="00D5473B"/>
    <w:rsid w:val="00D54C69"/>
    <w:rsid w:val="00D55247"/>
    <w:rsid w:val="00D5537B"/>
    <w:rsid w:val="00D5544A"/>
    <w:rsid w:val="00D55843"/>
    <w:rsid w:val="00D559DA"/>
    <w:rsid w:val="00D55B6C"/>
    <w:rsid w:val="00D55C61"/>
    <w:rsid w:val="00D55D58"/>
    <w:rsid w:val="00D55F46"/>
    <w:rsid w:val="00D55FD3"/>
    <w:rsid w:val="00D56057"/>
    <w:rsid w:val="00D56092"/>
    <w:rsid w:val="00D56543"/>
    <w:rsid w:val="00D56665"/>
    <w:rsid w:val="00D56C99"/>
    <w:rsid w:val="00D56EE4"/>
    <w:rsid w:val="00D5701F"/>
    <w:rsid w:val="00D578AF"/>
    <w:rsid w:val="00D60275"/>
    <w:rsid w:val="00D60556"/>
    <w:rsid w:val="00D60572"/>
    <w:rsid w:val="00D6136D"/>
    <w:rsid w:val="00D616F5"/>
    <w:rsid w:val="00D61BB4"/>
    <w:rsid w:val="00D624AE"/>
    <w:rsid w:val="00D6270C"/>
    <w:rsid w:val="00D627A7"/>
    <w:rsid w:val="00D62F8E"/>
    <w:rsid w:val="00D6320C"/>
    <w:rsid w:val="00D632DD"/>
    <w:rsid w:val="00D6330D"/>
    <w:rsid w:val="00D633D5"/>
    <w:rsid w:val="00D63960"/>
    <w:rsid w:val="00D64252"/>
    <w:rsid w:val="00D6437B"/>
    <w:rsid w:val="00D64899"/>
    <w:rsid w:val="00D64901"/>
    <w:rsid w:val="00D649B6"/>
    <w:rsid w:val="00D649E9"/>
    <w:rsid w:val="00D64F1D"/>
    <w:rsid w:val="00D65584"/>
    <w:rsid w:val="00D65AA3"/>
    <w:rsid w:val="00D65DFF"/>
    <w:rsid w:val="00D661F5"/>
    <w:rsid w:val="00D66691"/>
    <w:rsid w:val="00D6720A"/>
    <w:rsid w:val="00D674E8"/>
    <w:rsid w:val="00D675FC"/>
    <w:rsid w:val="00D67734"/>
    <w:rsid w:val="00D67835"/>
    <w:rsid w:val="00D678E5"/>
    <w:rsid w:val="00D67C22"/>
    <w:rsid w:val="00D67CE2"/>
    <w:rsid w:val="00D67CFB"/>
    <w:rsid w:val="00D67D0F"/>
    <w:rsid w:val="00D67EE5"/>
    <w:rsid w:val="00D704E8"/>
    <w:rsid w:val="00D70883"/>
    <w:rsid w:val="00D70ABE"/>
    <w:rsid w:val="00D718D2"/>
    <w:rsid w:val="00D71AD0"/>
    <w:rsid w:val="00D71B67"/>
    <w:rsid w:val="00D71D28"/>
    <w:rsid w:val="00D71DF3"/>
    <w:rsid w:val="00D726C1"/>
    <w:rsid w:val="00D72CE1"/>
    <w:rsid w:val="00D72DD3"/>
    <w:rsid w:val="00D734E3"/>
    <w:rsid w:val="00D739C2"/>
    <w:rsid w:val="00D73A01"/>
    <w:rsid w:val="00D73A3B"/>
    <w:rsid w:val="00D73E24"/>
    <w:rsid w:val="00D73F90"/>
    <w:rsid w:val="00D740C0"/>
    <w:rsid w:val="00D74182"/>
    <w:rsid w:val="00D7425E"/>
    <w:rsid w:val="00D74527"/>
    <w:rsid w:val="00D74A88"/>
    <w:rsid w:val="00D74AE6"/>
    <w:rsid w:val="00D74B66"/>
    <w:rsid w:val="00D74EEE"/>
    <w:rsid w:val="00D74FB2"/>
    <w:rsid w:val="00D74FF2"/>
    <w:rsid w:val="00D761BF"/>
    <w:rsid w:val="00D7624A"/>
    <w:rsid w:val="00D76DCD"/>
    <w:rsid w:val="00D775E5"/>
    <w:rsid w:val="00D77DDF"/>
    <w:rsid w:val="00D77FC5"/>
    <w:rsid w:val="00D810C3"/>
    <w:rsid w:val="00D8123F"/>
    <w:rsid w:val="00D8179E"/>
    <w:rsid w:val="00D818A8"/>
    <w:rsid w:val="00D818DB"/>
    <w:rsid w:val="00D81959"/>
    <w:rsid w:val="00D82CA9"/>
    <w:rsid w:val="00D82E5D"/>
    <w:rsid w:val="00D83AA4"/>
    <w:rsid w:val="00D83C5D"/>
    <w:rsid w:val="00D83F2B"/>
    <w:rsid w:val="00D84371"/>
    <w:rsid w:val="00D84417"/>
    <w:rsid w:val="00D844C3"/>
    <w:rsid w:val="00D844FD"/>
    <w:rsid w:val="00D84813"/>
    <w:rsid w:val="00D84AFB"/>
    <w:rsid w:val="00D84DB9"/>
    <w:rsid w:val="00D851BA"/>
    <w:rsid w:val="00D85884"/>
    <w:rsid w:val="00D85BDA"/>
    <w:rsid w:val="00D85C05"/>
    <w:rsid w:val="00D85FE5"/>
    <w:rsid w:val="00D8623D"/>
    <w:rsid w:val="00D8662A"/>
    <w:rsid w:val="00D868E6"/>
    <w:rsid w:val="00D86ADB"/>
    <w:rsid w:val="00D86D37"/>
    <w:rsid w:val="00D86F4D"/>
    <w:rsid w:val="00D87895"/>
    <w:rsid w:val="00D87CC4"/>
    <w:rsid w:val="00D87CC6"/>
    <w:rsid w:val="00D90D6B"/>
    <w:rsid w:val="00D91279"/>
    <w:rsid w:val="00D9155C"/>
    <w:rsid w:val="00D915CC"/>
    <w:rsid w:val="00D91717"/>
    <w:rsid w:val="00D91BD5"/>
    <w:rsid w:val="00D92003"/>
    <w:rsid w:val="00D92357"/>
    <w:rsid w:val="00D92894"/>
    <w:rsid w:val="00D92C7B"/>
    <w:rsid w:val="00D92CC7"/>
    <w:rsid w:val="00D92D34"/>
    <w:rsid w:val="00D92F1A"/>
    <w:rsid w:val="00D92FF4"/>
    <w:rsid w:val="00D93FEB"/>
    <w:rsid w:val="00D940C5"/>
    <w:rsid w:val="00D9458D"/>
    <w:rsid w:val="00D94EB4"/>
    <w:rsid w:val="00D94F32"/>
    <w:rsid w:val="00D952D4"/>
    <w:rsid w:val="00D952F7"/>
    <w:rsid w:val="00D959AC"/>
    <w:rsid w:val="00D95C35"/>
    <w:rsid w:val="00D963FD"/>
    <w:rsid w:val="00D96643"/>
    <w:rsid w:val="00D96A18"/>
    <w:rsid w:val="00D96A52"/>
    <w:rsid w:val="00D96C88"/>
    <w:rsid w:val="00D9772D"/>
    <w:rsid w:val="00D97A92"/>
    <w:rsid w:val="00DA0E8B"/>
    <w:rsid w:val="00DA13A9"/>
    <w:rsid w:val="00DA1727"/>
    <w:rsid w:val="00DA183E"/>
    <w:rsid w:val="00DA1977"/>
    <w:rsid w:val="00DA1BF8"/>
    <w:rsid w:val="00DA1D29"/>
    <w:rsid w:val="00DA1E69"/>
    <w:rsid w:val="00DA2695"/>
    <w:rsid w:val="00DA2DF0"/>
    <w:rsid w:val="00DA303F"/>
    <w:rsid w:val="00DA3642"/>
    <w:rsid w:val="00DA39C0"/>
    <w:rsid w:val="00DA418F"/>
    <w:rsid w:val="00DA44BD"/>
    <w:rsid w:val="00DA4AA8"/>
    <w:rsid w:val="00DA4DBB"/>
    <w:rsid w:val="00DA52B0"/>
    <w:rsid w:val="00DA59C4"/>
    <w:rsid w:val="00DA5AB9"/>
    <w:rsid w:val="00DA5C7F"/>
    <w:rsid w:val="00DA6F39"/>
    <w:rsid w:val="00DA6FEA"/>
    <w:rsid w:val="00DA73C5"/>
    <w:rsid w:val="00DA7416"/>
    <w:rsid w:val="00DA754C"/>
    <w:rsid w:val="00DA7911"/>
    <w:rsid w:val="00DA7B9F"/>
    <w:rsid w:val="00DA7C28"/>
    <w:rsid w:val="00DB017F"/>
    <w:rsid w:val="00DB02B0"/>
    <w:rsid w:val="00DB067B"/>
    <w:rsid w:val="00DB09CD"/>
    <w:rsid w:val="00DB0BFA"/>
    <w:rsid w:val="00DB0F86"/>
    <w:rsid w:val="00DB1226"/>
    <w:rsid w:val="00DB1476"/>
    <w:rsid w:val="00DB1A73"/>
    <w:rsid w:val="00DB20F7"/>
    <w:rsid w:val="00DB2218"/>
    <w:rsid w:val="00DB223E"/>
    <w:rsid w:val="00DB24E6"/>
    <w:rsid w:val="00DB3006"/>
    <w:rsid w:val="00DB3376"/>
    <w:rsid w:val="00DB36E7"/>
    <w:rsid w:val="00DB3B7C"/>
    <w:rsid w:val="00DB3C24"/>
    <w:rsid w:val="00DB3CCD"/>
    <w:rsid w:val="00DB3E53"/>
    <w:rsid w:val="00DB40D0"/>
    <w:rsid w:val="00DB41B6"/>
    <w:rsid w:val="00DB4736"/>
    <w:rsid w:val="00DB499A"/>
    <w:rsid w:val="00DB54BD"/>
    <w:rsid w:val="00DB59A9"/>
    <w:rsid w:val="00DB5EA8"/>
    <w:rsid w:val="00DB62F2"/>
    <w:rsid w:val="00DB665D"/>
    <w:rsid w:val="00DB67E5"/>
    <w:rsid w:val="00DB68BB"/>
    <w:rsid w:val="00DB7293"/>
    <w:rsid w:val="00DB74AD"/>
    <w:rsid w:val="00DB7704"/>
    <w:rsid w:val="00DB7943"/>
    <w:rsid w:val="00DB7AB7"/>
    <w:rsid w:val="00DC0328"/>
    <w:rsid w:val="00DC06CC"/>
    <w:rsid w:val="00DC0932"/>
    <w:rsid w:val="00DC0DC4"/>
    <w:rsid w:val="00DC136A"/>
    <w:rsid w:val="00DC1373"/>
    <w:rsid w:val="00DC19F3"/>
    <w:rsid w:val="00DC20DC"/>
    <w:rsid w:val="00DC231D"/>
    <w:rsid w:val="00DC29BD"/>
    <w:rsid w:val="00DC32C8"/>
    <w:rsid w:val="00DC3844"/>
    <w:rsid w:val="00DC3A5E"/>
    <w:rsid w:val="00DC47FB"/>
    <w:rsid w:val="00DC49B2"/>
    <w:rsid w:val="00DC49EB"/>
    <w:rsid w:val="00DC4BA9"/>
    <w:rsid w:val="00DC4E0E"/>
    <w:rsid w:val="00DC4FB2"/>
    <w:rsid w:val="00DC5251"/>
    <w:rsid w:val="00DC56C1"/>
    <w:rsid w:val="00DC5750"/>
    <w:rsid w:val="00DC583E"/>
    <w:rsid w:val="00DC5B65"/>
    <w:rsid w:val="00DC5E33"/>
    <w:rsid w:val="00DC608B"/>
    <w:rsid w:val="00DC6549"/>
    <w:rsid w:val="00DC66B1"/>
    <w:rsid w:val="00DC7415"/>
    <w:rsid w:val="00DC79BF"/>
    <w:rsid w:val="00DC7A8E"/>
    <w:rsid w:val="00DC7F34"/>
    <w:rsid w:val="00DD08E7"/>
    <w:rsid w:val="00DD0A6F"/>
    <w:rsid w:val="00DD0E07"/>
    <w:rsid w:val="00DD13FF"/>
    <w:rsid w:val="00DD16D6"/>
    <w:rsid w:val="00DD4367"/>
    <w:rsid w:val="00DD4AB4"/>
    <w:rsid w:val="00DD4BEE"/>
    <w:rsid w:val="00DD4BEF"/>
    <w:rsid w:val="00DD4F20"/>
    <w:rsid w:val="00DD5B42"/>
    <w:rsid w:val="00DD5CEB"/>
    <w:rsid w:val="00DD5EDE"/>
    <w:rsid w:val="00DD653A"/>
    <w:rsid w:val="00DD6AF1"/>
    <w:rsid w:val="00DD6FA6"/>
    <w:rsid w:val="00DD777E"/>
    <w:rsid w:val="00DD777F"/>
    <w:rsid w:val="00DD78FA"/>
    <w:rsid w:val="00DD7DD4"/>
    <w:rsid w:val="00DD7F72"/>
    <w:rsid w:val="00DE042E"/>
    <w:rsid w:val="00DE0569"/>
    <w:rsid w:val="00DE19EE"/>
    <w:rsid w:val="00DE1D18"/>
    <w:rsid w:val="00DE2332"/>
    <w:rsid w:val="00DE236C"/>
    <w:rsid w:val="00DE2449"/>
    <w:rsid w:val="00DE26A0"/>
    <w:rsid w:val="00DE2751"/>
    <w:rsid w:val="00DE279B"/>
    <w:rsid w:val="00DE2F61"/>
    <w:rsid w:val="00DE35F4"/>
    <w:rsid w:val="00DE3799"/>
    <w:rsid w:val="00DE4135"/>
    <w:rsid w:val="00DE45D5"/>
    <w:rsid w:val="00DE4B2E"/>
    <w:rsid w:val="00DE55F8"/>
    <w:rsid w:val="00DE5BA9"/>
    <w:rsid w:val="00DE5E07"/>
    <w:rsid w:val="00DE61F9"/>
    <w:rsid w:val="00DE646E"/>
    <w:rsid w:val="00DE65B5"/>
    <w:rsid w:val="00DE6606"/>
    <w:rsid w:val="00DE66CF"/>
    <w:rsid w:val="00DE70D1"/>
    <w:rsid w:val="00DE7570"/>
    <w:rsid w:val="00DE79E6"/>
    <w:rsid w:val="00DE7D19"/>
    <w:rsid w:val="00DF0B8C"/>
    <w:rsid w:val="00DF14B3"/>
    <w:rsid w:val="00DF1B12"/>
    <w:rsid w:val="00DF1B9D"/>
    <w:rsid w:val="00DF23D3"/>
    <w:rsid w:val="00DF25AD"/>
    <w:rsid w:val="00DF2AE8"/>
    <w:rsid w:val="00DF3269"/>
    <w:rsid w:val="00DF328C"/>
    <w:rsid w:val="00DF3700"/>
    <w:rsid w:val="00DF3757"/>
    <w:rsid w:val="00DF3932"/>
    <w:rsid w:val="00DF3D72"/>
    <w:rsid w:val="00DF3F9D"/>
    <w:rsid w:val="00DF4694"/>
    <w:rsid w:val="00DF49DE"/>
    <w:rsid w:val="00DF56F7"/>
    <w:rsid w:val="00DF5C18"/>
    <w:rsid w:val="00DF66A6"/>
    <w:rsid w:val="00DF6C6D"/>
    <w:rsid w:val="00DF710C"/>
    <w:rsid w:val="00DF7536"/>
    <w:rsid w:val="00DF78DC"/>
    <w:rsid w:val="00DF7DA2"/>
    <w:rsid w:val="00E0017C"/>
    <w:rsid w:val="00E00438"/>
    <w:rsid w:val="00E0057D"/>
    <w:rsid w:val="00E0076A"/>
    <w:rsid w:val="00E011C0"/>
    <w:rsid w:val="00E01269"/>
    <w:rsid w:val="00E014CA"/>
    <w:rsid w:val="00E01A75"/>
    <w:rsid w:val="00E01E72"/>
    <w:rsid w:val="00E02CEF"/>
    <w:rsid w:val="00E02EE7"/>
    <w:rsid w:val="00E02F36"/>
    <w:rsid w:val="00E03123"/>
    <w:rsid w:val="00E03227"/>
    <w:rsid w:val="00E03333"/>
    <w:rsid w:val="00E03603"/>
    <w:rsid w:val="00E04503"/>
    <w:rsid w:val="00E047CC"/>
    <w:rsid w:val="00E04F60"/>
    <w:rsid w:val="00E050C8"/>
    <w:rsid w:val="00E0553D"/>
    <w:rsid w:val="00E05D5C"/>
    <w:rsid w:val="00E06388"/>
    <w:rsid w:val="00E06CF0"/>
    <w:rsid w:val="00E06DD0"/>
    <w:rsid w:val="00E06F28"/>
    <w:rsid w:val="00E0717F"/>
    <w:rsid w:val="00E071F4"/>
    <w:rsid w:val="00E072E2"/>
    <w:rsid w:val="00E0739C"/>
    <w:rsid w:val="00E0757C"/>
    <w:rsid w:val="00E077CE"/>
    <w:rsid w:val="00E0783F"/>
    <w:rsid w:val="00E10725"/>
    <w:rsid w:val="00E1104C"/>
    <w:rsid w:val="00E1120E"/>
    <w:rsid w:val="00E1133B"/>
    <w:rsid w:val="00E115EF"/>
    <w:rsid w:val="00E120A2"/>
    <w:rsid w:val="00E12109"/>
    <w:rsid w:val="00E12452"/>
    <w:rsid w:val="00E124EB"/>
    <w:rsid w:val="00E12A51"/>
    <w:rsid w:val="00E12F2D"/>
    <w:rsid w:val="00E1389C"/>
    <w:rsid w:val="00E13925"/>
    <w:rsid w:val="00E139B9"/>
    <w:rsid w:val="00E14457"/>
    <w:rsid w:val="00E14505"/>
    <w:rsid w:val="00E14684"/>
    <w:rsid w:val="00E148B6"/>
    <w:rsid w:val="00E148EB"/>
    <w:rsid w:val="00E14935"/>
    <w:rsid w:val="00E1493A"/>
    <w:rsid w:val="00E14DFD"/>
    <w:rsid w:val="00E14E61"/>
    <w:rsid w:val="00E14F6A"/>
    <w:rsid w:val="00E14FD6"/>
    <w:rsid w:val="00E1568F"/>
    <w:rsid w:val="00E157C4"/>
    <w:rsid w:val="00E15E11"/>
    <w:rsid w:val="00E16DBA"/>
    <w:rsid w:val="00E16FF6"/>
    <w:rsid w:val="00E17698"/>
    <w:rsid w:val="00E1792F"/>
    <w:rsid w:val="00E17D77"/>
    <w:rsid w:val="00E17FFC"/>
    <w:rsid w:val="00E200CB"/>
    <w:rsid w:val="00E201DB"/>
    <w:rsid w:val="00E2047F"/>
    <w:rsid w:val="00E20BF6"/>
    <w:rsid w:val="00E20E7C"/>
    <w:rsid w:val="00E21773"/>
    <w:rsid w:val="00E21BBF"/>
    <w:rsid w:val="00E22759"/>
    <w:rsid w:val="00E22C04"/>
    <w:rsid w:val="00E2355D"/>
    <w:rsid w:val="00E2390D"/>
    <w:rsid w:val="00E23938"/>
    <w:rsid w:val="00E23EC4"/>
    <w:rsid w:val="00E240C4"/>
    <w:rsid w:val="00E244E9"/>
    <w:rsid w:val="00E24653"/>
    <w:rsid w:val="00E24A4C"/>
    <w:rsid w:val="00E24B92"/>
    <w:rsid w:val="00E24BCC"/>
    <w:rsid w:val="00E25398"/>
    <w:rsid w:val="00E25590"/>
    <w:rsid w:val="00E25655"/>
    <w:rsid w:val="00E2577F"/>
    <w:rsid w:val="00E25A3F"/>
    <w:rsid w:val="00E25E4A"/>
    <w:rsid w:val="00E26155"/>
    <w:rsid w:val="00E265E7"/>
    <w:rsid w:val="00E26AAB"/>
    <w:rsid w:val="00E26B15"/>
    <w:rsid w:val="00E26B7B"/>
    <w:rsid w:val="00E2717F"/>
    <w:rsid w:val="00E2757B"/>
    <w:rsid w:val="00E2762A"/>
    <w:rsid w:val="00E27C59"/>
    <w:rsid w:val="00E27FB2"/>
    <w:rsid w:val="00E30013"/>
    <w:rsid w:val="00E3004F"/>
    <w:rsid w:val="00E30440"/>
    <w:rsid w:val="00E307D0"/>
    <w:rsid w:val="00E30F13"/>
    <w:rsid w:val="00E30FDC"/>
    <w:rsid w:val="00E3110F"/>
    <w:rsid w:val="00E31A8A"/>
    <w:rsid w:val="00E32710"/>
    <w:rsid w:val="00E32E8A"/>
    <w:rsid w:val="00E33082"/>
    <w:rsid w:val="00E331C7"/>
    <w:rsid w:val="00E337AB"/>
    <w:rsid w:val="00E33A12"/>
    <w:rsid w:val="00E33B39"/>
    <w:rsid w:val="00E33C9F"/>
    <w:rsid w:val="00E33CB0"/>
    <w:rsid w:val="00E33EB0"/>
    <w:rsid w:val="00E341D7"/>
    <w:rsid w:val="00E34605"/>
    <w:rsid w:val="00E349E9"/>
    <w:rsid w:val="00E34CC8"/>
    <w:rsid w:val="00E34FA0"/>
    <w:rsid w:val="00E3509A"/>
    <w:rsid w:val="00E350DF"/>
    <w:rsid w:val="00E35687"/>
    <w:rsid w:val="00E356B7"/>
    <w:rsid w:val="00E35BDE"/>
    <w:rsid w:val="00E36134"/>
    <w:rsid w:val="00E36304"/>
    <w:rsid w:val="00E3649F"/>
    <w:rsid w:val="00E365F0"/>
    <w:rsid w:val="00E366F7"/>
    <w:rsid w:val="00E36933"/>
    <w:rsid w:val="00E37294"/>
    <w:rsid w:val="00E37EB5"/>
    <w:rsid w:val="00E40181"/>
    <w:rsid w:val="00E40858"/>
    <w:rsid w:val="00E41561"/>
    <w:rsid w:val="00E41960"/>
    <w:rsid w:val="00E41DE8"/>
    <w:rsid w:val="00E42491"/>
    <w:rsid w:val="00E4312E"/>
    <w:rsid w:val="00E433B7"/>
    <w:rsid w:val="00E43415"/>
    <w:rsid w:val="00E4366C"/>
    <w:rsid w:val="00E43682"/>
    <w:rsid w:val="00E44165"/>
    <w:rsid w:val="00E44422"/>
    <w:rsid w:val="00E44D2A"/>
    <w:rsid w:val="00E45257"/>
    <w:rsid w:val="00E45775"/>
    <w:rsid w:val="00E45C45"/>
    <w:rsid w:val="00E45D5A"/>
    <w:rsid w:val="00E45E21"/>
    <w:rsid w:val="00E45EDF"/>
    <w:rsid w:val="00E46299"/>
    <w:rsid w:val="00E4676A"/>
    <w:rsid w:val="00E46AFE"/>
    <w:rsid w:val="00E47271"/>
    <w:rsid w:val="00E47BA1"/>
    <w:rsid w:val="00E5014D"/>
    <w:rsid w:val="00E501EF"/>
    <w:rsid w:val="00E50386"/>
    <w:rsid w:val="00E506FD"/>
    <w:rsid w:val="00E50C27"/>
    <w:rsid w:val="00E50D2E"/>
    <w:rsid w:val="00E5148D"/>
    <w:rsid w:val="00E52339"/>
    <w:rsid w:val="00E52568"/>
    <w:rsid w:val="00E52E90"/>
    <w:rsid w:val="00E5308F"/>
    <w:rsid w:val="00E53983"/>
    <w:rsid w:val="00E53DE6"/>
    <w:rsid w:val="00E53DFF"/>
    <w:rsid w:val="00E540F8"/>
    <w:rsid w:val="00E553E7"/>
    <w:rsid w:val="00E55497"/>
    <w:rsid w:val="00E55697"/>
    <w:rsid w:val="00E55FE7"/>
    <w:rsid w:val="00E56038"/>
    <w:rsid w:val="00E5612E"/>
    <w:rsid w:val="00E562A9"/>
    <w:rsid w:val="00E56A23"/>
    <w:rsid w:val="00E56EB6"/>
    <w:rsid w:val="00E577D2"/>
    <w:rsid w:val="00E6023E"/>
    <w:rsid w:val="00E6077F"/>
    <w:rsid w:val="00E60EF0"/>
    <w:rsid w:val="00E60FDE"/>
    <w:rsid w:val="00E612F0"/>
    <w:rsid w:val="00E61946"/>
    <w:rsid w:val="00E61A92"/>
    <w:rsid w:val="00E61C2A"/>
    <w:rsid w:val="00E61F66"/>
    <w:rsid w:val="00E61F8F"/>
    <w:rsid w:val="00E62004"/>
    <w:rsid w:val="00E6208F"/>
    <w:rsid w:val="00E62321"/>
    <w:rsid w:val="00E62453"/>
    <w:rsid w:val="00E62657"/>
    <w:rsid w:val="00E62757"/>
    <w:rsid w:val="00E62867"/>
    <w:rsid w:val="00E6290B"/>
    <w:rsid w:val="00E62C52"/>
    <w:rsid w:val="00E638C0"/>
    <w:rsid w:val="00E63904"/>
    <w:rsid w:val="00E63EAB"/>
    <w:rsid w:val="00E640D4"/>
    <w:rsid w:val="00E642AF"/>
    <w:rsid w:val="00E6492A"/>
    <w:rsid w:val="00E64DBF"/>
    <w:rsid w:val="00E64F84"/>
    <w:rsid w:val="00E650A8"/>
    <w:rsid w:val="00E65C5A"/>
    <w:rsid w:val="00E66372"/>
    <w:rsid w:val="00E664EE"/>
    <w:rsid w:val="00E66EFB"/>
    <w:rsid w:val="00E67006"/>
    <w:rsid w:val="00E674E3"/>
    <w:rsid w:val="00E67684"/>
    <w:rsid w:val="00E6784D"/>
    <w:rsid w:val="00E67AB7"/>
    <w:rsid w:val="00E67C31"/>
    <w:rsid w:val="00E67FB1"/>
    <w:rsid w:val="00E702CD"/>
    <w:rsid w:val="00E706B4"/>
    <w:rsid w:val="00E7080B"/>
    <w:rsid w:val="00E71098"/>
    <w:rsid w:val="00E71100"/>
    <w:rsid w:val="00E716F1"/>
    <w:rsid w:val="00E71AB8"/>
    <w:rsid w:val="00E71B4E"/>
    <w:rsid w:val="00E721FC"/>
    <w:rsid w:val="00E7292E"/>
    <w:rsid w:val="00E72A2A"/>
    <w:rsid w:val="00E72DF0"/>
    <w:rsid w:val="00E74443"/>
    <w:rsid w:val="00E746A5"/>
    <w:rsid w:val="00E7498A"/>
    <w:rsid w:val="00E74C5D"/>
    <w:rsid w:val="00E7512E"/>
    <w:rsid w:val="00E7550A"/>
    <w:rsid w:val="00E75A55"/>
    <w:rsid w:val="00E75AE3"/>
    <w:rsid w:val="00E76C5C"/>
    <w:rsid w:val="00E77172"/>
    <w:rsid w:val="00E77580"/>
    <w:rsid w:val="00E77637"/>
    <w:rsid w:val="00E77724"/>
    <w:rsid w:val="00E77A91"/>
    <w:rsid w:val="00E77B26"/>
    <w:rsid w:val="00E77B75"/>
    <w:rsid w:val="00E8018E"/>
    <w:rsid w:val="00E807CA"/>
    <w:rsid w:val="00E80849"/>
    <w:rsid w:val="00E810D4"/>
    <w:rsid w:val="00E812A1"/>
    <w:rsid w:val="00E8135E"/>
    <w:rsid w:val="00E81690"/>
    <w:rsid w:val="00E81950"/>
    <w:rsid w:val="00E81DC1"/>
    <w:rsid w:val="00E82691"/>
    <w:rsid w:val="00E82CC0"/>
    <w:rsid w:val="00E82FD5"/>
    <w:rsid w:val="00E8319A"/>
    <w:rsid w:val="00E8449B"/>
    <w:rsid w:val="00E84759"/>
    <w:rsid w:val="00E84BC2"/>
    <w:rsid w:val="00E8520C"/>
    <w:rsid w:val="00E853E4"/>
    <w:rsid w:val="00E85519"/>
    <w:rsid w:val="00E85872"/>
    <w:rsid w:val="00E858FD"/>
    <w:rsid w:val="00E862E8"/>
    <w:rsid w:val="00E868DF"/>
    <w:rsid w:val="00E8703F"/>
    <w:rsid w:val="00E87181"/>
    <w:rsid w:val="00E874DC"/>
    <w:rsid w:val="00E87726"/>
    <w:rsid w:val="00E87A4B"/>
    <w:rsid w:val="00E90CCE"/>
    <w:rsid w:val="00E90E35"/>
    <w:rsid w:val="00E917E7"/>
    <w:rsid w:val="00E9193C"/>
    <w:rsid w:val="00E91BAC"/>
    <w:rsid w:val="00E91C96"/>
    <w:rsid w:val="00E91E98"/>
    <w:rsid w:val="00E92579"/>
    <w:rsid w:val="00E927B1"/>
    <w:rsid w:val="00E929C5"/>
    <w:rsid w:val="00E92AEC"/>
    <w:rsid w:val="00E9301A"/>
    <w:rsid w:val="00E9341C"/>
    <w:rsid w:val="00E93460"/>
    <w:rsid w:val="00E9372C"/>
    <w:rsid w:val="00E939E1"/>
    <w:rsid w:val="00E93B16"/>
    <w:rsid w:val="00E93F48"/>
    <w:rsid w:val="00E94421"/>
    <w:rsid w:val="00E946E8"/>
    <w:rsid w:val="00E948AF"/>
    <w:rsid w:val="00E94BF3"/>
    <w:rsid w:val="00E9565B"/>
    <w:rsid w:val="00E95665"/>
    <w:rsid w:val="00E957AF"/>
    <w:rsid w:val="00E95DF1"/>
    <w:rsid w:val="00E95E52"/>
    <w:rsid w:val="00E95FE3"/>
    <w:rsid w:val="00E9659C"/>
    <w:rsid w:val="00EA07BD"/>
    <w:rsid w:val="00EA088F"/>
    <w:rsid w:val="00EA0A48"/>
    <w:rsid w:val="00EA0CBB"/>
    <w:rsid w:val="00EA0FEE"/>
    <w:rsid w:val="00EA10A9"/>
    <w:rsid w:val="00EA1499"/>
    <w:rsid w:val="00EA174E"/>
    <w:rsid w:val="00EA1DE2"/>
    <w:rsid w:val="00EA1FB9"/>
    <w:rsid w:val="00EA1FF8"/>
    <w:rsid w:val="00EA2A59"/>
    <w:rsid w:val="00EA2DF0"/>
    <w:rsid w:val="00EA2F22"/>
    <w:rsid w:val="00EA3BD7"/>
    <w:rsid w:val="00EA427B"/>
    <w:rsid w:val="00EA4BC0"/>
    <w:rsid w:val="00EA4E35"/>
    <w:rsid w:val="00EA4F71"/>
    <w:rsid w:val="00EA57E8"/>
    <w:rsid w:val="00EA5AC9"/>
    <w:rsid w:val="00EA5C40"/>
    <w:rsid w:val="00EA5E01"/>
    <w:rsid w:val="00EA610B"/>
    <w:rsid w:val="00EA6128"/>
    <w:rsid w:val="00EA649D"/>
    <w:rsid w:val="00EA72B7"/>
    <w:rsid w:val="00EA76BA"/>
    <w:rsid w:val="00EA79DE"/>
    <w:rsid w:val="00EB0C13"/>
    <w:rsid w:val="00EB124A"/>
    <w:rsid w:val="00EB1384"/>
    <w:rsid w:val="00EB1A1F"/>
    <w:rsid w:val="00EB21C8"/>
    <w:rsid w:val="00EB27E0"/>
    <w:rsid w:val="00EB2E59"/>
    <w:rsid w:val="00EB3141"/>
    <w:rsid w:val="00EB3756"/>
    <w:rsid w:val="00EB3BBE"/>
    <w:rsid w:val="00EB4310"/>
    <w:rsid w:val="00EB43DD"/>
    <w:rsid w:val="00EB4862"/>
    <w:rsid w:val="00EB4C29"/>
    <w:rsid w:val="00EB5738"/>
    <w:rsid w:val="00EB58D4"/>
    <w:rsid w:val="00EB59C4"/>
    <w:rsid w:val="00EB60DB"/>
    <w:rsid w:val="00EB64BE"/>
    <w:rsid w:val="00EB6537"/>
    <w:rsid w:val="00EB7197"/>
    <w:rsid w:val="00EB74D9"/>
    <w:rsid w:val="00EB7726"/>
    <w:rsid w:val="00EB7943"/>
    <w:rsid w:val="00EB7E15"/>
    <w:rsid w:val="00EC0141"/>
    <w:rsid w:val="00EC0DA3"/>
    <w:rsid w:val="00EC105C"/>
    <w:rsid w:val="00EC1092"/>
    <w:rsid w:val="00EC138E"/>
    <w:rsid w:val="00EC13D7"/>
    <w:rsid w:val="00EC14D3"/>
    <w:rsid w:val="00EC19C1"/>
    <w:rsid w:val="00EC1C07"/>
    <w:rsid w:val="00EC1E7F"/>
    <w:rsid w:val="00EC2A7D"/>
    <w:rsid w:val="00EC2DF4"/>
    <w:rsid w:val="00EC3282"/>
    <w:rsid w:val="00EC3F5A"/>
    <w:rsid w:val="00EC4AEB"/>
    <w:rsid w:val="00EC4F5E"/>
    <w:rsid w:val="00EC5259"/>
    <w:rsid w:val="00EC575E"/>
    <w:rsid w:val="00EC5797"/>
    <w:rsid w:val="00EC5CE8"/>
    <w:rsid w:val="00EC6055"/>
    <w:rsid w:val="00EC607D"/>
    <w:rsid w:val="00EC609F"/>
    <w:rsid w:val="00EC6171"/>
    <w:rsid w:val="00EC6293"/>
    <w:rsid w:val="00EC6363"/>
    <w:rsid w:val="00EC6D2D"/>
    <w:rsid w:val="00EC79D0"/>
    <w:rsid w:val="00EC7C2A"/>
    <w:rsid w:val="00EC7D33"/>
    <w:rsid w:val="00EC7FE4"/>
    <w:rsid w:val="00ED031C"/>
    <w:rsid w:val="00ED0338"/>
    <w:rsid w:val="00ED0945"/>
    <w:rsid w:val="00ED0C18"/>
    <w:rsid w:val="00ED0C2C"/>
    <w:rsid w:val="00ED0C48"/>
    <w:rsid w:val="00ED141D"/>
    <w:rsid w:val="00ED161F"/>
    <w:rsid w:val="00ED1651"/>
    <w:rsid w:val="00ED165D"/>
    <w:rsid w:val="00ED1677"/>
    <w:rsid w:val="00ED1780"/>
    <w:rsid w:val="00ED1AD6"/>
    <w:rsid w:val="00ED2922"/>
    <w:rsid w:val="00ED2B0F"/>
    <w:rsid w:val="00ED2B3D"/>
    <w:rsid w:val="00ED371C"/>
    <w:rsid w:val="00ED373A"/>
    <w:rsid w:val="00ED3AE9"/>
    <w:rsid w:val="00ED3BC8"/>
    <w:rsid w:val="00ED439D"/>
    <w:rsid w:val="00ED4AEA"/>
    <w:rsid w:val="00ED4F75"/>
    <w:rsid w:val="00ED4FFE"/>
    <w:rsid w:val="00ED5182"/>
    <w:rsid w:val="00ED60CF"/>
    <w:rsid w:val="00ED61BA"/>
    <w:rsid w:val="00ED61C8"/>
    <w:rsid w:val="00ED6221"/>
    <w:rsid w:val="00ED6FC2"/>
    <w:rsid w:val="00ED711C"/>
    <w:rsid w:val="00ED72A5"/>
    <w:rsid w:val="00ED7CFB"/>
    <w:rsid w:val="00EE0C76"/>
    <w:rsid w:val="00EE0EA8"/>
    <w:rsid w:val="00EE15B4"/>
    <w:rsid w:val="00EE1666"/>
    <w:rsid w:val="00EE1794"/>
    <w:rsid w:val="00EE1BF6"/>
    <w:rsid w:val="00EE1D95"/>
    <w:rsid w:val="00EE1F1B"/>
    <w:rsid w:val="00EE2165"/>
    <w:rsid w:val="00EE22D2"/>
    <w:rsid w:val="00EE2554"/>
    <w:rsid w:val="00EE2B35"/>
    <w:rsid w:val="00EE341A"/>
    <w:rsid w:val="00EE35C1"/>
    <w:rsid w:val="00EE3C5F"/>
    <w:rsid w:val="00EE42B8"/>
    <w:rsid w:val="00EE451B"/>
    <w:rsid w:val="00EE4619"/>
    <w:rsid w:val="00EE52CD"/>
    <w:rsid w:val="00EE5404"/>
    <w:rsid w:val="00EE55E7"/>
    <w:rsid w:val="00EE5B27"/>
    <w:rsid w:val="00EE5DBC"/>
    <w:rsid w:val="00EE65DE"/>
    <w:rsid w:val="00EE6E02"/>
    <w:rsid w:val="00EE7107"/>
    <w:rsid w:val="00EE738D"/>
    <w:rsid w:val="00EE744A"/>
    <w:rsid w:val="00EE7980"/>
    <w:rsid w:val="00EE7A6B"/>
    <w:rsid w:val="00EF0E36"/>
    <w:rsid w:val="00EF19C2"/>
    <w:rsid w:val="00EF1A07"/>
    <w:rsid w:val="00EF2202"/>
    <w:rsid w:val="00EF272E"/>
    <w:rsid w:val="00EF2854"/>
    <w:rsid w:val="00EF29A2"/>
    <w:rsid w:val="00EF2B6E"/>
    <w:rsid w:val="00EF31D3"/>
    <w:rsid w:val="00EF36C5"/>
    <w:rsid w:val="00EF3ACD"/>
    <w:rsid w:val="00EF3F88"/>
    <w:rsid w:val="00EF4954"/>
    <w:rsid w:val="00EF4B75"/>
    <w:rsid w:val="00EF5D54"/>
    <w:rsid w:val="00EF653A"/>
    <w:rsid w:val="00EF6ED8"/>
    <w:rsid w:val="00EF736F"/>
    <w:rsid w:val="00EF77D6"/>
    <w:rsid w:val="00F00364"/>
    <w:rsid w:val="00F004D1"/>
    <w:rsid w:val="00F01434"/>
    <w:rsid w:val="00F0150C"/>
    <w:rsid w:val="00F01B40"/>
    <w:rsid w:val="00F01D8A"/>
    <w:rsid w:val="00F02436"/>
    <w:rsid w:val="00F02470"/>
    <w:rsid w:val="00F02801"/>
    <w:rsid w:val="00F02CC0"/>
    <w:rsid w:val="00F0362C"/>
    <w:rsid w:val="00F039A5"/>
    <w:rsid w:val="00F03E99"/>
    <w:rsid w:val="00F03F5C"/>
    <w:rsid w:val="00F044CB"/>
    <w:rsid w:val="00F04738"/>
    <w:rsid w:val="00F0474E"/>
    <w:rsid w:val="00F0485F"/>
    <w:rsid w:val="00F04C47"/>
    <w:rsid w:val="00F04C5A"/>
    <w:rsid w:val="00F04D24"/>
    <w:rsid w:val="00F050E9"/>
    <w:rsid w:val="00F053BD"/>
    <w:rsid w:val="00F0556D"/>
    <w:rsid w:val="00F05F51"/>
    <w:rsid w:val="00F06219"/>
    <w:rsid w:val="00F06235"/>
    <w:rsid w:val="00F06324"/>
    <w:rsid w:val="00F06777"/>
    <w:rsid w:val="00F068F1"/>
    <w:rsid w:val="00F06C41"/>
    <w:rsid w:val="00F06F16"/>
    <w:rsid w:val="00F074D2"/>
    <w:rsid w:val="00F07D54"/>
    <w:rsid w:val="00F1007A"/>
    <w:rsid w:val="00F1091B"/>
    <w:rsid w:val="00F10A28"/>
    <w:rsid w:val="00F1107D"/>
    <w:rsid w:val="00F116EF"/>
    <w:rsid w:val="00F1179B"/>
    <w:rsid w:val="00F11905"/>
    <w:rsid w:val="00F11A68"/>
    <w:rsid w:val="00F12072"/>
    <w:rsid w:val="00F126C0"/>
    <w:rsid w:val="00F1302D"/>
    <w:rsid w:val="00F13349"/>
    <w:rsid w:val="00F13554"/>
    <w:rsid w:val="00F136B4"/>
    <w:rsid w:val="00F13AFD"/>
    <w:rsid w:val="00F13AFE"/>
    <w:rsid w:val="00F13DF9"/>
    <w:rsid w:val="00F142AC"/>
    <w:rsid w:val="00F14446"/>
    <w:rsid w:val="00F148EA"/>
    <w:rsid w:val="00F149F2"/>
    <w:rsid w:val="00F14BEF"/>
    <w:rsid w:val="00F14DA3"/>
    <w:rsid w:val="00F15A70"/>
    <w:rsid w:val="00F16300"/>
    <w:rsid w:val="00F1695E"/>
    <w:rsid w:val="00F17B05"/>
    <w:rsid w:val="00F203DB"/>
    <w:rsid w:val="00F214FC"/>
    <w:rsid w:val="00F2160C"/>
    <w:rsid w:val="00F2163D"/>
    <w:rsid w:val="00F2189F"/>
    <w:rsid w:val="00F219A3"/>
    <w:rsid w:val="00F21C73"/>
    <w:rsid w:val="00F2215A"/>
    <w:rsid w:val="00F2223F"/>
    <w:rsid w:val="00F222E9"/>
    <w:rsid w:val="00F22342"/>
    <w:rsid w:val="00F22404"/>
    <w:rsid w:val="00F22415"/>
    <w:rsid w:val="00F2295B"/>
    <w:rsid w:val="00F22C2C"/>
    <w:rsid w:val="00F23257"/>
    <w:rsid w:val="00F2362A"/>
    <w:rsid w:val="00F237C6"/>
    <w:rsid w:val="00F24105"/>
    <w:rsid w:val="00F24ADC"/>
    <w:rsid w:val="00F2526D"/>
    <w:rsid w:val="00F2639B"/>
    <w:rsid w:val="00F26449"/>
    <w:rsid w:val="00F266B3"/>
    <w:rsid w:val="00F266BC"/>
    <w:rsid w:val="00F26A43"/>
    <w:rsid w:val="00F26A4C"/>
    <w:rsid w:val="00F26CBE"/>
    <w:rsid w:val="00F26D16"/>
    <w:rsid w:val="00F26EB6"/>
    <w:rsid w:val="00F272B6"/>
    <w:rsid w:val="00F2738D"/>
    <w:rsid w:val="00F27C82"/>
    <w:rsid w:val="00F27E4A"/>
    <w:rsid w:val="00F27E4D"/>
    <w:rsid w:val="00F27EF6"/>
    <w:rsid w:val="00F301DB"/>
    <w:rsid w:val="00F30383"/>
    <w:rsid w:val="00F30A5D"/>
    <w:rsid w:val="00F30F0D"/>
    <w:rsid w:val="00F30F24"/>
    <w:rsid w:val="00F31379"/>
    <w:rsid w:val="00F31CC4"/>
    <w:rsid w:val="00F31FA3"/>
    <w:rsid w:val="00F32F09"/>
    <w:rsid w:val="00F3348E"/>
    <w:rsid w:val="00F33775"/>
    <w:rsid w:val="00F33A14"/>
    <w:rsid w:val="00F33ABC"/>
    <w:rsid w:val="00F33DCE"/>
    <w:rsid w:val="00F34019"/>
    <w:rsid w:val="00F342A5"/>
    <w:rsid w:val="00F34763"/>
    <w:rsid w:val="00F34EC2"/>
    <w:rsid w:val="00F353E3"/>
    <w:rsid w:val="00F35A82"/>
    <w:rsid w:val="00F35BA7"/>
    <w:rsid w:val="00F35D2A"/>
    <w:rsid w:val="00F36185"/>
    <w:rsid w:val="00F364F3"/>
    <w:rsid w:val="00F365D2"/>
    <w:rsid w:val="00F36776"/>
    <w:rsid w:val="00F369F9"/>
    <w:rsid w:val="00F36D99"/>
    <w:rsid w:val="00F37714"/>
    <w:rsid w:val="00F379CB"/>
    <w:rsid w:val="00F37BF3"/>
    <w:rsid w:val="00F400BE"/>
    <w:rsid w:val="00F41035"/>
    <w:rsid w:val="00F417C5"/>
    <w:rsid w:val="00F41A25"/>
    <w:rsid w:val="00F41DE8"/>
    <w:rsid w:val="00F4205B"/>
    <w:rsid w:val="00F42E7E"/>
    <w:rsid w:val="00F430BA"/>
    <w:rsid w:val="00F4330F"/>
    <w:rsid w:val="00F43562"/>
    <w:rsid w:val="00F44805"/>
    <w:rsid w:val="00F44BCB"/>
    <w:rsid w:val="00F44D95"/>
    <w:rsid w:val="00F458C3"/>
    <w:rsid w:val="00F45D8D"/>
    <w:rsid w:val="00F45F3A"/>
    <w:rsid w:val="00F46492"/>
    <w:rsid w:val="00F46987"/>
    <w:rsid w:val="00F46A09"/>
    <w:rsid w:val="00F46D15"/>
    <w:rsid w:val="00F46E35"/>
    <w:rsid w:val="00F4711B"/>
    <w:rsid w:val="00F47985"/>
    <w:rsid w:val="00F5038E"/>
    <w:rsid w:val="00F50B6D"/>
    <w:rsid w:val="00F50BEE"/>
    <w:rsid w:val="00F516A5"/>
    <w:rsid w:val="00F519C2"/>
    <w:rsid w:val="00F51A76"/>
    <w:rsid w:val="00F5281F"/>
    <w:rsid w:val="00F528C4"/>
    <w:rsid w:val="00F52D0A"/>
    <w:rsid w:val="00F53113"/>
    <w:rsid w:val="00F538B7"/>
    <w:rsid w:val="00F53C19"/>
    <w:rsid w:val="00F540D6"/>
    <w:rsid w:val="00F54179"/>
    <w:rsid w:val="00F5478C"/>
    <w:rsid w:val="00F547F1"/>
    <w:rsid w:val="00F55104"/>
    <w:rsid w:val="00F55318"/>
    <w:rsid w:val="00F554B4"/>
    <w:rsid w:val="00F55A37"/>
    <w:rsid w:val="00F56711"/>
    <w:rsid w:val="00F567CE"/>
    <w:rsid w:val="00F568DC"/>
    <w:rsid w:val="00F56F65"/>
    <w:rsid w:val="00F572D8"/>
    <w:rsid w:val="00F60562"/>
    <w:rsid w:val="00F60655"/>
    <w:rsid w:val="00F608B5"/>
    <w:rsid w:val="00F613ED"/>
    <w:rsid w:val="00F61436"/>
    <w:rsid w:val="00F6168A"/>
    <w:rsid w:val="00F616CA"/>
    <w:rsid w:val="00F62523"/>
    <w:rsid w:val="00F626BE"/>
    <w:rsid w:val="00F62FC3"/>
    <w:rsid w:val="00F6365A"/>
    <w:rsid w:val="00F6372A"/>
    <w:rsid w:val="00F63829"/>
    <w:rsid w:val="00F64046"/>
    <w:rsid w:val="00F642EB"/>
    <w:rsid w:val="00F643A4"/>
    <w:rsid w:val="00F64483"/>
    <w:rsid w:val="00F6476E"/>
    <w:rsid w:val="00F647B0"/>
    <w:rsid w:val="00F64A28"/>
    <w:rsid w:val="00F64D84"/>
    <w:rsid w:val="00F64F2B"/>
    <w:rsid w:val="00F64FA0"/>
    <w:rsid w:val="00F65DC8"/>
    <w:rsid w:val="00F66403"/>
    <w:rsid w:val="00F66471"/>
    <w:rsid w:val="00F6648C"/>
    <w:rsid w:val="00F66F31"/>
    <w:rsid w:val="00F6704F"/>
    <w:rsid w:val="00F67581"/>
    <w:rsid w:val="00F708F6"/>
    <w:rsid w:val="00F709F4"/>
    <w:rsid w:val="00F70F80"/>
    <w:rsid w:val="00F717E9"/>
    <w:rsid w:val="00F7181B"/>
    <w:rsid w:val="00F718A7"/>
    <w:rsid w:val="00F71ABC"/>
    <w:rsid w:val="00F71F33"/>
    <w:rsid w:val="00F71F8C"/>
    <w:rsid w:val="00F7315A"/>
    <w:rsid w:val="00F73259"/>
    <w:rsid w:val="00F738DE"/>
    <w:rsid w:val="00F74180"/>
    <w:rsid w:val="00F74693"/>
    <w:rsid w:val="00F74779"/>
    <w:rsid w:val="00F74994"/>
    <w:rsid w:val="00F758B8"/>
    <w:rsid w:val="00F75A04"/>
    <w:rsid w:val="00F75B63"/>
    <w:rsid w:val="00F75DAE"/>
    <w:rsid w:val="00F76551"/>
    <w:rsid w:val="00F76D76"/>
    <w:rsid w:val="00F76E81"/>
    <w:rsid w:val="00F774C1"/>
    <w:rsid w:val="00F77BEC"/>
    <w:rsid w:val="00F77E99"/>
    <w:rsid w:val="00F77FA5"/>
    <w:rsid w:val="00F8005A"/>
    <w:rsid w:val="00F80515"/>
    <w:rsid w:val="00F805DD"/>
    <w:rsid w:val="00F80A78"/>
    <w:rsid w:val="00F80B33"/>
    <w:rsid w:val="00F80DC5"/>
    <w:rsid w:val="00F80F6C"/>
    <w:rsid w:val="00F8146E"/>
    <w:rsid w:val="00F81AA6"/>
    <w:rsid w:val="00F81DC5"/>
    <w:rsid w:val="00F8208C"/>
    <w:rsid w:val="00F827AF"/>
    <w:rsid w:val="00F82C7E"/>
    <w:rsid w:val="00F82DF4"/>
    <w:rsid w:val="00F832D0"/>
    <w:rsid w:val="00F83CA7"/>
    <w:rsid w:val="00F83E98"/>
    <w:rsid w:val="00F84325"/>
    <w:rsid w:val="00F84381"/>
    <w:rsid w:val="00F844B5"/>
    <w:rsid w:val="00F84AC9"/>
    <w:rsid w:val="00F84F8E"/>
    <w:rsid w:val="00F8542A"/>
    <w:rsid w:val="00F8548A"/>
    <w:rsid w:val="00F85643"/>
    <w:rsid w:val="00F85964"/>
    <w:rsid w:val="00F85A38"/>
    <w:rsid w:val="00F85CB7"/>
    <w:rsid w:val="00F86FB8"/>
    <w:rsid w:val="00F87F6D"/>
    <w:rsid w:val="00F90AA3"/>
    <w:rsid w:val="00F90D7E"/>
    <w:rsid w:val="00F90F1E"/>
    <w:rsid w:val="00F91564"/>
    <w:rsid w:val="00F91B3C"/>
    <w:rsid w:val="00F93BA6"/>
    <w:rsid w:val="00F93C27"/>
    <w:rsid w:val="00F93F56"/>
    <w:rsid w:val="00F9424E"/>
    <w:rsid w:val="00F94CFD"/>
    <w:rsid w:val="00F952C6"/>
    <w:rsid w:val="00F952E8"/>
    <w:rsid w:val="00F95E5D"/>
    <w:rsid w:val="00F95EA5"/>
    <w:rsid w:val="00F961BC"/>
    <w:rsid w:val="00F9653A"/>
    <w:rsid w:val="00F967E7"/>
    <w:rsid w:val="00F96836"/>
    <w:rsid w:val="00F9725C"/>
    <w:rsid w:val="00F97296"/>
    <w:rsid w:val="00F974B7"/>
    <w:rsid w:val="00F9766C"/>
    <w:rsid w:val="00F976DD"/>
    <w:rsid w:val="00F97974"/>
    <w:rsid w:val="00F97BF6"/>
    <w:rsid w:val="00FA078B"/>
    <w:rsid w:val="00FA0C13"/>
    <w:rsid w:val="00FA148F"/>
    <w:rsid w:val="00FA1783"/>
    <w:rsid w:val="00FA180E"/>
    <w:rsid w:val="00FA19B3"/>
    <w:rsid w:val="00FA1CA4"/>
    <w:rsid w:val="00FA222A"/>
    <w:rsid w:val="00FA2466"/>
    <w:rsid w:val="00FA2807"/>
    <w:rsid w:val="00FA289E"/>
    <w:rsid w:val="00FA2917"/>
    <w:rsid w:val="00FA2A7C"/>
    <w:rsid w:val="00FA2CF8"/>
    <w:rsid w:val="00FA2F24"/>
    <w:rsid w:val="00FA2F5E"/>
    <w:rsid w:val="00FA3129"/>
    <w:rsid w:val="00FA3C79"/>
    <w:rsid w:val="00FA4DEC"/>
    <w:rsid w:val="00FA4EFD"/>
    <w:rsid w:val="00FA50BD"/>
    <w:rsid w:val="00FA53AD"/>
    <w:rsid w:val="00FA5411"/>
    <w:rsid w:val="00FA5C4A"/>
    <w:rsid w:val="00FA6425"/>
    <w:rsid w:val="00FA64FF"/>
    <w:rsid w:val="00FA688F"/>
    <w:rsid w:val="00FA6CFC"/>
    <w:rsid w:val="00FA7048"/>
    <w:rsid w:val="00FA725E"/>
    <w:rsid w:val="00FA72B0"/>
    <w:rsid w:val="00FA749F"/>
    <w:rsid w:val="00FA76CA"/>
    <w:rsid w:val="00FA778C"/>
    <w:rsid w:val="00FA7868"/>
    <w:rsid w:val="00FA7C41"/>
    <w:rsid w:val="00FA7EB5"/>
    <w:rsid w:val="00FA7F2C"/>
    <w:rsid w:val="00FA7F5D"/>
    <w:rsid w:val="00FB0512"/>
    <w:rsid w:val="00FB0518"/>
    <w:rsid w:val="00FB0886"/>
    <w:rsid w:val="00FB09D2"/>
    <w:rsid w:val="00FB14AB"/>
    <w:rsid w:val="00FB1727"/>
    <w:rsid w:val="00FB21AC"/>
    <w:rsid w:val="00FB29D3"/>
    <w:rsid w:val="00FB2BC4"/>
    <w:rsid w:val="00FB2E0D"/>
    <w:rsid w:val="00FB346F"/>
    <w:rsid w:val="00FB3955"/>
    <w:rsid w:val="00FB3AAA"/>
    <w:rsid w:val="00FB4019"/>
    <w:rsid w:val="00FB4146"/>
    <w:rsid w:val="00FB4547"/>
    <w:rsid w:val="00FB508A"/>
    <w:rsid w:val="00FB61BF"/>
    <w:rsid w:val="00FB6210"/>
    <w:rsid w:val="00FB68A6"/>
    <w:rsid w:val="00FB6CB1"/>
    <w:rsid w:val="00FB6EC1"/>
    <w:rsid w:val="00FB77E1"/>
    <w:rsid w:val="00FB7F04"/>
    <w:rsid w:val="00FC004F"/>
    <w:rsid w:val="00FC070A"/>
    <w:rsid w:val="00FC0AD8"/>
    <w:rsid w:val="00FC0F53"/>
    <w:rsid w:val="00FC1816"/>
    <w:rsid w:val="00FC1A8D"/>
    <w:rsid w:val="00FC201D"/>
    <w:rsid w:val="00FC2933"/>
    <w:rsid w:val="00FC2CF5"/>
    <w:rsid w:val="00FC3A67"/>
    <w:rsid w:val="00FC3C88"/>
    <w:rsid w:val="00FC3EC2"/>
    <w:rsid w:val="00FC414C"/>
    <w:rsid w:val="00FC4252"/>
    <w:rsid w:val="00FC4A15"/>
    <w:rsid w:val="00FC5011"/>
    <w:rsid w:val="00FC57AA"/>
    <w:rsid w:val="00FC5ED8"/>
    <w:rsid w:val="00FC675E"/>
    <w:rsid w:val="00FC6B3F"/>
    <w:rsid w:val="00FC6E09"/>
    <w:rsid w:val="00FC7297"/>
    <w:rsid w:val="00FC777B"/>
    <w:rsid w:val="00FC79A6"/>
    <w:rsid w:val="00FC7DAF"/>
    <w:rsid w:val="00FD0193"/>
    <w:rsid w:val="00FD0495"/>
    <w:rsid w:val="00FD057A"/>
    <w:rsid w:val="00FD0D75"/>
    <w:rsid w:val="00FD0E27"/>
    <w:rsid w:val="00FD1124"/>
    <w:rsid w:val="00FD13C9"/>
    <w:rsid w:val="00FD16C5"/>
    <w:rsid w:val="00FD212D"/>
    <w:rsid w:val="00FD2556"/>
    <w:rsid w:val="00FD2D5D"/>
    <w:rsid w:val="00FD30D3"/>
    <w:rsid w:val="00FD3246"/>
    <w:rsid w:val="00FD385C"/>
    <w:rsid w:val="00FD39DE"/>
    <w:rsid w:val="00FD3DBE"/>
    <w:rsid w:val="00FD3F3D"/>
    <w:rsid w:val="00FD3FB9"/>
    <w:rsid w:val="00FD4039"/>
    <w:rsid w:val="00FD452C"/>
    <w:rsid w:val="00FD47FD"/>
    <w:rsid w:val="00FD522E"/>
    <w:rsid w:val="00FD5318"/>
    <w:rsid w:val="00FD55F4"/>
    <w:rsid w:val="00FD5816"/>
    <w:rsid w:val="00FD6A42"/>
    <w:rsid w:val="00FD6A7D"/>
    <w:rsid w:val="00FD6AC9"/>
    <w:rsid w:val="00FD6F2C"/>
    <w:rsid w:val="00FD73BF"/>
    <w:rsid w:val="00FE098F"/>
    <w:rsid w:val="00FE0A1E"/>
    <w:rsid w:val="00FE1551"/>
    <w:rsid w:val="00FE1826"/>
    <w:rsid w:val="00FE1947"/>
    <w:rsid w:val="00FE19E6"/>
    <w:rsid w:val="00FE1CCD"/>
    <w:rsid w:val="00FE206C"/>
    <w:rsid w:val="00FE279B"/>
    <w:rsid w:val="00FE2ABB"/>
    <w:rsid w:val="00FE2F99"/>
    <w:rsid w:val="00FE38C5"/>
    <w:rsid w:val="00FE398C"/>
    <w:rsid w:val="00FE3A4C"/>
    <w:rsid w:val="00FE3CCF"/>
    <w:rsid w:val="00FE3E15"/>
    <w:rsid w:val="00FE4DF4"/>
    <w:rsid w:val="00FE522F"/>
    <w:rsid w:val="00FE537E"/>
    <w:rsid w:val="00FE5445"/>
    <w:rsid w:val="00FE55A0"/>
    <w:rsid w:val="00FE5839"/>
    <w:rsid w:val="00FE5DB5"/>
    <w:rsid w:val="00FE60DB"/>
    <w:rsid w:val="00FE6253"/>
    <w:rsid w:val="00FE64F8"/>
    <w:rsid w:val="00FE6F11"/>
    <w:rsid w:val="00FE71F2"/>
    <w:rsid w:val="00FE7B33"/>
    <w:rsid w:val="00FE7D67"/>
    <w:rsid w:val="00FF028A"/>
    <w:rsid w:val="00FF0B7B"/>
    <w:rsid w:val="00FF10C8"/>
    <w:rsid w:val="00FF159A"/>
    <w:rsid w:val="00FF1649"/>
    <w:rsid w:val="00FF1703"/>
    <w:rsid w:val="00FF1A66"/>
    <w:rsid w:val="00FF2269"/>
    <w:rsid w:val="00FF2AA6"/>
    <w:rsid w:val="00FF2BD4"/>
    <w:rsid w:val="00FF3284"/>
    <w:rsid w:val="00FF3703"/>
    <w:rsid w:val="00FF382E"/>
    <w:rsid w:val="00FF3B88"/>
    <w:rsid w:val="00FF3CB2"/>
    <w:rsid w:val="00FF45EC"/>
    <w:rsid w:val="00FF463D"/>
    <w:rsid w:val="00FF47F9"/>
    <w:rsid w:val="00FF4A8D"/>
    <w:rsid w:val="00FF4C6C"/>
    <w:rsid w:val="00FF4F2F"/>
    <w:rsid w:val="00FF5166"/>
    <w:rsid w:val="00FF518D"/>
    <w:rsid w:val="00FF5392"/>
    <w:rsid w:val="00FF56B2"/>
    <w:rsid w:val="00FF5CA8"/>
    <w:rsid w:val="00FF5CED"/>
    <w:rsid w:val="00FF5E08"/>
    <w:rsid w:val="00FF5E15"/>
    <w:rsid w:val="00FF5FB7"/>
    <w:rsid w:val="00FF6069"/>
    <w:rsid w:val="00FF62CC"/>
    <w:rsid w:val="00FF63C0"/>
    <w:rsid w:val="00FF69C2"/>
    <w:rsid w:val="00FF6D7B"/>
    <w:rsid w:val="00FF7045"/>
    <w:rsid w:val="00FF70D8"/>
    <w:rsid w:val="00FF73DC"/>
    <w:rsid w:val="00FF73F2"/>
    <w:rsid w:val="00FF7790"/>
    <w:rsid w:val="00FF7868"/>
    <w:rsid w:val="00FF7DCB"/>
    <w:rsid w:val="01050F22"/>
    <w:rsid w:val="01062EEC"/>
    <w:rsid w:val="013E7F44"/>
    <w:rsid w:val="015F3B8D"/>
    <w:rsid w:val="016025FC"/>
    <w:rsid w:val="01797834"/>
    <w:rsid w:val="018C33F1"/>
    <w:rsid w:val="01B11991"/>
    <w:rsid w:val="01C26E13"/>
    <w:rsid w:val="01C40DDD"/>
    <w:rsid w:val="01CC7D8F"/>
    <w:rsid w:val="01D95F0B"/>
    <w:rsid w:val="01F56CC9"/>
    <w:rsid w:val="01F64027"/>
    <w:rsid w:val="01FF3BC3"/>
    <w:rsid w:val="02105ABF"/>
    <w:rsid w:val="02160F0D"/>
    <w:rsid w:val="021D2F76"/>
    <w:rsid w:val="021F084B"/>
    <w:rsid w:val="025008C3"/>
    <w:rsid w:val="0263200F"/>
    <w:rsid w:val="026C2144"/>
    <w:rsid w:val="02783976"/>
    <w:rsid w:val="027A76EE"/>
    <w:rsid w:val="0284056C"/>
    <w:rsid w:val="02985DC6"/>
    <w:rsid w:val="02987B74"/>
    <w:rsid w:val="02AD7AC3"/>
    <w:rsid w:val="02B250DA"/>
    <w:rsid w:val="02C80459"/>
    <w:rsid w:val="02D05560"/>
    <w:rsid w:val="03420D99"/>
    <w:rsid w:val="034F700C"/>
    <w:rsid w:val="035241C7"/>
    <w:rsid w:val="035B751F"/>
    <w:rsid w:val="035F6A58"/>
    <w:rsid w:val="039E11BA"/>
    <w:rsid w:val="03AD2901"/>
    <w:rsid w:val="03B77FA7"/>
    <w:rsid w:val="03BE7C5A"/>
    <w:rsid w:val="03C8334D"/>
    <w:rsid w:val="03F82FC0"/>
    <w:rsid w:val="04054F9B"/>
    <w:rsid w:val="04081B1E"/>
    <w:rsid w:val="042E253E"/>
    <w:rsid w:val="042F22DE"/>
    <w:rsid w:val="04424230"/>
    <w:rsid w:val="044A30F0"/>
    <w:rsid w:val="04572B96"/>
    <w:rsid w:val="04573DE3"/>
    <w:rsid w:val="04581CB1"/>
    <w:rsid w:val="0479107B"/>
    <w:rsid w:val="048B0849"/>
    <w:rsid w:val="049D3B67"/>
    <w:rsid w:val="04B07740"/>
    <w:rsid w:val="04BE5FB8"/>
    <w:rsid w:val="04C11EE8"/>
    <w:rsid w:val="04FA68C4"/>
    <w:rsid w:val="05131314"/>
    <w:rsid w:val="05137986"/>
    <w:rsid w:val="053022E6"/>
    <w:rsid w:val="053F6A98"/>
    <w:rsid w:val="05526700"/>
    <w:rsid w:val="05634469"/>
    <w:rsid w:val="05706B86"/>
    <w:rsid w:val="05726DA2"/>
    <w:rsid w:val="058C6EC4"/>
    <w:rsid w:val="05D610DF"/>
    <w:rsid w:val="05DB66F5"/>
    <w:rsid w:val="05E355AA"/>
    <w:rsid w:val="05F544C1"/>
    <w:rsid w:val="05FE0636"/>
    <w:rsid w:val="0627193B"/>
    <w:rsid w:val="062C6F51"/>
    <w:rsid w:val="0636392C"/>
    <w:rsid w:val="063856F4"/>
    <w:rsid w:val="063C75DF"/>
    <w:rsid w:val="066E7569"/>
    <w:rsid w:val="068E3768"/>
    <w:rsid w:val="06911CD2"/>
    <w:rsid w:val="06937516"/>
    <w:rsid w:val="06C31CC6"/>
    <w:rsid w:val="06DE2E84"/>
    <w:rsid w:val="06FF004A"/>
    <w:rsid w:val="07097292"/>
    <w:rsid w:val="070C28DE"/>
    <w:rsid w:val="072E0AA7"/>
    <w:rsid w:val="07370B58"/>
    <w:rsid w:val="073A38EF"/>
    <w:rsid w:val="073C7FDB"/>
    <w:rsid w:val="074F4C03"/>
    <w:rsid w:val="075034F9"/>
    <w:rsid w:val="07610E7C"/>
    <w:rsid w:val="076C0D1D"/>
    <w:rsid w:val="076D15CF"/>
    <w:rsid w:val="077421F5"/>
    <w:rsid w:val="077566D6"/>
    <w:rsid w:val="07832BA1"/>
    <w:rsid w:val="079B4CCF"/>
    <w:rsid w:val="07A019A5"/>
    <w:rsid w:val="07A41FF6"/>
    <w:rsid w:val="07AC659B"/>
    <w:rsid w:val="07C770DD"/>
    <w:rsid w:val="07DE427B"/>
    <w:rsid w:val="07E04497"/>
    <w:rsid w:val="08144141"/>
    <w:rsid w:val="081B4781"/>
    <w:rsid w:val="0831084F"/>
    <w:rsid w:val="083245C7"/>
    <w:rsid w:val="08430037"/>
    <w:rsid w:val="08514A4D"/>
    <w:rsid w:val="08536A17"/>
    <w:rsid w:val="08AB7C20"/>
    <w:rsid w:val="08B1198F"/>
    <w:rsid w:val="08B5322E"/>
    <w:rsid w:val="08C6000D"/>
    <w:rsid w:val="08C90A87"/>
    <w:rsid w:val="08D040E3"/>
    <w:rsid w:val="08F57ACE"/>
    <w:rsid w:val="09093579"/>
    <w:rsid w:val="090B4EFE"/>
    <w:rsid w:val="091F2D9D"/>
    <w:rsid w:val="09436A8B"/>
    <w:rsid w:val="095073FA"/>
    <w:rsid w:val="095112C2"/>
    <w:rsid w:val="095C18FB"/>
    <w:rsid w:val="09644D45"/>
    <w:rsid w:val="097A7FD3"/>
    <w:rsid w:val="09815806"/>
    <w:rsid w:val="098D448D"/>
    <w:rsid w:val="09905A49"/>
    <w:rsid w:val="099D1B25"/>
    <w:rsid w:val="09A6526C"/>
    <w:rsid w:val="09BC05EC"/>
    <w:rsid w:val="09F00295"/>
    <w:rsid w:val="0A083831"/>
    <w:rsid w:val="0A0C3321"/>
    <w:rsid w:val="0A0D0E47"/>
    <w:rsid w:val="0A21150B"/>
    <w:rsid w:val="0A402FCB"/>
    <w:rsid w:val="0A531FB0"/>
    <w:rsid w:val="0A5847B8"/>
    <w:rsid w:val="0A5D1DCF"/>
    <w:rsid w:val="0A6071C9"/>
    <w:rsid w:val="0A854E82"/>
    <w:rsid w:val="0A90563A"/>
    <w:rsid w:val="0AAE1675"/>
    <w:rsid w:val="0AB539B9"/>
    <w:rsid w:val="0AD342F0"/>
    <w:rsid w:val="0AD67972"/>
    <w:rsid w:val="0AF87123"/>
    <w:rsid w:val="0B0009AC"/>
    <w:rsid w:val="0B261896"/>
    <w:rsid w:val="0B420FC5"/>
    <w:rsid w:val="0B4944CF"/>
    <w:rsid w:val="0B4C42DB"/>
    <w:rsid w:val="0B5C0198"/>
    <w:rsid w:val="0B5F74AF"/>
    <w:rsid w:val="0B745622"/>
    <w:rsid w:val="0B7C02BD"/>
    <w:rsid w:val="0B9D51B7"/>
    <w:rsid w:val="0BAE21B6"/>
    <w:rsid w:val="0BBD62CF"/>
    <w:rsid w:val="0BBF1C07"/>
    <w:rsid w:val="0BC35C62"/>
    <w:rsid w:val="0BCB0A0C"/>
    <w:rsid w:val="0BD23DCB"/>
    <w:rsid w:val="0BDC31C7"/>
    <w:rsid w:val="0BE4744A"/>
    <w:rsid w:val="0BEA1A33"/>
    <w:rsid w:val="0BF6367B"/>
    <w:rsid w:val="0BF71DAF"/>
    <w:rsid w:val="0BFC65D8"/>
    <w:rsid w:val="0C032502"/>
    <w:rsid w:val="0C230DF6"/>
    <w:rsid w:val="0C2D57D1"/>
    <w:rsid w:val="0C4A3E07"/>
    <w:rsid w:val="0C566AD6"/>
    <w:rsid w:val="0C770F81"/>
    <w:rsid w:val="0C915D60"/>
    <w:rsid w:val="0C9413AC"/>
    <w:rsid w:val="0CA05FA3"/>
    <w:rsid w:val="0CE2480D"/>
    <w:rsid w:val="0D026C5D"/>
    <w:rsid w:val="0D097FEC"/>
    <w:rsid w:val="0D2C5A88"/>
    <w:rsid w:val="0D333DBB"/>
    <w:rsid w:val="0D4F5FEC"/>
    <w:rsid w:val="0D6F318F"/>
    <w:rsid w:val="0D701E19"/>
    <w:rsid w:val="0D705975"/>
    <w:rsid w:val="0D821B4C"/>
    <w:rsid w:val="0D870F11"/>
    <w:rsid w:val="0D951880"/>
    <w:rsid w:val="0DA02CE9"/>
    <w:rsid w:val="0DA239FF"/>
    <w:rsid w:val="0DAB4BFF"/>
    <w:rsid w:val="0DB32394"/>
    <w:rsid w:val="0DC12675"/>
    <w:rsid w:val="0E146C48"/>
    <w:rsid w:val="0E6C06BE"/>
    <w:rsid w:val="0E72396F"/>
    <w:rsid w:val="0E89254D"/>
    <w:rsid w:val="0E99714E"/>
    <w:rsid w:val="0EA73A9E"/>
    <w:rsid w:val="0EA93835"/>
    <w:rsid w:val="0EB511E4"/>
    <w:rsid w:val="0ED61D65"/>
    <w:rsid w:val="0EF6634E"/>
    <w:rsid w:val="0EFE38B6"/>
    <w:rsid w:val="0F0E1EBF"/>
    <w:rsid w:val="0F16254C"/>
    <w:rsid w:val="0F4378C9"/>
    <w:rsid w:val="0F557518"/>
    <w:rsid w:val="0F5C08A7"/>
    <w:rsid w:val="0F6459AD"/>
    <w:rsid w:val="0F73799F"/>
    <w:rsid w:val="0F825E34"/>
    <w:rsid w:val="0F9A4F2B"/>
    <w:rsid w:val="0F9F69E6"/>
    <w:rsid w:val="0FA7589A"/>
    <w:rsid w:val="0FAE6C29"/>
    <w:rsid w:val="0FFB457A"/>
    <w:rsid w:val="100929FF"/>
    <w:rsid w:val="10502A96"/>
    <w:rsid w:val="10505F32"/>
    <w:rsid w:val="10635C65"/>
    <w:rsid w:val="10666D3F"/>
    <w:rsid w:val="10757746"/>
    <w:rsid w:val="107A4C82"/>
    <w:rsid w:val="107C6D44"/>
    <w:rsid w:val="10A1053B"/>
    <w:rsid w:val="10A73DA4"/>
    <w:rsid w:val="10AA3894"/>
    <w:rsid w:val="10AD0C8E"/>
    <w:rsid w:val="10CD30DE"/>
    <w:rsid w:val="10DB57FB"/>
    <w:rsid w:val="10F547A6"/>
    <w:rsid w:val="111156C1"/>
    <w:rsid w:val="11217992"/>
    <w:rsid w:val="11333889"/>
    <w:rsid w:val="1135492B"/>
    <w:rsid w:val="113A27F3"/>
    <w:rsid w:val="11513BCA"/>
    <w:rsid w:val="115A68FB"/>
    <w:rsid w:val="116A4DD1"/>
    <w:rsid w:val="116B54E9"/>
    <w:rsid w:val="116C4206"/>
    <w:rsid w:val="11765524"/>
    <w:rsid w:val="11823EC9"/>
    <w:rsid w:val="119C142F"/>
    <w:rsid w:val="11A16A45"/>
    <w:rsid w:val="11BD13A5"/>
    <w:rsid w:val="11CC0572"/>
    <w:rsid w:val="11D24E50"/>
    <w:rsid w:val="11E15093"/>
    <w:rsid w:val="11F1104F"/>
    <w:rsid w:val="11F915CC"/>
    <w:rsid w:val="120D40DA"/>
    <w:rsid w:val="12105979"/>
    <w:rsid w:val="12154D3D"/>
    <w:rsid w:val="12322E11"/>
    <w:rsid w:val="124B075F"/>
    <w:rsid w:val="12BE3627"/>
    <w:rsid w:val="12C127C8"/>
    <w:rsid w:val="12E13A86"/>
    <w:rsid w:val="12E17A27"/>
    <w:rsid w:val="12E56E05"/>
    <w:rsid w:val="12F44A4A"/>
    <w:rsid w:val="1301504F"/>
    <w:rsid w:val="13031F81"/>
    <w:rsid w:val="13053004"/>
    <w:rsid w:val="13160B28"/>
    <w:rsid w:val="13187EEF"/>
    <w:rsid w:val="131A6BB9"/>
    <w:rsid w:val="131F5B97"/>
    <w:rsid w:val="1322257E"/>
    <w:rsid w:val="134E49AB"/>
    <w:rsid w:val="13651CF4"/>
    <w:rsid w:val="13743CE5"/>
    <w:rsid w:val="13916645"/>
    <w:rsid w:val="13A04352"/>
    <w:rsid w:val="13B16CE7"/>
    <w:rsid w:val="13C44C6D"/>
    <w:rsid w:val="13E66389"/>
    <w:rsid w:val="141C1C23"/>
    <w:rsid w:val="14270D58"/>
    <w:rsid w:val="14327E28"/>
    <w:rsid w:val="143C2A55"/>
    <w:rsid w:val="144B0EEA"/>
    <w:rsid w:val="14681A9C"/>
    <w:rsid w:val="147321EF"/>
    <w:rsid w:val="14777F31"/>
    <w:rsid w:val="147F2EA9"/>
    <w:rsid w:val="14806154"/>
    <w:rsid w:val="148368D6"/>
    <w:rsid w:val="1492213F"/>
    <w:rsid w:val="14B22D17"/>
    <w:rsid w:val="14BC1DE8"/>
    <w:rsid w:val="14BE346A"/>
    <w:rsid w:val="14DE1DA5"/>
    <w:rsid w:val="14F92D31"/>
    <w:rsid w:val="150F0169"/>
    <w:rsid w:val="152E4A94"/>
    <w:rsid w:val="153574A7"/>
    <w:rsid w:val="153E0A4F"/>
    <w:rsid w:val="15586F97"/>
    <w:rsid w:val="156354FD"/>
    <w:rsid w:val="15765D33"/>
    <w:rsid w:val="157930AA"/>
    <w:rsid w:val="157E505B"/>
    <w:rsid w:val="1592297B"/>
    <w:rsid w:val="15B04829"/>
    <w:rsid w:val="15B30AF5"/>
    <w:rsid w:val="15D60C87"/>
    <w:rsid w:val="16072A34"/>
    <w:rsid w:val="166167A3"/>
    <w:rsid w:val="166E2223"/>
    <w:rsid w:val="167D1691"/>
    <w:rsid w:val="168B05B4"/>
    <w:rsid w:val="16AB2114"/>
    <w:rsid w:val="16BE59A3"/>
    <w:rsid w:val="16C136E5"/>
    <w:rsid w:val="16CB00C0"/>
    <w:rsid w:val="16D52CED"/>
    <w:rsid w:val="16DB47A7"/>
    <w:rsid w:val="16E178E4"/>
    <w:rsid w:val="16ED6288"/>
    <w:rsid w:val="173D7210"/>
    <w:rsid w:val="17410D4D"/>
    <w:rsid w:val="175671F3"/>
    <w:rsid w:val="17626C76"/>
    <w:rsid w:val="1767593A"/>
    <w:rsid w:val="1769150B"/>
    <w:rsid w:val="179F7397"/>
    <w:rsid w:val="17AC3F52"/>
    <w:rsid w:val="17B0291A"/>
    <w:rsid w:val="17D176D3"/>
    <w:rsid w:val="17DC4ECF"/>
    <w:rsid w:val="17E23913"/>
    <w:rsid w:val="17E7717C"/>
    <w:rsid w:val="17EC7D4E"/>
    <w:rsid w:val="17F91A16"/>
    <w:rsid w:val="17FB49D5"/>
    <w:rsid w:val="18003D99"/>
    <w:rsid w:val="180453F5"/>
    <w:rsid w:val="18057602"/>
    <w:rsid w:val="1816180F"/>
    <w:rsid w:val="184C0E91"/>
    <w:rsid w:val="18573883"/>
    <w:rsid w:val="18667052"/>
    <w:rsid w:val="18716A45"/>
    <w:rsid w:val="18787DD4"/>
    <w:rsid w:val="189866C8"/>
    <w:rsid w:val="189955B2"/>
    <w:rsid w:val="18A922AD"/>
    <w:rsid w:val="18B155B2"/>
    <w:rsid w:val="18BD142C"/>
    <w:rsid w:val="18BD1C8B"/>
    <w:rsid w:val="18DC65B5"/>
    <w:rsid w:val="18DE057F"/>
    <w:rsid w:val="18E216F1"/>
    <w:rsid w:val="18E45469"/>
    <w:rsid w:val="190567CD"/>
    <w:rsid w:val="1908732B"/>
    <w:rsid w:val="19287A4C"/>
    <w:rsid w:val="193A32DB"/>
    <w:rsid w:val="193D71F3"/>
    <w:rsid w:val="195720DF"/>
    <w:rsid w:val="19575C3B"/>
    <w:rsid w:val="195F1739"/>
    <w:rsid w:val="196D6F0D"/>
    <w:rsid w:val="198527A8"/>
    <w:rsid w:val="19A1335A"/>
    <w:rsid w:val="19B4308D"/>
    <w:rsid w:val="19CB3F93"/>
    <w:rsid w:val="19CC03D7"/>
    <w:rsid w:val="19D51CAC"/>
    <w:rsid w:val="19E0457B"/>
    <w:rsid w:val="19F4792E"/>
    <w:rsid w:val="1A1736B7"/>
    <w:rsid w:val="1A424B3D"/>
    <w:rsid w:val="1A50725A"/>
    <w:rsid w:val="1A646862"/>
    <w:rsid w:val="1A6C1BBA"/>
    <w:rsid w:val="1A725422"/>
    <w:rsid w:val="1A864A2A"/>
    <w:rsid w:val="1AA663FE"/>
    <w:rsid w:val="1AA749A0"/>
    <w:rsid w:val="1ACE017F"/>
    <w:rsid w:val="1ACE4623"/>
    <w:rsid w:val="1ACE62BE"/>
    <w:rsid w:val="1ADC2A9C"/>
    <w:rsid w:val="1B021310"/>
    <w:rsid w:val="1B0F5313"/>
    <w:rsid w:val="1B3D713E"/>
    <w:rsid w:val="1B716318"/>
    <w:rsid w:val="1B8A054A"/>
    <w:rsid w:val="1B907D8F"/>
    <w:rsid w:val="1B993C3C"/>
    <w:rsid w:val="1BBB6955"/>
    <w:rsid w:val="1BBD2F92"/>
    <w:rsid w:val="1BC463D6"/>
    <w:rsid w:val="1BE51C24"/>
    <w:rsid w:val="1BFD3DA9"/>
    <w:rsid w:val="1BFF026A"/>
    <w:rsid w:val="1C0E2F29"/>
    <w:rsid w:val="1C3109C5"/>
    <w:rsid w:val="1C427076"/>
    <w:rsid w:val="1C493F61"/>
    <w:rsid w:val="1C535996"/>
    <w:rsid w:val="1C56667E"/>
    <w:rsid w:val="1C6C5EA1"/>
    <w:rsid w:val="1C745D76"/>
    <w:rsid w:val="1C8256C5"/>
    <w:rsid w:val="1C907DE2"/>
    <w:rsid w:val="1CB03FE0"/>
    <w:rsid w:val="1CB263C8"/>
    <w:rsid w:val="1CCE1543"/>
    <w:rsid w:val="1CDD466B"/>
    <w:rsid w:val="1CE26164"/>
    <w:rsid w:val="1CE95744"/>
    <w:rsid w:val="1CF7783C"/>
    <w:rsid w:val="1D0936F0"/>
    <w:rsid w:val="1D2642A2"/>
    <w:rsid w:val="1D3E61B4"/>
    <w:rsid w:val="1D4961E3"/>
    <w:rsid w:val="1D767B72"/>
    <w:rsid w:val="1D7F39B2"/>
    <w:rsid w:val="1D9456B0"/>
    <w:rsid w:val="1D9B4C90"/>
    <w:rsid w:val="1DB0562C"/>
    <w:rsid w:val="1DD12460"/>
    <w:rsid w:val="1DD82CB6"/>
    <w:rsid w:val="1DDF7521"/>
    <w:rsid w:val="1DE008F5"/>
    <w:rsid w:val="1DE859FC"/>
    <w:rsid w:val="1E0C257D"/>
    <w:rsid w:val="1E171DD5"/>
    <w:rsid w:val="1E171E3D"/>
    <w:rsid w:val="1E18008F"/>
    <w:rsid w:val="1E2141DC"/>
    <w:rsid w:val="1E2244CC"/>
    <w:rsid w:val="1E236A34"/>
    <w:rsid w:val="1E6B66E3"/>
    <w:rsid w:val="1E712502"/>
    <w:rsid w:val="1E77039E"/>
    <w:rsid w:val="1E7B7710"/>
    <w:rsid w:val="1EA062D6"/>
    <w:rsid w:val="1EAB0F03"/>
    <w:rsid w:val="1ED3045A"/>
    <w:rsid w:val="1EE211AB"/>
    <w:rsid w:val="1EF328AA"/>
    <w:rsid w:val="1F0A567B"/>
    <w:rsid w:val="1F0C7529"/>
    <w:rsid w:val="1F11087C"/>
    <w:rsid w:val="1F125AEA"/>
    <w:rsid w:val="1F6966C8"/>
    <w:rsid w:val="1F6B41EE"/>
    <w:rsid w:val="1F72557D"/>
    <w:rsid w:val="1F745799"/>
    <w:rsid w:val="1F751511"/>
    <w:rsid w:val="1F803199"/>
    <w:rsid w:val="1F9B4EF3"/>
    <w:rsid w:val="1FA37E2C"/>
    <w:rsid w:val="1FB2006F"/>
    <w:rsid w:val="1FB65DB1"/>
    <w:rsid w:val="1FBC4A4A"/>
    <w:rsid w:val="1FCD4EA9"/>
    <w:rsid w:val="1FF266D7"/>
    <w:rsid w:val="1FF73CD4"/>
    <w:rsid w:val="201C570A"/>
    <w:rsid w:val="20340A84"/>
    <w:rsid w:val="20484530"/>
    <w:rsid w:val="20683C6F"/>
    <w:rsid w:val="206D21E8"/>
    <w:rsid w:val="207672EF"/>
    <w:rsid w:val="20887022"/>
    <w:rsid w:val="2091237A"/>
    <w:rsid w:val="209F6845"/>
    <w:rsid w:val="20F546B7"/>
    <w:rsid w:val="21133619"/>
    <w:rsid w:val="211508B6"/>
    <w:rsid w:val="21150E6D"/>
    <w:rsid w:val="21246D4B"/>
    <w:rsid w:val="21256AAC"/>
    <w:rsid w:val="21284C50"/>
    <w:rsid w:val="214B077B"/>
    <w:rsid w:val="2186530F"/>
    <w:rsid w:val="21937A2C"/>
    <w:rsid w:val="21CD1190"/>
    <w:rsid w:val="21DC0CCC"/>
    <w:rsid w:val="21EA7F94"/>
    <w:rsid w:val="21ED1832"/>
    <w:rsid w:val="22401962"/>
    <w:rsid w:val="225418B2"/>
    <w:rsid w:val="22576CAC"/>
    <w:rsid w:val="227F1B35"/>
    <w:rsid w:val="229005C0"/>
    <w:rsid w:val="22906824"/>
    <w:rsid w:val="22A16179"/>
    <w:rsid w:val="22BD15D6"/>
    <w:rsid w:val="22C048CA"/>
    <w:rsid w:val="22D62B80"/>
    <w:rsid w:val="23024E6A"/>
    <w:rsid w:val="2346544D"/>
    <w:rsid w:val="234E00AF"/>
    <w:rsid w:val="23614286"/>
    <w:rsid w:val="23645B24"/>
    <w:rsid w:val="23810484"/>
    <w:rsid w:val="23C13E08"/>
    <w:rsid w:val="23EB1DA2"/>
    <w:rsid w:val="23F92711"/>
    <w:rsid w:val="2406762A"/>
    <w:rsid w:val="2418246B"/>
    <w:rsid w:val="241C63FF"/>
    <w:rsid w:val="243674C1"/>
    <w:rsid w:val="244D0366"/>
    <w:rsid w:val="2466740F"/>
    <w:rsid w:val="24977834"/>
    <w:rsid w:val="24B228BF"/>
    <w:rsid w:val="24B30781"/>
    <w:rsid w:val="24F97381"/>
    <w:rsid w:val="2503311B"/>
    <w:rsid w:val="25047B2A"/>
    <w:rsid w:val="251315B0"/>
    <w:rsid w:val="251A0287"/>
    <w:rsid w:val="251A3586"/>
    <w:rsid w:val="254033E3"/>
    <w:rsid w:val="254774AC"/>
    <w:rsid w:val="254C2D14"/>
    <w:rsid w:val="25505FB4"/>
    <w:rsid w:val="25587804"/>
    <w:rsid w:val="255A71DF"/>
    <w:rsid w:val="25761B3F"/>
    <w:rsid w:val="2584600A"/>
    <w:rsid w:val="258B7398"/>
    <w:rsid w:val="25910727"/>
    <w:rsid w:val="25AE3087"/>
    <w:rsid w:val="25BD2584"/>
    <w:rsid w:val="25BF34E6"/>
    <w:rsid w:val="25CC204F"/>
    <w:rsid w:val="25DD396C"/>
    <w:rsid w:val="25E116AE"/>
    <w:rsid w:val="25E13C00"/>
    <w:rsid w:val="25FA2770"/>
    <w:rsid w:val="260E5C0A"/>
    <w:rsid w:val="261F21D6"/>
    <w:rsid w:val="26301CEE"/>
    <w:rsid w:val="264E03C6"/>
    <w:rsid w:val="264F6618"/>
    <w:rsid w:val="2661580E"/>
    <w:rsid w:val="26795A67"/>
    <w:rsid w:val="26C2212C"/>
    <w:rsid w:val="26E75939"/>
    <w:rsid w:val="26EC030B"/>
    <w:rsid w:val="26F64CE5"/>
    <w:rsid w:val="2716051D"/>
    <w:rsid w:val="272279FF"/>
    <w:rsid w:val="27617D19"/>
    <w:rsid w:val="276F2401"/>
    <w:rsid w:val="277D4DB3"/>
    <w:rsid w:val="27846795"/>
    <w:rsid w:val="27880A64"/>
    <w:rsid w:val="27887E16"/>
    <w:rsid w:val="27914A0E"/>
    <w:rsid w:val="279462AC"/>
    <w:rsid w:val="27A209C9"/>
    <w:rsid w:val="27A878B1"/>
    <w:rsid w:val="27AC1399"/>
    <w:rsid w:val="27C6290A"/>
    <w:rsid w:val="27DC212D"/>
    <w:rsid w:val="27E1545A"/>
    <w:rsid w:val="27E2170E"/>
    <w:rsid w:val="27F37477"/>
    <w:rsid w:val="280255D6"/>
    <w:rsid w:val="28126853"/>
    <w:rsid w:val="281D135F"/>
    <w:rsid w:val="283F1B00"/>
    <w:rsid w:val="284321AC"/>
    <w:rsid w:val="28433F5A"/>
    <w:rsid w:val="28546167"/>
    <w:rsid w:val="285861CA"/>
    <w:rsid w:val="28711938"/>
    <w:rsid w:val="287C56BE"/>
    <w:rsid w:val="288B7BC9"/>
    <w:rsid w:val="288F719F"/>
    <w:rsid w:val="28956124"/>
    <w:rsid w:val="28C869B0"/>
    <w:rsid w:val="28D07202"/>
    <w:rsid w:val="28D728F5"/>
    <w:rsid w:val="28ED4359"/>
    <w:rsid w:val="28F86F16"/>
    <w:rsid w:val="290C6161"/>
    <w:rsid w:val="29144DE8"/>
    <w:rsid w:val="29424CD3"/>
    <w:rsid w:val="29444377"/>
    <w:rsid w:val="29637A76"/>
    <w:rsid w:val="296A4507"/>
    <w:rsid w:val="299D24FB"/>
    <w:rsid w:val="299F78B6"/>
    <w:rsid w:val="29BC251B"/>
    <w:rsid w:val="29BF3AB4"/>
    <w:rsid w:val="29E20388"/>
    <w:rsid w:val="29EB48A9"/>
    <w:rsid w:val="2A0140CD"/>
    <w:rsid w:val="2A100351"/>
    <w:rsid w:val="2A3A75DF"/>
    <w:rsid w:val="2A577DC1"/>
    <w:rsid w:val="2AB279D0"/>
    <w:rsid w:val="2ABE7F56"/>
    <w:rsid w:val="2AC670C5"/>
    <w:rsid w:val="2AC84BEB"/>
    <w:rsid w:val="2AD57308"/>
    <w:rsid w:val="2ADE7F6A"/>
    <w:rsid w:val="2AE76B06"/>
    <w:rsid w:val="2AEF3F25"/>
    <w:rsid w:val="2B030177"/>
    <w:rsid w:val="2B085688"/>
    <w:rsid w:val="2B1710F7"/>
    <w:rsid w:val="2B3021CB"/>
    <w:rsid w:val="2B326508"/>
    <w:rsid w:val="2B404781"/>
    <w:rsid w:val="2B520CDA"/>
    <w:rsid w:val="2B620B9B"/>
    <w:rsid w:val="2B82123D"/>
    <w:rsid w:val="2B8C3E6A"/>
    <w:rsid w:val="2B980A61"/>
    <w:rsid w:val="2BBA5D65"/>
    <w:rsid w:val="2BC929C8"/>
    <w:rsid w:val="2BD4136D"/>
    <w:rsid w:val="2BE446B8"/>
    <w:rsid w:val="2BE47876"/>
    <w:rsid w:val="2C1A2780"/>
    <w:rsid w:val="2C2A71DF"/>
    <w:rsid w:val="2C3D3341"/>
    <w:rsid w:val="2C4604BD"/>
    <w:rsid w:val="2C5C10E7"/>
    <w:rsid w:val="2C624BCB"/>
    <w:rsid w:val="2C6426F1"/>
    <w:rsid w:val="2C7F2067"/>
    <w:rsid w:val="2CA13945"/>
    <w:rsid w:val="2CA3146B"/>
    <w:rsid w:val="2CAA6062"/>
    <w:rsid w:val="2CB143FC"/>
    <w:rsid w:val="2CB73B9E"/>
    <w:rsid w:val="2CC91630"/>
    <w:rsid w:val="2CC969F8"/>
    <w:rsid w:val="2CDD673B"/>
    <w:rsid w:val="2CDF621C"/>
    <w:rsid w:val="2D0A13DA"/>
    <w:rsid w:val="2D0C7FD3"/>
    <w:rsid w:val="2D244788"/>
    <w:rsid w:val="2D2F71A3"/>
    <w:rsid w:val="2D3E73E6"/>
    <w:rsid w:val="2D5B1D46"/>
    <w:rsid w:val="2D6C3F53"/>
    <w:rsid w:val="2D796670"/>
    <w:rsid w:val="2D8868B3"/>
    <w:rsid w:val="2D8C517E"/>
    <w:rsid w:val="2D9B0395"/>
    <w:rsid w:val="2D9E60D7"/>
    <w:rsid w:val="2DB649C6"/>
    <w:rsid w:val="2DBA70B8"/>
    <w:rsid w:val="2E057F04"/>
    <w:rsid w:val="2E165C6D"/>
    <w:rsid w:val="2E1C261E"/>
    <w:rsid w:val="2E57641F"/>
    <w:rsid w:val="2E61338C"/>
    <w:rsid w:val="2E6D6656"/>
    <w:rsid w:val="2E943BC9"/>
    <w:rsid w:val="2EA248FD"/>
    <w:rsid w:val="2EA414CB"/>
    <w:rsid w:val="2EB2257E"/>
    <w:rsid w:val="2ED81174"/>
    <w:rsid w:val="2EE93974"/>
    <w:rsid w:val="2F26174E"/>
    <w:rsid w:val="2F3B6F95"/>
    <w:rsid w:val="2F464330"/>
    <w:rsid w:val="2F551C62"/>
    <w:rsid w:val="2F805A94"/>
    <w:rsid w:val="2F8A6913"/>
    <w:rsid w:val="2F9527C5"/>
    <w:rsid w:val="2FA71273"/>
    <w:rsid w:val="2FC81E4C"/>
    <w:rsid w:val="2FDF6FE0"/>
    <w:rsid w:val="2FE029D7"/>
    <w:rsid w:val="302208F9"/>
    <w:rsid w:val="302848D9"/>
    <w:rsid w:val="303B70D9"/>
    <w:rsid w:val="30506AD9"/>
    <w:rsid w:val="305C2E53"/>
    <w:rsid w:val="30A42E4B"/>
    <w:rsid w:val="30CD2521"/>
    <w:rsid w:val="30DD7938"/>
    <w:rsid w:val="30E20088"/>
    <w:rsid w:val="30EB518F"/>
    <w:rsid w:val="31140B8A"/>
    <w:rsid w:val="31576CC8"/>
    <w:rsid w:val="315C1AF0"/>
    <w:rsid w:val="316136A3"/>
    <w:rsid w:val="31727460"/>
    <w:rsid w:val="31790130"/>
    <w:rsid w:val="31A673BE"/>
    <w:rsid w:val="31B26703"/>
    <w:rsid w:val="31E247E4"/>
    <w:rsid w:val="31EB1575"/>
    <w:rsid w:val="320607AE"/>
    <w:rsid w:val="320E382B"/>
    <w:rsid w:val="3216623C"/>
    <w:rsid w:val="324B0D5D"/>
    <w:rsid w:val="325B6344"/>
    <w:rsid w:val="326055F9"/>
    <w:rsid w:val="32700042"/>
    <w:rsid w:val="327F64D7"/>
    <w:rsid w:val="329D695D"/>
    <w:rsid w:val="32A73338"/>
    <w:rsid w:val="32AF7967"/>
    <w:rsid w:val="32BA53C2"/>
    <w:rsid w:val="32BF4B25"/>
    <w:rsid w:val="32C1089D"/>
    <w:rsid w:val="32C91062"/>
    <w:rsid w:val="32E93950"/>
    <w:rsid w:val="32ED4EE5"/>
    <w:rsid w:val="330F6FFF"/>
    <w:rsid w:val="331A7695"/>
    <w:rsid w:val="331A7FAD"/>
    <w:rsid w:val="333077D1"/>
    <w:rsid w:val="333429CE"/>
    <w:rsid w:val="335A2AA0"/>
    <w:rsid w:val="33784CD4"/>
    <w:rsid w:val="339711D3"/>
    <w:rsid w:val="33A930DF"/>
    <w:rsid w:val="33B91574"/>
    <w:rsid w:val="33D60378"/>
    <w:rsid w:val="33EF31E8"/>
    <w:rsid w:val="33F8610F"/>
    <w:rsid w:val="340D366E"/>
    <w:rsid w:val="34120AC9"/>
    <w:rsid w:val="34263732"/>
    <w:rsid w:val="342E05FB"/>
    <w:rsid w:val="342F1837"/>
    <w:rsid w:val="343328D0"/>
    <w:rsid w:val="345F529E"/>
    <w:rsid w:val="34853B4C"/>
    <w:rsid w:val="348778C5"/>
    <w:rsid w:val="34983880"/>
    <w:rsid w:val="34A81A43"/>
    <w:rsid w:val="34AB3BF3"/>
    <w:rsid w:val="34C93A39"/>
    <w:rsid w:val="34CC3529"/>
    <w:rsid w:val="34E268A9"/>
    <w:rsid w:val="34F5482E"/>
    <w:rsid w:val="35026F4B"/>
    <w:rsid w:val="35044A71"/>
    <w:rsid w:val="35284C04"/>
    <w:rsid w:val="35411821"/>
    <w:rsid w:val="3546508A"/>
    <w:rsid w:val="354E2190"/>
    <w:rsid w:val="354F790B"/>
    <w:rsid w:val="35636441"/>
    <w:rsid w:val="356474E0"/>
    <w:rsid w:val="35793C78"/>
    <w:rsid w:val="35B16B30"/>
    <w:rsid w:val="35B46497"/>
    <w:rsid w:val="35B5220F"/>
    <w:rsid w:val="35BF61D9"/>
    <w:rsid w:val="35D95EFE"/>
    <w:rsid w:val="36050AA1"/>
    <w:rsid w:val="36054F45"/>
    <w:rsid w:val="360B1E2F"/>
    <w:rsid w:val="360B55D9"/>
    <w:rsid w:val="360C0704"/>
    <w:rsid w:val="360D6F99"/>
    <w:rsid w:val="361E1B63"/>
    <w:rsid w:val="363A1903"/>
    <w:rsid w:val="365E28A7"/>
    <w:rsid w:val="36625EF3"/>
    <w:rsid w:val="36730100"/>
    <w:rsid w:val="367C4ADB"/>
    <w:rsid w:val="369E0472"/>
    <w:rsid w:val="36A96D58"/>
    <w:rsid w:val="36AA789A"/>
    <w:rsid w:val="36AE7ABA"/>
    <w:rsid w:val="36C546D4"/>
    <w:rsid w:val="36D641EB"/>
    <w:rsid w:val="36DE7929"/>
    <w:rsid w:val="3701395E"/>
    <w:rsid w:val="373553B6"/>
    <w:rsid w:val="37370FA2"/>
    <w:rsid w:val="37677539"/>
    <w:rsid w:val="37857C71"/>
    <w:rsid w:val="378C60D1"/>
    <w:rsid w:val="3798104C"/>
    <w:rsid w:val="37AE6F16"/>
    <w:rsid w:val="37B87D95"/>
    <w:rsid w:val="37BD355E"/>
    <w:rsid w:val="37C12966"/>
    <w:rsid w:val="37C4673A"/>
    <w:rsid w:val="37CD3932"/>
    <w:rsid w:val="381A3A02"/>
    <w:rsid w:val="387E1663"/>
    <w:rsid w:val="38887767"/>
    <w:rsid w:val="389737FC"/>
    <w:rsid w:val="38D2355B"/>
    <w:rsid w:val="38DD7AB3"/>
    <w:rsid w:val="38DE55D9"/>
    <w:rsid w:val="38FD63A7"/>
    <w:rsid w:val="38FE5C7B"/>
    <w:rsid w:val="3902751A"/>
    <w:rsid w:val="390E2362"/>
    <w:rsid w:val="391B682D"/>
    <w:rsid w:val="39317DFF"/>
    <w:rsid w:val="39474A1D"/>
    <w:rsid w:val="39554A52"/>
    <w:rsid w:val="395806F3"/>
    <w:rsid w:val="396D27B9"/>
    <w:rsid w:val="39853D4C"/>
    <w:rsid w:val="398E5251"/>
    <w:rsid w:val="399029DE"/>
    <w:rsid w:val="39A64349"/>
    <w:rsid w:val="39A84565"/>
    <w:rsid w:val="39B27388"/>
    <w:rsid w:val="39C26CA9"/>
    <w:rsid w:val="39C36DDE"/>
    <w:rsid w:val="39CA4FC6"/>
    <w:rsid w:val="39D30EB6"/>
    <w:rsid w:val="39F66B3D"/>
    <w:rsid w:val="39FB73EF"/>
    <w:rsid w:val="39FC665F"/>
    <w:rsid w:val="3A002F51"/>
    <w:rsid w:val="3A281EF8"/>
    <w:rsid w:val="3A3E6C77"/>
    <w:rsid w:val="3A9F68B3"/>
    <w:rsid w:val="3AAB7D8C"/>
    <w:rsid w:val="3AB45085"/>
    <w:rsid w:val="3AB7155D"/>
    <w:rsid w:val="3ABE2962"/>
    <w:rsid w:val="3AC23405"/>
    <w:rsid w:val="3AEE41FA"/>
    <w:rsid w:val="3AF063E4"/>
    <w:rsid w:val="3AFB2473"/>
    <w:rsid w:val="3AFB5CD8"/>
    <w:rsid w:val="3B137D3D"/>
    <w:rsid w:val="3B1A3241"/>
    <w:rsid w:val="3B3D0CDD"/>
    <w:rsid w:val="3B502385"/>
    <w:rsid w:val="3B675D5A"/>
    <w:rsid w:val="3B7A7C47"/>
    <w:rsid w:val="3B844B5E"/>
    <w:rsid w:val="3B8E28EB"/>
    <w:rsid w:val="3BBD3BCC"/>
    <w:rsid w:val="3BC27434"/>
    <w:rsid w:val="3BCB2EC2"/>
    <w:rsid w:val="3BED44B1"/>
    <w:rsid w:val="3BFA3670"/>
    <w:rsid w:val="3C070A0C"/>
    <w:rsid w:val="3C3732DD"/>
    <w:rsid w:val="3C3A47FE"/>
    <w:rsid w:val="3C4B11D8"/>
    <w:rsid w:val="3C8C1F1C"/>
    <w:rsid w:val="3C99397C"/>
    <w:rsid w:val="3CB74ABF"/>
    <w:rsid w:val="3CB90837"/>
    <w:rsid w:val="3CBA0813"/>
    <w:rsid w:val="3CD411CD"/>
    <w:rsid w:val="3D0715A3"/>
    <w:rsid w:val="3D141F11"/>
    <w:rsid w:val="3D2C725B"/>
    <w:rsid w:val="3D2F28A7"/>
    <w:rsid w:val="3D6A1B31"/>
    <w:rsid w:val="3D6D517E"/>
    <w:rsid w:val="3D872B79"/>
    <w:rsid w:val="3DB42DAD"/>
    <w:rsid w:val="3DB822D3"/>
    <w:rsid w:val="3DC47494"/>
    <w:rsid w:val="3DED4FEE"/>
    <w:rsid w:val="3DEE2762"/>
    <w:rsid w:val="3DF06474"/>
    <w:rsid w:val="3DF144AD"/>
    <w:rsid w:val="3DFA2EB5"/>
    <w:rsid w:val="3E157956"/>
    <w:rsid w:val="3E3363C7"/>
    <w:rsid w:val="3E336CD3"/>
    <w:rsid w:val="3E5325C6"/>
    <w:rsid w:val="3E576AAC"/>
    <w:rsid w:val="3E8166CB"/>
    <w:rsid w:val="3E817133"/>
    <w:rsid w:val="3E8B6203"/>
    <w:rsid w:val="3E90381A"/>
    <w:rsid w:val="3EA47DA3"/>
    <w:rsid w:val="3EA80B63"/>
    <w:rsid w:val="3EAD43CC"/>
    <w:rsid w:val="3EB56DDC"/>
    <w:rsid w:val="3EE33BF3"/>
    <w:rsid w:val="3EE53B65"/>
    <w:rsid w:val="3F012022"/>
    <w:rsid w:val="3F0607D0"/>
    <w:rsid w:val="3F0A7128"/>
    <w:rsid w:val="3F12205B"/>
    <w:rsid w:val="3F566811"/>
    <w:rsid w:val="3F5860E5"/>
    <w:rsid w:val="3F746C97"/>
    <w:rsid w:val="3F8C2233"/>
    <w:rsid w:val="3F8C46F6"/>
    <w:rsid w:val="3F9335C1"/>
    <w:rsid w:val="3F97055B"/>
    <w:rsid w:val="3FA255B3"/>
    <w:rsid w:val="3FA95A32"/>
    <w:rsid w:val="3FA96941"/>
    <w:rsid w:val="3FB33DB6"/>
    <w:rsid w:val="3FB45881"/>
    <w:rsid w:val="3FD414E4"/>
    <w:rsid w:val="3FDC5A97"/>
    <w:rsid w:val="3FF43934"/>
    <w:rsid w:val="3FFA53EF"/>
    <w:rsid w:val="40014C1A"/>
    <w:rsid w:val="400861F5"/>
    <w:rsid w:val="40115E17"/>
    <w:rsid w:val="401A339B"/>
    <w:rsid w:val="402661E4"/>
    <w:rsid w:val="402E32EA"/>
    <w:rsid w:val="40420B44"/>
    <w:rsid w:val="40460634"/>
    <w:rsid w:val="40526FD9"/>
    <w:rsid w:val="408812A1"/>
    <w:rsid w:val="4090377A"/>
    <w:rsid w:val="40D10047"/>
    <w:rsid w:val="40E67721"/>
    <w:rsid w:val="411B386E"/>
    <w:rsid w:val="41202825"/>
    <w:rsid w:val="41326E0A"/>
    <w:rsid w:val="414A5F02"/>
    <w:rsid w:val="4153125A"/>
    <w:rsid w:val="415B010F"/>
    <w:rsid w:val="41790595"/>
    <w:rsid w:val="41A2189A"/>
    <w:rsid w:val="41A7222F"/>
    <w:rsid w:val="41AE3634"/>
    <w:rsid w:val="41B90FE0"/>
    <w:rsid w:val="41BF46F3"/>
    <w:rsid w:val="41D13F2D"/>
    <w:rsid w:val="41DE06BF"/>
    <w:rsid w:val="41E10065"/>
    <w:rsid w:val="41E719A3"/>
    <w:rsid w:val="42173565"/>
    <w:rsid w:val="42184E5B"/>
    <w:rsid w:val="4230143F"/>
    <w:rsid w:val="425F3420"/>
    <w:rsid w:val="4274759E"/>
    <w:rsid w:val="42755755"/>
    <w:rsid w:val="42AB0C22"/>
    <w:rsid w:val="42AC04F6"/>
    <w:rsid w:val="42BE79C1"/>
    <w:rsid w:val="42C972FA"/>
    <w:rsid w:val="42D73BA8"/>
    <w:rsid w:val="42E278BB"/>
    <w:rsid w:val="42F22558"/>
    <w:rsid w:val="42FA74B4"/>
    <w:rsid w:val="432033BE"/>
    <w:rsid w:val="433E5349"/>
    <w:rsid w:val="434E5522"/>
    <w:rsid w:val="43511034"/>
    <w:rsid w:val="438020AF"/>
    <w:rsid w:val="438C2802"/>
    <w:rsid w:val="43973C0E"/>
    <w:rsid w:val="43A63197"/>
    <w:rsid w:val="43C04259"/>
    <w:rsid w:val="43E74E26"/>
    <w:rsid w:val="43FC6682"/>
    <w:rsid w:val="44024872"/>
    <w:rsid w:val="442E5667"/>
    <w:rsid w:val="445F4171"/>
    <w:rsid w:val="446477B1"/>
    <w:rsid w:val="446C04CD"/>
    <w:rsid w:val="448D4A83"/>
    <w:rsid w:val="44B32ADD"/>
    <w:rsid w:val="44EC2DBF"/>
    <w:rsid w:val="45102FBE"/>
    <w:rsid w:val="451F3201"/>
    <w:rsid w:val="453F38A4"/>
    <w:rsid w:val="4545710C"/>
    <w:rsid w:val="4561381A"/>
    <w:rsid w:val="4582210E"/>
    <w:rsid w:val="458E3B2C"/>
    <w:rsid w:val="45986461"/>
    <w:rsid w:val="45B925DE"/>
    <w:rsid w:val="45FC26BC"/>
    <w:rsid w:val="462378DC"/>
    <w:rsid w:val="462937BE"/>
    <w:rsid w:val="464C46B0"/>
    <w:rsid w:val="465C660F"/>
    <w:rsid w:val="468E063F"/>
    <w:rsid w:val="46AC0D3A"/>
    <w:rsid w:val="46C16C66"/>
    <w:rsid w:val="46CA5237"/>
    <w:rsid w:val="46CE6FD6"/>
    <w:rsid w:val="46D544C0"/>
    <w:rsid w:val="46DA1AD6"/>
    <w:rsid w:val="46E42955"/>
    <w:rsid w:val="470E79D1"/>
    <w:rsid w:val="47276F05"/>
    <w:rsid w:val="473525B8"/>
    <w:rsid w:val="473F49AF"/>
    <w:rsid w:val="47543B1E"/>
    <w:rsid w:val="47933A29"/>
    <w:rsid w:val="47A361AE"/>
    <w:rsid w:val="47A54BED"/>
    <w:rsid w:val="47B02837"/>
    <w:rsid w:val="47B55DC2"/>
    <w:rsid w:val="47B75973"/>
    <w:rsid w:val="47C307BC"/>
    <w:rsid w:val="47D35EEB"/>
    <w:rsid w:val="47F74506"/>
    <w:rsid w:val="48166B3E"/>
    <w:rsid w:val="481C5974"/>
    <w:rsid w:val="48427933"/>
    <w:rsid w:val="484666C0"/>
    <w:rsid w:val="48710218"/>
    <w:rsid w:val="487C47BE"/>
    <w:rsid w:val="48847F4B"/>
    <w:rsid w:val="48A072ED"/>
    <w:rsid w:val="48B06F92"/>
    <w:rsid w:val="48C12F4D"/>
    <w:rsid w:val="48D30E19"/>
    <w:rsid w:val="48E42798"/>
    <w:rsid w:val="48E96000"/>
    <w:rsid w:val="48ED4CEB"/>
    <w:rsid w:val="48F055E1"/>
    <w:rsid w:val="49115557"/>
    <w:rsid w:val="49135456"/>
    <w:rsid w:val="491F1A22"/>
    <w:rsid w:val="493C3C01"/>
    <w:rsid w:val="494055D5"/>
    <w:rsid w:val="495F2766"/>
    <w:rsid w:val="496C526C"/>
    <w:rsid w:val="496D09DF"/>
    <w:rsid w:val="49725FF6"/>
    <w:rsid w:val="49873428"/>
    <w:rsid w:val="498D72D3"/>
    <w:rsid w:val="49920446"/>
    <w:rsid w:val="49BB4089"/>
    <w:rsid w:val="49BE56DF"/>
    <w:rsid w:val="49ED3C5D"/>
    <w:rsid w:val="4A2F3EE7"/>
    <w:rsid w:val="4A404534"/>
    <w:rsid w:val="4A6A4F1F"/>
    <w:rsid w:val="4A7F4E6E"/>
    <w:rsid w:val="4A923BEA"/>
    <w:rsid w:val="4A9E2E1A"/>
    <w:rsid w:val="4AD472AA"/>
    <w:rsid w:val="4ADA6548"/>
    <w:rsid w:val="4ADE073F"/>
    <w:rsid w:val="4AE66C9B"/>
    <w:rsid w:val="4B15132F"/>
    <w:rsid w:val="4B1650A7"/>
    <w:rsid w:val="4B337A07"/>
    <w:rsid w:val="4B412124"/>
    <w:rsid w:val="4B427C4A"/>
    <w:rsid w:val="4B4B66E1"/>
    <w:rsid w:val="4B7574B1"/>
    <w:rsid w:val="4B7A3887"/>
    <w:rsid w:val="4B7A73E4"/>
    <w:rsid w:val="4B9A7A86"/>
    <w:rsid w:val="4BEF4A2D"/>
    <w:rsid w:val="4BFA6D69"/>
    <w:rsid w:val="4C03562B"/>
    <w:rsid w:val="4C1B6CFE"/>
    <w:rsid w:val="4C374D19"/>
    <w:rsid w:val="4C3E72B8"/>
    <w:rsid w:val="4C7E6688"/>
    <w:rsid w:val="4CD34FFD"/>
    <w:rsid w:val="4CEB22E7"/>
    <w:rsid w:val="4D094EC3"/>
    <w:rsid w:val="4D0E7DD1"/>
    <w:rsid w:val="4D0F7FFF"/>
    <w:rsid w:val="4D1B4BF6"/>
    <w:rsid w:val="4D2F3021"/>
    <w:rsid w:val="4D420FCC"/>
    <w:rsid w:val="4D467EC5"/>
    <w:rsid w:val="4D6B3488"/>
    <w:rsid w:val="4DB27309"/>
    <w:rsid w:val="4DB71B04"/>
    <w:rsid w:val="4DB80715"/>
    <w:rsid w:val="4DC86B2C"/>
    <w:rsid w:val="4DCB2F70"/>
    <w:rsid w:val="4DE72499"/>
    <w:rsid w:val="4DEB45C9"/>
    <w:rsid w:val="4DED0CDF"/>
    <w:rsid w:val="4DF740D0"/>
    <w:rsid w:val="4E007AF1"/>
    <w:rsid w:val="4E0B6A19"/>
    <w:rsid w:val="4E1E499E"/>
    <w:rsid w:val="4E21623C"/>
    <w:rsid w:val="4E217FEA"/>
    <w:rsid w:val="4E37780E"/>
    <w:rsid w:val="4E4A0BF8"/>
    <w:rsid w:val="4E6A1991"/>
    <w:rsid w:val="4E704ACE"/>
    <w:rsid w:val="4EC520DD"/>
    <w:rsid w:val="4ED3513B"/>
    <w:rsid w:val="4ED35EDF"/>
    <w:rsid w:val="4ED56054"/>
    <w:rsid w:val="4ED70725"/>
    <w:rsid w:val="4EDE412D"/>
    <w:rsid w:val="4EF31987"/>
    <w:rsid w:val="4F02606E"/>
    <w:rsid w:val="4F195165"/>
    <w:rsid w:val="4F1A33B7"/>
    <w:rsid w:val="4F211FCB"/>
    <w:rsid w:val="4F2428E8"/>
    <w:rsid w:val="4F4A531F"/>
    <w:rsid w:val="4F4E6927"/>
    <w:rsid w:val="4F5469ED"/>
    <w:rsid w:val="4F560168"/>
    <w:rsid w:val="4F59138E"/>
    <w:rsid w:val="4F5A7C58"/>
    <w:rsid w:val="4F604B42"/>
    <w:rsid w:val="4F6732B5"/>
    <w:rsid w:val="4F7441B3"/>
    <w:rsid w:val="4F822D0B"/>
    <w:rsid w:val="4F912F4E"/>
    <w:rsid w:val="4FA05C21"/>
    <w:rsid w:val="4FA709C3"/>
    <w:rsid w:val="4FB661F0"/>
    <w:rsid w:val="50081462"/>
    <w:rsid w:val="500876B4"/>
    <w:rsid w:val="500E53BA"/>
    <w:rsid w:val="50476928"/>
    <w:rsid w:val="504777BC"/>
    <w:rsid w:val="50653189"/>
    <w:rsid w:val="50720FD1"/>
    <w:rsid w:val="50840A87"/>
    <w:rsid w:val="508A00C9"/>
    <w:rsid w:val="50A218B6"/>
    <w:rsid w:val="50A70C7B"/>
    <w:rsid w:val="50B05655"/>
    <w:rsid w:val="50B67110"/>
    <w:rsid w:val="50D073B6"/>
    <w:rsid w:val="50D91050"/>
    <w:rsid w:val="50E53551"/>
    <w:rsid w:val="50EA0B67"/>
    <w:rsid w:val="50F73284"/>
    <w:rsid w:val="51165E00"/>
    <w:rsid w:val="512A18AC"/>
    <w:rsid w:val="512E314A"/>
    <w:rsid w:val="51422751"/>
    <w:rsid w:val="51431050"/>
    <w:rsid w:val="51791EEB"/>
    <w:rsid w:val="51941929"/>
    <w:rsid w:val="51A90A23"/>
    <w:rsid w:val="51B35AD4"/>
    <w:rsid w:val="51C00C6C"/>
    <w:rsid w:val="51C55131"/>
    <w:rsid w:val="51D830B6"/>
    <w:rsid w:val="51E7154B"/>
    <w:rsid w:val="51ED6B61"/>
    <w:rsid w:val="51FB017D"/>
    <w:rsid w:val="5209326F"/>
    <w:rsid w:val="520960FE"/>
    <w:rsid w:val="522602C5"/>
    <w:rsid w:val="522F410E"/>
    <w:rsid w:val="523F3135"/>
    <w:rsid w:val="52435CA7"/>
    <w:rsid w:val="52477846"/>
    <w:rsid w:val="525B67C3"/>
    <w:rsid w:val="52616BAE"/>
    <w:rsid w:val="526D1A50"/>
    <w:rsid w:val="527032EE"/>
    <w:rsid w:val="527E0828"/>
    <w:rsid w:val="52927709"/>
    <w:rsid w:val="52A82A88"/>
    <w:rsid w:val="52B14033"/>
    <w:rsid w:val="52B80E80"/>
    <w:rsid w:val="52CA0C50"/>
    <w:rsid w:val="52CC72DE"/>
    <w:rsid w:val="52D81983"/>
    <w:rsid w:val="52D86862"/>
    <w:rsid w:val="52F3154A"/>
    <w:rsid w:val="53043A93"/>
    <w:rsid w:val="530A4577"/>
    <w:rsid w:val="530F6C04"/>
    <w:rsid w:val="531058B7"/>
    <w:rsid w:val="531C554A"/>
    <w:rsid w:val="536410A5"/>
    <w:rsid w:val="53650979"/>
    <w:rsid w:val="5371731E"/>
    <w:rsid w:val="5373753A"/>
    <w:rsid w:val="53740BBC"/>
    <w:rsid w:val="5381502E"/>
    <w:rsid w:val="53821FD6"/>
    <w:rsid w:val="53B35B89"/>
    <w:rsid w:val="53C9715A"/>
    <w:rsid w:val="53FA7313"/>
    <w:rsid w:val="53FD6E04"/>
    <w:rsid w:val="54101877"/>
    <w:rsid w:val="54272454"/>
    <w:rsid w:val="54280325"/>
    <w:rsid w:val="54291BCA"/>
    <w:rsid w:val="545D78A2"/>
    <w:rsid w:val="54883479"/>
    <w:rsid w:val="549A0B0C"/>
    <w:rsid w:val="549A7622"/>
    <w:rsid w:val="54AB21C5"/>
    <w:rsid w:val="54C94F38"/>
    <w:rsid w:val="54D51B2F"/>
    <w:rsid w:val="54DD7595"/>
    <w:rsid w:val="54E67898"/>
    <w:rsid w:val="550B75FF"/>
    <w:rsid w:val="551C6EAC"/>
    <w:rsid w:val="552F123F"/>
    <w:rsid w:val="55560EC1"/>
    <w:rsid w:val="556A2BB0"/>
    <w:rsid w:val="556E620B"/>
    <w:rsid w:val="557A42D3"/>
    <w:rsid w:val="55905F2E"/>
    <w:rsid w:val="55992B5C"/>
    <w:rsid w:val="559A1CBD"/>
    <w:rsid w:val="55C26FBB"/>
    <w:rsid w:val="55C73B6D"/>
    <w:rsid w:val="55CD1114"/>
    <w:rsid w:val="55DD6EED"/>
    <w:rsid w:val="55E464CD"/>
    <w:rsid w:val="56044479"/>
    <w:rsid w:val="56066443"/>
    <w:rsid w:val="56244B1C"/>
    <w:rsid w:val="564B0D78"/>
    <w:rsid w:val="566118CC"/>
    <w:rsid w:val="56835CE6"/>
    <w:rsid w:val="56955A19"/>
    <w:rsid w:val="569A4DDE"/>
    <w:rsid w:val="56C241D6"/>
    <w:rsid w:val="56DD7A61"/>
    <w:rsid w:val="56E542AB"/>
    <w:rsid w:val="56FB4CB8"/>
    <w:rsid w:val="57051A8E"/>
    <w:rsid w:val="570861C6"/>
    <w:rsid w:val="570861EB"/>
    <w:rsid w:val="57114A5A"/>
    <w:rsid w:val="57195446"/>
    <w:rsid w:val="575136EE"/>
    <w:rsid w:val="579E5B42"/>
    <w:rsid w:val="579F3F38"/>
    <w:rsid w:val="57A203EE"/>
    <w:rsid w:val="57A50972"/>
    <w:rsid w:val="57A71560"/>
    <w:rsid w:val="57CF6D09"/>
    <w:rsid w:val="57D12A81"/>
    <w:rsid w:val="57EE718F"/>
    <w:rsid w:val="57F0234F"/>
    <w:rsid w:val="57FF139C"/>
    <w:rsid w:val="582320DC"/>
    <w:rsid w:val="582C61EA"/>
    <w:rsid w:val="5835771B"/>
    <w:rsid w:val="58425BDC"/>
    <w:rsid w:val="5856784A"/>
    <w:rsid w:val="58757196"/>
    <w:rsid w:val="589B40F1"/>
    <w:rsid w:val="589D2963"/>
    <w:rsid w:val="58A75590"/>
    <w:rsid w:val="58C47EF0"/>
    <w:rsid w:val="58CF0EC3"/>
    <w:rsid w:val="58D33E46"/>
    <w:rsid w:val="59170968"/>
    <w:rsid w:val="593F3A1A"/>
    <w:rsid w:val="5953482D"/>
    <w:rsid w:val="59667B85"/>
    <w:rsid w:val="596811C3"/>
    <w:rsid w:val="59A3044D"/>
    <w:rsid w:val="59B2243E"/>
    <w:rsid w:val="59C10F13"/>
    <w:rsid w:val="59CF0D37"/>
    <w:rsid w:val="59E36A9C"/>
    <w:rsid w:val="59E92304"/>
    <w:rsid w:val="59F451B7"/>
    <w:rsid w:val="59FE7432"/>
    <w:rsid w:val="5A321B25"/>
    <w:rsid w:val="5A4E660B"/>
    <w:rsid w:val="5A540A8F"/>
    <w:rsid w:val="5A6B2CE6"/>
    <w:rsid w:val="5A85089D"/>
    <w:rsid w:val="5A865DA5"/>
    <w:rsid w:val="5A8E4C59"/>
    <w:rsid w:val="5A94505A"/>
    <w:rsid w:val="5A974CF7"/>
    <w:rsid w:val="5AA12BDF"/>
    <w:rsid w:val="5ABF12B7"/>
    <w:rsid w:val="5AC468CD"/>
    <w:rsid w:val="5ACE005D"/>
    <w:rsid w:val="5AE63BCE"/>
    <w:rsid w:val="5AF251E8"/>
    <w:rsid w:val="5AF96577"/>
    <w:rsid w:val="5B3255E5"/>
    <w:rsid w:val="5B335F2F"/>
    <w:rsid w:val="5B351579"/>
    <w:rsid w:val="5B3550D5"/>
    <w:rsid w:val="5B4672E2"/>
    <w:rsid w:val="5B4F43E9"/>
    <w:rsid w:val="5B500161"/>
    <w:rsid w:val="5B5E287E"/>
    <w:rsid w:val="5B631C42"/>
    <w:rsid w:val="5B6559BA"/>
    <w:rsid w:val="5B6B41D3"/>
    <w:rsid w:val="5B6D486F"/>
    <w:rsid w:val="5B85605C"/>
    <w:rsid w:val="5BAA161F"/>
    <w:rsid w:val="5BB75E1A"/>
    <w:rsid w:val="5BC85F49"/>
    <w:rsid w:val="5BCF1086"/>
    <w:rsid w:val="5BD60666"/>
    <w:rsid w:val="5BF8682E"/>
    <w:rsid w:val="5C3D6937"/>
    <w:rsid w:val="5C4750C0"/>
    <w:rsid w:val="5C5A5B31"/>
    <w:rsid w:val="5C602FE0"/>
    <w:rsid w:val="5C683F2D"/>
    <w:rsid w:val="5C967DF5"/>
    <w:rsid w:val="5CBF734C"/>
    <w:rsid w:val="5CC21EDF"/>
    <w:rsid w:val="5CC44A64"/>
    <w:rsid w:val="5CDD3C76"/>
    <w:rsid w:val="5CEE19DF"/>
    <w:rsid w:val="5CF039A9"/>
    <w:rsid w:val="5D03454F"/>
    <w:rsid w:val="5D192F00"/>
    <w:rsid w:val="5D323FC2"/>
    <w:rsid w:val="5D3A3C6B"/>
    <w:rsid w:val="5D434890"/>
    <w:rsid w:val="5D504BE1"/>
    <w:rsid w:val="5D6A3693"/>
    <w:rsid w:val="5D752101"/>
    <w:rsid w:val="5D861C18"/>
    <w:rsid w:val="5D881E34"/>
    <w:rsid w:val="5D9205BD"/>
    <w:rsid w:val="5DA54794"/>
    <w:rsid w:val="5DAA3B58"/>
    <w:rsid w:val="5DB9023F"/>
    <w:rsid w:val="5DBC56F9"/>
    <w:rsid w:val="5DC310DD"/>
    <w:rsid w:val="5DDC52C4"/>
    <w:rsid w:val="5DF9688E"/>
    <w:rsid w:val="5DFB2606"/>
    <w:rsid w:val="5E133900"/>
    <w:rsid w:val="5E1D1FD4"/>
    <w:rsid w:val="5E361890"/>
    <w:rsid w:val="5E3E0745"/>
    <w:rsid w:val="5E3E24F3"/>
    <w:rsid w:val="5E47584B"/>
    <w:rsid w:val="5E4A0A5D"/>
    <w:rsid w:val="5E4C10B3"/>
    <w:rsid w:val="5E4D0D55"/>
    <w:rsid w:val="5E504D49"/>
    <w:rsid w:val="5E5D0BCB"/>
    <w:rsid w:val="5E5D6E1D"/>
    <w:rsid w:val="5E666302"/>
    <w:rsid w:val="5E6A778C"/>
    <w:rsid w:val="5E914D18"/>
    <w:rsid w:val="5EA031AD"/>
    <w:rsid w:val="5EA66A16"/>
    <w:rsid w:val="5EAC6A18"/>
    <w:rsid w:val="5EC272D5"/>
    <w:rsid w:val="5EC92704"/>
    <w:rsid w:val="5ECE1AC8"/>
    <w:rsid w:val="5ED66BCF"/>
    <w:rsid w:val="5EF01A3F"/>
    <w:rsid w:val="5EF6361A"/>
    <w:rsid w:val="5EF808F3"/>
    <w:rsid w:val="5EFC4888"/>
    <w:rsid w:val="5F023BCB"/>
    <w:rsid w:val="5F2471FB"/>
    <w:rsid w:val="5F335DCF"/>
    <w:rsid w:val="5F3F2515"/>
    <w:rsid w:val="5F4973A1"/>
    <w:rsid w:val="5F511347"/>
    <w:rsid w:val="5F7A755A"/>
    <w:rsid w:val="5FAA42E4"/>
    <w:rsid w:val="5FD70E51"/>
    <w:rsid w:val="5FF016F7"/>
    <w:rsid w:val="5FF84C06"/>
    <w:rsid w:val="602045A6"/>
    <w:rsid w:val="60352574"/>
    <w:rsid w:val="60367925"/>
    <w:rsid w:val="60600490"/>
    <w:rsid w:val="606D5311"/>
    <w:rsid w:val="6074674D"/>
    <w:rsid w:val="60B92304"/>
    <w:rsid w:val="60D4713E"/>
    <w:rsid w:val="60D5627E"/>
    <w:rsid w:val="60E03D35"/>
    <w:rsid w:val="60E864B8"/>
    <w:rsid w:val="60FD48E7"/>
    <w:rsid w:val="6105554A"/>
    <w:rsid w:val="610E0A3A"/>
    <w:rsid w:val="61130ED3"/>
    <w:rsid w:val="611A0EA3"/>
    <w:rsid w:val="611A0FF5"/>
    <w:rsid w:val="6122434D"/>
    <w:rsid w:val="614E0C9F"/>
    <w:rsid w:val="614E24B5"/>
    <w:rsid w:val="616731B3"/>
    <w:rsid w:val="6183547E"/>
    <w:rsid w:val="618C50A6"/>
    <w:rsid w:val="61C947C9"/>
    <w:rsid w:val="61DA69D6"/>
    <w:rsid w:val="61E810F3"/>
    <w:rsid w:val="620A72BB"/>
    <w:rsid w:val="621E68C3"/>
    <w:rsid w:val="62450898"/>
    <w:rsid w:val="626126AB"/>
    <w:rsid w:val="62636276"/>
    <w:rsid w:val="626C3AD2"/>
    <w:rsid w:val="627E7362"/>
    <w:rsid w:val="627F7948"/>
    <w:rsid w:val="62864468"/>
    <w:rsid w:val="62B72874"/>
    <w:rsid w:val="6300421A"/>
    <w:rsid w:val="6302731F"/>
    <w:rsid w:val="630A21A8"/>
    <w:rsid w:val="631101D6"/>
    <w:rsid w:val="631B51C3"/>
    <w:rsid w:val="633B34A5"/>
    <w:rsid w:val="63410424"/>
    <w:rsid w:val="63497970"/>
    <w:rsid w:val="635602DE"/>
    <w:rsid w:val="6356208C"/>
    <w:rsid w:val="63A31776"/>
    <w:rsid w:val="63AD0AAE"/>
    <w:rsid w:val="63AE011A"/>
    <w:rsid w:val="63DE27AE"/>
    <w:rsid w:val="63E45722"/>
    <w:rsid w:val="63E458EA"/>
    <w:rsid w:val="63F24A31"/>
    <w:rsid w:val="640E2967"/>
    <w:rsid w:val="64314FA9"/>
    <w:rsid w:val="64346872"/>
    <w:rsid w:val="646863BA"/>
    <w:rsid w:val="64821C7A"/>
    <w:rsid w:val="64B02DA1"/>
    <w:rsid w:val="64DD2C79"/>
    <w:rsid w:val="64E02555"/>
    <w:rsid w:val="64E738E4"/>
    <w:rsid w:val="64EA3DBD"/>
    <w:rsid w:val="64F102BF"/>
    <w:rsid w:val="65054A67"/>
    <w:rsid w:val="6525440C"/>
    <w:rsid w:val="652675D5"/>
    <w:rsid w:val="652A37D1"/>
    <w:rsid w:val="653C2A1A"/>
    <w:rsid w:val="655D5954"/>
    <w:rsid w:val="6565189F"/>
    <w:rsid w:val="65901886"/>
    <w:rsid w:val="65960E66"/>
    <w:rsid w:val="65982872"/>
    <w:rsid w:val="65A43146"/>
    <w:rsid w:val="65AB2B63"/>
    <w:rsid w:val="65AB66C0"/>
    <w:rsid w:val="65B732B6"/>
    <w:rsid w:val="65BC6B1F"/>
    <w:rsid w:val="65DF6369"/>
    <w:rsid w:val="65E64D50"/>
    <w:rsid w:val="65ED4F2A"/>
    <w:rsid w:val="664D7777"/>
    <w:rsid w:val="667271DD"/>
    <w:rsid w:val="66903482"/>
    <w:rsid w:val="6692787F"/>
    <w:rsid w:val="66AC6B93"/>
    <w:rsid w:val="66B578B0"/>
    <w:rsid w:val="66D24120"/>
    <w:rsid w:val="66DB1B1B"/>
    <w:rsid w:val="66EF082E"/>
    <w:rsid w:val="66F05E1A"/>
    <w:rsid w:val="66F978FF"/>
    <w:rsid w:val="6711452F"/>
    <w:rsid w:val="672D1356"/>
    <w:rsid w:val="67505E26"/>
    <w:rsid w:val="67662806"/>
    <w:rsid w:val="67693477"/>
    <w:rsid w:val="677F2094"/>
    <w:rsid w:val="679C741E"/>
    <w:rsid w:val="67A41618"/>
    <w:rsid w:val="67A7735B"/>
    <w:rsid w:val="67BA6762"/>
    <w:rsid w:val="67BF46A4"/>
    <w:rsid w:val="67BF4F03"/>
    <w:rsid w:val="67D0373E"/>
    <w:rsid w:val="67F00D02"/>
    <w:rsid w:val="67FF0F45"/>
    <w:rsid w:val="68095767"/>
    <w:rsid w:val="680F5418"/>
    <w:rsid w:val="683A3D2B"/>
    <w:rsid w:val="6850343E"/>
    <w:rsid w:val="68732816"/>
    <w:rsid w:val="68762E99"/>
    <w:rsid w:val="689618A9"/>
    <w:rsid w:val="68AB3A31"/>
    <w:rsid w:val="68B26F46"/>
    <w:rsid w:val="68BE3B9D"/>
    <w:rsid w:val="68C83A2C"/>
    <w:rsid w:val="68EC6A71"/>
    <w:rsid w:val="68FB170C"/>
    <w:rsid w:val="690600B1"/>
    <w:rsid w:val="691E189E"/>
    <w:rsid w:val="694110E9"/>
    <w:rsid w:val="694A61EF"/>
    <w:rsid w:val="6965127B"/>
    <w:rsid w:val="696A1A4E"/>
    <w:rsid w:val="69B85C8B"/>
    <w:rsid w:val="69C266CE"/>
    <w:rsid w:val="69D87C9F"/>
    <w:rsid w:val="69F25B0B"/>
    <w:rsid w:val="69F820EF"/>
    <w:rsid w:val="69F85C4B"/>
    <w:rsid w:val="6A070584"/>
    <w:rsid w:val="6A2473ED"/>
    <w:rsid w:val="6A3A2708"/>
    <w:rsid w:val="6A4F317F"/>
    <w:rsid w:val="6A4F3EC3"/>
    <w:rsid w:val="6A5016AC"/>
    <w:rsid w:val="6A854457"/>
    <w:rsid w:val="6AA64288"/>
    <w:rsid w:val="6ACF28A3"/>
    <w:rsid w:val="6AE10DD5"/>
    <w:rsid w:val="6AF1726A"/>
    <w:rsid w:val="6AFB5BA3"/>
    <w:rsid w:val="6B2B4BE8"/>
    <w:rsid w:val="6B2E4BCE"/>
    <w:rsid w:val="6B623CC4"/>
    <w:rsid w:val="6B6932A5"/>
    <w:rsid w:val="6B6F1F3D"/>
    <w:rsid w:val="6B961BC0"/>
    <w:rsid w:val="6B9A16B0"/>
    <w:rsid w:val="6B9E2823"/>
    <w:rsid w:val="6BA53BB1"/>
    <w:rsid w:val="6BBC4CDE"/>
    <w:rsid w:val="6BBF2EC5"/>
    <w:rsid w:val="6BCB7ABB"/>
    <w:rsid w:val="6BDA7CFF"/>
    <w:rsid w:val="6BE54184"/>
    <w:rsid w:val="6BE91D26"/>
    <w:rsid w:val="6BFC151F"/>
    <w:rsid w:val="6C0030BC"/>
    <w:rsid w:val="6C0134DD"/>
    <w:rsid w:val="6C1256EA"/>
    <w:rsid w:val="6C450EF0"/>
    <w:rsid w:val="6C5775A1"/>
    <w:rsid w:val="6C580C23"/>
    <w:rsid w:val="6C68355C"/>
    <w:rsid w:val="6C700663"/>
    <w:rsid w:val="6C845EBC"/>
    <w:rsid w:val="6CB70040"/>
    <w:rsid w:val="6CC2341A"/>
    <w:rsid w:val="6CF7043C"/>
    <w:rsid w:val="6D062D75"/>
    <w:rsid w:val="6D090170"/>
    <w:rsid w:val="6D1C7EA3"/>
    <w:rsid w:val="6D3C65E3"/>
    <w:rsid w:val="6D417909"/>
    <w:rsid w:val="6D54763D"/>
    <w:rsid w:val="6D650CBA"/>
    <w:rsid w:val="6D6A3304"/>
    <w:rsid w:val="6D6D21D8"/>
    <w:rsid w:val="6D9143ED"/>
    <w:rsid w:val="6D9B3AD4"/>
    <w:rsid w:val="6DD8201C"/>
    <w:rsid w:val="6DE210EC"/>
    <w:rsid w:val="6DE22E9A"/>
    <w:rsid w:val="6DE309C1"/>
    <w:rsid w:val="6DE767DF"/>
    <w:rsid w:val="6E0576A6"/>
    <w:rsid w:val="6E162B44"/>
    <w:rsid w:val="6E245261"/>
    <w:rsid w:val="6E35746E"/>
    <w:rsid w:val="6E3B6A4F"/>
    <w:rsid w:val="6E5E224B"/>
    <w:rsid w:val="6E712470"/>
    <w:rsid w:val="6E71421E"/>
    <w:rsid w:val="6E8731D7"/>
    <w:rsid w:val="6E9D5013"/>
    <w:rsid w:val="6E9F6FDD"/>
    <w:rsid w:val="6EB81FD5"/>
    <w:rsid w:val="6EC16F54"/>
    <w:rsid w:val="6EC240BD"/>
    <w:rsid w:val="6ECD3203"/>
    <w:rsid w:val="6ECD3B4B"/>
    <w:rsid w:val="6ED07EFC"/>
    <w:rsid w:val="6EDC3D8E"/>
    <w:rsid w:val="6EE05EBE"/>
    <w:rsid w:val="6EEA5B83"/>
    <w:rsid w:val="6EF03395"/>
    <w:rsid w:val="6EF720FE"/>
    <w:rsid w:val="6F0765F9"/>
    <w:rsid w:val="6F12155D"/>
    <w:rsid w:val="6F23376B"/>
    <w:rsid w:val="6F2A4AF9"/>
    <w:rsid w:val="6F347726"/>
    <w:rsid w:val="6F775498"/>
    <w:rsid w:val="6F800BBD"/>
    <w:rsid w:val="6F95673A"/>
    <w:rsid w:val="6F9B59F7"/>
    <w:rsid w:val="6F9E37E5"/>
    <w:rsid w:val="6FC13D96"/>
    <w:rsid w:val="6FD66A2F"/>
    <w:rsid w:val="70001CFE"/>
    <w:rsid w:val="701C5C8F"/>
    <w:rsid w:val="70294DB1"/>
    <w:rsid w:val="7055340A"/>
    <w:rsid w:val="70645DE9"/>
    <w:rsid w:val="70730722"/>
    <w:rsid w:val="70815C93"/>
    <w:rsid w:val="708741CD"/>
    <w:rsid w:val="70912956"/>
    <w:rsid w:val="70A46B2D"/>
    <w:rsid w:val="70B054D2"/>
    <w:rsid w:val="70B16B24"/>
    <w:rsid w:val="70B2124A"/>
    <w:rsid w:val="70CF2A58"/>
    <w:rsid w:val="70D32F6E"/>
    <w:rsid w:val="70DF1913"/>
    <w:rsid w:val="70E94540"/>
    <w:rsid w:val="70F27898"/>
    <w:rsid w:val="71096990"/>
    <w:rsid w:val="71107458"/>
    <w:rsid w:val="711A3412"/>
    <w:rsid w:val="71294BC7"/>
    <w:rsid w:val="712B2DAA"/>
    <w:rsid w:val="713102D0"/>
    <w:rsid w:val="71792D3C"/>
    <w:rsid w:val="71922E29"/>
    <w:rsid w:val="71A87F57"/>
    <w:rsid w:val="71D53786"/>
    <w:rsid w:val="71D92806"/>
    <w:rsid w:val="71EC42E8"/>
    <w:rsid w:val="71F17B50"/>
    <w:rsid w:val="71F725E6"/>
    <w:rsid w:val="72031C1B"/>
    <w:rsid w:val="720930EC"/>
    <w:rsid w:val="720D425E"/>
    <w:rsid w:val="72292A73"/>
    <w:rsid w:val="722F68CA"/>
    <w:rsid w:val="72343EE1"/>
    <w:rsid w:val="72442376"/>
    <w:rsid w:val="72457E9C"/>
    <w:rsid w:val="726E73F3"/>
    <w:rsid w:val="728A58AF"/>
    <w:rsid w:val="72AB41A3"/>
    <w:rsid w:val="72AC787E"/>
    <w:rsid w:val="72C74B35"/>
    <w:rsid w:val="72D60AF4"/>
    <w:rsid w:val="72F67D86"/>
    <w:rsid w:val="73076EFF"/>
    <w:rsid w:val="731108AD"/>
    <w:rsid w:val="7312550B"/>
    <w:rsid w:val="73154AFC"/>
    <w:rsid w:val="73243F55"/>
    <w:rsid w:val="732C6966"/>
    <w:rsid w:val="73403020"/>
    <w:rsid w:val="734D7008"/>
    <w:rsid w:val="73506AF8"/>
    <w:rsid w:val="73552361"/>
    <w:rsid w:val="735859AD"/>
    <w:rsid w:val="735E1215"/>
    <w:rsid w:val="735E7467"/>
    <w:rsid w:val="737E47E2"/>
    <w:rsid w:val="73814F04"/>
    <w:rsid w:val="7384594D"/>
    <w:rsid w:val="73CF1C3C"/>
    <w:rsid w:val="73DE1E5F"/>
    <w:rsid w:val="74561394"/>
    <w:rsid w:val="74566390"/>
    <w:rsid w:val="745F3497"/>
    <w:rsid w:val="74730CF0"/>
    <w:rsid w:val="7487479C"/>
    <w:rsid w:val="74927632"/>
    <w:rsid w:val="74E21679"/>
    <w:rsid w:val="74EB4D2A"/>
    <w:rsid w:val="751D0C5C"/>
    <w:rsid w:val="751F6782"/>
    <w:rsid w:val="75226272"/>
    <w:rsid w:val="75510906"/>
    <w:rsid w:val="75842A89"/>
    <w:rsid w:val="75D73501"/>
    <w:rsid w:val="760C31AA"/>
    <w:rsid w:val="76152E21"/>
    <w:rsid w:val="76283D5C"/>
    <w:rsid w:val="76296C8E"/>
    <w:rsid w:val="763444AF"/>
    <w:rsid w:val="763A3147"/>
    <w:rsid w:val="765B5EE0"/>
    <w:rsid w:val="76805946"/>
    <w:rsid w:val="76816FC9"/>
    <w:rsid w:val="768A2321"/>
    <w:rsid w:val="768B09FE"/>
    <w:rsid w:val="76900992"/>
    <w:rsid w:val="76911902"/>
    <w:rsid w:val="76992564"/>
    <w:rsid w:val="76994A03"/>
    <w:rsid w:val="769D3E02"/>
    <w:rsid w:val="76A333C2"/>
    <w:rsid w:val="76AF7987"/>
    <w:rsid w:val="76C17E2E"/>
    <w:rsid w:val="76C43DDB"/>
    <w:rsid w:val="76CC293A"/>
    <w:rsid w:val="76E9529A"/>
    <w:rsid w:val="76FA081F"/>
    <w:rsid w:val="77132317"/>
    <w:rsid w:val="771542E1"/>
    <w:rsid w:val="772956DC"/>
    <w:rsid w:val="772C2D05"/>
    <w:rsid w:val="773109EF"/>
    <w:rsid w:val="77313E6E"/>
    <w:rsid w:val="773F513D"/>
    <w:rsid w:val="777C4360"/>
    <w:rsid w:val="77884AB3"/>
    <w:rsid w:val="77933457"/>
    <w:rsid w:val="779A2A38"/>
    <w:rsid w:val="77A84437"/>
    <w:rsid w:val="77E45A61"/>
    <w:rsid w:val="77F80AA1"/>
    <w:rsid w:val="780659D7"/>
    <w:rsid w:val="780A174B"/>
    <w:rsid w:val="78276743"/>
    <w:rsid w:val="78412EB3"/>
    <w:rsid w:val="78646B19"/>
    <w:rsid w:val="7866291A"/>
    <w:rsid w:val="787A5C58"/>
    <w:rsid w:val="787D038F"/>
    <w:rsid w:val="788E60F2"/>
    <w:rsid w:val="789726D5"/>
    <w:rsid w:val="78AA6CAB"/>
    <w:rsid w:val="78AE1451"/>
    <w:rsid w:val="78B369A4"/>
    <w:rsid w:val="78B83176"/>
    <w:rsid w:val="78E81581"/>
    <w:rsid w:val="79257CC4"/>
    <w:rsid w:val="792618D0"/>
    <w:rsid w:val="795F435A"/>
    <w:rsid w:val="79621333"/>
    <w:rsid w:val="79760C90"/>
    <w:rsid w:val="797F5A41"/>
    <w:rsid w:val="798D4602"/>
    <w:rsid w:val="79B37845"/>
    <w:rsid w:val="7A0559C3"/>
    <w:rsid w:val="7A0917AF"/>
    <w:rsid w:val="7A184AF9"/>
    <w:rsid w:val="7A24483B"/>
    <w:rsid w:val="7A291E51"/>
    <w:rsid w:val="7A41242A"/>
    <w:rsid w:val="7A513882"/>
    <w:rsid w:val="7A715CD2"/>
    <w:rsid w:val="7A811C8D"/>
    <w:rsid w:val="7A8C3BDC"/>
    <w:rsid w:val="7AF472D8"/>
    <w:rsid w:val="7B0F54EB"/>
    <w:rsid w:val="7B1D3764"/>
    <w:rsid w:val="7B203254"/>
    <w:rsid w:val="7B22169F"/>
    <w:rsid w:val="7B4927AB"/>
    <w:rsid w:val="7B62561B"/>
    <w:rsid w:val="7B646669"/>
    <w:rsid w:val="7B7541D7"/>
    <w:rsid w:val="7B7E1014"/>
    <w:rsid w:val="7B802805"/>
    <w:rsid w:val="7B9D2AF7"/>
    <w:rsid w:val="7B9F23CB"/>
    <w:rsid w:val="7BA63759"/>
    <w:rsid w:val="7BBD4F47"/>
    <w:rsid w:val="7BC2430B"/>
    <w:rsid w:val="7BCB1412"/>
    <w:rsid w:val="7BE95D3C"/>
    <w:rsid w:val="7BEC3136"/>
    <w:rsid w:val="7C142DB9"/>
    <w:rsid w:val="7C220731"/>
    <w:rsid w:val="7C295894"/>
    <w:rsid w:val="7C39281F"/>
    <w:rsid w:val="7C3B2B9B"/>
    <w:rsid w:val="7C66738C"/>
    <w:rsid w:val="7C883A74"/>
    <w:rsid w:val="7C8F25E3"/>
    <w:rsid w:val="7C9712F4"/>
    <w:rsid w:val="7C9A0DE4"/>
    <w:rsid w:val="7CA12173"/>
    <w:rsid w:val="7CAF663E"/>
    <w:rsid w:val="7CB415AB"/>
    <w:rsid w:val="7CB74A32"/>
    <w:rsid w:val="7CF82978"/>
    <w:rsid w:val="7D1868D9"/>
    <w:rsid w:val="7D2012E9"/>
    <w:rsid w:val="7D276B1C"/>
    <w:rsid w:val="7D322B00"/>
    <w:rsid w:val="7D7653AD"/>
    <w:rsid w:val="7D932858"/>
    <w:rsid w:val="7DBA173E"/>
    <w:rsid w:val="7DC720AD"/>
    <w:rsid w:val="7DC9372F"/>
    <w:rsid w:val="7DD345AE"/>
    <w:rsid w:val="7DE06CCB"/>
    <w:rsid w:val="7DEE7639"/>
    <w:rsid w:val="7E0806FB"/>
    <w:rsid w:val="7E10135E"/>
    <w:rsid w:val="7E221091"/>
    <w:rsid w:val="7E2B6198"/>
    <w:rsid w:val="7E3A462D"/>
    <w:rsid w:val="7E4D4360"/>
    <w:rsid w:val="7E6671D0"/>
    <w:rsid w:val="7E8C4D44"/>
    <w:rsid w:val="7EA06B86"/>
    <w:rsid w:val="7EA77C3D"/>
    <w:rsid w:val="7EB65022"/>
    <w:rsid w:val="7EC56C75"/>
    <w:rsid w:val="7EC74413"/>
    <w:rsid w:val="7ED72E9F"/>
    <w:rsid w:val="7EDB7BBE"/>
    <w:rsid w:val="7EEA1BAF"/>
    <w:rsid w:val="7F062140"/>
    <w:rsid w:val="7F0C1405"/>
    <w:rsid w:val="7F386989"/>
    <w:rsid w:val="7F517E80"/>
    <w:rsid w:val="7F533BF8"/>
    <w:rsid w:val="7F637BB3"/>
    <w:rsid w:val="7F8758BF"/>
    <w:rsid w:val="7FAD0BF4"/>
    <w:rsid w:val="7FAE1A8A"/>
    <w:rsid w:val="7FDB3BED"/>
    <w:rsid w:val="7FDF4F36"/>
    <w:rsid w:val="7FE765CB"/>
    <w:rsid w:val="7FEB2083"/>
    <w:rsid w:val="7FF151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qFormat="1" w:unhideWhenUsed="0" w:uiPriority="0" w:semiHidden="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qFormat="1" w:unhideWhenUsed="0" w:uiPriority="0" w:semiHidden="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3"/>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78"/>
    <w:qFormat/>
    <w:uiPriority w:val="0"/>
    <w:pPr>
      <w:widowControl/>
      <w:spacing w:before="100" w:beforeAutospacing="1" w:after="100" w:afterAutospacing="1"/>
      <w:jc w:val="left"/>
      <w:outlineLvl w:val="1"/>
    </w:pPr>
    <w:rPr>
      <w:rFonts w:ascii="宋体" w:hAnsi="宋体"/>
      <w:b/>
      <w:kern w:val="0"/>
      <w:sz w:val="36"/>
    </w:rPr>
  </w:style>
  <w:style w:type="paragraph" w:styleId="4">
    <w:name w:val="heading 3"/>
    <w:basedOn w:val="1"/>
    <w:next w:val="1"/>
    <w:link w:val="7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80"/>
    <w:qFormat/>
    <w:uiPriority w:val="0"/>
    <w:pPr>
      <w:keepNext/>
      <w:keepLines/>
      <w:tabs>
        <w:tab w:val="left" w:pos="1650"/>
      </w:tabs>
      <w:adjustRightInd w:val="0"/>
      <w:snapToGrid w:val="0"/>
      <w:spacing w:before="120" w:after="120" w:line="360" w:lineRule="auto"/>
      <w:ind w:left="570"/>
      <w:outlineLvl w:val="3"/>
    </w:pPr>
    <w:rPr>
      <w:rFonts w:ascii="宋体" w:hAnsi="宋体"/>
      <w:b/>
      <w:bCs/>
      <w:color w:val="000000"/>
      <w:sz w:val="24"/>
      <w:szCs w:val="24"/>
    </w:rPr>
  </w:style>
  <w:style w:type="paragraph" w:styleId="6">
    <w:name w:val="heading 5"/>
    <w:basedOn w:val="1"/>
    <w:next w:val="1"/>
    <w:link w:val="81"/>
    <w:qFormat/>
    <w:uiPriority w:val="0"/>
    <w:pPr>
      <w:keepNext/>
      <w:keepLines/>
      <w:spacing w:before="280" w:after="290" w:line="376" w:lineRule="auto"/>
      <w:outlineLvl w:val="4"/>
    </w:pPr>
    <w:rPr>
      <w:b/>
      <w:bCs/>
      <w:sz w:val="28"/>
      <w:szCs w:val="28"/>
    </w:rPr>
  </w:style>
  <w:style w:type="character" w:default="1" w:styleId="55">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Calibri" w:hAnsi="Calibri"/>
      <w:szCs w:val="22"/>
    </w:rPr>
  </w:style>
  <w:style w:type="paragraph" w:styleId="8">
    <w:name w:val="Normal Indent"/>
    <w:basedOn w:val="1"/>
    <w:next w:val="1"/>
    <w:qFormat/>
    <w:uiPriority w:val="0"/>
    <w:pPr>
      <w:ind w:firstLine="420" w:firstLineChars="200"/>
    </w:pPr>
  </w:style>
  <w:style w:type="paragraph" w:styleId="9">
    <w:name w:val="caption"/>
    <w:basedOn w:val="1"/>
    <w:next w:val="1"/>
    <w:qFormat/>
    <w:uiPriority w:val="0"/>
    <w:pPr>
      <w:spacing w:before="152" w:after="160"/>
    </w:pPr>
    <w:rPr>
      <w:rFonts w:ascii="Arial" w:hAnsi="Arial" w:eastAsia="黑体"/>
      <w:sz w:val="20"/>
    </w:rPr>
  </w:style>
  <w:style w:type="paragraph" w:styleId="10">
    <w:name w:val="Document Map"/>
    <w:basedOn w:val="1"/>
    <w:link w:val="114"/>
    <w:qFormat/>
    <w:uiPriority w:val="0"/>
    <w:pPr>
      <w:shd w:val="clear" w:color="auto" w:fill="000080"/>
    </w:pPr>
  </w:style>
  <w:style w:type="paragraph" w:styleId="11">
    <w:name w:val="annotation text"/>
    <w:basedOn w:val="1"/>
    <w:link w:val="94"/>
    <w:qFormat/>
    <w:uiPriority w:val="0"/>
    <w:pPr>
      <w:jc w:val="left"/>
    </w:pPr>
  </w:style>
  <w:style w:type="paragraph" w:styleId="12">
    <w:name w:val="Salutation"/>
    <w:basedOn w:val="1"/>
    <w:next w:val="1"/>
    <w:link w:val="191"/>
    <w:qFormat/>
    <w:uiPriority w:val="0"/>
    <w:rPr>
      <w:rFonts w:ascii="Calibri" w:hAnsi="Calibri"/>
    </w:rPr>
  </w:style>
  <w:style w:type="paragraph" w:styleId="13">
    <w:name w:val="Body Text 3"/>
    <w:basedOn w:val="1"/>
    <w:qFormat/>
    <w:uiPriority w:val="0"/>
    <w:pPr>
      <w:spacing w:after="120"/>
    </w:pPr>
    <w:rPr>
      <w:sz w:val="16"/>
    </w:rPr>
  </w:style>
  <w:style w:type="paragraph" w:styleId="14">
    <w:name w:val="Body Text"/>
    <w:basedOn w:val="1"/>
    <w:next w:val="1"/>
    <w:link w:val="84"/>
    <w:qFormat/>
    <w:uiPriority w:val="0"/>
    <w:pPr>
      <w:spacing w:line="480" w:lineRule="exact"/>
    </w:pPr>
    <w:rPr>
      <w:rFonts w:ascii="宋体" w:hAnsi="宋体"/>
      <w:sz w:val="28"/>
    </w:rPr>
  </w:style>
  <w:style w:type="paragraph" w:styleId="15">
    <w:name w:val="Body Text Indent"/>
    <w:basedOn w:val="1"/>
    <w:next w:val="16"/>
    <w:link w:val="85"/>
    <w:qFormat/>
    <w:uiPriority w:val="0"/>
    <w:pPr>
      <w:spacing w:line="500" w:lineRule="exact"/>
      <w:ind w:firstLine="556"/>
    </w:pPr>
    <w:rPr>
      <w:sz w:val="28"/>
      <w:lang w:val="zh-CN"/>
    </w:rPr>
  </w:style>
  <w:style w:type="paragraph" w:styleId="16">
    <w:name w:val="Body Text Indent 2"/>
    <w:basedOn w:val="1"/>
    <w:next w:val="17"/>
    <w:qFormat/>
    <w:uiPriority w:val="0"/>
    <w:pPr>
      <w:spacing w:line="400" w:lineRule="exact"/>
      <w:ind w:firstLine="573"/>
    </w:pPr>
    <w:rPr>
      <w:rFonts w:ascii="宋体" w:hAnsi="宋体"/>
      <w:sz w:val="28"/>
    </w:rPr>
  </w:style>
  <w:style w:type="paragraph" w:styleId="17">
    <w:name w:val="Body Text First Indent 2"/>
    <w:basedOn w:val="15"/>
    <w:next w:val="1"/>
    <w:link w:val="192"/>
    <w:qFormat/>
    <w:uiPriority w:val="0"/>
    <w:pPr>
      <w:ind w:firstLine="420" w:firstLineChars="200"/>
    </w:pPr>
    <w:rPr>
      <w:rFonts w:ascii="Calibri" w:hAnsi="Calibri"/>
    </w:rPr>
  </w:style>
  <w:style w:type="paragraph" w:styleId="18">
    <w:name w:val="Block Text"/>
    <w:basedOn w:val="1"/>
    <w:qFormat/>
    <w:uiPriority w:val="0"/>
    <w:pPr>
      <w:spacing w:line="540" w:lineRule="exact"/>
      <w:ind w:left="315" w:leftChars="150" w:right="315" w:rightChars="150" w:firstLine="560" w:firstLineChars="200"/>
    </w:pPr>
    <w:rPr>
      <w:rFonts w:ascii="仿宋_GB2312" w:hAnsi="宋体" w:eastAsia="仿宋_GB2312"/>
      <w:sz w:val="28"/>
      <w:szCs w:val="28"/>
    </w:rPr>
  </w:style>
  <w:style w:type="paragraph" w:styleId="19">
    <w:name w:val="toc 5"/>
    <w:basedOn w:val="1"/>
    <w:next w:val="1"/>
    <w:unhideWhenUsed/>
    <w:qFormat/>
    <w:uiPriority w:val="39"/>
    <w:pPr>
      <w:ind w:left="1680" w:leftChars="800"/>
    </w:pPr>
    <w:rPr>
      <w:rFonts w:ascii="Calibri" w:hAnsi="Calibri"/>
      <w:szCs w:val="22"/>
    </w:rPr>
  </w:style>
  <w:style w:type="paragraph" w:styleId="20">
    <w:name w:val="toc 3"/>
    <w:basedOn w:val="1"/>
    <w:next w:val="1"/>
    <w:qFormat/>
    <w:uiPriority w:val="39"/>
    <w:pPr>
      <w:ind w:left="840" w:leftChars="400"/>
    </w:pPr>
  </w:style>
  <w:style w:type="paragraph" w:styleId="21">
    <w:name w:val="Plain Text"/>
    <w:basedOn w:val="1"/>
    <w:link w:val="88"/>
    <w:qFormat/>
    <w:uiPriority w:val="0"/>
    <w:rPr>
      <w:rFonts w:ascii="宋体" w:hAnsi="Courier New"/>
      <w:lang w:val="zh-CN"/>
    </w:rPr>
  </w:style>
  <w:style w:type="paragraph" w:styleId="22">
    <w:name w:val="List Bullet 5"/>
    <w:basedOn w:val="1"/>
    <w:unhideWhenUsed/>
    <w:qFormat/>
    <w:uiPriority w:val="0"/>
    <w:pPr>
      <w:numPr>
        <w:ilvl w:val="0"/>
        <w:numId w:val="1"/>
      </w:numPr>
    </w:pPr>
  </w:style>
  <w:style w:type="paragraph" w:styleId="23">
    <w:name w:val="toc 8"/>
    <w:basedOn w:val="1"/>
    <w:next w:val="1"/>
    <w:unhideWhenUsed/>
    <w:qFormat/>
    <w:uiPriority w:val="39"/>
    <w:pPr>
      <w:ind w:left="2940" w:leftChars="1400"/>
    </w:pPr>
    <w:rPr>
      <w:rFonts w:ascii="Calibri" w:hAnsi="Calibri"/>
      <w:szCs w:val="22"/>
    </w:rPr>
  </w:style>
  <w:style w:type="paragraph" w:styleId="24">
    <w:name w:val="Date"/>
    <w:basedOn w:val="1"/>
    <w:next w:val="1"/>
    <w:qFormat/>
    <w:uiPriority w:val="0"/>
    <w:pPr>
      <w:adjustRightInd w:val="0"/>
      <w:spacing w:line="312" w:lineRule="atLeast"/>
    </w:pPr>
    <w:rPr>
      <w:kern w:val="0"/>
      <w:sz w:val="24"/>
    </w:rPr>
  </w:style>
  <w:style w:type="paragraph" w:styleId="25">
    <w:name w:val="Balloon Text"/>
    <w:basedOn w:val="1"/>
    <w:link w:val="95"/>
    <w:qFormat/>
    <w:uiPriority w:val="0"/>
    <w:rPr>
      <w:sz w:val="18"/>
      <w:szCs w:val="18"/>
      <w:lang w:val="zh-CN"/>
    </w:rPr>
  </w:style>
  <w:style w:type="paragraph" w:styleId="26">
    <w:name w:val="footer"/>
    <w:basedOn w:val="1"/>
    <w:link w:val="92"/>
    <w:qFormat/>
    <w:uiPriority w:val="0"/>
    <w:pPr>
      <w:tabs>
        <w:tab w:val="center" w:pos="4153"/>
        <w:tab w:val="right" w:pos="8306"/>
      </w:tabs>
      <w:snapToGrid w:val="0"/>
      <w:jc w:val="left"/>
    </w:pPr>
    <w:rPr>
      <w:sz w:val="18"/>
      <w:lang w:val="zh-CN"/>
    </w:rPr>
  </w:style>
  <w:style w:type="paragraph" w:styleId="27">
    <w:name w:val="header"/>
    <w:basedOn w:val="1"/>
    <w:link w:val="91"/>
    <w:qFormat/>
    <w:uiPriority w:val="0"/>
    <w:pPr>
      <w:pBdr>
        <w:bottom w:val="single" w:color="auto" w:sz="6" w:space="1"/>
      </w:pBdr>
      <w:tabs>
        <w:tab w:val="center" w:pos="4153"/>
        <w:tab w:val="right" w:pos="8306"/>
      </w:tabs>
      <w:snapToGrid w:val="0"/>
      <w:jc w:val="center"/>
    </w:pPr>
    <w:rPr>
      <w:sz w:val="18"/>
      <w:lang w:val="zh-CN"/>
    </w:rPr>
  </w:style>
  <w:style w:type="paragraph" w:styleId="28">
    <w:name w:val="toc 1"/>
    <w:basedOn w:val="1"/>
    <w:next w:val="1"/>
    <w:qFormat/>
    <w:uiPriority w:val="39"/>
  </w:style>
  <w:style w:type="paragraph" w:styleId="29">
    <w:name w:val="toc 4"/>
    <w:basedOn w:val="1"/>
    <w:next w:val="1"/>
    <w:unhideWhenUsed/>
    <w:qFormat/>
    <w:uiPriority w:val="39"/>
    <w:pPr>
      <w:ind w:left="1260" w:leftChars="600"/>
    </w:pPr>
    <w:rPr>
      <w:rFonts w:ascii="Calibri" w:hAnsi="Calibri"/>
      <w:szCs w:val="22"/>
    </w:rPr>
  </w:style>
  <w:style w:type="paragraph" w:styleId="30">
    <w:name w:val="index heading"/>
    <w:basedOn w:val="1"/>
    <w:next w:val="31"/>
    <w:qFormat/>
    <w:uiPriority w:val="0"/>
  </w:style>
  <w:style w:type="paragraph" w:styleId="31">
    <w:name w:val="index 1"/>
    <w:basedOn w:val="1"/>
    <w:next w:val="1"/>
    <w:qFormat/>
    <w:uiPriority w:val="0"/>
    <w:pPr>
      <w:spacing w:line="340" w:lineRule="exact"/>
      <w:jc w:val="center"/>
    </w:pPr>
    <w:rPr>
      <w:rFonts w:ascii="宋体" w:hAnsi="宋体"/>
      <w:color w:val="000000"/>
      <w:szCs w:val="21"/>
    </w:rPr>
  </w:style>
  <w:style w:type="paragraph" w:styleId="32">
    <w:name w:val="Subtitle"/>
    <w:basedOn w:val="1"/>
    <w:next w:val="1"/>
    <w:link w:val="218"/>
    <w:qFormat/>
    <w:uiPriority w:val="11"/>
    <w:pPr>
      <w:jc w:val="center"/>
    </w:pPr>
    <w:rPr>
      <w:rFonts w:eastAsia="黑体"/>
      <w:b/>
      <w:bCs/>
      <w:kern w:val="28"/>
      <w:szCs w:val="32"/>
    </w:rPr>
  </w:style>
  <w:style w:type="paragraph" w:styleId="33">
    <w:name w:val="List"/>
    <w:basedOn w:val="1"/>
    <w:next w:val="14"/>
    <w:qFormat/>
    <w:uiPriority w:val="0"/>
    <w:pPr>
      <w:ind w:left="200" w:hanging="200" w:hangingChars="200"/>
    </w:pPr>
    <w:rPr>
      <w:szCs w:val="24"/>
    </w:rPr>
  </w:style>
  <w:style w:type="paragraph" w:styleId="34">
    <w:name w:val="footnote text"/>
    <w:basedOn w:val="1"/>
    <w:link w:val="137"/>
    <w:qFormat/>
    <w:uiPriority w:val="0"/>
    <w:pPr>
      <w:snapToGrid w:val="0"/>
      <w:spacing w:before="60"/>
      <w:ind w:firstLine="482"/>
      <w:jc w:val="left"/>
    </w:pPr>
    <w:rPr>
      <w:rFonts w:ascii="Arial" w:hAnsi="Arial" w:eastAsia="仿宋_GB2312"/>
      <w:kern w:val="0"/>
      <w:sz w:val="18"/>
      <w:szCs w:val="18"/>
      <w:lang w:val="zh-CN"/>
    </w:rPr>
  </w:style>
  <w:style w:type="paragraph" w:styleId="35">
    <w:name w:val="toc 6"/>
    <w:basedOn w:val="1"/>
    <w:next w:val="1"/>
    <w:unhideWhenUsed/>
    <w:qFormat/>
    <w:uiPriority w:val="39"/>
    <w:pPr>
      <w:ind w:left="2100" w:leftChars="1000"/>
    </w:pPr>
    <w:rPr>
      <w:rFonts w:ascii="Calibri" w:hAnsi="Calibri"/>
      <w:szCs w:val="22"/>
    </w:rPr>
  </w:style>
  <w:style w:type="paragraph" w:styleId="36">
    <w:name w:val="Body Text Indent 3"/>
    <w:basedOn w:val="1"/>
    <w:link w:val="90"/>
    <w:qFormat/>
    <w:uiPriority w:val="0"/>
    <w:pPr>
      <w:spacing w:line="360" w:lineRule="auto"/>
      <w:ind w:firstLine="555"/>
    </w:pPr>
    <w:rPr>
      <w:sz w:val="28"/>
    </w:rPr>
  </w:style>
  <w:style w:type="paragraph" w:styleId="37">
    <w:name w:val="table of figures"/>
    <w:basedOn w:val="1"/>
    <w:next w:val="1"/>
    <w:unhideWhenUsed/>
    <w:qFormat/>
    <w:uiPriority w:val="0"/>
    <w:pPr>
      <w:ind w:left="200" w:leftChars="200" w:hanging="200" w:hangingChars="200"/>
    </w:pPr>
    <w:rPr>
      <w:rFonts w:hint="eastAsia"/>
      <w:szCs w:val="20"/>
    </w:rPr>
  </w:style>
  <w:style w:type="paragraph" w:styleId="38">
    <w:name w:val="toc 2"/>
    <w:basedOn w:val="1"/>
    <w:next w:val="1"/>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qFormat/>
    <w:uiPriority w:val="0"/>
    <w:pPr>
      <w:spacing w:line="420" w:lineRule="exact"/>
    </w:pPr>
    <w:rPr>
      <w:sz w:val="28"/>
    </w:rPr>
  </w:style>
  <w:style w:type="paragraph" w:styleId="41">
    <w:name w:val="HTML Preformatted"/>
    <w:basedOn w:val="1"/>
    <w:link w:val="13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zh-CN"/>
    </w:rPr>
  </w:style>
  <w:style w:type="paragraph" w:styleId="42">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43">
    <w:name w:val="Title"/>
    <w:basedOn w:val="1"/>
    <w:next w:val="1"/>
    <w:link w:val="132"/>
    <w:qFormat/>
    <w:uiPriority w:val="0"/>
    <w:pPr>
      <w:spacing w:before="240" w:after="60"/>
      <w:jc w:val="center"/>
      <w:outlineLvl w:val="0"/>
    </w:pPr>
    <w:rPr>
      <w:rFonts w:ascii="Cambria" w:hAnsi="Cambria"/>
      <w:b/>
      <w:bCs/>
      <w:sz w:val="32"/>
      <w:szCs w:val="32"/>
      <w:lang w:val="zh-CN"/>
    </w:rPr>
  </w:style>
  <w:style w:type="paragraph" w:styleId="44">
    <w:name w:val="annotation subject"/>
    <w:basedOn w:val="11"/>
    <w:next w:val="11"/>
    <w:link w:val="96"/>
    <w:qFormat/>
    <w:uiPriority w:val="0"/>
    <w:rPr>
      <w:b/>
      <w:bCs/>
    </w:rPr>
  </w:style>
  <w:style w:type="paragraph" w:styleId="45">
    <w:name w:val="Body Text First Indent"/>
    <w:basedOn w:val="14"/>
    <w:link w:val="99"/>
    <w:qFormat/>
    <w:uiPriority w:val="0"/>
    <w:pPr>
      <w:spacing w:after="120" w:line="240" w:lineRule="auto"/>
      <w:ind w:firstLine="420" w:firstLineChars="100"/>
    </w:pPr>
    <w:rPr>
      <w:rFonts w:ascii="Times New Roman" w:hAnsi="Times New Roman"/>
      <w:sz w:val="21"/>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Theme"/>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Elegant"/>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50">
    <w:name w:val="Table Simple 3"/>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51">
    <w:name w:val="Table Grid 5"/>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52">
    <w:name w:val="Table Grid 6"/>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53">
    <w:name w:val="Table Grid 7"/>
    <w:basedOn w:val="46"/>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54">
    <w:name w:val="Table Web 1"/>
    <w:basedOn w:val="46"/>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56">
    <w:name w:val="Strong"/>
    <w:qFormat/>
    <w:uiPriority w:val="22"/>
    <w:rPr>
      <w:b/>
      <w:bCs/>
    </w:rPr>
  </w:style>
  <w:style w:type="character" w:styleId="57">
    <w:name w:val="page number"/>
    <w:basedOn w:val="55"/>
    <w:qFormat/>
    <w:uiPriority w:val="0"/>
  </w:style>
  <w:style w:type="character" w:styleId="58">
    <w:name w:val="Emphasis"/>
    <w:qFormat/>
    <w:uiPriority w:val="0"/>
    <w:rPr>
      <w:color w:val="CC0000"/>
    </w:rPr>
  </w:style>
  <w:style w:type="character" w:styleId="59">
    <w:name w:val="Hyperlink"/>
    <w:qFormat/>
    <w:uiPriority w:val="99"/>
    <w:rPr>
      <w:color w:val="0000FF"/>
      <w:u w:val="single"/>
    </w:rPr>
  </w:style>
  <w:style w:type="character" w:styleId="60">
    <w:name w:val="annotation reference"/>
    <w:qFormat/>
    <w:uiPriority w:val="99"/>
    <w:rPr>
      <w:sz w:val="21"/>
      <w:szCs w:val="21"/>
    </w:rPr>
  </w:style>
  <w:style w:type="paragraph" w:customStyle="1" w:styleId="61">
    <w:name w:val="xl27"/>
    <w:basedOn w:val="1"/>
    <w:next w:val="62"/>
    <w:qFormat/>
    <w:uiPriority w:val="0"/>
    <w:pPr>
      <w:widowControl/>
      <w:pBdr>
        <w:bottom w:val="single" w:color="auto" w:sz="12" w:space="0"/>
      </w:pBdr>
      <w:spacing w:before="100" w:after="100"/>
      <w:jc w:val="center"/>
    </w:pPr>
    <w:rPr>
      <w:rFonts w:ascii="宋体" w:hAnsi="宋体"/>
      <w:kern w:val="0"/>
    </w:rPr>
  </w:style>
  <w:style w:type="paragraph" w:customStyle="1" w:styleId="62">
    <w:name w:val="A正文"/>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paragraph" w:customStyle="1" w:styleId="63">
    <w:name w:val="Default"/>
    <w:basedOn w:val="64"/>
    <w:next w:val="65"/>
    <w:qFormat/>
    <w:uiPriority w:val="0"/>
    <w:pPr>
      <w:widowControl w:val="0"/>
      <w:autoSpaceDE w:val="0"/>
      <w:autoSpaceDN w:val="0"/>
      <w:adjustRightInd w:val="0"/>
    </w:pPr>
    <w:rPr>
      <w:rFonts w:ascii="宋体" w:eastAsia="宋体" w:cs="Times New Roman"/>
      <w:color w:val="000000"/>
      <w:sz w:val="24"/>
    </w:rPr>
  </w:style>
  <w:style w:type="paragraph" w:customStyle="1" w:styleId="64">
    <w:name w:val="文本"/>
    <w:basedOn w:val="8"/>
    <w:next w:val="1"/>
    <w:qFormat/>
    <w:uiPriority w:val="0"/>
    <w:pPr>
      <w:autoSpaceDE w:val="0"/>
      <w:autoSpaceDN w:val="0"/>
      <w:ind w:firstLine="480"/>
    </w:pPr>
    <w:rPr>
      <w:szCs w:val="24"/>
      <w:lang w:val="zh-CN"/>
    </w:rPr>
  </w:style>
  <w:style w:type="paragraph" w:customStyle="1" w:styleId="65">
    <w:name w:val="样式1"/>
    <w:basedOn w:val="30"/>
    <w:next w:val="18"/>
    <w:link w:val="134"/>
    <w:qFormat/>
    <w:uiPriority w:val="0"/>
    <w:pPr>
      <w:pBdr>
        <w:bottom w:val="none" w:color="auto" w:sz="0" w:space="0"/>
      </w:pBdr>
      <w:tabs>
        <w:tab w:val="center" w:pos="4153"/>
        <w:tab w:val="right" w:pos="8306"/>
      </w:tabs>
    </w:pPr>
  </w:style>
  <w:style w:type="paragraph" w:customStyle="1" w:styleId="66">
    <w:name w:val="纯文本1"/>
    <w:basedOn w:val="1"/>
    <w:qFormat/>
    <w:uiPriority w:val="0"/>
    <w:pPr>
      <w:adjustRightInd w:val="0"/>
    </w:pPr>
    <w:rPr>
      <w:rFonts w:hAnsi="Courier New"/>
      <w:szCs w:val="20"/>
    </w:rPr>
  </w:style>
  <w:style w:type="paragraph" w:customStyle="1" w:styleId="67">
    <w:name w:val="标题2"/>
    <w:next w:val="1"/>
    <w:qFormat/>
    <w:uiPriority w:val="0"/>
    <w:pPr>
      <w:numPr>
        <w:ilvl w:val="1"/>
        <w:numId w:val="2"/>
      </w:numPr>
      <w:spacing w:before="100" w:beforeAutospacing="1" w:after="100" w:afterAutospacing="1" w:line="440" w:lineRule="exact"/>
      <w:outlineLvl w:val="1"/>
    </w:pPr>
    <w:rPr>
      <w:rFonts w:ascii="宋体" w:hAnsi="宋体" w:eastAsia="宋体" w:cs="Times New Roman"/>
      <w:b/>
      <w:sz w:val="28"/>
      <w:lang w:val="en-US" w:eastAsia="zh-CN" w:bidi="ar-SA"/>
    </w:rPr>
  </w:style>
  <w:style w:type="paragraph" w:customStyle="1" w:styleId="68">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6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0">
    <w:name w:val="样式3"/>
    <w:basedOn w:val="1"/>
    <w:next w:val="71"/>
    <w:qFormat/>
    <w:uiPriority w:val="0"/>
    <w:pPr>
      <w:autoSpaceDE w:val="0"/>
      <w:autoSpaceDN w:val="0"/>
      <w:snapToGrid w:val="0"/>
      <w:spacing w:before="120" w:line="460" w:lineRule="atLeast"/>
      <w:jc w:val="center"/>
    </w:pPr>
    <w:rPr>
      <w:rFonts w:eastAsia="黑体"/>
      <w:sz w:val="28"/>
    </w:rPr>
  </w:style>
  <w:style w:type="paragraph" w:customStyle="1" w:styleId="71">
    <w:name w:val="目录 53"/>
    <w:basedOn w:val="1"/>
    <w:next w:val="1"/>
    <w:qFormat/>
    <w:uiPriority w:val="99"/>
    <w:pPr>
      <w:ind w:left="840"/>
    </w:pPr>
    <w:rPr>
      <w:rFonts w:ascii="Calibri" w:hAnsi="Calibri" w:cs="宋体"/>
      <w:color w:val="000000"/>
      <w:szCs w:val="24"/>
    </w:rPr>
  </w:style>
  <w:style w:type="paragraph" w:customStyle="1" w:styleId="72">
    <w:name w:val="新格式表"/>
    <w:basedOn w:val="1"/>
    <w:qFormat/>
    <w:uiPriority w:val="0"/>
    <w:pPr>
      <w:spacing w:line="240" w:lineRule="exact"/>
      <w:jc w:val="center"/>
    </w:pPr>
    <w:rPr>
      <w:rFonts w:ascii="Times New Roman" w:hAnsi="Times New Roman"/>
      <w:bCs/>
      <w:snapToGrid w:val="0"/>
      <w:color w:val="000000"/>
      <w:szCs w:val="21"/>
    </w:rPr>
  </w:style>
  <w:style w:type="character" w:customStyle="1" w:styleId="73">
    <w:name w:val="标题 1 字符"/>
    <w:link w:val="2"/>
    <w:qFormat/>
    <w:uiPriority w:val="0"/>
    <w:rPr>
      <w:b/>
      <w:bCs/>
      <w:kern w:val="44"/>
      <w:sz w:val="44"/>
      <w:szCs w:val="44"/>
    </w:rPr>
  </w:style>
  <w:style w:type="paragraph" w:customStyle="1" w:styleId="74">
    <w:name w:val="表格内容"/>
    <w:basedOn w:val="75"/>
    <w:link w:val="244"/>
    <w:qFormat/>
    <w:uiPriority w:val="0"/>
    <w:pPr>
      <w:spacing w:line="240" w:lineRule="atLeast"/>
      <w:ind w:firstLine="0" w:firstLineChars="0"/>
    </w:pPr>
    <w:rPr>
      <w:rFonts w:hAnsi="Calibri" w:eastAsia="宋体"/>
    </w:rPr>
  </w:style>
  <w:style w:type="paragraph" w:customStyle="1" w:styleId="75">
    <w:name w:val="表格标题"/>
    <w:basedOn w:val="9"/>
    <w:next w:val="74"/>
    <w:link w:val="100"/>
    <w:qFormat/>
    <w:uiPriority w:val="0"/>
    <w:pPr>
      <w:widowControl/>
      <w:spacing w:line="480" w:lineRule="exact"/>
      <w:ind w:firstLine="560" w:firstLineChars="200"/>
      <w:jc w:val="center"/>
    </w:pPr>
    <w:rPr>
      <w:rFonts w:ascii="楷体_GB2312" w:eastAsia="黑体"/>
      <w:sz w:val="24"/>
      <w:szCs w:val="24"/>
    </w:rPr>
  </w:style>
  <w:style w:type="paragraph" w:customStyle="1" w:styleId="76">
    <w:name w:val="报告正文"/>
    <w:basedOn w:val="77"/>
    <w:link w:val="214"/>
    <w:qFormat/>
    <w:uiPriority w:val="0"/>
    <w:pPr>
      <w:autoSpaceDE w:val="0"/>
      <w:autoSpaceDN w:val="0"/>
      <w:adjustRightInd w:val="0"/>
      <w:snapToGrid w:val="0"/>
      <w:spacing w:line="360" w:lineRule="auto"/>
      <w:ind w:firstLine="200" w:firstLineChars="200"/>
    </w:pPr>
    <w:rPr>
      <w:rFonts w:ascii="Times New Roman" w:hAnsi="Times New Roman" w:cs="宋体"/>
      <w:color w:val="000000"/>
      <w:kern w:val="0"/>
      <w:szCs w:val="30"/>
      <w:lang w:val="zh-CN"/>
    </w:rPr>
  </w:style>
  <w:style w:type="paragraph" w:customStyle="1" w:styleId="77">
    <w:name w:val="+正文"/>
    <w:basedOn w:val="1"/>
    <w:qFormat/>
    <w:uiPriority w:val="0"/>
    <w:pPr>
      <w:spacing w:line="360" w:lineRule="auto"/>
      <w:ind w:firstLine="200" w:firstLineChars="200"/>
    </w:pPr>
    <w:rPr>
      <w:sz w:val="24"/>
      <w:szCs w:val="28"/>
    </w:rPr>
  </w:style>
  <w:style w:type="character" w:customStyle="1" w:styleId="78">
    <w:name w:val="标题 2 字符"/>
    <w:link w:val="3"/>
    <w:qFormat/>
    <w:uiPriority w:val="0"/>
    <w:rPr>
      <w:rFonts w:ascii="宋体" w:hAnsi="宋体"/>
      <w:b/>
      <w:sz w:val="36"/>
    </w:rPr>
  </w:style>
  <w:style w:type="character" w:customStyle="1" w:styleId="79">
    <w:name w:val="标题 3 字符"/>
    <w:link w:val="4"/>
    <w:qFormat/>
    <w:uiPriority w:val="0"/>
    <w:rPr>
      <w:b/>
      <w:bCs/>
      <w:kern w:val="2"/>
      <w:sz w:val="32"/>
      <w:szCs w:val="32"/>
    </w:rPr>
  </w:style>
  <w:style w:type="character" w:customStyle="1" w:styleId="80">
    <w:name w:val="标题 4 字符"/>
    <w:link w:val="5"/>
    <w:qFormat/>
    <w:uiPriority w:val="0"/>
    <w:rPr>
      <w:rFonts w:ascii="宋体" w:hAnsi="宋体"/>
      <w:b/>
      <w:bCs/>
      <w:color w:val="000000"/>
      <w:kern w:val="2"/>
      <w:sz w:val="24"/>
      <w:szCs w:val="24"/>
    </w:rPr>
  </w:style>
  <w:style w:type="character" w:customStyle="1" w:styleId="81">
    <w:name w:val="标题 5 字符"/>
    <w:link w:val="6"/>
    <w:qFormat/>
    <w:uiPriority w:val="0"/>
    <w:rPr>
      <w:b/>
      <w:bCs/>
      <w:kern w:val="2"/>
      <w:sz w:val="28"/>
      <w:szCs w:val="28"/>
    </w:rPr>
  </w:style>
  <w:style w:type="character" w:customStyle="1" w:styleId="82">
    <w:name w:val="3zw1"/>
    <w:qFormat/>
    <w:uiPriority w:val="0"/>
    <w:rPr>
      <w:color w:val="000000"/>
      <w:sz w:val="21"/>
    </w:rPr>
  </w:style>
  <w:style w:type="character" w:customStyle="1" w:styleId="83">
    <w:name w:val="已访问的超链接1"/>
    <w:qFormat/>
    <w:uiPriority w:val="0"/>
    <w:rPr>
      <w:color w:val="800080"/>
      <w:u w:val="single"/>
    </w:rPr>
  </w:style>
  <w:style w:type="character" w:customStyle="1" w:styleId="84">
    <w:name w:val="正文文本 字符"/>
    <w:link w:val="14"/>
    <w:qFormat/>
    <w:uiPriority w:val="0"/>
    <w:rPr>
      <w:rFonts w:ascii="宋体" w:hAnsi="宋体"/>
      <w:kern w:val="2"/>
      <w:sz w:val="28"/>
    </w:rPr>
  </w:style>
  <w:style w:type="character" w:customStyle="1" w:styleId="85">
    <w:name w:val="正文文本缩进 字符"/>
    <w:link w:val="15"/>
    <w:qFormat/>
    <w:locked/>
    <w:uiPriority w:val="0"/>
    <w:rPr>
      <w:kern w:val="2"/>
      <w:sz w:val="28"/>
    </w:rPr>
  </w:style>
  <w:style w:type="paragraph" w:customStyle="1" w:styleId="86">
    <w:name w:val="1 Char Char Char Char Char Char Char Char Char Char Char Char Char"/>
    <w:basedOn w:val="1"/>
    <w:qFormat/>
    <w:uiPriority w:val="0"/>
  </w:style>
  <w:style w:type="paragraph" w:customStyle="1" w:styleId="87">
    <w:name w:val="1"/>
    <w:basedOn w:val="1"/>
    <w:next w:val="21"/>
    <w:qFormat/>
    <w:uiPriority w:val="0"/>
    <w:rPr>
      <w:rFonts w:ascii="宋体" w:hAnsi="Courier New"/>
    </w:rPr>
  </w:style>
  <w:style w:type="character" w:customStyle="1" w:styleId="88">
    <w:name w:val="纯文本 字符"/>
    <w:link w:val="21"/>
    <w:qFormat/>
    <w:uiPriority w:val="0"/>
    <w:rPr>
      <w:rFonts w:ascii="宋体" w:hAnsi="Courier New"/>
      <w:kern w:val="2"/>
      <w:sz w:val="21"/>
    </w:rPr>
  </w:style>
  <w:style w:type="paragraph" w:customStyle="1" w:styleId="89">
    <w:name w:val="xl22"/>
    <w:basedOn w:val="1"/>
    <w:qFormat/>
    <w:uiPriority w:val="0"/>
    <w:pPr>
      <w:widowControl/>
      <w:pBdr>
        <w:bottom w:val="single" w:color="auto" w:sz="4" w:space="0"/>
        <w:right w:val="single" w:color="auto" w:sz="4" w:space="0"/>
      </w:pBdr>
      <w:spacing w:before="100" w:after="100"/>
      <w:jc w:val="center"/>
    </w:pPr>
    <w:rPr>
      <w:rFonts w:ascii="宋体" w:hAnsi="宋体"/>
      <w:kern w:val="0"/>
    </w:rPr>
  </w:style>
  <w:style w:type="character" w:customStyle="1" w:styleId="90">
    <w:name w:val="正文文本缩进 3 字符"/>
    <w:link w:val="36"/>
    <w:qFormat/>
    <w:uiPriority w:val="0"/>
    <w:rPr>
      <w:kern w:val="2"/>
      <w:sz w:val="28"/>
    </w:rPr>
  </w:style>
  <w:style w:type="character" w:customStyle="1" w:styleId="91">
    <w:name w:val="页眉 字符"/>
    <w:link w:val="27"/>
    <w:qFormat/>
    <w:uiPriority w:val="0"/>
    <w:rPr>
      <w:kern w:val="2"/>
      <w:sz w:val="18"/>
    </w:rPr>
  </w:style>
  <w:style w:type="character" w:customStyle="1" w:styleId="92">
    <w:name w:val="页脚 字符"/>
    <w:link w:val="26"/>
    <w:qFormat/>
    <w:uiPriority w:val="0"/>
    <w:rPr>
      <w:kern w:val="2"/>
      <w:sz w:val="18"/>
    </w:rPr>
  </w:style>
  <w:style w:type="paragraph" w:customStyle="1" w:styleId="93">
    <w:name w:val="Char"/>
    <w:basedOn w:val="1"/>
    <w:qFormat/>
    <w:uiPriority w:val="0"/>
    <w:rPr>
      <w:szCs w:val="24"/>
    </w:rPr>
  </w:style>
  <w:style w:type="character" w:customStyle="1" w:styleId="94">
    <w:name w:val="批注文字 字符"/>
    <w:link w:val="11"/>
    <w:qFormat/>
    <w:uiPriority w:val="0"/>
    <w:rPr>
      <w:kern w:val="2"/>
      <w:sz w:val="21"/>
    </w:rPr>
  </w:style>
  <w:style w:type="character" w:customStyle="1" w:styleId="95">
    <w:name w:val="批注框文本 字符"/>
    <w:link w:val="25"/>
    <w:qFormat/>
    <w:uiPriority w:val="0"/>
    <w:rPr>
      <w:kern w:val="2"/>
      <w:sz w:val="18"/>
      <w:szCs w:val="18"/>
    </w:rPr>
  </w:style>
  <w:style w:type="character" w:customStyle="1" w:styleId="96">
    <w:name w:val="批注主题 字符"/>
    <w:link w:val="44"/>
    <w:qFormat/>
    <w:uiPriority w:val="0"/>
    <w:rPr>
      <w:b/>
      <w:bCs/>
      <w:kern w:val="2"/>
      <w:sz w:val="21"/>
    </w:rPr>
  </w:style>
  <w:style w:type="paragraph" w:customStyle="1" w:styleId="97">
    <w:name w:val="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98">
    <w:name w:val="Char Char Char Char Char Char1"/>
    <w:basedOn w:val="1"/>
    <w:next w:val="1"/>
    <w:semiHidden/>
    <w:qFormat/>
    <w:uiPriority w:val="0"/>
    <w:pPr>
      <w:spacing w:line="336" w:lineRule="auto"/>
      <w:ind w:firstLine="200" w:firstLineChars="200"/>
    </w:pPr>
    <w:rPr>
      <w:rFonts w:ascii="宋体" w:hAnsi="宋体" w:eastAsia="汉鼎简书宋" w:cs="宋体"/>
      <w:spacing w:val="4"/>
      <w:sz w:val="24"/>
      <w:szCs w:val="24"/>
    </w:rPr>
  </w:style>
  <w:style w:type="character" w:customStyle="1" w:styleId="99">
    <w:name w:val="正文首行缩进 字符"/>
    <w:link w:val="45"/>
    <w:qFormat/>
    <w:uiPriority w:val="0"/>
    <w:rPr>
      <w:rFonts w:eastAsia="宋体"/>
      <w:kern w:val="2"/>
      <w:sz w:val="21"/>
      <w:lang w:val="en-US" w:eastAsia="zh-CN" w:bidi="ar-SA"/>
    </w:rPr>
  </w:style>
  <w:style w:type="character" w:customStyle="1" w:styleId="100">
    <w:name w:val="表格标题 Char"/>
    <w:link w:val="75"/>
    <w:qFormat/>
    <w:uiPriority w:val="0"/>
    <w:rPr>
      <w:rFonts w:ascii="楷体_GB2312" w:eastAsia="黑体"/>
      <w:kern w:val="2"/>
      <w:sz w:val="24"/>
      <w:szCs w:val="24"/>
      <w:lang w:val="en-US" w:eastAsia="zh-CN" w:bidi="ar-SA"/>
    </w:rPr>
  </w:style>
  <w:style w:type="paragraph" w:customStyle="1" w:styleId="101">
    <w:name w:val="表中文字"/>
    <w:basedOn w:val="1"/>
    <w:qFormat/>
    <w:uiPriority w:val="0"/>
    <w:pPr>
      <w:spacing w:line="300" w:lineRule="exact"/>
      <w:jc w:val="center"/>
    </w:pPr>
    <w:rPr>
      <w:color w:val="000000"/>
      <w:szCs w:val="24"/>
    </w:rPr>
  </w:style>
  <w:style w:type="paragraph" w:customStyle="1" w:styleId="102">
    <w:name w:val="正文2 Char"/>
    <w:basedOn w:val="1"/>
    <w:link w:val="103"/>
    <w:qFormat/>
    <w:uiPriority w:val="0"/>
    <w:pPr>
      <w:spacing w:line="500" w:lineRule="exact"/>
      <w:ind w:firstLine="560" w:firstLineChars="200"/>
    </w:pPr>
    <w:rPr>
      <w:rFonts w:ascii="楷体_GB2312" w:eastAsia="楷体_GB2312" w:cs="宋体"/>
      <w:sz w:val="28"/>
    </w:rPr>
  </w:style>
  <w:style w:type="character" w:customStyle="1" w:styleId="103">
    <w:name w:val="正文2 Char Char"/>
    <w:link w:val="102"/>
    <w:qFormat/>
    <w:uiPriority w:val="0"/>
    <w:rPr>
      <w:rFonts w:ascii="楷体_GB2312" w:eastAsia="楷体_GB2312" w:cs="宋体"/>
      <w:kern w:val="2"/>
      <w:sz w:val="28"/>
      <w:lang w:val="en-US" w:eastAsia="zh-CN" w:bidi="ar-SA"/>
    </w:rPr>
  </w:style>
  <w:style w:type="paragraph" w:customStyle="1" w:styleId="104">
    <w:name w:val="默认段落字体 Para Char"/>
    <w:basedOn w:val="1"/>
    <w:qFormat/>
    <w:uiPriority w:val="0"/>
    <w:rPr>
      <w:sz w:val="24"/>
      <w:szCs w:val="24"/>
    </w:rPr>
  </w:style>
  <w:style w:type="character" w:customStyle="1" w:styleId="105">
    <w:name w:val="font11"/>
    <w:qFormat/>
    <w:uiPriority w:val="0"/>
    <w:rPr>
      <w:rFonts w:hint="eastAsia" w:ascii="宋体" w:hAnsi="宋体" w:eastAsia="宋体"/>
      <w:color w:val="000000"/>
      <w:sz w:val="20"/>
      <w:szCs w:val="20"/>
      <w:u w:val="none"/>
    </w:rPr>
  </w:style>
  <w:style w:type="character" w:customStyle="1" w:styleId="106">
    <w:name w:val="font21"/>
    <w:qFormat/>
    <w:uiPriority w:val="0"/>
    <w:rPr>
      <w:rFonts w:hint="eastAsia" w:ascii="宋体" w:hAnsi="宋体" w:eastAsia="宋体"/>
      <w:color w:val="000000"/>
      <w:sz w:val="20"/>
      <w:szCs w:val="20"/>
      <w:u w:val="none"/>
      <w:vertAlign w:val="superscript"/>
    </w:rPr>
  </w:style>
  <w:style w:type="character" w:customStyle="1" w:styleId="107">
    <w:name w:val="font31"/>
    <w:qFormat/>
    <w:uiPriority w:val="0"/>
    <w:rPr>
      <w:rFonts w:hint="eastAsia" w:ascii="宋体" w:hAnsi="宋体" w:eastAsia="宋体"/>
      <w:color w:val="000000"/>
      <w:sz w:val="20"/>
      <w:szCs w:val="20"/>
      <w:u w:val="none"/>
      <w:vertAlign w:val="subscript"/>
    </w:rPr>
  </w:style>
  <w:style w:type="paragraph" w:customStyle="1" w:styleId="108">
    <w:name w:val="Char Char Char1 Char Char Char1 Char Char Char Char Char Char Char Char Char Char Char Char1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9">
    <w:name w:val="样式4 宋体 Char"/>
    <w:basedOn w:val="1"/>
    <w:qFormat/>
    <w:uiPriority w:val="0"/>
    <w:rPr>
      <w:szCs w:val="24"/>
    </w:rPr>
  </w:style>
  <w:style w:type="paragraph" w:customStyle="1" w:styleId="110">
    <w:name w:val="默认段落字体 Para Char Char Char Char Char Char Char Char Char Char"/>
    <w:basedOn w:val="4"/>
    <w:qFormat/>
    <w:uiPriority w:val="0"/>
    <w:pPr>
      <w:keepNext w:val="0"/>
      <w:keepLines w:val="0"/>
      <w:tabs>
        <w:tab w:val="left" w:pos="360"/>
        <w:tab w:val="left" w:pos="851"/>
        <w:tab w:val="left" w:pos="900"/>
      </w:tabs>
      <w:adjustRightInd w:val="0"/>
      <w:snapToGrid w:val="0"/>
      <w:spacing w:before="120" w:after="120" w:afterLines="50" w:line="360" w:lineRule="auto"/>
      <w:ind w:left="542" w:leftChars="-12" w:right="105" w:rightChars="50" w:firstLine="200" w:firstLineChars="200"/>
      <w:jc w:val="left"/>
    </w:pPr>
    <w:rPr>
      <w:rFonts w:ascii="宋体" w:hAnsi="宋体" w:eastAsia="黑体"/>
      <w:b w:val="0"/>
      <w:bCs w:val="0"/>
      <w:kern w:val="0"/>
      <w:sz w:val="24"/>
      <w:szCs w:val="20"/>
    </w:rPr>
  </w:style>
  <w:style w:type="paragraph" w:customStyle="1" w:styleId="111">
    <w:name w:val="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12">
    <w:name w:val="环标3"/>
    <w:basedOn w:val="4"/>
    <w:qFormat/>
    <w:uiPriority w:val="0"/>
    <w:pPr>
      <w:keepNext w:val="0"/>
      <w:keepLines w:val="0"/>
      <w:adjustRightInd w:val="0"/>
      <w:spacing w:before="0" w:after="0" w:line="480" w:lineRule="atLeast"/>
      <w:jc w:val="left"/>
      <w:textAlignment w:val="baseline"/>
      <w:outlineLvl w:val="0"/>
    </w:pPr>
    <w:rPr>
      <w:rFonts w:ascii="黑体" w:hAnsi="Courier New" w:eastAsia="黑体"/>
      <w:b w:val="0"/>
      <w:bCs w:val="0"/>
      <w:color w:val="000000"/>
      <w:kern w:val="0"/>
      <w:sz w:val="24"/>
      <w:szCs w:val="20"/>
    </w:rPr>
  </w:style>
  <w:style w:type="paragraph" w:customStyle="1" w:styleId="113">
    <w:name w:val="环正文"/>
    <w:basedOn w:val="1"/>
    <w:qFormat/>
    <w:uiPriority w:val="0"/>
    <w:pPr>
      <w:widowControl/>
      <w:suppressAutoHyphens/>
      <w:adjustRightInd w:val="0"/>
      <w:snapToGrid w:val="0"/>
      <w:spacing w:line="480" w:lineRule="atLeast"/>
      <w:ind w:firstLine="480" w:firstLineChars="200"/>
      <w:textAlignment w:val="baseline"/>
    </w:pPr>
    <w:rPr>
      <w:rFonts w:ascii="宋体" w:hAnsi="宋体"/>
      <w:bCs/>
      <w:kern w:val="0"/>
      <w:sz w:val="24"/>
      <w:szCs w:val="24"/>
    </w:rPr>
  </w:style>
  <w:style w:type="character" w:customStyle="1" w:styleId="114">
    <w:name w:val="文档结构图 字符"/>
    <w:link w:val="10"/>
    <w:qFormat/>
    <w:uiPriority w:val="0"/>
    <w:rPr>
      <w:kern w:val="2"/>
      <w:sz w:val="21"/>
      <w:shd w:val="clear" w:color="auto" w:fill="000080"/>
    </w:rPr>
  </w:style>
  <w:style w:type="paragraph" w:customStyle="1" w:styleId="115">
    <w:name w:val="Char Char Char"/>
    <w:basedOn w:val="1"/>
    <w:qFormat/>
    <w:uiPriority w:val="0"/>
    <w:rPr>
      <w:sz w:val="24"/>
      <w:szCs w:val="24"/>
    </w:rPr>
  </w:style>
  <w:style w:type="paragraph" w:customStyle="1" w:styleId="116">
    <w:name w:val="Char Char Char Char Char Char"/>
    <w:basedOn w:val="1"/>
    <w:qFormat/>
    <w:uiPriority w:val="0"/>
    <w:rPr>
      <w:sz w:val="24"/>
      <w:szCs w:val="24"/>
    </w:rPr>
  </w:style>
  <w:style w:type="paragraph" w:customStyle="1" w:styleId="117">
    <w:name w:val="xl2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4"/>
    </w:rPr>
  </w:style>
  <w:style w:type="paragraph" w:customStyle="1" w:styleId="118">
    <w:name w:val="表格"/>
    <w:basedOn w:val="1"/>
    <w:next w:val="1"/>
    <w:link w:val="119"/>
    <w:qFormat/>
    <w:uiPriority w:val="0"/>
    <w:pPr>
      <w:adjustRightInd w:val="0"/>
      <w:snapToGrid w:val="0"/>
      <w:spacing w:line="240" w:lineRule="atLeast"/>
      <w:jc w:val="center"/>
    </w:pPr>
    <w:rPr>
      <w:rFonts w:eastAsia="仿宋_GB2312"/>
    </w:rPr>
  </w:style>
  <w:style w:type="character" w:customStyle="1" w:styleId="119">
    <w:name w:val="表格 Char"/>
    <w:link w:val="118"/>
    <w:qFormat/>
    <w:locked/>
    <w:uiPriority w:val="0"/>
    <w:rPr>
      <w:rFonts w:eastAsia="仿宋_GB2312"/>
      <w:kern w:val="2"/>
      <w:sz w:val="21"/>
      <w:lang w:val="en-US" w:eastAsia="zh-CN" w:bidi="ar-SA"/>
    </w:rPr>
  </w:style>
  <w:style w:type="paragraph" w:customStyle="1" w:styleId="120">
    <w:name w:val="样式 黑体 小四 加粗 黑色 居中 行距: 固定值 26 磅"/>
    <w:basedOn w:val="1"/>
    <w:next w:val="21"/>
    <w:qFormat/>
    <w:uiPriority w:val="0"/>
    <w:pPr>
      <w:spacing w:line="520" w:lineRule="exact"/>
      <w:jc w:val="center"/>
    </w:pPr>
    <w:rPr>
      <w:rFonts w:ascii="楷体_GB2312" w:hAnsi="黑体" w:eastAsia="楷体_GB2312"/>
      <w:bCs/>
      <w:color w:val="000000"/>
      <w:sz w:val="28"/>
      <w:szCs w:val="28"/>
    </w:rPr>
  </w:style>
  <w:style w:type="paragraph" w:customStyle="1" w:styleId="121">
    <w:name w:val="图文框"/>
    <w:basedOn w:val="1"/>
    <w:qFormat/>
    <w:uiPriority w:val="0"/>
    <w:pPr>
      <w:autoSpaceDE w:val="0"/>
      <w:autoSpaceDN w:val="0"/>
      <w:adjustRightInd w:val="0"/>
      <w:snapToGrid w:val="0"/>
      <w:spacing w:line="320" w:lineRule="exact"/>
      <w:jc w:val="center"/>
      <w:textAlignment w:val="baseline"/>
    </w:pPr>
    <w:rPr>
      <w:bCs/>
      <w:color w:val="000000"/>
      <w:szCs w:val="21"/>
    </w:rPr>
  </w:style>
  <w:style w:type="paragraph" w:customStyle="1" w:styleId="122">
    <w:name w:val="表"/>
    <w:basedOn w:val="1"/>
    <w:qFormat/>
    <w:uiPriority w:val="0"/>
    <w:pPr>
      <w:snapToGrid w:val="0"/>
      <w:jc w:val="center"/>
    </w:pPr>
    <w:rPr>
      <w:spacing w:val="2"/>
    </w:rPr>
  </w:style>
  <w:style w:type="paragraph" w:customStyle="1" w:styleId="123">
    <w:name w:val="表格文字"/>
    <w:basedOn w:val="14"/>
    <w:link w:val="124"/>
    <w:qFormat/>
    <w:uiPriority w:val="0"/>
    <w:pPr>
      <w:autoSpaceDE w:val="0"/>
      <w:autoSpaceDN w:val="0"/>
      <w:adjustRightInd w:val="0"/>
      <w:spacing w:before="60" w:after="60"/>
      <w:jc w:val="center"/>
      <w:textAlignment w:val="bottom"/>
    </w:pPr>
    <w:rPr>
      <w:rFonts w:eastAsia="仿宋_GB2312"/>
      <w:kern w:val="0"/>
      <w:sz w:val="24"/>
    </w:rPr>
  </w:style>
  <w:style w:type="character" w:customStyle="1" w:styleId="124">
    <w:name w:val="表格文字 Char"/>
    <w:link w:val="123"/>
    <w:qFormat/>
    <w:uiPriority w:val="0"/>
    <w:rPr>
      <w:rFonts w:eastAsia="仿宋_GB2312"/>
      <w:sz w:val="24"/>
    </w:rPr>
  </w:style>
  <w:style w:type="paragraph" w:customStyle="1" w:styleId="125">
    <w:name w:val="表格式"/>
    <w:basedOn w:val="33"/>
    <w:qFormat/>
    <w:uiPriority w:val="0"/>
    <w:pPr>
      <w:spacing w:before="156" w:beforeLines="50" w:after="156" w:afterLines="50" w:line="200" w:lineRule="exact"/>
      <w:ind w:left="0" w:firstLine="0" w:firstLineChars="0"/>
      <w:jc w:val="center"/>
    </w:pPr>
    <w:rPr>
      <w:szCs w:val="20"/>
    </w:rPr>
  </w:style>
  <w:style w:type="paragraph" w:customStyle="1" w:styleId="126">
    <w:name w:val="中文报告书样式"/>
    <w:basedOn w:val="1"/>
    <w:qFormat/>
    <w:uiPriority w:val="0"/>
    <w:pPr>
      <w:adjustRightInd w:val="0"/>
      <w:spacing w:line="480" w:lineRule="atLeast"/>
      <w:ind w:firstLine="482"/>
      <w:textAlignment w:val="baseline"/>
    </w:pPr>
    <w:rPr>
      <w:kern w:val="24"/>
      <w:sz w:val="24"/>
    </w:rPr>
  </w:style>
  <w:style w:type="paragraph" w:customStyle="1" w:styleId="127">
    <w:name w:val="Char Char Char Char Char Char Char Char Char Char Char Char"/>
    <w:basedOn w:val="1"/>
    <w:qFormat/>
    <w:uiPriority w:val="0"/>
    <w:rPr>
      <w:sz w:val="24"/>
      <w:szCs w:val="24"/>
    </w:rPr>
  </w:style>
  <w:style w:type="paragraph" w:customStyle="1" w:styleId="128">
    <w:name w:val="正文（首行缩进） Char"/>
    <w:basedOn w:val="1"/>
    <w:link w:val="129"/>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lang w:val="zh-CN"/>
    </w:rPr>
  </w:style>
  <w:style w:type="character" w:customStyle="1" w:styleId="129">
    <w:name w:val="正文（首行缩进） Char Char"/>
    <w:link w:val="128"/>
    <w:qFormat/>
    <w:uiPriority w:val="0"/>
    <w:rPr>
      <w:snapToGrid w:val="0"/>
      <w:sz w:val="24"/>
      <w:szCs w:val="24"/>
    </w:rPr>
  </w:style>
  <w:style w:type="paragraph" w:customStyle="1" w:styleId="130">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31">
    <w:name w:val="apple-style-span"/>
    <w:basedOn w:val="55"/>
    <w:qFormat/>
    <w:uiPriority w:val="0"/>
  </w:style>
  <w:style w:type="character" w:customStyle="1" w:styleId="132">
    <w:name w:val="标题 字符"/>
    <w:link w:val="43"/>
    <w:qFormat/>
    <w:uiPriority w:val="0"/>
    <w:rPr>
      <w:rFonts w:ascii="Cambria" w:hAnsi="Cambria" w:cs="Times New Roman"/>
      <w:b/>
      <w:bCs/>
      <w:kern w:val="2"/>
      <w:sz w:val="32"/>
      <w:szCs w:val="32"/>
    </w:rPr>
  </w:style>
  <w:style w:type="paragraph" w:customStyle="1" w:styleId="133">
    <w:name w:val="Char Char Char1"/>
    <w:basedOn w:val="1"/>
    <w:qFormat/>
    <w:uiPriority w:val="0"/>
    <w:rPr>
      <w:sz w:val="24"/>
      <w:szCs w:val="24"/>
    </w:rPr>
  </w:style>
  <w:style w:type="character" w:customStyle="1" w:styleId="134">
    <w:name w:val="样式1 Char"/>
    <w:basedOn w:val="91"/>
    <w:link w:val="65"/>
    <w:qFormat/>
    <w:uiPriority w:val="0"/>
    <w:rPr>
      <w:kern w:val="2"/>
      <w:sz w:val="18"/>
    </w:rPr>
  </w:style>
  <w:style w:type="paragraph" w:customStyle="1" w:styleId="135">
    <w:name w:val="p0"/>
    <w:basedOn w:val="1"/>
    <w:qFormat/>
    <w:uiPriority w:val="0"/>
    <w:pPr>
      <w:widowControl/>
    </w:pPr>
    <w:rPr>
      <w:kern w:val="0"/>
      <w:szCs w:val="21"/>
    </w:rPr>
  </w:style>
  <w:style w:type="character" w:customStyle="1" w:styleId="136">
    <w:name w:val="HTML 预设格式 字符"/>
    <w:link w:val="41"/>
    <w:qFormat/>
    <w:uiPriority w:val="99"/>
    <w:rPr>
      <w:rFonts w:ascii="Arial" w:hAnsi="Arial" w:cs="Arial"/>
      <w:sz w:val="21"/>
      <w:szCs w:val="21"/>
    </w:rPr>
  </w:style>
  <w:style w:type="character" w:customStyle="1" w:styleId="137">
    <w:name w:val="脚注文本 字符"/>
    <w:link w:val="34"/>
    <w:qFormat/>
    <w:uiPriority w:val="0"/>
    <w:rPr>
      <w:rFonts w:ascii="Arial" w:hAnsi="Arial" w:eastAsia="仿宋_GB2312"/>
      <w:sz w:val="18"/>
      <w:szCs w:val="18"/>
    </w:rPr>
  </w:style>
  <w:style w:type="character" w:customStyle="1" w:styleId="138">
    <w:name w:val="fontstyle01"/>
    <w:qFormat/>
    <w:uiPriority w:val="0"/>
    <w:rPr>
      <w:rFonts w:hint="eastAsia" w:ascii="宋体" w:hAnsi="宋体" w:eastAsia="宋体"/>
      <w:color w:val="000000"/>
      <w:sz w:val="24"/>
      <w:szCs w:val="24"/>
    </w:rPr>
  </w:style>
  <w:style w:type="character" w:customStyle="1" w:styleId="139">
    <w:name w:val="fontstyle21"/>
    <w:qFormat/>
    <w:uiPriority w:val="0"/>
    <w:rPr>
      <w:rFonts w:hint="default" w:ascii="TimesNewRoman" w:hAnsi="TimesNewRoman"/>
      <w:color w:val="000000"/>
      <w:sz w:val="24"/>
      <w:szCs w:val="24"/>
    </w:rPr>
  </w:style>
  <w:style w:type="paragraph" w:customStyle="1" w:styleId="140">
    <w:name w:val="IDC A-Head (2nd Line)"/>
    <w:basedOn w:val="1"/>
    <w:next w:val="1"/>
    <w:qFormat/>
    <w:uiPriority w:val="0"/>
    <w:pPr>
      <w:widowControl/>
      <w:jc w:val="center"/>
    </w:pPr>
    <w:rPr>
      <w:caps/>
      <w:kern w:val="0"/>
      <w:sz w:val="24"/>
    </w:rPr>
  </w:style>
  <w:style w:type="paragraph" w:customStyle="1" w:styleId="141">
    <w:name w:val="正文－1.2倍行距－段后6磅"/>
    <w:basedOn w:val="1"/>
    <w:link w:val="142"/>
    <w:qFormat/>
    <w:uiPriority w:val="0"/>
    <w:pPr>
      <w:spacing w:after="120" w:line="400" w:lineRule="exact"/>
      <w:ind w:firstLine="200" w:firstLineChars="200"/>
    </w:pPr>
    <w:rPr>
      <w:rFonts w:ascii="Calibri" w:hAnsi="Calibri"/>
      <w:sz w:val="24"/>
      <w:szCs w:val="21"/>
      <w:lang w:val="zh-CN"/>
    </w:rPr>
  </w:style>
  <w:style w:type="character" w:customStyle="1" w:styleId="142">
    <w:name w:val="正文－1.2倍行距－段后6磅 Char"/>
    <w:link w:val="141"/>
    <w:qFormat/>
    <w:uiPriority w:val="0"/>
    <w:rPr>
      <w:rFonts w:ascii="Calibri" w:hAnsi="Calibri"/>
      <w:kern w:val="2"/>
      <w:sz w:val="24"/>
      <w:szCs w:val="21"/>
    </w:rPr>
  </w:style>
  <w:style w:type="paragraph" w:customStyle="1" w:styleId="143">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正文 New New New New New New New New New"/>
    <w:qFormat/>
    <w:uiPriority w:val="0"/>
    <w:pPr>
      <w:widowControl w:val="0"/>
      <w:jc w:val="both"/>
    </w:pPr>
    <w:rPr>
      <w:rFonts w:ascii="Times New Roman" w:hAnsi="Times New Roman" w:eastAsia="黑体" w:cs="Times New Roman"/>
      <w:sz w:val="21"/>
      <w:lang w:val="en-US" w:eastAsia="zh-CN" w:bidi="ar-SA"/>
    </w:rPr>
  </w:style>
  <w:style w:type="paragraph" w:customStyle="1" w:styleId="145">
    <w:name w:val="_Style 4"/>
    <w:basedOn w:val="1"/>
    <w:qFormat/>
    <w:uiPriority w:val="0"/>
  </w:style>
  <w:style w:type="character" w:customStyle="1" w:styleId="146">
    <w:name w:val="fontstyle11"/>
    <w:qFormat/>
    <w:uiPriority w:val="0"/>
    <w:rPr>
      <w:rFonts w:hint="default" w:ascii="TimesNewRomanPSMT" w:hAnsi="TimesNewRomanPSMT"/>
      <w:color w:val="000000"/>
      <w:sz w:val="24"/>
      <w:szCs w:val="24"/>
    </w:rPr>
  </w:style>
  <w:style w:type="paragraph" w:customStyle="1" w:styleId="147">
    <w:name w:val="xl25"/>
    <w:basedOn w:val="1"/>
    <w:qFormat/>
    <w:uiPriority w:val="0"/>
    <w:pPr>
      <w:widowControl/>
      <w:pBdr>
        <w:bottom w:val="single" w:color="auto" w:sz="4" w:space="0"/>
        <w:right w:val="single" w:color="auto" w:sz="4" w:space="0"/>
      </w:pBdr>
      <w:spacing w:before="100" w:beforeAutospacing="1" w:after="100" w:afterAutospacing="1"/>
    </w:pPr>
    <w:rPr>
      <w:kern w:val="0"/>
      <w:szCs w:val="21"/>
    </w:rPr>
  </w:style>
  <w:style w:type="paragraph" w:customStyle="1" w:styleId="148">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szCs w:val="24"/>
    </w:rPr>
  </w:style>
  <w:style w:type="paragraph" w:customStyle="1" w:styleId="149">
    <w:name w:val="正文－1.5行距－段后6磅"/>
    <w:basedOn w:val="1"/>
    <w:link w:val="150"/>
    <w:qFormat/>
    <w:uiPriority w:val="0"/>
    <w:pPr>
      <w:spacing w:after="120" w:line="360" w:lineRule="auto"/>
      <w:ind w:firstLine="200" w:firstLineChars="200"/>
    </w:pPr>
    <w:rPr>
      <w:rFonts w:ascii="Calibri" w:hAnsi="Calibri"/>
      <w:sz w:val="24"/>
      <w:szCs w:val="21"/>
      <w:lang w:val="zh-CN"/>
    </w:rPr>
  </w:style>
  <w:style w:type="character" w:customStyle="1" w:styleId="150">
    <w:name w:val="正文－1.5行距－段后6磅 Char"/>
    <w:link w:val="149"/>
    <w:qFormat/>
    <w:uiPriority w:val="0"/>
    <w:rPr>
      <w:rFonts w:ascii="Calibri" w:hAnsi="Calibri"/>
      <w:kern w:val="2"/>
      <w:sz w:val="24"/>
      <w:szCs w:val="21"/>
    </w:rPr>
  </w:style>
  <w:style w:type="paragraph" w:customStyle="1" w:styleId="151">
    <w:name w:val="表内式样"/>
    <w:qFormat/>
    <w:uiPriority w:val="0"/>
    <w:pPr>
      <w:widowControl w:val="0"/>
      <w:spacing w:line="200" w:lineRule="atLeast"/>
      <w:jc w:val="center"/>
    </w:pPr>
    <w:rPr>
      <w:rFonts w:ascii="宋体" w:hAnsi="宋体" w:eastAsia="宋体" w:cs="Times New Roman"/>
      <w:color w:val="000000"/>
      <w:kern w:val="2"/>
      <w:sz w:val="21"/>
      <w:lang w:val="en-US" w:eastAsia="zh-CN" w:bidi="ar-SA"/>
    </w:rPr>
  </w:style>
  <w:style w:type="paragraph" w:customStyle="1" w:styleId="152">
    <w:name w:val="xl29"/>
    <w:basedOn w:val="1"/>
    <w:qFormat/>
    <w:uiPriority w:val="0"/>
    <w:pPr>
      <w:widowControl/>
      <w:pBdr>
        <w:right w:val="single" w:color="auto" w:sz="8" w:space="0"/>
      </w:pBdr>
      <w:spacing w:before="100" w:beforeAutospacing="1" w:after="100" w:afterAutospacing="1"/>
      <w:jc w:val="center"/>
      <w:textAlignment w:val="center"/>
    </w:pPr>
    <w:rPr>
      <w:rFonts w:hint="eastAsia" w:ascii="宋体" w:hAnsi="宋体"/>
      <w:kern w:val="0"/>
      <w:sz w:val="20"/>
    </w:rPr>
  </w:style>
  <w:style w:type="paragraph" w:customStyle="1" w:styleId="153">
    <w:name w:val="Char Char Char Char"/>
    <w:basedOn w:val="1"/>
    <w:qFormat/>
    <w:uiPriority w:val="0"/>
    <w:rPr>
      <w:sz w:val="24"/>
      <w:szCs w:val="24"/>
    </w:rPr>
  </w:style>
  <w:style w:type="paragraph" w:customStyle="1" w:styleId="154">
    <w:name w:val="样式Fu01"/>
    <w:basedOn w:val="1"/>
    <w:qFormat/>
    <w:uiPriority w:val="0"/>
    <w:pPr>
      <w:autoSpaceDE w:val="0"/>
      <w:autoSpaceDN w:val="0"/>
      <w:adjustRightInd w:val="0"/>
      <w:spacing w:before="40" w:after="40" w:line="0" w:lineRule="atLeast"/>
      <w:jc w:val="left"/>
    </w:pPr>
    <w:rPr>
      <w:rFonts w:ascii="幼圆" w:eastAsia="幼圆"/>
      <w:snapToGrid w:val="0"/>
      <w:kern w:val="0"/>
    </w:rPr>
  </w:style>
  <w:style w:type="paragraph" w:customStyle="1" w:styleId="155">
    <w:name w:val="高表内"/>
    <w:basedOn w:val="21"/>
    <w:qFormat/>
    <w:uiPriority w:val="0"/>
    <w:pPr>
      <w:autoSpaceDE w:val="0"/>
      <w:adjustRightInd w:val="0"/>
      <w:snapToGrid w:val="0"/>
      <w:jc w:val="center"/>
      <w:textAlignment w:val="baseline"/>
    </w:pPr>
    <w:rPr>
      <w:rFonts w:ascii="Arial" w:hAnsi="Arial" w:eastAsia="楷体_GB2312"/>
      <w:sz w:val="24"/>
      <w:szCs w:val="24"/>
      <w:lang w:val="en-US"/>
    </w:rPr>
  </w:style>
  <w:style w:type="paragraph" w:customStyle="1" w:styleId="156">
    <w:name w:val="样式 标题 2节标题 1.1节第一章 标题 2Heading 2 HiddenHeading 2 CCBSheadi..."/>
    <w:basedOn w:val="3"/>
    <w:qFormat/>
    <w:uiPriority w:val="0"/>
    <w:pPr>
      <w:keepNext/>
      <w:keepLines/>
      <w:widowControl w:val="0"/>
      <w:spacing w:beforeAutospacing="0" w:afterAutospacing="0" w:line="520" w:lineRule="exact"/>
      <w:jc w:val="both"/>
    </w:pPr>
    <w:rPr>
      <w:rFonts w:cs="宋体"/>
      <w:bCs/>
      <w:kern w:val="2"/>
      <w:sz w:val="28"/>
    </w:rPr>
  </w:style>
  <w:style w:type="paragraph" w:customStyle="1" w:styleId="157">
    <w:name w:val="Char Char Char Char Char Char Char Char Char1 Char Char Char Char"/>
    <w:basedOn w:val="1"/>
    <w:qFormat/>
    <w:uiPriority w:val="0"/>
    <w:rPr>
      <w:szCs w:val="21"/>
    </w:rPr>
  </w:style>
  <w:style w:type="character" w:customStyle="1" w:styleId="158">
    <w:name w:val="content"/>
    <w:basedOn w:val="55"/>
    <w:qFormat/>
    <w:uiPriority w:val="0"/>
  </w:style>
  <w:style w:type="paragraph" w:customStyle="1" w:styleId="159">
    <w:name w:val="Char Char Char Char Char Char2"/>
    <w:basedOn w:val="1"/>
    <w:qFormat/>
    <w:uiPriority w:val="0"/>
    <w:rPr>
      <w:sz w:val="24"/>
      <w:szCs w:val="24"/>
    </w:rPr>
  </w:style>
  <w:style w:type="paragraph" w:customStyle="1" w:styleId="160">
    <w:name w:val="正文文字 Char"/>
    <w:basedOn w:val="1"/>
    <w:next w:val="21"/>
    <w:qFormat/>
    <w:uiPriority w:val="0"/>
    <w:rPr>
      <w:rFonts w:ascii="宋体" w:hAnsi="Courier New"/>
    </w:rPr>
  </w:style>
  <w:style w:type="paragraph" w:customStyle="1" w:styleId="161">
    <w:name w:val="目录222222"/>
    <w:basedOn w:val="3"/>
    <w:qFormat/>
    <w:uiPriority w:val="0"/>
    <w:pPr>
      <w:keepNext/>
      <w:keepLines/>
      <w:widowControl w:val="0"/>
      <w:spacing w:before="260" w:beforeAutospacing="0" w:after="260" w:afterLines="50" w:afterAutospacing="0" w:line="288" w:lineRule="auto"/>
      <w:jc w:val="both"/>
    </w:pPr>
    <w:rPr>
      <w:rFonts w:ascii="Arial" w:hAnsi="Arial" w:eastAsia="黑体"/>
      <w:bCs/>
      <w:kern w:val="2"/>
      <w:sz w:val="28"/>
      <w:szCs w:val="32"/>
    </w:rPr>
  </w:style>
  <w:style w:type="paragraph" w:customStyle="1" w:styleId="162">
    <w:name w:val="目录1111111"/>
    <w:basedOn w:val="2"/>
    <w:qFormat/>
    <w:uiPriority w:val="0"/>
    <w:pPr>
      <w:spacing w:before="120" w:after="120" w:line="360" w:lineRule="auto"/>
      <w:jc w:val="center"/>
    </w:pPr>
    <w:rPr>
      <w:lang w:val="en-US"/>
    </w:rPr>
  </w:style>
  <w:style w:type="paragraph" w:customStyle="1" w:styleId="163">
    <w:name w:val="111正文文本"/>
    <w:basedOn w:val="1"/>
    <w:qFormat/>
    <w:uiPriority w:val="0"/>
    <w:pPr>
      <w:spacing w:before="78" w:line="400" w:lineRule="exact"/>
      <w:ind w:firstLine="480" w:firstLineChars="200"/>
    </w:pPr>
    <w:rPr>
      <w:sz w:val="24"/>
      <w:szCs w:val="24"/>
    </w:rPr>
  </w:style>
  <w:style w:type="paragraph" w:customStyle="1" w:styleId="164">
    <w:name w:val="xl3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宋体" w:hAnsi="宋体"/>
      <w:color w:val="000000"/>
      <w:kern w:val="0"/>
      <w:sz w:val="24"/>
    </w:rPr>
  </w:style>
  <w:style w:type="paragraph" w:customStyle="1" w:styleId="165">
    <w:name w:val="样式 标题 3 + 段前: 0.5 行 段后: 0.5 行1"/>
    <w:basedOn w:val="4"/>
    <w:qFormat/>
    <w:uiPriority w:val="0"/>
    <w:pPr>
      <w:tabs>
        <w:tab w:val="left" w:pos="1233"/>
        <w:tab w:val="left" w:pos="1700"/>
      </w:tabs>
      <w:adjustRightInd w:val="0"/>
      <w:snapToGrid w:val="0"/>
      <w:spacing w:beforeLines="100" w:after="50" w:line="360" w:lineRule="auto"/>
      <w:ind w:left="600" w:firstLine="314" w:firstLineChars="131"/>
      <w:jc w:val="left"/>
    </w:pPr>
    <w:rPr>
      <w:rFonts w:ascii="宋体" w:hAnsi="宋体" w:cs="宋体"/>
      <w:b w:val="0"/>
      <w:bCs w:val="0"/>
      <w:sz w:val="24"/>
      <w:szCs w:val="20"/>
      <w:lang w:val="en-US"/>
    </w:rPr>
  </w:style>
  <w:style w:type="paragraph" w:customStyle="1" w:styleId="166">
    <w:name w:val="框图"/>
    <w:basedOn w:val="1"/>
    <w:qFormat/>
    <w:uiPriority w:val="0"/>
    <w:pPr>
      <w:adjustRightInd w:val="0"/>
      <w:snapToGrid w:val="0"/>
      <w:ind w:left="2" w:leftChars="-38" w:right="-106" w:rightChars="-38" w:hanging="108" w:hangingChars="54"/>
      <w:jc w:val="center"/>
    </w:pPr>
    <w:rPr>
      <w:rFonts w:ascii="仿宋_GB2312" w:eastAsia="仿宋_GB2312"/>
      <w:sz w:val="20"/>
    </w:rPr>
  </w:style>
  <w:style w:type="paragraph" w:customStyle="1" w:styleId="167">
    <w:name w:val="表格内文字"/>
    <w:basedOn w:val="1"/>
    <w:link w:val="168"/>
    <w:qFormat/>
    <w:uiPriority w:val="0"/>
    <w:pPr>
      <w:tabs>
        <w:tab w:val="left" w:pos="0"/>
      </w:tabs>
      <w:adjustRightInd w:val="0"/>
      <w:snapToGrid w:val="0"/>
      <w:jc w:val="center"/>
    </w:pPr>
    <w:rPr>
      <w:rFonts w:eastAsia="仿宋_GB2312"/>
      <w:sz w:val="24"/>
      <w:szCs w:val="24"/>
    </w:rPr>
  </w:style>
  <w:style w:type="character" w:customStyle="1" w:styleId="168">
    <w:name w:val="表格内文字 Char"/>
    <w:link w:val="167"/>
    <w:qFormat/>
    <w:uiPriority w:val="0"/>
    <w:rPr>
      <w:rFonts w:eastAsia="仿宋_GB2312"/>
      <w:kern w:val="2"/>
      <w:sz w:val="24"/>
      <w:szCs w:val="24"/>
    </w:rPr>
  </w:style>
  <w:style w:type="character" w:customStyle="1" w:styleId="169">
    <w:name w:val="正文不缩进 Char1"/>
    <w:qFormat/>
    <w:uiPriority w:val="0"/>
    <w:rPr>
      <w:rFonts w:eastAsia="宋体"/>
      <w:kern w:val="2"/>
      <w:sz w:val="21"/>
      <w:szCs w:val="24"/>
      <w:lang w:val="en-US" w:eastAsia="zh-CN" w:bidi="ar-SA"/>
    </w:rPr>
  </w:style>
  <w:style w:type="character" w:customStyle="1" w:styleId="170">
    <w:name w:val="t_tag"/>
    <w:basedOn w:val="55"/>
    <w:qFormat/>
    <w:uiPriority w:val="0"/>
  </w:style>
  <w:style w:type="character" w:customStyle="1" w:styleId="171">
    <w:name w:val="search_content1"/>
    <w:qFormat/>
    <w:uiPriority w:val="0"/>
    <w:rPr>
      <w:sz w:val="20"/>
      <w:szCs w:val="20"/>
    </w:rPr>
  </w:style>
  <w:style w:type="paragraph" w:customStyle="1" w:styleId="172">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
    <w:name w:val="表格内容自定"/>
    <w:basedOn w:val="1"/>
    <w:qFormat/>
    <w:uiPriority w:val="0"/>
    <w:pPr>
      <w:spacing w:line="280" w:lineRule="exact"/>
      <w:jc w:val="center"/>
    </w:pPr>
    <w:rPr>
      <w:kern w:val="0"/>
      <w:sz w:val="18"/>
      <w:szCs w:val="21"/>
    </w:rPr>
  </w:style>
  <w:style w:type="character" w:customStyle="1" w:styleId="174">
    <w:name w:val="headline-content2"/>
    <w:basedOn w:val="55"/>
    <w:qFormat/>
    <w:uiPriority w:val="0"/>
  </w:style>
  <w:style w:type="character" w:customStyle="1" w:styleId="175">
    <w:name w:val="text_edit1"/>
    <w:qFormat/>
    <w:uiPriority w:val="0"/>
    <w:rPr>
      <w:color w:val="3366CC"/>
      <w:sz w:val="18"/>
      <w:szCs w:val="18"/>
    </w:rPr>
  </w:style>
  <w:style w:type="paragraph" w:customStyle="1" w:styleId="176">
    <w:name w:val="1正文段落"/>
    <w:basedOn w:val="1"/>
    <w:qFormat/>
    <w:uiPriority w:val="0"/>
    <w:pPr>
      <w:spacing w:line="360" w:lineRule="auto"/>
      <w:ind w:firstLine="480" w:firstLineChars="200"/>
      <w:jc w:val="left"/>
    </w:pPr>
    <w:rPr>
      <w:snapToGrid w:val="0"/>
      <w:kern w:val="0"/>
      <w:sz w:val="24"/>
    </w:rPr>
  </w:style>
  <w:style w:type="character" w:customStyle="1" w:styleId="177">
    <w:name w:val="hxtj3"/>
    <w:qFormat/>
    <w:uiPriority w:val="0"/>
    <w:rPr>
      <w:color w:val="000000"/>
      <w:sz w:val="18"/>
      <w:u w:val="none"/>
    </w:rPr>
  </w:style>
  <w:style w:type="paragraph" w:customStyle="1" w:styleId="178">
    <w:name w:val="text"/>
    <w:basedOn w:val="1"/>
    <w:qFormat/>
    <w:uiPriority w:val="0"/>
    <w:pPr>
      <w:widowControl/>
      <w:jc w:val="left"/>
    </w:pPr>
    <w:rPr>
      <w:rFonts w:ascii="宋体" w:hAnsi="宋体" w:cs="宋体"/>
      <w:kern w:val="0"/>
      <w:sz w:val="24"/>
      <w:szCs w:val="24"/>
    </w:rPr>
  </w:style>
  <w:style w:type="paragraph" w:customStyle="1" w:styleId="179">
    <w:name w:val="十字正文"/>
    <w:qFormat/>
    <w:uiPriority w:val="0"/>
    <w:pPr>
      <w:spacing w:line="300" w:lineRule="auto"/>
      <w:ind w:firstLine="480" w:firstLineChars="200"/>
    </w:pPr>
    <w:rPr>
      <w:rFonts w:ascii="Times New Roman" w:hAnsi="Times New Roman" w:eastAsia="宋体" w:cs="Times New Roman"/>
      <w:sz w:val="24"/>
      <w:lang w:val="en-US" w:eastAsia="zh-CN" w:bidi="ar-SA"/>
    </w:rPr>
  </w:style>
  <w:style w:type="character" w:customStyle="1" w:styleId="180">
    <w:name w:val="zw1"/>
    <w:qFormat/>
    <w:uiPriority w:val="0"/>
    <w:rPr>
      <w:rFonts w:hint="eastAsia" w:ascii="宋体" w:hAnsi="宋体" w:eastAsia="宋体"/>
      <w:kern w:val="2"/>
      <w:sz w:val="22"/>
      <w:lang w:val="en-US" w:eastAsia="zh-CN"/>
    </w:rPr>
  </w:style>
  <w:style w:type="character" w:customStyle="1" w:styleId="181">
    <w:name w:val="标题 2 Char1"/>
    <w:qFormat/>
    <w:uiPriority w:val="0"/>
    <w:rPr>
      <w:rFonts w:ascii="Arial" w:hAnsi="Arial" w:eastAsia="宋体"/>
      <w:b/>
      <w:kern w:val="2"/>
      <w:sz w:val="32"/>
      <w:lang w:val="en-US" w:eastAsia="zh-CN" w:bidi="ar-SA"/>
    </w:rPr>
  </w:style>
  <w:style w:type="character" w:customStyle="1" w:styleId="182">
    <w:name w:val="bt21"/>
    <w:qFormat/>
    <w:uiPriority w:val="0"/>
    <w:rPr>
      <w:rFonts w:hint="eastAsia" w:ascii="黑体" w:hAnsi="宋体" w:eastAsia="黑体"/>
      <w:kern w:val="2"/>
      <w:sz w:val="24"/>
      <w:lang w:val="en-US" w:eastAsia="zh-CN"/>
    </w:rPr>
  </w:style>
  <w:style w:type="character" w:customStyle="1" w:styleId="183">
    <w:name w:val="font14"/>
    <w:qFormat/>
    <w:uiPriority w:val="0"/>
  </w:style>
  <w:style w:type="paragraph" w:customStyle="1" w:styleId="1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5">
    <w:name w:val="Char Char Char Char Char Char Char Char Char1 Char Char Char Char1"/>
    <w:basedOn w:val="1"/>
    <w:qFormat/>
    <w:uiPriority w:val="0"/>
    <w:rPr>
      <w:szCs w:val="21"/>
    </w:rPr>
  </w:style>
  <w:style w:type="paragraph" w:customStyle="1" w:styleId="186">
    <w:name w:val="表内文字"/>
    <w:basedOn w:val="1"/>
    <w:next w:val="1"/>
    <w:qFormat/>
    <w:uiPriority w:val="0"/>
    <w:pPr>
      <w:adjustRightInd w:val="0"/>
      <w:spacing w:line="360" w:lineRule="atLeast"/>
      <w:jc w:val="center"/>
      <w:textAlignment w:val="baseline"/>
    </w:pPr>
    <w:rPr>
      <w:kern w:val="0"/>
    </w:rPr>
  </w:style>
  <w:style w:type="paragraph" w:customStyle="1" w:styleId="187">
    <w:name w:val="Char Char Char Char1"/>
    <w:basedOn w:val="1"/>
    <w:qFormat/>
    <w:uiPriority w:val="0"/>
    <w:rPr>
      <w:sz w:val="24"/>
      <w:szCs w:val="24"/>
    </w:rPr>
  </w:style>
  <w:style w:type="character" w:customStyle="1" w:styleId="188">
    <w:name w:val="fontstyle31"/>
    <w:qFormat/>
    <w:uiPriority w:val="0"/>
    <w:rPr>
      <w:rFonts w:hint="default" w:ascii="TimesNewRomanPSMT" w:hAnsi="TimesNewRomanPSMT"/>
      <w:color w:val="000000"/>
      <w:sz w:val="24"/>
      <w:szCs w:val="24"/>
    </w:rPr>
  </w:style>
  <w:style w:type="paragraph" w:customStyle="1" w:styleId="189">
    <w:name w:val="样式2"/>
    <w:basedOn w:val="1"/>
    <w:qFormat/>
    <w:uiPriority w:val="99"/>
    <w:pPr>
      <w:adjustRightInd w:val="0"/>
      <w:snapToGrid w:val="0"/>
      <w:spacing w:beforeLines="100" w:line="360" w:lineRule="auto"/>
    </w:pPr>
    <w:rPr>
      <w:rFonts w:ascii="Calibri" w:hAnsi="Calibri" w:eastAsia="仿宋_GB2312"/>
      <w:b/>
      <w:sz w:val="28"/>
    </w:rPr>
  </w:style>
  <w:style w:type="paragraph" w:customStyle="1" w:styleId="190">
    <w:name w:val="样式35"/>
    <w:basedOn w:val="1"/>
    <w:qFormat/>
    <w:uiPriority w:val="0"/>
    <w:pPr>
      <w:adjustRightInd w:val="0"/>
      <w:spacing w:line="312" w:lineRule="auto"/>
      <w:ind w:firstLine="567"/>
    </w:pPr>
    <w:rPr>
      <w:rFonts w:ascii="宋体" w:hAnsi="Calibri"/>
      <w:kern w:val="0"/>
      <w:sz w:val="28"/>
    </w:rPr>
  </w:style>
  <w:style w:type="character" w:customStyle="1" w:styleId="191">
    <w:name w:val="称呼 字符"/>
    <w:link w:val="12"/>
    <w:qFormat/>
    <w:uiPriority w:val="0"/>
    <w:rPr>
      <w:rFonts w:ascii="Calibri" w:hAnsi="Calibri"/>
      <w:kern w:val="2"/>
      <w:sz w:val="21"/>
    </w:rPr>
  </w:style>
  <w:style w:type="character" w:customStyle="1" w:styleId="192">
    <w:name w:val="正文首行缩进 2 字符"/>
    <w:link w:val="17"/>
    <w:qFormat/>
    <w:uiPriority w:val="0"/>
    <w:rPr>
      <w:rFonts w:ascii="Calibri" w:hAnsi="Calibri"/>
      <w:kern w:val="2"/>
      <w:sz w:val="21"/>
    </w:rPr>
  </w:style>
  <w:style w:type="table" w:customStyle="1" w:styleId="193">
    <w:name w:val="网格型1"/>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4">
    <w:name w:val="cur1"/>
    <w:qFormat/>
    <w:uiPriority w:val="0"/>
    <w:rPr>
      <w:color w:val="FFFFFF"/>
      <w:shd w:val="clear" w:color="auto" w:fill="2F6B98"/>
    </w:rPr>
  </w:style>
  <w:style w:type="character" w:customStyle="1" w:styleId="195">
    <w:name w:val="lishishuju"/>
    <w:qFormat/>
    <w:uiPriority w:val="0"/>
    <w:rPr>
      <w:b/>
      <w:bCs/>
      <w:color w:val="000052"/>
      <w:sz w:val="24"/>
      <w:szCs w:val="24"/>
      <w:bdr w:val="single" w:color="E3E3E3" w:sz="6" w:space="0"/>
    </w:rPr>
  </w:style>
  <w:style w:type="character" w:customStyle="1" w:styleId="196">
    <w:name w:val="znspantitle"/>
    <w:qFormat/>
    <w:uiPriority w:val="0"/>
    <w:rPr>
      <w:b/>
      <w:bCs/>
      <w:color w:val="333333"/>
    </w:rPr>
  </w:style>
  <w:style w:type="character" w:customStyle="1" w:styleId="197">
    <w:name w:val="radio-btn2"/>
    <w:qFormat/>
    <w:uiPriority w:val="0"/>
    <w:rPr>
      <w:sz w:val="24"/>
      <w:szCs w:val="24"/>
    </w:rPr>
  </w:style>
  <w:style w:type="character" w:customStyle="1" w:styleId="198">
    <w:name w:val="radio-btn"/>
    <w:qFormat/>
    <w:uiPriority w:val="0"/>
    <w:rPr>
      <w:sz w:val="24"/>
      <w:szCs w:val="24"/>
    </w:rPr>
  </w:style>
  <w:style w:type="character" w:customStyle="1" w:styleId="199">
    <w:name w:val="radio-btn1"/>
    <w:qFormat/>
    <w:uiPriority w:val="0"/>
    <w:rPr>
      <w:sz w:val="21"/>
      <w:szCs w:val="21"/>
    </w:rPr>
  </w:style>
  <w:style w:type="character" w:customStyle="1" w:styleId="200">
    <w:name w:val="lable"/>
    <w:qFormat/>
    <w:uiPriority w:val="0"/>
    <w:rPr>
      <w:sz w:val="24"/>
      <w:szCs w:val="24"/>
    </w:rPr>
  </w:style>
  <w:style w:type="paragraph" w:customStyle="1" w:styleId="201">
    <w:name w:val="Table Paragraph"/>
    <w:basedOn w:val="1"/>
    <w:qFormat/>
    <w:uiPriority w:val="1"/>
    <w:rPr>
      <w:rFonts w:ascii="宋体" w:hAnsi="宋体" w:cs="宋体"/>
      <w:lang w:val="zh-CN" w:bidi="zh-CN"/>
    </w:rPr>
  </w:style>
  <w:style w:type="paragraph" w:customStyle="1" w:styleId="202">
    <w:name w:val="E-正文"/>
    <w:next w:val="203"/>
    <w:qFormat/>
    <w:uiPriority w:val="0"/>
    <w:pPr>
      <w:spacing w:line="560" w:lineRule="exact"/>
      <w:ind w:firstLine="200" w:firstLineChars="200"/>
    </w:pPr>
    <w:rPr>
      <w:rFonts w:ascii="Calibri" w:hAnsi="Calibri" w:eastAsia="宋体" w:cs="Times New Roman"/>
      <w:kern w:val="2"/>
      <w:sz w:val="28"/>
      <w:szCs w:val="24"/>
      <w:lang w:val="en-US" w:eastAsia="zh-CN" w:bidi="ar-SA"/>
    </w:rPr>
  </w:style>
  <w:style w:type="paragraph" w:customStyle="1" w:styleId="203">
    <w:name w:val="F-表单"/>
    <w:qFormat/>
    <w:uiPriority w:val="0"/>
    <w:pPr>
      <w:jc w:val="center"/>
    </w:pPr>
    <w:rPr>
      <w:rFonts w:ascii="Calibri" w:hAnsi="Calibri" w:eastAsia="宋体" w:cs="Times New Roman"/>
      <w:kern w:val="2"/>
      <w:sz w:val="21"/>
      <w:szCs w:val="21"/>
      <w:lang w:val="en-US" w:eastAsia="zh-CN" w:bidi="ar-SA"/>
    </w:rPr>
  </w:style>
  <w:style w:type="paragraph" w:customStyle="1" w:styleId="204">
    <w:name w:val="正文格式"/>
    <w:basedOn w:val="1"/>
    <w:qFormat/>
    <w:uiPriority w:val="0"/>
    <w:pPr>
      <w:spacing w:line="360" w:lineRule="auto"/>
      <w:ind w:firstLine="482"/>
    </w:pPr>
    <w:rPr>
      <w:rFonts w:ascii="宋体" w:hAnsi="Calibri" w:cs="宋体"/>
      <w:sz w:val="24"/>
    </w:rPr>
  </w:style>
  <w:style w:type="paragraph" w:customStyle="1" w:styleId="205">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206">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207">
    <w:name w:val="列出段落1"/>
    <w:basedOn w:val="1"/>
    <w:qFormat/>
    <w:uiPriority w:val="0"/>
    <w:pPr>
      <w:ind w:firstLine="420" w:firstLineChars="200"/>
    </w:pPr>
    <w:rPr>
      <w:rFonts w:ascii="Calibri" w:hAnsi="Calibri"/>
    </w:rPr>
  </w:style>
  <w:style w:type="paragraph" w:customStyle="1" w:styleId="208">
    <w:name w:val="样式 五号 居中"/>
    <w:basedOn w:val="1"/>
    <w:qFormat/>
    <w:uiPriority w:val="0"/>
    <w:pPr>
      <w:jc w:val="center"/>
    </w:pPr>
    <w:rPr>
      <w:rFonts w:ascii="Calibri" w:hAnsi="Calibri" w:cs="宋体"/>
    </w:rPr>
  </w:style>
  <w:style w:type="paragraph" w:customStyle="1" w:styleId="209">
    <w:name w:val="Body text|1"/>
    <w:basedOn w:val="1"/>
    <w:link w:val="215"/>
    <w:qFormat/>
    <w:uiPriority w:val="0"/>
    <w:pPr>
      <w:spacing w:line="415" w:lineRule="auto"/>
      <w:ind w:firstLine="400"/>
      <w:jc w:val="left"/>
    </w:pPr>
    <w:rPr>
      <w:rFonts w:ascii="宋体" w:hAnsi="宋体" w:cs="宋体"/>
      <w:kern w:val="0"/>
      <w:sz w:val="30"/>
      <w:szCs w:val="30"/>
      <w:lang w:val="zh-TW" w:eastAsia="zh-TW" w:bidi="zh-TW"/>
    </w:rPr>
  </w:style>
  <w:style w:type="paragraph" w:customStyle="1" w:styleId="210">
    <w:name w:val="C-正文"/>
    <w:basedOn w:val="1"/>
    <w:qFormat/>
    <w:uiPriority w:val="0"/>
    <w:pPr>
      <w:ind w:firstLine="480"/>
    </w:pPr>
    <w:rPr>
      <w:rFonts w:ascii="Calibri" w:hAnsi="Calibri"/>
      <w:sz w:val="24"/>
    </w:rPr>
  </w:style>
  <w:style w:type="paragraph" w:customStyle="1" w:styleId="211">
    <w:name w:val="D-小节2"/>
    <w:next w:val="202"/>
    <w:qFormat/>
    <w:uiPriority w:val="0"/>
    <w:pPr>
      <w:numPr>
        <w:ilvl w:val="3"/>
        <w:numId w:val="3"/>
      </w:numPr>
      <w:spacing w:line="560" w:lineRule="exact"/>
      <w:outlineLvl w:val="3"/>
    </w:pPr>
    <w:rPr>
      <w:rFonts w:ascii="Calibri" w:hAnsi="Calibri" w:eastAsia="宋体" w:cs="Times New Roman"/>
      <w:kern w:val="2"/>
      <w:sz w:val="28"/>
      <w:szCs w:val="24"/>
      <w:lang w:val="en-US" w:eastAsia="zh-CN" w:bidi="ar-SA"/>
    </w:rPr>
  </w:style>
  <w:style w:type="paragraph" w:customStyle="1" w:styleId="212">
    <w:name w:val="本文正文"/>
    <w:basedOn w:val="1"/>
    <w:qFormat/>
    <w:uiPriority w:val="0"/>
    <w:pPr>
      <w:autoSpaceDE w:val="0"/>
      <w:autoSpaceDN w:val="0"/>
      <w:adjustRightInd w:val="0"/>
      <w:textAlignment w:val="baseline"/>
    </w:pPr>
    <w:rPr>
      <w:rFonts w:ascii="Calibri" w:hAnsi="Calibri"/>
    </w:rPr>
  </w:style>
  <w:style w:type="paragraph" w:customStyle="1" w:styleId="213">
    <w:name w:val="c-表格"/>
    <w:qFormat/>
    <w:uiPriority w:val="0"/>
    <w:pPr>
      <w:jc w:val="center"/>
    </w:pPr>
    <w:rPr>
      <w:rFonts w:ascii="Calibri" w:hAnsi="Calibri" w:eastAsia="宋体" w:cs="Times New Roman"/>
      <w:kern w:val="2"/>
      <w:sz w:val="21"/>
      <w:szCs w:val="22"/>
      <w:lang w:val="en-US" w:eastAsia="zh-CN" w:bidi="ar-SA"/>
    </w:rPr>
  </w:style>
  <w:style w:type="character" w:customStyle="1" w:styleId="214">
    <w:name w:val="报告正文 Char"/>
    <w:link w:val="76"/>
    <w:qFormat/>
    <w:uiPriority w:val="0"/>
    <w:rPr>
      <w:rFonts w:cs="宋体"/>
      <w:color w:val="000000"/>
      <w:sz w:val="28"/>
      <w:szCs w:val="30"/>
      <w:lang w:val="zh-CN"/>
    </w:rPr>
  </w:style>
  <w:style w:type="character" w:customStyle="1" w:styleId="215">
    <w:name w:val="Body text|1_"/>
    <w:link w:val="209"/>
    <w:qFormat/>
    <w:locked/>
    <w:uiPriority w:val="0"/>
    <w:rPr>
      <w:rFonts w:ascii="宋体" w:hAnsi="宋体" w:cs="宋体"/>
      <w:sz w:val="30"/>
      <w:szCs w:val="30"/>
      <w:lang w:val="zh-TW" w:eastAsia="zh-TW" w:bidi="zh-TW"/>
    </w:rPr>
  </w:style>
  <w:style w:type="table" w:customStyle="1" w:styleId="216">
    <w:name w:val="Table Normal"/>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1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8">
    <w:name w:val="副标题 字符"/>
    <w:basedOn w:val="55"/>
    <w:link w:val="32"/>
    <w:qFormat/>
    <w:uiPriority w:val="11"/>
    <w:rPr>
      <w:rFonts w:eastAsia="黑体"/>
      <w:b/>
      <w:bCs/>
      <w:kern w:val="28"/>
      <w:sz w:val="21"/>
      <w:szCs w:val="32"/>
    </w:rPr>
  </w:style>
  <w:style w:type="paragraph" w:customStyle="1" w:styleId="219">
    <w:name w:val="Char2"/>
    <w:basedOn w:val="1"/>
    <w:qFormat/>
    <w:uiPriority w:val="0"/>
    <w:rPr>
      <w:szCs w:val="24"/>
    </w:rPr>
  </w:style>
  <w:style w:type="paragraph" w:customStyle="1" w:styleId="220">
    <w:name w:val="Char11"/>
    <w:basedOn w:val="1"/>
    <w:next w:val="1"/>
    <w:semiHidden/>
    <w:qFormat/>
    <w:uiPriority w:val="0"/>
    <w:pPr>
      <w:spacing w:line="360" w:lineRule="auto"/>
      <w:ind w:firstLine="200" w:firstLineChars="200"/>
    </w:pPr>
    <w:rPr>
      <w:rFonts w:ascii="宋体" w:hAnsi="宋体" w:cs="宋体"/>
      <w:sz w:val="24"/>
      <w:szCs w:val="24"/>
    </w:rPr>
  </w:style>
  <w:style w:type="paragraph" w:customStyle="1" w:styleId="221">
    <w:name w:val="Char Char Char Char Char Char11"/>
    <w:basedOn w:val="1"/>
    <w:next w:val="1"/>
    <w:semiHidden/>
    <w:qFormat/>
    <w:uiPriority w:val="0"/>
    <w:pPr>
      <w:spacing w:line="336" w:lineRule="auto"/>
      <w:ind w:firstLine="200" w:firstLineChars="200"/>
    </w:pPr>
    <w:rPr>
      <w:rFonts w:ascii="宋体" w:hAnsi="宋体" w:eastAsia="汉鼎简书宋" w:cs="宋体"/>
      <w:spacing w:val="4"/>
      <w:sz w:val="24"/>
      <w:szCs w:val="24"/>
    </w:rPr>
  </w:style>
  <w:style w:type="paragraph" w:customStyle="1" w:styleId="222">
    <w:name w:val="Char Char Char1 Char Char Char1 Char Char Char Char Char Char Char Char Char Char Char Char1 Char Char Char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23">
    <w:name w:val="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24">
    <w:name w:val="Char Char Char2"/>
    <w:basedOn w:val="1"/>
    <w:qFormat/>
    <w:uiPriority w:val="0"/>
    <w:rPr>
      <w:sz w:val="24"/>
      <w:szCs w:val="24"/>
    </w:rPr>
  </w:style>
  <w:style w:type="paragraph" w:customStyle="1" w:styleId="225">
    <w:name w:val="Char Char Char Char Char Char3"/>
    <w:basedOn w:val="1"/>
    <w:qFormat/>
    <w:uiPriority w:val="0"/>
    <w:rPr>
      <w:sz w:val="24"/>
      <w:szCs w:val="24"/>
    </w:rPr>
  </w:style>
  <w:style w:type="paragraph" w:customStyle="1" w:styleId="226">
    <w:name w:val="Char Char Char Char Char Char Char Char Char1 Char Char Char Char2"/>
    <w:basedOn w:val="1"/>
    <w:qFormat/>
    <w:uiPriority w:val="0"/>
    <w:rPr>
      <w:szCs w:val="21"/>
    </w:rPr>
  </w:style>
  <w:style w:type="paragraph" w:customStyle="1" w:styleId="227">
    <w:name w:val="Char Char Char Char2"/>
    <w:basedOn w:val="1"/>
    <w:qFormat/>
    <w:uiPriority w:val="0"/>
    <w:rPr>
      <w:sz w:val="24"/>
      <w:szCs w:val="24"/>
    </w:rPr>
  </w:style>
  <w:style w:type="table" w:customStyle="1" w:styleId="228">
    <w:name w:val="网格型 61"/>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29">
    <w:name w:val="典雅型1"/>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0">
    <w:name w:val="网页型 11"/>
    <w:basedOn w:val="46"/>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231">
    <w:name w:val="网格型 62"/>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32">
    <w:name w:val="典雅型2"/>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3">
    <w:name w:val="网页型 12"/>
    <w:basedOn w:val="46"/>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paragraph" w:customStyle="1" w:styleId="234">
    <w:name w:val="Table Text"/>
    <w:basedOn w:val="1"/>
    <w:semiHidden/>
    <w:qFormat/>
    <w:uiPriority w:val="0"/>
    <w:pPr>
      <w:widowControl/>
      <w:kinsoku w:val="0"/>
      <w:autoSpaceDE w:val="0"/>
      <w:autoSpaceDN w:val="0"/>
      <w:adjustRightInd w:val="0"/>
      <w:snapToGrid w:val="0"/>
      <w:jc w:val="left"/>
      <w:textAlignment w:val="baseline"/>
    </w:pPr>
    <w:rPr>
      <w:rFonts w:eastAsia="Times New Roman"/>
      <w:snapToGrid w:val="0"/>
      <w:color w:val="000000"/>
      <w:kern w:val="0"/>
      <w:sz w:val="19"/>
      <w:szCs w:val="19"/>
      <w:lang w:eastAsia="en-US"/>
    </w:rPr>
  </w:style>
  <w:style w:type="paragraph" w:customStyle="1" w:styleId="235">
    <w:name w:val="Char3"/>
    <w:basedOn w:val="1"/>
    <w:qFormat/>
    <w:uiPriority w:val="0"/>
    <w:rPr>
      <w:szCs w:val="24"/>
    </w:rPr>
  </w:style>
  <w:style w:type="paragraph" w:customStyle="1" w:styleId="236">
    <w:name w:val="表头格式"/>
    <w:basedOn w:val="123"/>
    <w:qFormat/>
    <w:uiPriority w:val="0"/>
    <w:pPr>
      <w:spacing w:line="360" w:lineRule="auto"/>
    </w:pPr>
    <w:rPr>
      <w:rFonts w:hint="eastAsia"/>
      <w:b/>
      <w:bCs/>
      <w:sz w:val="21"/>
      <w:szCs w:val="21"/>
    </w:rPr>
  </w:style>
  <w:style w:type="paragraph" w:customStyle="1" w:styleId="237">
    <w:name w:val="A表格文字"/>
    <w:basedOn w:val="33"/>
    <w:qFormat/>
    <w:uiPriority w:val="0"/>
    <w:pPr>
      <w:spacing w:line="240" w:lineRule="auto"/>
    </w:pPr>
    <w:rPr>
      <w:rFonts w:ascii="Times New Roman" w:hAnsi="Times New Roman"/>
    </w:rPr>
  </w:style>
  <w:style w:type="paragraph" w:customStyle="1" w:styleId="238">
    <w:name w:val="报告书-正文"/>
    <w:basedOn w:val="1"/>
    <w:link w:val="239"/>
    <w:qFormat/>
    <w:uiPriority w:val="0"/>
    <w:pPr>
      <w:spacing w:line="440" w:lineRule="exact"/>
      <w:ind w:firstLine="643" w:firstLineChars="200"/>
    </w:pPr>
    <w:rPr>
      <w:rFonts w:ascii="Times New Roman" w:hAnsi="Times New Roman" w:eastAsia="宋体" w:cs="Times New Roman"/>
      <w:color w:val="00B0F0"/>
      <w:sz w:val="24"/>
      <w:szCs w:val="24"/>
    </w:rPr>
  </w:style>
  <w:style w:type="character" w:customStyle="1" w:styleId="239">
    <w:name w:val="报告书-正文 Char"/>
    <w:link w:val="238"/>
    <w:qFormat/>
    <w:uiPriority w:val="0"/>
    <w:rPr>
      <w:rFonts w:ascii="Times New Roman" w:hAnsi="Times New Roman" w:eastAsia="宋体" w:cs="Times New Roman"/>
      <w:color w:val="00B0F0"/>
      <w:sz w:val="24"/>
      <w:szCs w:val="24"/>
    </w:rPr>
  </w:style>
  <w:style w:type="paragraph" w:customStyle="1" w:styleId="240">
    <w:name w:val="表格头"/>
    <w:basedOn w:val="1"/>
    <w:link w:val="242"/>
    <w:qFormat/>
    <w:uiPriority w:val="0"/>
    <w:pPr>
      <w:spacing w:line="440" w:lineRule="exact"/>
      <w:ind w:firstLine="0" w:firstLineChars="0"/>
      <w:jc w:val="center"/>
    </w:pPr>
    <w:rPr>
      <w:rFonts w:hint="eastAsia" w:ascii="Times New Roman" w:hAnsi="Times New Roman" w:eastAsia="宋体" w:cs="Times New Roman"/>
      <w:b/>
      <w:bCs/>
      <w:iCs/>
      <w:color w:val="00B0F0"/>
    </w:rPr>
  </w:style>
  <w:style w:type="paragraph" w:customStyle="1" w:styleId="241">
    <w:name w:val="正文文本，表格"/>
    <w:basedOn w:val="1"/>
    <w:qFormat/>
    <w:uiPriority w:val="0"/>
    <w:pPr>
      <w:jc w:val="center"/>
    </w:pPr>
    <w:rPr>
      <w:szCs w:val="21"/>
    </w:rPr>
  </w:style>
  <w:style w:type="character" w:customStyle="1" w:styleId="242">
    <w:name w:val="表格头 Char"/>
    <w:link w:val="240"/>
    <w:qFormat/>
    <w:uiPriority w:val="0"/>
    <w:rPr>
      <w:rFonts w:hint="eastAsia" w:ascii="Times New Roman" w:hAnsi="Times New Roman" w:eastAsia="宋体" w:cs="Times New Roman"/>
      <w:b/>
      <w:bCs/>
      <w:iCs/>
      <w:color w:val="00B0F0"/>
    </w:rPr>
  </w:style>
  <w:style w:type="paragraph" w:customStyle="1" w:styleId="243">
    <w:name w:val="Normal"/>
    <w:qFormat/>
    <w:uiPriority w:val="0"/>
    <w:pPr>
      <w:jc w:val="both"/>
    </w:pPr>
    <w:rPr>
      <w:rFonts w:ascii="Calibri" w:hAnsi="Calibri" w:eastAsia="宋体" w:cs="宋体"/>
      <w:kern w:val="2"/>
      <w:sz w:val="21"/>
      <w:szCs w:val="21"/>
      <w:lang w:val="en-US" w:eastAsia="zh-CN" w:bidi="ar-SA"/>
    </w:rPr>
  </w:style>
  <w:style w:type="character" w:customStyle="1" w:styleId="244">
    <w:name w:val="表格内容 Char"/>
    <w:link w:val="74"/>
    <w:qFormat/>
    <w:uiPriority w:val="0"/>
    <w:rPr>
      <w:rFonts w:hAnsi="Calibri" w:eastAsia="宋体"/>
    </w:rPr>
  </w:style>
  <w:style w:type="paragraph" w:customStyle="1" w:styleId="245">
    <w:name w:val="表格标题-书"/>
    <w:next w:val="246"/>
    <w:qFormat/>
    <w:uiPriority w:val="0"/>
    <w:pPr>
      <w:jc w:val="center"/>
    </w:pPr>
    <w:rPr>
      <w:rFonts w:ascii="Times New Roman" w:hAnsi="Times New Roman" w:eastAsia="宋体" w:cs="Times New Roman"/>
      <w:b/>
      <w:sz w:val="24"/>
      <w:szCs w:val="22"/>
      <w:lang w:val="en-US" w:eastAsia="zh-CN" w:bidi="ar-SA"/>
    </w:rPr>
  </w:style>
  <w:style w:type="paragraph" w:customStyle="1" w:styleId="246">
    <w:name w:val="表格文字-书"/>
    <w:qFormat/>
    <w:uiPriority w:val="0"/>
    <w:pPr>
      <w:jc w:val="center"/>
    </w:pPr>
    <w:rPr>
      <w:rFonts w:ascii="Times New Roman" w:hAnsi="Times New Roman" w:eastAsia="宋体" w:cs="Times New Roman"/>
      <w:sz w:val="21"/>
      <w:szCs w:val="22"/>
      <w:lang w:val="en-US" w:eastAsia="zh-CN" w:bidi="ar-SA"/>
    </w:rPr>
  </w:style>
  <w:style w:type="table" w:customStyle="1" w:styleId="247">
    <w:name w:val="标准表格"/>
    <w:basedOn w:val="46"/>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248">
    <w:name w:val="表格内正文"/>
    <w:basedOn w:val="1"/>
    <w:qFormat/>
    <w:uiPriority w:val="0"/>
    <w:pPr>
      <w:spacing w:line="240" w:lineRule="auto"/>
      <w:ind w:firstLine="0" w:firstLineChars="0"/>
      <w:jc w:val="center"/>
    </w:pPr>
    <w:rPr>
      <w:rFonts w:ascii="Times New Roman" w:hAnsi="Times New Roman" w:eastAsia="宋体"/>
      <w:sz w:val="21"/>
      <w:szCs w:val="21"/>
    </w:rPr>
  </w:style>
  <w:style w:type="paragraph" w:customStyle="1" w:styleId="249">
    <w:name w:val="正文01"/>
    <w:basedOn w:val="8"/>
    <w:qFormat/>
    <w:uiPriority w:val="0"/>
    <w:pPr>
      <w:spacing w:before="60" w:line="460" w:lineRule="exact"/>
      <w:ind w:firstLine="200" w:firstLineChars="200"/>
    </w:pPr>
    <w:rPr>
      <w:sz w:val="24"/>
      <w:szCs w:val="20"/>
    </w:rPr>
  </w:style>
  <w:style w:type="paragraph" w:customStyle="1" w:styleId="250">
    <w:name w:val="表头"/>
    <w:basedOn w:val="204"/>
    <w:next w:val="1"/>
    <w:qFormat/>
    <w:uiPriority w:val="0"/>
    <w:pPr>
      <w:keepNext/>
      <w:keepLines/>
      <w:spacing w:beforeLines="0" w:afterLines="0" w:line="360" w:lineRule="auto"/>
      <w:ind w:firstLine="0" w:firstLineChars="0"/>
      <w:jc w:val="center"/>
      <w:outlineLvl w:val="3"/>
    </w:pPr>
    <w:rPr>
      <w:rFonts w:ascii="Times New Roman" w:hAnsi="Times New Roman" w:eastAsia="宋体"/>
      <w:b/>
    </w:rPr>
  </w:style>
  <w:style w:type="paragraph" w:customStyle="1" w:styleId="251">
    <w:name w:val="正文1"/>
    <w:basedOn w:val="1"/>
    <w:qFormat/>
    <w:uiPriority w:val="99"/>
    <w:pPr>
      <w:adjustRightInd w:val="0"/>
      <w:spacing w:line="318" w:lineRule="atLeast"/>
      <w:ind w:left="369" w:firstLine="369"/>
      <w:textAlignment w:val="baseline"/>
    </w:pPr>
    <w:rPr>
      <w:rFonts w:ascii="宋体"/>
      <w:szCs w:val="20"/>
    </w:rPr>
  </w:style>
  <w:style w:type="paragraph" w:customStyle="1" w:styleId="252">
    <w:name w:val="表题图题"/>
    <w:basedOn w:val="1"/>
    <w:qFormat/>
    <w:uiPriority w:val="0"/>
    <w:pPr>
      <w:widowControl w:val="0"/>
      <w:spacing w:line="240" w:lineRule="auto"/>
      <w:ind w:firstLine="0" w:firstLineChars="0"/>
      <w:jc w:val="center"/>
    </w:pPr>
    <w:rPr>
      <w:rFonts w:cs="Times New Roman"/>
      <w:b/>
      <w:szCs w:val="21"/>
    </w:rPr>
  </w:style>
  <w:style w:type="paragraph" w:customStyle="1" w:styleId="253">
    <w:name w:val="w-表格"/>
    <w:basedOn w:val="1"/>
    <w:qFormat/>
    <w:uiPriority w:val="0"/>
    <w:pPr>
      <w:widowControl/>
      <w:jc w:val="center"/>
    </w:pPr>
    <w:rPr>
      <w:rFonts w:hint="eastAsia" w:ascii="Times New Roman" w:hAnsi="Times New Roman" w:eastAsia="宋体"/>
      <w:color w:val="000000"/>
      <w:sz w:val="21"/>
      <w:szCs w:val="21"/>
    </w:rPr>
  </w:style>
  <w:style w:type="paragraph" w:customStyle="1" w:styleId="254">
    <w:name w:val="表格题"/>
    <w:basedOn w:val="1"/>
    <w:qFormat/>
    <w:uiPriority w:val="0"/>
    <w:pPr>
      <w:adjustRightInd w:val="0"/>
      <w:snapToGrid w:val="0"/>
      <w:spacing w:line="240" w:lineRule="auto"/>
      <w:jc w:val="center"/>
    </w:pPr>
    <w:rPr>
      <w:rFonts w:hint="eastAsia" w:ascii="Times New Roman" w:hAnsi="Times New Roman" w:eastAsia="宋体" w:cs="宋体"/>
      <w:b/>
      <w:bCs/>
      <w:szCs w:val="21"/>
    </w:rPr>
  </w:style>
  <w:style w:type="paragraph" w:customStyle="1" w:styleId="255">
    <w:name w:val="11111111111"/>
    <w:basedOn w:val="1"/>
    <w:qFormat/>
    <w:uiPriority w:val="0"/>
    <w:pPr>
      <w:spacing w:line="480" w:lineRule="exact"/>
      <w:jc w:val="center"/>
    </w:pPr>
    <w:rPr>
      <w:b/>
      <w:kern w:val="0"/>
      <w:sz w:val="20"/>
      <w:szCs w:val="20"/>
    </w:rPr>
  </w:style>
  <w:style w:type="paragraph" w:customStyle="1" w:styleId="256">
    <w:name w:val="正文_7"/>
    <w:qFormat/>
    <w:uiPriority w:val="0"/>
    <w:pPr>
      <w:widowControl w:val="0"/>
      <w:jc w:val="both"/>
    </w:pPr>
    <w:rPr>
      <w:rFonts w:ascii="Calibri" w:hAnsi="Calibri" w:eastAsia="宋体" w:cs="Times New Roman"/>
      <w:lang w:val="en-US" w:eastAsia="zh-CN" w:bidi="ar-SA"/>
    </w:rPr>
  </w:style>
  <w:style w:type="paragraph" w:customStyle="1" w:styleId="257">
    <w:name w:val="w-报告表正文"/>
    <w:basedOn w:val="1"/>
    <w:qFormat/>
    <w:uiPriority w:val="0"/>
    <w:pPr>
      <w:widowControl/>
      <w:spacing w:line="360" w:lineRule="auto"/>
      <w:ind w:firstLine="422" w:firstLineChars="200"/>
      <w:jc w:val="both"/>
    </w:pPr>
    <w:rPr>
      <w:rFonts w:ascii="Times New Roman" w:hAnsi="Times New Roman" w:eastAsia="宋体"/>
      <w:bCs/>
      <w:color w:val="auto"/>
      <w:kern w:val="44"/>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image" Target="media/image21.emf"/><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7.bin"/><Relationship Id="rId27" Type="http://schemas.openxmlformats.org/officeDocument/2006/relationships/image" Target="media/image14.wmf"/><Relationship Id="rId26" Type="http://schemas.openxmlformats.org/officeDocument/2006/relationships/oleObject" Target="embeddings/oleObject6.bin"/><Relationship Id="rId25" Type="http://schemas.openxmlformats.org/officeDocument/2006/relationships/image" Target="media/image13.wmf"/><Relationship Id="rId24" Type="http://schemas.openxmlformats.org/officeDocument/2006/relationships/oleObject" Target="embeddings/oleObject5.bin"/><Relationship Id="rId23" Type="http://schemas.openxmlformats.org/officeDocument/2006/relationships/image" Target="media/image12.wmf"/><Relationship Id="rId22" Type="http://schemas.openxmlformats.org/officeDocument/2006/relationships/oleObject" Target="embeddings/oleObject4.bin"/><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2.bin"/><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cc1479b0-58eb-4378-a4af-8954b0146b1a</errorID>
      <errorWord>（</errorWord>
      <group>L1_Punc</group>
      <groupName>标点问题</groupName>
      <ability>L2_Punc</ability>
      <abilityName>标点符号检查</abilityName>
      <candidateList/>
      <explain>同一形式括号套用。</explain>
      <paraID> 1DBFFE9</paraID>
      <start>48</start>
      <end>49</end>
      <status>unmodified</status>
      <modifiedWord/>
      <trackRevisions>false</trackRevisions>
    </reviewItem>
    <reviewItem>
      <errorID>9d499eeb-a1a1-4f5e-955d-64ac0ac64583</errorID>
      <errorWord>）</errorWord>
      <group>L1_Punc</group>
      <groupName>标点问题</groupName>
      <ability>L2_Punc</ability>
      <abilityName>标点符号检查</abilityName>
      <candidateList/>
      <explain>同一形式括号套用。</explain>
      <paraID> 1DBFFE9</paraID>
      <start>50</start>
      <end>51</end>
      <status>unmodified</status>
      <modifiedWord/>
      <trackRevisions>false</trackRevisions>
    </reviewItem>
    <reviewItem>
      <errorID>5d4afb14-8d63-40e3-acb7-2b61e8b51f4f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3A99FC15</paraID>
      <start>0</start>
      <end>2</end>
      <status>unmodified</status>
      <modifiedWord/>
      <trackRevisions>false</trackRevisions>
    </reviewItem>
    <reviewItem>
      <errorID>63f054bf-7674-4f3e-a946-81ae2457cd8d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57563045</paraID>
      <start>0</start>
      <end>2</end>
      <status>unmodified</status>
      <modifiedWord/>
      <trackRevisions>false</trackRevisions>
    </reviewItem>
    <reviewItem>
      <errorID>6544e676-b5ce-445b-a5bf-9485109c9291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42478392</paraID>
      <start>0</start>
      <end>2</end>
      <status>unmodified</status>
      <modifiedWord/>
      <trackRevisions>false</trackRevisions>
    </reviewItem>
    <reviewItem>
      <errorID>71e6fb90-b11c-4d85-bcc7-481185da18b5</errorID>
      <errorWord>文化自然遗产</errorWord>
      <group>L1_Knowledge</group>
      <groupName>知识性问题</groupName>
      <ability>L2_Knowledge</ability>
      <abilityName>其他知识</abilityName>
      <candidateList>
        <item>文化和自然遗产</item>
      </candidateList>
      <explain/>
      <paraID>7DE2286E</paraID>
      <start>68</start>
      <end>74</end>
      <status>unmodified</status>
      <modifiedWord/>
      <trackRevisions>false</trackRevisions>
    </reviewItem>
    <reviewItem>
      <errorID>51ce1f1d-36aa-4bda-a013-c9e7f78f5c6f</errorID>
      <errorWord>上线</errorWord>
      <group>L1_Word</group>
      <groupName>字词问题</groupName>
      <ability>L2_Typo</ability>
      <abilityName>字词错误</abilityName>
      <candidateList>
        <item>上限</item>
      </candidateList>
      <explain/>
      <paraID> 8266873</paraID>
      <start>148</start>
      <end>150</end>
      <status>unmodified</status>
      <modifiedWord/>
      <trackRevisions>false</trackRevisions>
    </reviewItem>
    <reviewItem>
      <errorID>6c92b671-d6d4-4511-8468-d9abd6923fc1</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505033F8</paraID>
      <start>20</start>
      <end>27</end>
      <status>unmodified</status>
      <modifiedWord/>
      <trackRevisions>false</trackRevisions>
    </reviewItem>
    <reviewItem>
      <errorID>15d06c13-e66c-4511-be8b-d52d7b5f32be</errorID>
      <errorWord>上线</errorWord>
      <group>L1_Word</group>
      <groupName>字词问题</groupName>
      <ability>L2_Typo</ability>
      <abilityName>字词错误</abilityName>
      <candidateList>
        <item>上限</item>
      </candidateList>
      <explain/>
      <paraID>19BAEFEF</paraID>
      <start>59</start>
      <end>61</end>
      <status>unmodified</status>
      <modifiedWord/>
      <trackRevisions>false</trackRevisions>
    </reviewItem>
    <reviewItem>
      <errorID>cd19a97d-c834-470f-9bc4-da5c3497114b</errorID>
      <errorWord>上线</errorWord>
      <group>L1_Word</group>
      <groupName>字词问题</groupName>
      <ability>L2_Typo</ability>
      <abilityName>字词错误</abilityName>
      <candidateList>
        <item>上限</item>
      </candidateList>
      <explain/>
      <paraID> 868DD10</paraID>
      <start>27</start>
      <end>29</end>
      <status>unmodified</status>
      <modifiedWord/>
      <trackRevisions>false</trackRevisions>
    </reviewItem>
    <reviewItem>
      <errorID>5bb61a8a-b89d-42d4-b812-7a8637a8f85d</errorID>
      <errorWord>、</errorWord>
      <group>L1_Word</group>
      <groupName>字词问题</groupName>
      <ability>L2_Typo</ability>
      <abilityName>字词错误</abilityName>
      <candidateList>
        <item>、对</item>
      </candidateList>
      <explain/>
      <paraID>79C3ADBE</paraID>
      <start>43</start>
      <end>44</end>
      <status>unmodified</status>
      <modifiedWord/>
      <trackRevisions>false</trackRevisions>
    </reviewItem>
    <reviewItem>
      <errorID>098cccb3-9860-4beb-bff5-8f73e7a35d76</errorID>
      <errorWord>经与</errorWord>
      <group>L1_Word</group>
      <groupName>字词问题</groupName>
      <ability>L2_Typo</ability>
      <abilityName>字词错误</abilityName>
      <candidateList>
        <item>经</item>
      </candidateList>
      <explain/>
      <paraID>4234080E</paraID>
      <start>50</start>
      <end>52</end>
      <status>unmodified</status>
      <modifiedWord/>
      <trackRevisions>false</trackRevisions>
    </reviewItem>
    <reviewItem>
      <errorID>7c4ff825-77f1-4908-a788-4e02b783a488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6649CD02</paraID>
      <start>0</start>
      <end>2</end>
      <status>unmodified</status>
      <modifiedWord/>
      <trackRevisions>false</trackRevisions>
    </reviewItem>
    <reviewItem>
      <errorID>42d90987-2510-41dc-b73d-b5e7700e43f8</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6027AB62</paraID>
      <start>1</start>
      <end>8</end>
      <status>unmodified</status>
      <modifiedWord/>
      <trackRevisions>false</trackRevisions>
    </reviewItem>
    <reviewItem>
      <errorID>14624711-c574-4f50-abcc-0c0386173a6e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44BFD25C</paraID>
      <start>8</start>
      <end>9</end>
      <status>unmodified</status>
      <modifiedWord/>
      <trackRevisions>false</trackRevisions>
    </reviewItem>
    <reviewItem>
      <errorID>bc1bd4c1-4153-4978-8ef5-13b2b52c0bd2</errorID>
      <errorWord>任务是</errorWord>
      <group>L1_Word</group>
      <groupName>字词问题</groupName>
      <ability>L2_Typo</ability>
      <abilityName>字词错误</abilityName>
      <candidateList>
        <item>任务</item>
      </candidateList>
      <explain>〈名〉指定担任的工作；指定担负的责任：生产～｜超额完成～｜本校今年的招生～是五百名。</explain>
      <paraID>3C3BBF97</paraID>
      <start>122</start>
      <end>125</end>
      <status>unmodified</status>
      <modifiedWord/>
      <trackRevisions>false</trackRevisions>
    </reviewItem>
    <reviewItem>
      <errorID>4f62f2e6-8bfd-46f7-a1dd-fde014893eaf</errorID>
      <errorWord>VOCs的</errorWord>
      <group>L1_Word</group>
      <groupName>字词问题</groupName>
      <ability>L2_Typo</ability>
      <abilityName>字词错误</abilityName>
      <candidateList>
        <item>VOCs</item>
      </candidateList>
      <explain/>
      <paraID>3C3BBF97</paraID>
      <start>381</start>
      <end>386</end>
      <status>unmodified</status>
      <modifiedWord/>
      <trackRevisions>false</trackRevisions>
    </reviewItem>
    <reviewItem>
      <errorID>9fb06118-0f3b-4510-846c-b81f314c4129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109093C4</paraID>
      <start>0</start>
      <end>2</end>
      <status>unmodified</status>
      <modifiedWord/>
      <trackRevisions>false</trackRevisions>
    </reviewItem>
    <reviewItem>
      <errorID>455610f9-0e8d-419f-941a-48646d09f649</errorID>
      <errorWord>孽生</errorWord>
      <group>L1_Word</group>
      <groupName>字词问题</groupName>
      <ability>L2_Typo</ability>
      <abilityName>字词错误</abilityName>
      <candidateList>
        <item>滋生</item>
      </candidateList>
      <explain/>
      <paraID>49C473EE</paraID>
      <start>11</start>
      <end>13</end>
      <status>unmodified</status>
      <modifiedWord/>
      <trackRevisions>false</trackRevisions>
    </reviewItem>
    <reviewItem>
      <errorID>b92e68f9-1883-4eb9-ae1d-8f23ea87cd3a</errorID>
      <errorWord>孽生</errorWord>
      <group>L1_Word</group>
      <groupName>字词问题</groupName>
      <ability>L2_Typo</ability>
      <abilityName>字词错误</abilityName>
      <candidateList>
        <item>滋生</item>
      </candidateList>
      <explain/>
      <paraID>3DF74689</paraID>
      <start>11</start>
      <end>13</end>
      <status>unmodified</status>
      <modifiedWord/>
      <trackRevisions>false</trackRevisions>
    </reviewItem>
    <reviewItem>
      <errorID>ac54bae9-9b15-44e1-97e4-e97fc1410dc6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482EE457</paraID>
      <start>0</start>
      <end>2</end>
      <status>unmodified</status>
      <modifiedWord/>
      <trackRevisions>false</trackRevisions>
    </reviewItem>
    <reviewItem>
      <errorID>0b341407-71a2-494f-8bf4-e314572c9396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3330884A</paraID>
      <start>0</start>
      <end>2</end>
      <status>unmodified</status>
      <modifiedWord/>
      <trackRevisions>false</trackRevisions>
    </reviewItem>
    <reviewItem>
      <errorID>218792f8-1e0e-4b3a-8a4c-c4c82a82f5b6</errorID>
      <errorWord>（</errorWord>
      <group>L1_Punc</group>
      <groupName>标点问题</groupName>
      <ability>L2_Punc</ability>
      <abilityName>标点符号检查</abilityName>
      <candidateList/>
      <explain>同一形式括号套用。</explain>
      <paraID>51DC1248</paraID>
      <start>53</start>
      <end>54</end>
      <status>unmodified</status>
      <modifiedWord/>
      <trackRevisions>false</trackRevisions>
    </reviewItem>
    <reviewItem>
      <errorID>8a341600-68ab-4637-8564-099c997833a2</errorID>
      <errorWord>）</errorWord>
      <group>L1_Punc</group>
      <groupName>标点问题</groupName>
      <ability>L2_Punc</ability>
      <abilityName>标点符号检查</abilityName>
      <candidateList/>
      <explain>同一形式括号套用。</explain>
      <paraID>51DC1248</paraID>
      <start>55</start>
      <end>56</end>
      <status>unmodified</status>
      <modifiedWord/>
      <trackRevisions>false</trackRevisions>
    </reviewItem>
    <reviewItem>
      <errorID>33557ba0-c4e5-4e64-94c4-93430f095124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3F23AB92</paraID>
      <start>0</start>
      <end>2</end>
      <status>unmodified</status>
      <modifiedWord/>
      <trackRevisions>false</trackRevisions>
    </reviewItem>
    <reviewItem>
      <errorID>beec3eed-3641-46e7-b24c-80ac631ef851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1BC16E25</paraID>
      <start>0</start>
      <end>2</end>
      <status>unmodified</status>
      <modifiedWord/>
      <trackRevisions>false</trackRevisions>
    </reviewItem>
    <reviewItem>
      <errorID>c42370e9-8de3-45d1-b6c5-173eed05b7c5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236D7F88</paraID>
      <start>0</start>
      <end>2</end>
      <status>unmodified</status>
      <modifiedWord/>
      <trackRevisions>false</trackRevisions>
    </reviewItem>
    <reviewItem>
      <errorID>6deebcb6-574a-469b-8408-e37e52e832da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10F15BB8</paraID>
      <start>0</start>
      <end>2</end>
      <status>unmodified</status>
      <modifiedWord/>
      <trackRevisions>false</trackRevisions>
    </reviewItem>
    <reviewItem>
      <errorID>0d252892-9667-4ff5-a13c-b12d9339a79e</errorID>
      <errorWord>属</errorWord>
      <group>L1_Word</group>
      <groupName>字词问题</groupName>
      <ability>L2_Typo</ability>
      <abilityName>字词错误</abilityName>
      <candidateList>
        <item>属于</item>
      </candidateList>
      <explain/>
      <paraID>  85560C</paraID>
      <start>14</start>
      <end>15</end>
      <status>unmodified</status>
      <modifiedWord/>
      <trackRevisions>false</trackRevisions>
    </reviewItem>
    <reviewItem>
      <errorID>f6030e3b-184e-48cd-bb10-8a5ba858aef6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29B50936</paraID>
      <start>0</start>
      <end>2</end>
      <status>unmodified</status>
      <modifiedWord/>
      <trackRevisions>false</trackRevisions>
    </reviewItem>
    <reviewItem>
      <errorID>5e343d31-7ab0-4fd3-970e-7499b04d4b42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17F92A5A</paraID>
      <start>0</start>
      <end>2</end>
      <status>unmodified</status>
      <modifiedWord/>
      <trackRevisions>false</trackRevisions>
    </reviewItem>
    <reviewItem>
      <errorID>efc468c0-9209-4fef-bc4e-927252144ba2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43D45C66</paraID>
      <start>0</start>
      <end>2</end>
      <status>unmodified</status>
      <modifiedWord/>
      <trackRevisions>false</trackRevisions>
    </reviewItem>
    <reviewItem>
      <errorID>34d7e6ec-276c-4714-87ec-ca4ebf50d200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1C2BFCA0</paraID>
      <start>0</start>
      <end>2</end>
      <status>unmodified</status>
      <modifiedWord/>
      <trackRevisions>false</trackRevisions>
    </reviewItem>
    <reviewItem>
      <errorID>234f4721-8775-40cb-9bfa-2f2a031fe81f</errorID>
      <errorWord>年</errorWord>
      <group>L1_Word</group>
      <groupName>字词问题</groupName>
      <ability>L2_Typo</ability>
      <abilityName>字词错误</abilityName>
      <candidateList>
        <item>年度</item>
      </candidateList>
      <explain/>
      <paraID>70922970</paraID>
      <start>0</start>
      <end>1</end>
      <status>unmodified</status>
      <modifiedWord/>
      <trackRevisions>false</trackRevisions>
    </reviewItem>
    <reviewItem>
      <errorID>2cdece26-dd25-4ad8-bea4-80d186344d8a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5036FD91</paraID>
      <start>225</start>
      <end>226</end>
      <status>unmodified</status>
      <modifiedWord/>
      <trackRevisions>false</trackRevisions>
    </reviewItem>
    <reviewItem>
      <errorID>6a29d518-2154-42ad-b690-677b4d9e7490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5036FD91</paraID>
      <start>294</start>
      <end>295</end>
      <status>unmodified</status>
      <modifiedWord/>
      <trackRevisions>false</trackRevisions>
    </reviewItem>
    <reviewItem>
      <errorID>6d0bf0b4-321d-4ffc-bd33-c1b199354371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5036FD91</paraID>
      <start>357</start>
      <end>358</end>
      <status>unmodified</status>
      <modifiedWord/>
      <trackRevisions>false</trackRevisions>
    </reviewItem>
    <reviewItem>
      <errorID>08284681-d4c0-467d-a354-358cb2c06840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4425D86E</paraID>
      <start>0</start>
      <end>2</end>
      <status>unmodified</status>
      <modifiedWord/>
      <trackRevisions>false</trackRevisions>
    </reviewItem>
    <reviewItem>
      <errorID>3b30a25b-15e5-4e60-b8fe-173c2b9ac667</errorID>
      <errorWord>永幸</errorWord>
      <group>L1_Word</group>
      <groupName>字词问题</groupName>
      <ability>L2_Typo</ability>
      <abilityName>字词错误</abilityName>
      <candidateList>
        <item>永兴</item>
      </candidateList>
      <explain>存在发音相同字词的误用。</explain>
      <paraID> 220A132</paraID>
      <start>88</start>
      <end>90</end>
      <status>unmodified</status>
      <modifiedWord/>
      <trackRevisions>false</trackRevisions>
    </reviewItem>
    <reviewItem>
      <errorID>e52b844a-f9b5-41f7-9515-54e4f0ef3882</errorID>
      <errorWord>-</errorWord>
      <group>L1_Format</group>
      <groupName>格式问题</groupName>
      <ability>L2_HalfPunc</ability>
      <abilityName>全半角检查</abilityName>
      <candidateList>
        <item>－</item>
      </candidateList>
      <explain>文本全半角错误。</explain>
      <paraID>23A28343</paraID>
      <start>12</start>
      <end>13</end>
      <status>unmodified</status>
      <modifiedWord/>
      <trackRevisions>false</trackRevisions>
    </reviewItem>
    <reviewItem>
      <errorID>7972d8a7-0ad3-423e-ac4e-59a7caa9f443</errorID>
      <errorWord>(</errorWord>
      <group>L1_Format</group>
      <groupName>格式问题</groupName>
      <ability>L2_HalfPunc</ability>
      <abilityName>全半角检查</abilityName>
      <candidateList>
        <item>（</item>
      </candidateList>
      <explain>文本全半角错误。</explain>
      <paraID>23A28343</paraID>
      <start>29</start>
      <end>30</end>
      <status>unmodified</status>
      <modifiedWord/>
      <trackRevisions>false</trackRevisions>
    </reviewItem>
    <reviewItem>
      <errorID>170c5e83-1043-4dfb-9f5d-6ffc9046fa18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4F5A713C</paraID>
      <start>0</start>
      <end>2</end>
      <status>unmodified</status>
      <modifiedWord/>
      <trackRevisions>false</trackRevisions>
    </reviewItem>
    <reviewItem>
      <errorID>3ec4cf3f-0b57-436e-8690-22e1f77655e9</errorID>
      <errorWord>不做声</errorWord>
      <group>L1_Word</group>
      <groupName>字词问题</groupName>
      <ability>L2_Alias</ability>
      <abilityName>也作/曾用词</abilityName>
      <candidateList>
        <item>不作声</item>
      </candidateList>
      <explain>词汇[不做声]为不规范表述或旧称，其规范书面表述为[不作声]。</explain>
      <paraID> C3A1EEB</paraID>
      <start>30</start>
      <end>33</end>
      <status>unmodified</status>
      <modifiedWord/>
      <trackRevisions>false</trackRevisions>
    </reviewItem>
    <reviewItem>
      <errorID>19fc40f1-2494-41a4-8e75-16b308f5d0d1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4734E802</paraID>
      <start>0</start>
      <end>2</end>
      <status>unmodified</status>
      <modifiedWord/>
      <trackRevisions>false</trackRevisions>
    </reviewItem>
    <reviewItem>
      <errorID>a2e11f21-f44b-4f21-8bd9-33550978ef0c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52E8D1AA</paraID>
      <start>0</start>
      <end>2</end>
      <status>unmodified</status>
      <modifiedWord/>
      <trackRevisions>false</trackRevisions>
    </reviewItem>
    <reviewItem>
      <errorID>a027cd34-0da8-43d9-95bc-ed1faec300f0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57BFB27</paraID>
      <start>0</start>
      <end>2</end>
      <status>unmodified</status>
      <modifiedWord/>
      <trackRevisions>false</trackRevisions>
    </reviewItem>
    <reviewItem>
      <errorID>b567bde4-a80d-49b3-b0af-e83e10c0bc0b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3F1F15E6</paraID>
      <start>0</start>
      <end>2</end>
      <status>unmodified</status>
      <modifiedWord/>
      <trackRevisions>false</trackRevisions>
    </reviewItem>
    <reviewItem>
      <errorID>3eafc4bf-2286-44db-b483-0644e395cb47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658C9786</paraID>
      <start>0</start>
      <end>2</end>
      <status>unmodified</status>
      <modifiedWord/>
      <trackRevisions>false</trackRevisions>
    </reviewItem>
    <reviewItem>
      <errorID>f892bbb3-cdfb-41ac-a381-e24ed958a587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7826725D</paraID>
      <start>0</start>
      <end>2</end>
      <status>unmodified</status>
      <modifiedWord/>
      <trackRevisions>false</trackRevisions>
    </reviewItem>
    <reviewItem>
      <errorID>a426339b-7adf-4e1a-a32b-7f2811ab8855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4EDA965D</paraID>
      <start>0</start>
      <end>2</end>
      <status>unmodified</status>
      <modifiedWord/>
      <trackRevisions>false</trackRevisions>
    </reviewItem>
    <reviewItem>
      <errorID>bd6a0632-5548-4635-b194-a913db361116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405D167A</paraID>
      <start>0</start>
      <end>2</end>
      <status>unmodified</status>
      <modifiedWord/>
      <trackRevisions>false</trackRevisions>
    </reviewItem>
    <reviewItem>
      <errorID>52a31617-0959-439b-a071-37f8ee8991bb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85084A1</paraID>
      <start>0</start>
      <end>2</end>
      <status>unmodified</status>
      <modifiedWord/>
      <trackRevisions>false</trackRevisions>
    </reviewItem>
    <reviewItem>
      <errorID>a3ff450f-346a-4b64-bf4c-a59359524d63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3E08D08</paraID>
      <start>0</start>
      <end>2</end>
      <status>unmodified</status>
      <modifiedWord/>
      <trackRevisions>false</trackRevisions>
    </reviewItem>
    <reviewItem>
      <errorID>d8fac212-1e15-4f03-b596-26bf2fc3a3d8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3B07D3FC</paraID>
      <start>0</start>
      <end>2</end>
      <status>unmodified</status>
      <modifiedWord/>
      <trackRevisions>false</trackRevisions>
    </reviewItem>
    <reviewItem>
      <errorID>dbbe7be6-e3de-4ce1-9bf8-824c9e255ae6</errorID>
      <errorWord>护措</errorWord>
      <group>L1_Word</group>
      <groupName>字词问题</groupName>
      <ability>L2_Typo</ability>
      <abilityName>字词错误</abilityName>
      <candidateList>
        <item>举措</item>
      </candidateList>
      <explain>存在发音相近字词的误用。</explain>
      <paraID>61971A50</paraID>
      <start>0</start>
      <end>2</end>
      <status>unmodified</status>
      <modifiedWord/>
      <trackRevisions>false</trackRevisions>
    </reviewItem>
    <reviewItem>
      <errorID>891f9986-7458-4676-bdfb-19fda5809bdf</errorID>
      <errorWord>施工期</errorWord>
      <group>L1_Word</group>
      <groupName>字词问题</groupName>
      <ability>L2_Typo</ability>
      <abilityName>字词错误</abilityName>
      <candidateList>
        <item>施工</item>
      </candidateList>
      <explain>〈动〉按照设计的规格和要求建筑房屋、桥梁、道路、水利工程等。</explain>
      <paraID> FE0E44E</paraID>
      <start>124</start>
      <end>127</end>
      <status>unmodified</status>
      <modifiedWord/>
      <trackRevisions>false</trackRevisions>
    </reviewItem>
    <reviewItem>
      <errorID>b050905c-1a18-4c5d-9379-7b8efe65250a</errorID>
      <errorWord>（</errorWord>
      <group>L1_Punc</group>
      <groupName>标点问题</groupName>
      <ability>L2_Punc</ability>
      <abilityName>标点符号检查</abilityName>
      <candidateList/>
      <explain>同一形式括号套用。</explain>
      <paraID>25DDBEB2</paraID>
      <start>396</start>
      <end>397</end>
      <status>unmodified</status>
      <modifiedWord/>
      <trackRevisions>false</trackRevisions>
    </reviewItem>
    <reviewItem>
      <errorID>58170b91-497a-465d-b330-383885fa4e92</errorID>
      <errorWord>）</errorWord>
      <group>L1_Punc</group>
      <groupName>标点问题</groupName>
      <ability>L2_Punc</ability>
      <abilityName>标点符号检查</abilityName>
      <candidateList/>
      <explain>同一形式括号套用。</explain>
      <paraID>25DDBEB2</paraID>
      <start>399</start>
      <end>400</end>
      <status>unmodified</status>
      <modifiedWord/>
      <trackRevisions>false</trackRevisions>
    </reviewItem>
    <reviewItem>
      <errorID>b578ad00-d4a0-43e8-957f-0e7d3c232c1b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2CA4B671</paraID>
      <start>29</start>
      <end>30</end>
      <status>unmodified</status>
      <modifiedWord/>
      <trackRevisions>false</trackRevisions>
    </reviewItem>
    <reviewItem>
      <errorID>a6428060-7210-4e2c-ae67-30818b775b8e</errorID>
      <errorWord>（</errorWord>
      <group>L1_Punc</group>
      <groupName>标点问题</groupName>
      <ability>L2_Punc</ability>
      <abilityName>标点符号检查</abilityName>
      <candidateList/>
      <explain>同一形式括号套用。</explain>
      <paraID>25738344</paraID>
      <start>42</start>
      <end>43</end>
      <status>unmodified</status>
      <modifiedWord/>
      <trackRevisions>false</trackRevisions>
    </reviewItem>
    <reviewItem>
      <errorID>46390376-b0c6-4c9d-817c-4bb93bf9e415</errorID>
      <errorWord>）</errorWord>
      <group>L1_Punc</group>
      <groupName>标点问题</groupName>
      <ability>L2_Punc</ability>
      <abilityName>标点符号检查</abilityName>
      <candidateList/>
      <explain>同一形式括号套用。</explain>
      <paraID>25738344</paraID>
      <start>45</start>
      <end>46</end>
      <status>unmodified</status>
      <modifiedWord/>
      <trackRevisions>false</trackRevisions>
    </reviewItem>
    <reviewItem>
      <errorID>fefed03b-9eb1-4336-9c23-4f887c88ce0a</errorID>
      <errorWord>废气污染物</errorWord>
      <group>L1_Knowledge</group>
      <groupName>知识性问题</groupName>
      <ability>L2_Term</ability>
      <abilityName>专业术语</abilityName>
      <candidateList>
        <item>空气污染物</item>
      </candidateList>
      <explain/>
      <paraID>46CEE2AB</paraID>
      <start>15</start>
      <end>20</end>
      <status>unmodified</status>
      <modifiedWord/>
      <trackRevisions>false</trackRevisions>
    </reviewItem>
    <reviewItem>
      <errorID>c1ed3cf8-3893-4745-9435-156f5c25c7c6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713E101F</paraID>
      <start>0</start>
      <end>2</end>
      <status>unmodified</status>
      <modifiedWord/>
      <trackRevisions>false</trackRevisions>
    </reviewItem>
    <reviewItem>
      <errorID>77963187-a402-4ac1-a068-4d31bb265142</errorID>
      <errorWord>。。</errorWord>
      <group>L1_Punc</group>
      <groupName>标点问题</groupName>
      <ability>L2_Punc</ability>
      <abilityName>标点符号检查</abilityName>
      <candidateList>
        <item>。</item>
      </candidateList>
      <explain/>
      <paraID>56F48366</paraID>
      <start>39</start>
      <end>41</end>
      <status>unmodified</status>
      <modifiedWord/>
      <trackRevisions>false</trackRevisions>
    </reviewItem>
    <reviewItem>
      <errorID>d4255767-26ba-477a-b43c-30e8fe7d9a40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7CF2EB6A</paraID>
      <start>48</start>
      <end>49</end>
      <status>unmodified</status>
      <modifiedWord/>
      <trackRevisions>false</trackRevisions>
    </reviewItem>
    <reviewItem>
      <errorID>97213d0c-815a-440e-8726-ea40c2b0e743</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7CF2EB6A</paraID>
      <start>59</start>
      <end>66</end>
      <status>unmodified</status>
      <modifiedWord/>
      <trackRevisions>false</trackRevisions>
    </reviewItem>
    <reviewItem>
      <errorID>150e851f-f753-4ec7-a88c-0eb266ff70a0</errorID>
      <errorWord>(</errorWord>
      <group>L1_Format</group>
      <groupName>格式问题</groupName>
      <ability>L2_HalfPunc</ability>
      <abilityName>全半角检查</abilityName>
      <candidateList>
        <item>（</item>
      </candidateList>
      <explain>文本全半角错误。</explain>
      <paraID>7EA732E2</paraID>
      <start>145</start>
      <end>146</end>
      <status>unmodified</status>
      <modifiedWord/>
      <trackRevisions>false</trackRevisions>
    </reviewItem>
    <reviewItem>
      <errorID>6009f8ea-8b06-42dc-98ea-81c11f8d2603</errorID>
      <errorWord>)</errorWord>
      <group>L1_Format</group>
      <groupName>格式问题</groupName>
      <ability>L2_HalfPunc</ability>
      <abilityName>全半角检查</abilityName>
      <candidateList>
        <item>）</item>
      </candidateList>
      <explain>文本全半角错误。</explain>
      <paraID>7EA732E2</paraID>
      <start>158</start>
      <end>159</end>
      <status>unmodified</status>
      <modifiedWord/>
      <trackRevisions>false</trackRevisions>
    </reviewItem>
    <reviewItem>
      <errorID>e8f628b1-af65-4699-8895-81d05bf7c2e9</errorID>
      <errorWord>：</errorWord>
      <group>L1_Format</group>
      <groupName>格式问题</groupName>
      <ability>L2_HalfPunc</ability>
      <abilityName>全半角检查</abilityName>
      <candidateList>
        <item>:</item>
      </candidateList>
      <explain>文本全半角错误。</explain>
      <paraID>367511BC</paraID>
      <start>54</start>
      <end>55</end>
      <status>unmodified</status>
      <modifiedWord/>
      <trackRevisions>false</trackRevisions>
    </reviewItem>
    <reviewItem>
      <errorID>111c986c-e1ac-4f9e-b72a-d9c3fb2990a8</errorID>
      <errorWord>,</errorWord>
      <group>L1_Format</group>
      <groupName>格式问题</groupName>
      <ability>L2_HalfPunc</ability>
      <abilityName>全半角检查</abilityName>
      <candidateList>
        <item>，</item>
      </candidateList>
      <explain>文本全半角错误。</explain>
      <paraID>6EFC13F6</paraID>
      <start>87</start>
      <end>88</end>
      <status>unmodified</status>
      <modifiedWord/>
      <trackRevisions>false</trackRevisions>
    </reviewItem>
    <reviewItem>
      <errorID>8479bc7a-31be-4ac4-b003-89c983b24dfa</errorID>
      <errorWord>,</errorWord>
      <group>L1_Format</group>
      <groupName>格式问题</groupName>
      <ability>L2_HalfPunc</ability>
      <abilityName>全半角检查</abilityName>
      <candidateList>
        <item>，</item>
      </candidateList>
      <explain>文本全半角错误。</explain>
      <paraID>6EFC13F6</paraID>
      <start>105</start>
      <end>106</end>
      <status>unmodified</status>
      <modifiedWord/>
      <trackRevisions>false</trackRevisions>
    </reviewItem>
    <reviewItem>
      <errorID>cd39d0bd-0df0-490a-9bf7-c6850d8c0f90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51DFD7A5</paraID>
      <start>0</start>
      <end>2</end>
      <status>unmodified</status>
      <modifiedWord/>
      <trackRevisions>false</trackRevisions>
    </reviewItem>
    <reviewItem>
      <errorID>358a7073-4bb9-4431-956d-21b938a43296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43B52178</paraID>
      <start>0</start>
      <end>2</end>
      <status>unmodified</status>
      <modifiedWord/>
      <trackRevisions>false</trackRevisions>
    </reviewItem>
    <reviewItem>
      <errorID>588c9ca0-ce72-46d8-8378-8e2458476afe</errorID>
      <errorWord>按照对</errorWord>
      <group>L1_Word</group>
      <groupName>字词问题</groupName>
      <ability>L2_Typo</ability>
      <abilityName>字词错误</abilityName>
      <candidateList>
        <item>按照</item>
      </candidateList>
      <explain>〈介〉根据；依照：～法规办理｜～预定的计划执行。</explain>
      <paraID>267E830B</paraID>
      <start>120</start>
      <end>123</end>
      <status>unmodified</status>
      <modifiedWord/>
      <trackRevisions>false</trackRevisions>
    </reviewItem>
    <reviewItem>
      <errorID>60bc064b-3157-43da-94bf-f4fdc2bc84cb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3C5D4CF0</paraID>
      <start>0</start>
      <end>2</end>
      <status>unmodified</status>
      <modifiedWord/>
      <trackRevisions>false</trackRevisions>
    </reviewItem>
    <reviewItem>
      <errorID>7a0a912a-b595-4bc4-a48f-e4dd5e799735</errorID>
      <errorWord>自然防护</errorWord>
      <group>L1_Knowledge</group>
      <groupName>知识性问题</groupName>
      <ability>L2_Term</ability>
      <abilityName>专业术语</abilityName>
      <candidateList>
        <item>自然保护</item>
      </candidateList>
      <explain/>
      <paraID>1BD2A874</paraID>
      <start>85</start>
      <end>89</end>
      <status>unmodified</status>
      <modifiedWord/>
      <trackRevisions>false</trackRevisions>
    </reviewItem>
    <reviewItem>
      <errorID>feac62d4-96e8-445a-9d8a-6ab64aa2ccbd</errorID>
      <errorWord>自然防护</errorWord>
      <group>L1_Knowledge</group>
      <groupName>知识性问题</groupName>
      <ability>L2_Term</ability>
      <abilityName>专业术语</abilityName>
      <candidateList>
        <item>自然保护</item>
      </candidateList>
      <explain/>
      <paraID>1BD2A874</paraID>
      <start>134</start>
      <end>138</end>
      <status>unmodified</status>
      <modifiedWord/>
      <trackRevisions>false</trackRevisions>
    </reviewItem>
    <reviewItem>
      <errorID>3861f4bc-5300-450c-a100-9b31b521383e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3C1B7180</paraID>
      <start>26</start>
      <end>27</end>
      <status>unmodified</status>
      <modifiedWord/>
      <trackRevisions>false</trackRevisions>
    </reviewItem>
    <reviewItem>
      <errorID>c9b925ef-6ea4-451f-b19c-3a86eca12dba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2FF88F75</paraID>
      <start>26</start>
      <end>27</end>
      <status>unmodified</status>
      <modifiedWord/>
      <trackRevisions>false</trackRevisions>
    </reviewItem>
    <reviewItem>
      <errorID>36d22186-517c-4548-b46f-c9705073736f</errorID>
      <errorWord>排放的</errorWord>
      <group>L1_Word</group>
      <groupName>字词问题</groupName>
      <ability>L2_Typo</ability>
      <abilityName>字词错误</abilityName>
      <candidateList>
        <item>排放</item>
      </candidateList>
      <explain/>
      <paraID>3F71A8D3</paraID>
      <start>167</start>
      <end>170</end>
      <status>unmodified</status>
      <modifiedWord/>
      <trackRevisions>false</trackRevisions>
    </reviewItem>
    <reviewItem>
      <errorID>4882e143-2a4d-4200-8098-b346604d55fb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A7417A2</paraID>
      <start>0</start>
      <end>2</end>
      <status>unmodified</status>
      <modifiedWord/>
      <trackRevisions>false</trackRevisions>
    </reviewItem>
    <reviewItem>
      <errorID>a1e33a86-8192-4421-b270-f5ea52812d80</errorID>
      <errorWord>其他的</errorWord>
      <group>L1_Word</group>
      <groupName>字词问题</groupName>
      <ability>L2_Typo</ability>
      <abilityName>字词错误</abilityName>
      <candidateList>
        <item>其他</item>
      </candidateList>
      <explain>〈代〉指示代词。别的：今天的文娱晚会，除了京剧、曲艺以外，还有～精彩节目。</explain>
      <paraID>4310F490</paraID>
      <start>13</start>
      <end>16</end>
      <status>unmodified</status>
      <modifiedWord/>
      <trackRevisions>false</trackRevisions>
    </reviewItem>
    <reviewItem>
      <errorID>ce0a77da-5f4d-4eca-9d1d-a436a0fbd02d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768E1659</paraID>
      <start>117</start>
      <end>118</end>
      <status>unmodified</status>
      <modifiedWord/>
      <trackRevisions>false</trackRevisions>
    </reviewItem>
    <reviewItem>
      <errorID>085f951c-90c5-4fa4-890b-74c29ddbcf97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57CB4E58</paraID>
      <start>34</start>
      <end>35</end>
      <status>unmodified</status>
      <modifiedWord/>
      <trackRevisions>false</trackRevisions>
    </reviewItem>
    <reviewItem>
      <errorID>01563c3d-19e0-4611-94aa-c3ef4eb13bb3</errorID>
      <errorWord>相抵</errorWord>
      <group>L1_Word</group>
      <groupName>字词问题</groupName>
      <ability>L2_Typo</ability>
      <abilityName>字词错误</abilityName>
      <candidateList>
        <item>相悖</item>
      </candidateList>
      <explain/>
      <paraID>5025DB3B</paraID>
      <start>74</start>
      <end>76</end>
      <status>unmodified</status>
      <modifiedWord/>
      <trackRevisions>false</trackRevisions>
    </reviewItem>
    <reviewItem>
      <errorID>c1480ac0-1e63-4ef3-81a9-6ca9a5c1186a</errorID>
      <errorWord>，</errorWord>
      <group>L1_Word</group>
      <groupName>字词问题</groupName>
      <ability>L2_Typo</ability>
      <abilityName>字词错误</abilityName>
      <candidateList>
        <item>，必</item>
      </candidateList>
      <explain/>
      <paraID>2BC41419</paraID>
      <start>53</start>
      <end>54</end>
      <status>unmodified</status>
      <modifiedWord/>
      <trackRevisions>false</trackRevisions>
    </reviewItem>
    <reviewItem>
      <errorID>ed194708-9242-4870-9bef-455eb5a6199d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64473FD8</paraID>
      <start>0</start>
      <end>2</end>
      <status>unmodified</status>
      <modifiedWord/>
      <trackRevisions>false</trackRevisions>
    </reviewItem>
    <reviewItem>
      <errorID>07ae9ec4-2b25-4c26-9d3c-9c9d7e93059e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6BAEEE65</paraID>
      <start>0</start>
      <end>2</end>
      <status>unmodified</status>
      <modifiedWord/>
      <trackRevisions>false</trackRevisions>
    </reviewItem>
    <reviewItem>
      <errorID>faf8a030-ccee-4fbe-84f8-c9ff412d670e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1E316668</paraID>
      <start>0</start>
      <end>2</end>
      <status>unmodified</status>
      <modifiedWord/>
      <trackRevisions>false</trackRevisions>
    </reviewItem>
    <reviewItem>
      <errorID>37f81987-cbcc-4afd-a932-86e218f13945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70D53C72</paraID>
      <start>0</start>
      <end>3</end>
      <status>unmodified</status>
      <modifiedWord/>
      <trackRevisions>false</trackRevisions>
    </reviewItem>
    <reviewItem>
      <errorID>fd32f62b-6a87-4ba6-b98c-5f88325b1a54</errorID>
      <errorWord>废</errorWord>
      <group>L1_Word</group>
      <groupName>字词问题</groupName>
      <ability>L2_Typo</ability>
      <abilityName>字词错误</abilityName>
      <candidateList>
        <item>费</item>
      </candidateList>
      <explain/>
      <paraID>61563B22</paraID>
      <start>3</start>
      <end>4</end>
      <status>unmodified</status>
      <modifiedWord/>
      <trackRevisions>false</trackRevisions>
    </reviewItem>
    <reviewItem>
      <errorID>ae77abed-777f-4eae-a498-4300c3628596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15E2AAFD</paraID>
      <start>62</start>
      <end>63</end>
      <status>unmodified</status>
      <modifiedWord/>
      <trackRevisions>false</trackRevisions>
    </reviewItem>
    <reviewItem>
      <errorID>a987a775-fa38-470b-a091-7a41a0d24507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15E2AAFD</paraID>
      <start>104</start>
      <end>105</end>
      <status>unmodified</status>
      <modifiedWord/>
      <trackRevisions>false</trackRevisions>
    </reviewItem>
    <reviewItem>
      <errorID>fc475622-43e3-4f3a-8051-63bfb288ae01</errorID>
      <errorWord>人工合成材料</errorWord>
      <group>L1_Knowledge</group>
      <groupName>知识性问题</groupName>
      <ability>L2_Term</ability>
      <abilityName>专业术语</abilityName>
      <candidateList>
        <item>土工合成材料</item>
      </candidateList>
      <explain/>
      <paraID>15E2AAFD</paraID>
      <start>145</start>
      <end>151</end>
      <status>unmodified</status>
      <modifiedWord/>
      <trackRevisions>false</trackRevisions>
    </reviewItem>
    <reviewItem>
      <errorID>62341ad0-9863-4c90-9792-14e745584ec3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15E2AAFD</paraID>
      <start>282</start>
      <end>283</end>
      <status>unmodified</status>
      <modifiedWord/>
      <trackRevisions>false</trackRevisions>
    </reviewItem>
    <reviewItem>
      <errorID>dd339695-7b30-4282-9c0b-503c61b16720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755377BA</paraID>
      <start>0</start>
      <end>2</end>
      <status>unmodified</status>
      <modifiedWord/>
      <trackRevisions>false</trackRevisions>
    </reviewItem>
    <reviewItem>
      <errorID>907345b2-41d8-4c97-ae26-83e59bdde3c9</errorID>
      <errorWord>(</errorWord>
      <group>L1_Format</group>
      <groupName>格式问题</groupName>
      <ability>L2_HalfPunc</ability>
      <abilityName>全半角检查</abilityName>
      <candidateList>
        <item>（</item>
      </candidateList>
      <explain>文本全半角错误。</explain>
      <paraID>149DE02F</paraID>
      <start>41</start>
      <end>42</end>
      <status>unmodified</status>
      <modifiedWord/>
      <trackRevisions>false</trackRevisions>
    </reviewItem>
    <reviewItem>
      <errorID>778c65d8-26d3-4d5d-9c3d-1fccffd56987</errorID>
      <errorWord>)</errorWord>
      <group>L1_Format</group>
      <groupName>格式问题</groupName>
      <ability>L2_HalfPunc</ability>
      <abilityName>全半角检查</abilityName>
      <candidateList>
        <item>）</item>
      </candidateList>
      <explain>文本全半角错误。</explain>
      <paraID>149DE02F</paraID>
      <start>44</start>
      <end>45</end>
      <status>unmodified</status>
      <modifiedWord/>
      <trackRevisions>false</trackRevisions>
    </reviewItem>
    <reviewItem>
      <errorID>e1a58847-d3ca-42cb-8628-6735658e735f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4C14D3FA</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9e8c8-3ac1-4572-826f-dd2246646d0e}">
  <ds:schemaRefs/>
</ds:datastoreItem>
</file>

<file path=docProps/app.xml><?xml version="1.0" encoding="utf-8"?>
<Properties xmlns="http://schemas.openxmlformats.org/officeDocument/2006/extended-properties" xmlns:vt="http://schemas.openxmlformats.org/officeDocument/2006/docPropsVTypes">
  <Template>Normal.dotm</Template>
  <Company>显闰</Company>
  <Pages>68</Pages>
  <Words>137</Words>
  <Characters>168</Characters>
  <Lines>341</Lines>
  <Paragraphs>96</Paragraphs>
  <TotalTime>138</TotalTime>
  <ScaleCrop>false</ScaleCrop>
  <LinksUpToDate>false</LinksUpToDate>
  <CharactersWithSpaces>297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2024-01-02T01:38:00Z</dcterms:created>
  <dc:creator>wll</dc:creator>
  <cp:lastModifiedBy>一见你就笑</cp:lastModifiedBy>
  <cp:lastPrinted>2023-12-28T03:32:00Z</cp:lastPrinted>
  <dcterms:modified xsi:type="dcterms:W3CDTF">2026-07-21T07:54:21Z</dcterms:modified>
  <dc:title>《建设项目环境影响报告表》编制说明</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64F925A5781B4D6BAE664CD532E7CFB0_13</vt:lpwstr>
  </property>
  <property fmtid="{D5CDD505-2E9C-101B-9397-08002B2CF9AE}" pid="4" name="KSOTemplateDocerSaveRecord">
    <vt:lpwstr>eyJoZGlkIjoiNmJlMjFkYWI3MmNlYWM5YTU4ZDg2Yjg3NzU2YmFjMTMiLCJ1c2VySWQiOiI0MzMyNjQyOTUifQ==</vt:lpwstr>
  </property>
</Properties>
</file>